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F96264" w:rsidRPr="000266B0">
        <w:tc>
          <w:tcPr>
            <w:tcW w:w="9039" w:type="dxa"/>
            <w:vAlign w:val="center"/>
          </w:tcPr>
          <w:p w:rsidR="00F96264" w:rsidRPr="000266B0" w:rsidRDefault="00BD5208" w:rsidP="00F96264">
            <w:pPr>
              <w:spacing w:before="0"/>
            </w:pPr>
            <w:r w:rsidRPr="000266B0">
              <w:rPr>
                <w:rFonts w:asciiTheme="minorHAnsi" w:hAnsiTheme="minorHAnsi" w:cstheme="minorHAnsi"/>
                <w:spacing w:val="5"/>
                <w:sz w:val="52"/>
                <w:szCs w:val="24"/>
              </w:rPr>
              <w:t>U</w:t>
            </w:r>
            <w:r w:rsidRPr="000266B0">
              <w:rPr>
                <w:rFonts w:asciiTheme="minorHAnsi" w:hAnsiTheme="minorHAnsi" w:cstheme="minorHAnsi"/>
                <w:spacing w:val="5"/>
                <w:sz w:val="40"/>
                <w:szCs w:val="40"/>
              </w:rPr>
              <w:t>NIÓN</w:t>
            </w:r>
            <w:r w:rsidRPr="000266B0">
              <w:rPr>
                <w:rFonts w:asciiTheme="minorHAnsi" w:hAnsiTheme="minorHAnsi" w:cstheme="minorHAnsi"/>
                <w:spacing w:val="5"/>
                <w:sz w:val="44"/>
                <w:szCs w:val="24"/>
              </w:rPr>
              <w:t xml:space="preserve"> </w:t>
            </w:r>
            <w:r w:rsidRPr="000266B0">
              <w:rPr>
                <w:rFonts w:asciiTheme="minorHAnsi" w:hAnsiTheme="minorHAnsi" w:cstheme="minorHAnsi"/>
                <w:spacing w:val="5"/>
                <w:sz w:val="52"/>
                <w:szCs w:val="24"/>
              </w:rPr>
              <w:t>I</w:t>
            </w:r>
            <w:r w:rsidRPr="000266B0">
              <w:rPr>
                <w:rFonts w:asciiTheme="minorHAnsi" w:hAnsiTheme="minorHAnsi" w:cstheme="minorHAnsi"/>
                <w:spacing w:val="5"/>
                <w:sz w:val="40"/>
                <w:szCs w:val="40"/>
              </w:rPr>
              <w:t>NTERNACIONAL DE</w:t>
            </w:r>
            <w:r w:rsidRPr="000266B0">
              <w:rPr>
                <w:rFonts w:asciiTheme="minorHAnsi" w:hAnsiTheme="minorHAnsi" w:cstheme="minorHAnsi"/>
                <w:spacing w:val="5"/>
                <w:sz w:val="44"/>
                <w:szCs w:val="24"/>
              </w:rPr>
              <w:t xml:space="preserve"> </w:t>
            </w:r>
            <w:r w:rsidRPr="000266B0">
              <w:rPr>
                <w:rFonts w:asciiTheme="minorHAnsi" w:hAnsiTheme="minorHAnsi" w:cstheme="minorHAnsi"/>
                <w:spacing w:val="5"/>
                <w:sz w:val="52"/>
                <w:szCs w:val="24"/>
              </w:rPr>
              <w:t>T</w:t>
            </w:r>
            <w:r w:rsidRPr="000266B0">
              <w:rPr>
                <w:rFonts w:asciiTheme="minorHAnsi" w:hAnsiTheme="minorHAnsi" w:cstheme="minorHAnsi"/>
                <w:spacing w:val="5"/>
                <w:sz w:val="40"/>
                <w:szCs w:val="40"/>
              </w:rPr>
              <w:t>ELECOMUNICACIONES</w:t>
            </w:r>
          </w:p>
        </w:tc>
        <w:tc>
          <w:tcPr>
            <w:tcW w:w="1559" w:type="dxa"/>
          </w:tcPr>
          <w:p w:rsidR="00F96264" w:rsidRPr="000266B0" w:rsidRDefault="00BD0273" w:rsidP="00F96264">
            <w:pPr>
              <w:spacing w:before="0"/>
              <w:jc w:val="right"/>
            </w:pPr>
            <w:r w:rsidRPr="000266B0">
              <w:rPr>
                <w:noProof/>
                <w:lang w:val="en-US" w:eastAsia="zh-CN"/>
              </w:rPr>
              <w:drawing>
                <wp:inline distT="0" distB="0" distL="0" distR="0" wp14:anchorId="73A9A506" wp14:editId="4E2CD2B3">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0266B0">
        <w:trPr>
          <w:cantSplit/>
        </w:trPr>
        <w:tc>
          <w:tcPr>
            <w:tcW w:w="5075" w:type="dxa"/>
          </w:tcPr>
          <w:p w:rsidR="00F96264" w:rsidRPr="000266B0" w:rsidRDefault="00F96264" w:rsidP="00F96264">
            <w:pPr>
              <w:spacing w:before="0"/>
              <w:rPr>
                <w:i/>
                <w:smallCaps/>
                <w:sz w:val="28"/>
                <w:szCs w:val="28"/>
              </w:rPr>
            </w:pPr>
            <w:r w:rsidRPr="000266B0">
              <w:rPr>
                <w:i/>
                <w:sz w:val="28"/>
                <w:szCs w:val="28"/>
              </w:rPr>
              <w:t>Oficina de Radiocomunicaciones</w:t>
            </w:r>
          </w:p>
          <w:p w:rsidR="00F96264" w:rsidRPr="000266B0" w:rsidRDefault="00F96264" w:rsidP="00F96264">
            <w:pPr>
              <w:tabs>
                <w:tab w:val="clear" w:pos="794"/>
                <w:tab w:val="clear" w:pos="1191"/>
                <w:tab w:val="clear" w:pos="1588"/>
                <w:tab w:val="clear" w:pos="1985"/>
                <w:tab w:val="center" w:pos="1701"/>
              </w:tabs>
              <w:spacing w:before="0"/>
              <w:rPr>
                <w:b/>
                <w:smallCaps/>
                <w:sz w:val="18"/>
                <w:szCs w:val="18"/>
              </w:rPr>
            </w:pPr>
            <w:r w:rsidRPr="000266B0">
              <w:rPr>
                <w:i/>
                <w:sz w:val="18"/>
                <w:szCs w:val="18"/>
              </w:rPr>
              <w:tab/>
              <w:t>(N° de Fax directo +41 22 730 57 85)</w:t>
            </w:r>
          </w:p>
        </w:tc>
      </w:tr>
    </w:tbl>
    <w:p w:rsidR="00F96264" w:rsidRPr="000266B0" w:rsidRDefault="00F96264" w:rsidP="00F96264">
      <w:pPr>
        <w:tabs>
          <w:tab w:val="left" w:pos="7513"/>
        </w:tabs>
      </w:pPr>
    </w:p>
    <w:p w:rsidR="00F96264" w:rsidRPr="000266B0" w:rsidRDefault="00F96264" w:rsidP="00F96264">
      <w:pPr>
        <w:tabs>
          <w:tab w:val="left" w:pos="7513"/>
        </w:tabs>
      </w:pPr>
    </w:p>
    <w:tbl>
      <w:tblPr>
        <w:tblW w:w="10020" w:type="dxa"/>
        <w:tblLayout w:type="fixed"/>
        <w:tblLook w:val="0000" w:firstRow="0" w:lastRow="0" w:firstColumn="0" w:lastColumn="0" w:noHBand="0" w:noVBand="0"/>
      </w:tblPr>
      <w:tblGrid>
        <w:gridCol w:w="2880"/>
        <w:gridCol w:w="7140"/>
      </w:tblGrid>
      <w:tr w:rsidR="00F96264" w:rsidRPr="000266B0" w:rsidTr="00A353D3">
        <w:trPr>
          <w:cantSplit/>
        </w:trPr>
        <w:tc>
          <w:tcPr>
            <w:tcW w:w="2880" w:type="dxa"/>
          </w:tcPr>
          <w:p w:rsidR="00A353D3" w:rsidRPr="000266B0" w:rsidRDefault="00A353D3" w:rsidP="000266B0">
            <w:pPr>
              <w:rPr>
                <w:b/>
                <w:bCs/>
              </w:rPr>
            </w:pPr>
            <w:bookmarkStart w:id="0" w:name="dletter"/>
            <w:bookmarkEnd w:id="0"/>
            <w:r w:rsidRPr="000266B0">
              <w:rPr>
                <w:b/>
                <w:bCs/>
              </w:rPr>
              <w:t>Circular Administrativa</w:t>
            </w:r>
          </w:p>
          <w:p w:rsidR="00F96264" w:rsidRPr="000266B0" w:rsidRDefault="00A353D3" w:rsidP="00E2635B">
            <w:pPr>
              <w:tabs>
                <w:tab w:val="clear" w:pos="794"/>
                <w:tab w:val="clear" w:pos="1191"/>
              </w:tabs>
              <w:spacing w:before="0"/>
              <w:jc w:val="center"/>
              <w:rPr>
                <w:b/>
                <w:bCs/>
              </w:rPr>
            </w:pPr>
            <w:bookmarkStart w:id="1" w:name="dnum"/>
            <w:bookmarkEnd w:id="1"/>
            <w:r w:rsidRPr="000266B0">
              <w:rPr>
                <w:b/>
                <w:bCs/>
              </w:rPr>
              <w:t>CACE/</w:t>
            </w:r>
            <w:r w:rsidR="00E2635B">
              <w:rPr>
                <w:b/>
                <w:bCs/>
              </w:rPr>
              <w:t>587</w:t>
            </w:r>
          </w:p>
        </w:tc>
        <w:tc>
          <w:tcPr>
            <w:tcW w:w="7140" w:type="dxa"/>
          </w:tcPr>
          <w:p w:rsidR="00F96264" w:rsidRPr="000266B0" w:rsidRDefault="009C6FE2" w:rsidP="00D80BD3">
            <w:pPr>
              <w:tabs>
                <w:tab w:val="left" w:pos="7513"/>
              </w:tabs>
              <w:jc w:val="right"/>
              <w:rPr>
                <w:bCs/>
              </w:rPr>
            </w:pPr>
            <w:bookmarkStart w:id="2" w:name="ddate"/>
            <w:bookmarkEnd w:id="2"/>
            <w:r>
              <w:t>19 de octubre</w:t>
            </w:r>
            <w:r w:rsidR="009937C1" w:rsidRPr="000266B0">
              <w:t xml:space="preserve"> de 2012</w:t>
            </w:r>
          </w:p>
        </w:tc>
      </w:tr>
    </w:tbl>
    <w:p w:rsidR="00F96264" w:rsidRPr="000266B0" w:rsidRDefault="00A353D3" w:rsidP="00131A53">
      <w:pPr>
        <w:tabs>
          <w:tab w:val="left" w:pos="7513"/>
        </w:tabs>
        <w:spacing w:before="480"/>
        <w:jc w:val="center"/>
        <w:rPr>
          <w:b/>
          <w:bCs/>
        </w:rPr>
      </w:pPr>
      <w:r w:rsidRPr="000266B0">
        <w:rPr>
          <w:b/>
          <w:bCs/>
        </w:rPr>
        <w:t>A las Administraciones de los Estados Miembros de la UIT, a los Miembros del Sec</w:t>
      </w:r>
      <w:r w:rsidR="009937C1" w:rsidRPr="000266B0">
        <w:rPr>
          <w:b/>
          <w:bCs/>
        </w:rPr>
        <w:t>t</w:t>
      </w:r>
      <w:r w:rsidRPr="000266B0">
        <w:rPr>
          <w:b/>
          <w:bCs/>
        </w:rPr>
        <w:t xml:space="preserve">or de </w:t>
      </w:r>
      <w:r w:rsidR="009937C1" w:rsidRPr="000266B0">
        <w:rPr>
          <w:b/>
          <w:bCs/>
        </w:rPr>
        <w:t>R</w:t>
      </w:r>
      <w:r w:rsidRPr="000266B0">
        <w:rPr>
          <w:b/>
          <w:bCs/>
        </w:rPr>
        <w:t xml:space="preserve">adiocomunicaciones, a los Asociados del UIT-R que participan en </w:t>
      </w:r>
      <w:r w:rsidR="009937C1" w:rsidRPr="000266B0">
        <w:rPr>
          <w:b/>
          <w:bCs/>
        </w:rPr>
        <w:t>lo</w:t>
      </w:r>
      <w:r w:rsidR="007D6655">
        <w:rPr>
          <w:b/>
          <w:bCs/>
        </w:rPr>
        <w:t>s trabajos</w:t>
      </w:r>
      <w:r w:rsidR="007D6655">
        <w:rPr>
          <w:b/>
          <w:bCs/>
        </w:rPr>
        <w:br/>
      </w:r>
      <w:r w:rsidRPr="000266B0">
        <w:rPr>
          <w:b/>
          <w:bCs/>
        </w:rPr>
        <w:t xml:space="preserve">de la </w:t>
      </w:r>
      <w:r w:rsidR="009937C1" w:rsidRPr="000266B0">
        <w:rPr>
          <w:b/>
          <w:bCs/>
        </w:rPr>
        <w:t>Comisión</w:t>
      </w:r>
      <w:r w:rsidRPr="000266B0">
        <w:rPr>
          <w:b/>
          <w:bCs/>
        </w:rPr>
        <w:t xml:space="preserve"> de Estudio </w:t>
      </w:r>
      <w:r w:rsidR="00E2635B">
        <w:rPr>
          <w:b/>
          <w:bCs/>
        </w:rPr>
        <w:t>4</w:t>
      </w:r>
      <w:r w:rsidR="007D6655">
        <w:rPr>
          <w:b/>
          <w:bCs/>
        </w:rPr>
        <w:t xml:space="preserve"> de Radiocomunicaciones</w:t>
      </w:r>
      <w:r w:rsidR="007D6655">
        <w:rPr>
          <w:b/>
          <w:bCs/>
        </w:rPr>
        <w:br/>
      </w:r>
      <w:r w:rsidRPr="000266B0">
        <w:rPr>
          <w:b/>
          <w:bCs/>
        </w:rPr>
        <w:t xml:space="preserve">y a los Sectores </w:t>
      </w:r>
      <w:r w:rsidR="009937C1" w:rsidRPr="000266B0">
        <w:rPr>
          <w:b/>
          <w:bCs/>
        </w:rPr>
        <w:t>Académicos</w:t>
      </w:r>
      <w:r w:rsidRPr="000266B0">
        <w:rPr>
          <w:b/>
          <w:bCs/>
        </w:rPr>
        <w:t xml:space="preserve"> de</w:t>
      </w:r>
      <w:r w:rsidR="00131A53">
        <w:rPr>
          <w:b/>
          <w:bCs/>
        </w:rPr>
        <w:t>l</w:t>
      </w:r>
      <w:r w:rsidRPr="000266B0">
        <w:rPr>
          <w:b/>
          <w:bCs/>
        </w:rPr>
        <w:t xml:space="preserve"> </w:t>
      </w:r>
      <w:r w:rsidR="00131A53">
        <w:rPr>
          <w:b/>
          <w:bCs/>
        </w:rPr>
        <w:t>U</w:t>
      </w:r>
      <w:r w:rsidRPr="000266B0">
        <w:rPr>
          <w:b/>
          <w:bCs/>
        </w:rPr>
        <w:t>IT</w:t>
      </w:r>
      <w:r w:rsidR="00131A53">
        <w:rPr>
          <w:b/>
          <w:bCs/>
        </w:rPr>
        <w:t>-R</w:t>
      </w:r>
      <w:bookmarkStart w:id="3" w:name="_GoBack"/>
      <w:bookmarkEnd w:id="3"/>
    </w:p>
    <w:p w:rsidR="005A7EC3" w:rsidRPr="000266B0" w:rsidRDefault="009937C1" w:rsidP="00E2635B">
      <w:pPr>
        <w:tabs>
          <w:tab w:val="clear" w:pos="794"/>
          <w:tab w:val="clear" w:pos="1191"/>
          <w:tab w:val="clear" w:pos="1588"/>
          <w:tab w:val="clear" w:pos="1985"/>
          <w:tab w:val="left" w:pos="709"/>
        </w:tabs>
        <w:spacing w:before="720"/>
        <w:ind w:left="709" w:hanging="709"/>
        <w:rPr>
          <w:b/>
        </w:rPr>
      </w:pPr>
      <w:r w:rsidRPr="000266B0">
        <w:rPr>
          <w:b/>
        </w:rPr>
        <w:t>Asunto</w:t>
      </w:r>
      <w:r w:rsidR="005A7EC3" w:rsidRPr="000266B0">
        <w:rPr>
          <w:b/>
        </w:rPr>
        <w:t xml:space="preserve">: </w:t>
      </w:r>
      <w:r w:rsidR="00F31FC0">
        <w:rPr>
          <w:b/>
        </w:rPr>
        <w:tab/>
      </w:r>
      <w:r w:rsidR="005A7EC3" w:rsidRPr="000266B0">
        <w:rPr>
          <w:b/>
        </w:rPr>
        <w:t>Comisi</w:t>
      </w:r>
      <w:r w:rsidRPr="000266B0">
        <w:rPr>
          <w:b/>
        </w:rPr>
        <w:t>ó</w:t>
      </w:r>
      <w:r w:rsidR="005A7EC3" w:rsidRPr="000266B0">
        <w:rPr>
          <w:b/>
        </w:rPr>
        <w:t xml:space="preserve">n de </w:t>
      </w:r>
      <w:r w:rsidRPr="000266B0">
        <w:rPr>
          <w:b/>
        </w:rPr>
        <w:t>Estudio</w:t>
      </w:r>
      <w:r w:rsidR="005A7EC3" w:rsidRPr="000266B0">
        <w:rPr>
          <w:b/>
        </w:rPr>
        <w:t xml:space="preserve"> </w:t>
      </w:r>
      <w:r w:rsidR="00E2635B">
        <w:rPr>
          <w:b/>
        </w:rPr>
        <w:t>4</w:t>
      </w:r>
      <w:r w:rsidR="005A7EC3" w:rsidRPr="000266B0">
        <w:rPr>
          <w:b/>
        </w:rPr>
        <w:t xml:space="preserve"> de Radiocomunicaciones</w:t>
      </w:r>
      <w:r w:rsidR="00E2635B">
        <w:rPr>
          <w:b/>
        </w:rPr>
        <w:t xml:space="preserve"> (servicios por satélite)</w:t>
      </w:r>
    </w:p>
    <w:p w:rsidR="005A7EC3" w:rsidRPr="000266B0" w:rsidRDefault="00F31FC0" w:rsidP="00E2635B">
      <w:pPr>
        <w:tabs>
          <w:tab w:val="clear" w:pos="794"/>
          <w:tab w:val="clear" w:pos="1588"/>
          <w:tab w:val="left" w:pos="1418"/>
        </w:tabs>
        <w:spacing w:before="240"/>
        <w:ind w:left="1985" w:hanging="1985"/>
        <w:rPr>
          <w:b/>
        </w:rPr>
      </w:pPr>
      <w:r>
        <w:rPr>
          <w:b/>
          <w:bCs/>
        </w:rPr>
        <w:tab/>
      </w:r>
      <w:r>
        <w:rPr>
          <w:b/>
          <w:bCs/>
        </w:rPr>
        <w:tab/>
      </w:r>
      <w:r w:rsidRPr="00F31FC0">
        <w:rPr>
          <w:b/>
          <w:bCs/>
        </w:rPr>
        <w:t>–</w:t>
      </w:r>
      <w:r>
        <w:rPr>
          <w:b/>
          <w:bCs/>
        </w:rPr>
        <w:tab/>
      </w:r>
      <w:r w:rsidR="005A7EC3" w:rsidRPr="000266B0">
        <w:rPr>
          <w:b/>
          <w:bCs/>
        </w:rPr>
        <w:t>Propuesta de a</w:t>
      </w:r>
      <w:r w:rsidR="002605C2">
        <w:rPr>
          <w:b/>
          <w:bCs/>
        </w:rPr>
        <w:t>dopc</w:t>
      </w:r>
      <w:r w:rsidR="005A7EC3" w:rsidRPr="000266B0">
        <w:rPr>
          <w:b/>
          <w:bCs/>
        </w:rPr>
        <w:t xml:space="preserve">ión de </w:t>
      </w:r>
      <w:r w:rsidR="00E2635B">
        <w:rPr>
          <w:b/>
          <w:bCs/>
        </w:rPr>
        <w:t>2</w:t>
      </w:r>
      <w:r w:rsidR="005A7EC3" w:rsidRPr="000266B0">
        <w:rPr>
          <w:b/>
          <w:bCs/>
        </w:rPr>
        <w:t xml:space="preserve"> proyectos de nuevas Recomendaciones UIT-R y </w:t>
      </w:r>
      <w:r w:rsidR="00E2635B">
        <w:rPr>
          <w:b/>
          <w:bCs/>
        </w:rPr>
        <w:t>3</w:t>
      </w:r>
      <w:r w:rsidR="005A7EC3" w:rsidRPr="000266B0">
        <w:rPr>
          <w:b/>
          <w:bCs/>
        </w:rPr>
        <w:t xml:space="preserve"> </w:t>
      </w:r>
      <w:r w:rsidR="005A7EC3" w:rsidRPr="000266B0">
        <w:rPr>
          <w:b/>
        </w:rPr>
        <w:t>proyectos de Recomendaciones UIT-R revisadas</w:t>
      </w:r>
      <w:r w:rsidR="00C15D34">
        <w:rPr>
          <w:b/>
        </w:rPr>
        <w:t xml:space="preserve"> y su aprobación simultánea por correspondencia de conformidad con el § 10.3 de la Resolución UIT</w:t>
      </w:r>
      <w:r w:rsidR="00C15D34">
        <w:rPr>
          <w:b/>
        </w:rPr>
        <w:noBreakHyphen/>
        <w:t>R 1</w:t>
      </w:r>
      <w:r w:rsidR="00C15D34">
        <w:rPr>
          <w:b/>
        </w:rPr>
        <w:noBreakHyphen/>
        <w:t>6 (Procedimiento para la adopción y aprobación simultánea por correspondencia)</w:t>
      </w:r>
    </w:p>
    <w:p w:rsidR="00A353D3" w:rsidRDefault="00A353D3" w:rsidP="00501B73">
      <w:pPr>
        <w:spacing w:before="600"/>
      </w:pPr>
      <w:r w:rsidRPr="000266B0">
        <w:t xml:space="preserve">En la </w:t>
      </w:r>
      <w:r w:rsidR="00953C5B" w:rsidRPr="000266B0">
        <w:t>reunión</w:t>
      </w:r>
      <w:r w:rsidRPr="000266B0">
        <w:t xml:space="preserve"> de la </w:t>
      </w:r>
      <w:r w:rsidR="00953C5B" w:rsidRPr="000266B0">
        <w:t>Comisión</w:t>
      </w:r>
      <w:r w:rsidRPr="000266B0">
        <w:t xml:space="preserve"> de </w:t>
      </w:r>
      <w:r w:rsidR="00953C5B" w:rsidRPr="000266B0">
        <w:t>E</w:t>
      </w:r>
      <w:r w:rsidRPr="000266B0">
        <w:t xml:space="preserve">studio </w:t>
      </w:r>
      <w:r w:rsidR="00E2635B">
        <w:t>4</w:t>
      </w:r>
      <w:r w:rsidRPr="000266B0">
        <w:t xml:space="preserve"> de R</w:t>
      </w:r>
      <w:r w:rsidR="00C15D34">
        <w:t>adiocomunicaciones</w:t>
      </w:r>
      <w:r w:rsidR="00E2635B">
        <w:t xml:space="preserve"> celebrada </w:t>
      </w:r>
      <w:r w:rsidRPr="000266B0">
        <w:t>el</w:t>
      </w:r>
      <w:r w:rsidR="008818DF">
        <w:t xml:space="preserve"> </w:t>
      </w:r>
      <w:r w:rsidR="00E2635B">
        <w:t>28</w:t>
      </w:r>
      <w:r w:rsidR="008818DF">
        <w:t xml:space="preserve"> </w:t>
      </w:r>
      <w:r w:rsidR="00E2635B">
        <w:t>de</w:t>
      </w:r>
      <w:r w:rsidR="008818DF">
        <w:t xml:space="preserve"> </w:t>
      </w:r>
      <w:r w:rsidR="00E2635B">
        <w:t>septiembre </w:t>
      </w:r>
      <w:r w:rsidRPr="000266B0">
        <w:t xml:space="preserve">de 2012, la </w:t>
      </w:r>
      <w:r w:rsidR="00146B1C" w:rsidRPr="000266B0">
        <w:t>C</w:t>
      </w:r>
      <w:r w:rsidR="00953C5B" w:rsidRPr="000266B0">
        <w:t>omisión</w:t>
      </w:r>
      <w:r w:rsidRPr="000266B0">
        <w:t xml:space="preserve"> de Estudio </w:t>
      </w:r>
      <w:r w:rsidR="00C15D34">
        <w:t>decidió aplicar</w:t>
      </w:r>
      <w:r w:rsidR="008818DF">
        <w:t xml:space="preserve"> el procedimiento de adopción y </w:t>
      </w:r>
      <w:r w:rsidR="00C15D34">
        <w:t>aprobación simultáneas por correspondencia (PAAS) (</w:t>
      </w:r>
      <w:r w:rsidR="00810CBC">
        <w:t xml:space="preserve">véase </w:t>
      </w:r>
      <w:r w:rsidR="00C15D34">
        <w:t>§ 10.3 de la Resolución UIT</w:t>
      </w:r>
      <w:r w:rsidR="00C15D34">
        <w:noBreakHyphen/>
        <w:t>R 1</w:t>
      </w:r>
      <w:r w:rsidR="00C15D34">
        <w:noBreakHyphen/>
        <w:t>6)</w:t>
      </w:r>
      <w:r w:rsidR="00E2635B">
        <w:t xml:space="preserve"> a</w:t>
      </w:r>
      <w:r w:rsidR="00501B73">
        <w:t> </w:t>
      </w:r>
      <w:r w:rsidR="00E2635B">
        <w:t>2</w:t>
      </w:r>
      <w:r w:rsidR="00501B73">
        <w:t> </w:t>
      </w:r>
      <w:r w:rsidR="00E2635B">
        <w:t>proyectos de nuevas Recomendaciones UIT-R y 3 proyectos de Recomendaciones UIT-R revisadas</w:t>
      </w:r>
      <w:r w:rsidRPr="000266B0">
        <w:t xml:space="preserve">. Los </w:t>
      </w:r>
      <w:r w:rsidR="00146B1C" w:rsidRPr="000266B0">
        <w:t>títulos</w:t>
      </w:r>
      <w:r w:rsidRPr="000266B0">
        <w:t xml:space="preserve"> y </w:t>
      </w:r>
      <w:r w:rsidR="00146B1C" w:rsidRPr="000266B0">
        <w:t>resúmenes</w:t>
      </w:r>
      <w:r w:rsidRPr="000266B0">
        <w:t xml:space="preserve"> de los proyectos de </w:t>
      </w:r>
      <w:r w:rsidR="00146B1C" w:rsidRPr="000266B0">
        <w:t>R</w:t>
      </w:r>
      <w:r w:rsidRPr="000266B0">
        <w:t xml:space="preserve">ecomendaciones </w:t>
      </w:r>
      <w:r w:rsidR="00C15D34">
        <w:t>aparece</w:t>
      </w:r>
      <w:r w:rsidRPr="000266B0">
        <w:t>n en el Anexo.</w:t>
      </w:r>
    </w:p>
    <w:p w:rsidR="00C15D34" w:rsidRPr="000266B0" w:rsidRDefault="00C15D34" w:rsidP="00E2635B">
      <w:r>
        <w:t xml:space="preserve">El periodo de consideración se extenderá durante 2 meses finalizando el </w:t>
      </w:r>
      <w:r w:rsidR="00E2635B">
        <w:rPr>
          <w:u w:val="single"/>
        </w:rPr>
        <w:t>19 de diciembre de 2012</w:t>
      </w:r>
      <w:r w:rsidR="00EB04D4" w:rsidRPr="00EB04D4">
        <w:t>. Si durante este periodo no se reciben objeciones de los Estados Miembros, se considerará que los proyectos de Recomendaciones serán adoptados por la Comisión de Estudio </w:t>
      </w:r>
      <w:r w:rsidR="00E2635B">
        <w:t>4</w:t>
      </w:r>
      <w:r w:rsidR="00EB04D4" w:rsidRPr="00EB04D4">
        <w:t>. Además, como se ha seguido el PAAS, los proyectos de Recomendaciones también se considerarán aprobados.</w:t>
      </w:r>
    </w:p>
    <w:p w:rsidR="00A353D3" w:rsidRPr="000266B0" w:rsidRDefault="00A353D3" w:rsidP="002605C2">
      <w:r w:rsidRPr="000266B0">
        <w:t>Todo Estado Miembro que objete la a</w:t>
      </w:r>
      <w:r w:rsidR="002605C2">
        <w:t>dop</w:t>
      </w:r>
      <w:r w:rsidRPr="000266B0">
        <w:t xml:space="preserve">ción de un proyecto de Recomendación debe informar al Director y al Presidente de la </w:t>
      </w:r>
      <w:r w:rsidR="00146B1C" w:rsidRPr="000266B0">
        <w:t>Comisión</w:t>
      </w:r>
      <w:r w:rsidRPr="000266B0">
        <w:t xml:space="preserve"> de </w:t>
      </w:r>
      <w:r w:rsidR="00146B1C" w:rsidRPr="000266B0">
        <w:t>E</w:t>
      </w:r>
      <w:r w:rsidRPr="000266B0">
        <w:t>studio de los motivos de dicha objeción.</w:t>
      </w:r>
    </w:p>
    <w:p w:rsidR="00A353D3" w:rsidRDefault="00A353D3" w:rsidP="00501B73">
      <w:r w:rsidRPr="000266B0">
        <w:t>Tras la fecha l</w:t>
      </w:r>
      <w:r w:rsidR="00146B1C" w:rsidRPr="000266B0">
        <w:t>í</w:t>
      </w:r>
      <w:r w:rsidRPr="000266B0">
        <w:t>mite mencionada, los resultados de</w:t>
      </w:r>
      <w:r w:rsidR="00EB04D4">
        <w:t>l PAAS</w:t>
      </w:r>
      <w:r w:rsidRPr="000266B0">
        <w:t xml:space="preserve"> se comunicar</w:t>
      </w:r>
      <w:r w:rsidR="00146B1C" w:rsidRPr="000266B0">
        <w:t>á</w:t>
      </w:r>
      <w:r w:rsidRPr="000266B0">
        <w:t xml:space="preserve">n mediante </w:t>
      </w:r>
      <w:r w:rsidR="00146B1C" w:rsidRPr="000266B0">
        <w:t>Circular</w:t>
      </w:r>
      <w:r w:rsidRPr="000266B0">
        <w:t xml:space="preserve"> Administrativa y se publicar</w:t>
      </w:r>
      <w:r w:rsidR="00EB4112">
        <w:t>á</w:t>
      </w:r>
      <w:r w:rsidRPr="000266B0">
        <w:t xml:space="preserve">n </w:t>
      </w:r>
      <w:r w:rsidR="00EB04D4">
        <w:t xml:space="preserve">las Recomendaciones aprobadas </w:t>
      </w:r>
      <w:r w:rsidRPr="000266B0">
        <w:t>tan pronto como sea posible (</w:t>
      </w:r>
      <w:r w:rsidR="00146B1C" w:rsidRPr="000266B0">
        <w:t>véase</w:t>
      </w:r>
      <w:r w:rsidR="00501B73">
        <w:t> </w:t>
      </w:r>
      <w:hyperlink r:id="rId8" w:history="1">
        <w:r w:rsidRPr="000266B0">
          <w:rPr>
            <w:color w:val="0000FF"/>
            <w:u w:val="single"/>
          </w:rPr>
          <w:t>http://www.itu.int/pub/R-REC</w:t>
        </w:r>
      </w:hyperlink>
      <w:r w:rsidRPr="000266B0">
        <w:t>).</w:t>
      </w:r>
    </w:p>
    <w:p w:rsidR="00170325" w:rsidRPr="000266B0" w:rsidRDefault="001A0880" w:rsidP="00501B73">
      <w:pPr>
        <w:tabs>
          <w:tab w:val="clear" w:pos="794"/>
          <w:tab w:val="clear" w:pos="1191"/>
          <w:tab w:val="clear" w:pos="1588"/>
          <w:tab w:val="clear" w:pos="1985"/>
        </w:tabs>
        <w:overflowPunct/>
        <w:autoSpaceDE/>
        <w:autoSpaceDN/>
        <w:adjustRightInd/>
        <w:spacing w:before="0"/>
        <w:textAlignment w:val="auto"/>
      </w:pPr>
      <w:r w:rsidRPr="000266B0">
        <w:br w:type="page"/>
      </w:r>
      <w:r w:rsidR="00170325" w:rsidRPr="000266B0">
        <w:lastRenderedPageBreak/>
        <w:t xml:space="preserve">Se solicita a toda organización miembro de la UIT que tenga conocimiento de una patente, de su propiedad o de propiedad ajena, que cubra total o parcialmente elementos del proyecto o proyectos de Recomendaciones mencionados en esta carta, que comunique dicha información a la Secretaría tan pronto como sea posible. </w:t>
      </w:r>
      <w:r w:rsidR="002605C2" w:rsidRPr="000266B0">
        <w:t xml:space="preserve">La Política común en materia de patentes </w:t>
      </w:r>
      <w:r w:rsidR="002605C2">
        <w:t xml:space="preserve">para </w:t>
      </w:r>
      <w:r w:rsidR="002605C2" w:rsidRPr="000266B0">
        <w:t xml:space="preserve">UIT-T/UIT-R/ISO/CEI puede consultarse en </w:t>
      </w:r>
      <w:hyperlink r:id="rId9" w:history="1">
        <w:r w:rsidR="002605C2" w:rsidRPr="000266B0">
          <w:rPr>
            <w:color w:val="0000FF" w:themeColor="hyperlink"/>
            <w:szCs w:val="24"/>
            <w:u w:val="single"/>
          </w:rPr>
          <w:t>http://www.itu.int/ITU</w:t>
        </w:r>
        <w:r w:rsidR="002605C2" w:rsidRPr="000266B0">
          <w:rPr>
            <w:color w:val="0000FF" w:themeColor="hyperlink"/>
            <w:szCs w:val="24"/>
            <w:u w:val="single"/>
          </w:rPr>
          <w:noBreakHyphen/>
          <w:t>T/dbase/patent/patent-policy.html</w:t>
        </w:r>
      </w:hyperlink>
      <w:r w:rsidR="00170325" w:rsidRPr="000266B0">
        <w:t>.</w:t>
      </w:r>
    </w:p>
    <w:p w:rsidR="001A0880" w:rsidRPr="000266B0" w:rsidRDefault="001A0880" w:rsidP="007D6655">
      <w:pPr>
        <w:tabs>
          <w:tab w:val="clear" w:pos="794"/>
          <w:tab w:val="clear" w:pos="1191"/>
          <w:tab w:val="clear" w:pos="1588"/>
          <w:tab w:val="clear" w:pos="1985"/>
          <w:tab w:val="center" w:pos="7088"/>
        </w:tabs>
        <w:spacing w:before="1418"/>
      </w:pPr>
      <w:r w:rsidRPr="000266B0">
        <w:tab/>
        <w:t xml:space="preserve">François </w:t>
      </w:r>
      <w:proofErr w:type="spellStart"/>
      <w:r w:rsidRPr="000266B0">
        <w:t>Rancy</w:t>
      </w:r>
      <w:proofErr w:type="spellEnd"/>
      <w:r w:rsidRPr="000266B0">
        <w:br/>
      </w:r>
      <w:r w:rsidRPr="000266B0">
        <w:tab/>
        <w:t>Director de la Oficina de Radiocomunicaciones</w:t>
      </w:r>
    </w:p>
    <w:p w:rsidR="001A0880" w:rsidRPr="000266B0" w:rsidRDefault="001A0880" w:rsidP="001A0880"/>
    <w:p w:rsidR="001A0880" w:rsidRPr="000266B0" w:rsidRDefault="001A0880" w:rsidP="001A0880"/>
    <w:p w:rsidR="001A0880" w:rsidRPr="000266B0" w:rsidRDefault="001A0880" w:rsidP="001A0880"/>
    <w:p w:rsidR="001A0880" w:rsidRPr="000266B0" w:rsidRDefault="001A0880" w:rsidP="001A0880"/>
    <w:p w:rsidR="001A0880" w:rsidRPr="000266B0" w:rsidRDefault="001A0880" w:rsidP="001A0880"/>
    <w:p w:rsidR="00A353D3" w:rsidRPr="000266B0" w:rsidRDefault="00A353D3" w:rsidP="00170325"/>
    <w:p w:rsidR="005A7EC3" w:rsidRPr="000266B0" w:rsidRDefault="00095D85" w:rsidP="00AF78C4">
      <w:r>
        <w:rPr>
          <w:b/>
          <w:bCs/>
        </w:rPr>
        <w:t>Anexo</w:t>
      </w:r>
      <w:r w:rsidR="005A7EC3" w:rsidRPr="000266B0">
        <w:rPr>
          <w:b/>
          <w:bCs/>
        </w:rPr>
        <w:t>:</w:t>
      </w:r>
      <w:r w:rsidR="001A073F">
        <w:tab/>
      </w:r>
      <w:r w:rsidR="001A073F">
        <w:tab/>
      </w:r>
      <w:r w:rsidR="001A073F">
        <w:tab/>
      </w:r>
      <w:r w:rsidR="00AF78C4" w:rsidRPr="000266B0">
        <w:t>Títulos</w:t>
      </w:r>
      <w:r w:rsidR="005A7EC3" w:rsidRPr="000266B0">
        <w:t xml:space="preserve"> y </w:t>
      </w:r>
      <w:r w:rsidR="00AF78C4" w:rsidRPr="000266B0">
        <w:t>resúmenes</w:t>
      </w:r>
      <w:r w:rsidR="005A7EC3" w:rsidRPr="000266B0">
        <w:t xml:space="preserve"> de los proyectos de </w:t>
      </w:r>
      <w:r w:rsidR="00AF78C4" w:rsidRPr="000266B0">
        <w:t>R</w:t>
      </w:r>
      <w:r w:rsidR="005A7EC3" w:rsidRPr="000266B0">
        <w:t>ecomendaciones</w:t>
      </w:r>
    </w:p>
    <w:p w:rsidR="00EB04D4" w:rsidRPr="000266B0" w:rsidRDefault="00EB04D4" w:rsidP="00170325"/>
    <w:p w:rsidR="00095D85" w:rsidRPr="000266B0" w:rsidRDefault="005A7EC3" w:rsidP="009E53EA">
      <w:r w:rsidRPr="000266B0">
        <w:rPr>
          <w:b/>
          <w:bCs/>
        </w:rPr>
        <w:t>Documento</w:t>
      </w:r>
      <w:r w:rsidR="00095D85">
        <w:rPr>
          <w:b/>
          <w:bCs/>
        </w:rPr>
        <w:t>s</w:t>
      </w:r>
      <w:r w:rsidRPr="000266B0">
        <w:rPr>
          <w:b/>
          <w:bCs/>
        </w:rPr>
        <w:t>:</w:t>
      </w:r>
      <w:r w:rsidR="009E53EA">
        <w:tab/>
      </w:r>
      <w:r w:rsidRPr="000266B0">
        <w:t xml:space="preserve">Documento </w:t>
      </w:r>
      <w:r w:rsidR="00095D85">
        <w:t>4</w:t>
      </w:r>
      <w:r w:rsidRPr="000266B0">
        <w:t>/</w:t>
      </w:r>
      <w:r w:rsidR="00095D85">
        <w:t>11</w:t>
      </w:r>
      <w:r w:rsidR="00EB04D4">
        <w:t>(Rev.1)</w:t>
      </w:r>
      <w:r w:rsidR="00095D85">
        <w:t>, 4/12(Rev.1), 4/17(Rev.1), 4/18(Rev.1), 4/20(Rev.1)</w:t>
      </w:r>
      <w:r w:rsidR="009E53EA">
        <w:br/>
      </w:r>
      <w:r w:rsidR="009E53EA">
        <w:tab/>
      </w:r>
      <w:r w:rsidR="009E53EA">
        <w:tab/>
      </w:r>
      <w:r w:rsidR="009E53EA">
        <w:tab/>
      </w:r>
      <w:r w:rsidR="00095D85">
        <w:t>Estos documentos se encuentran disponibles en formato electrónico en:</w:t>
      </w:r>
      <w:r w:rsidR="007D6655">
        <w:br/>
      </w:r>
      <w:r w:rsidR="009E53EA">
        <w:tab/>
      </w:r>
      <w:r w:rsidR="009E53EA">
        <w:tab/>
      </w:r>
      <w:r w:rsidR="009E53EA">
        <w:tab/>
      </w:r>
      <w:hyperlink r:id="rId10" w:history="1">
        <w:r w:rsidR="00095D85" w:rsidRPr="00121A82">
          <w:rPr>
            <w:rStyle w:val="Hyperlink"/>
          </w:rPr>
          <w:t>http://www.itu.int/md/R12-SG04-C</w:t>
        </w:r>
      </w:hyperlink>
    </w:p>
    <w:p w:rsidR="00810CBC" w:rsidRDefault="00810CBC" w:rsidP="00810CBC"/>
    <w:p w:rsidR="00810CBC" w:rsidRDefault="00810CBC" w:rsidP="00810CBC"/>
    <w:p w:rsidR="00810CBC" w:rsidRDefault="00810CBC" w:rsidP="00810CBC"/>
    <w:p w:rsidR="009F4598" w:rsidRPr="000266B0" w:rsidRDefault="009F4598" w:rsidP="00501B73">
      <w:pPr>
        <w:tabs>
          <w:tab w:val="left" w:pos="284"/>
          <w:tab w:val="left" w:pos="568"/>
        </w:tabs>
        <w:spacing w:before="2520" w:after="60"/>
        <w:rPr>
          <w:b/>
          <w:bCs/>
          <w:sz w:val="18"/>
          <w:szCs w:val="18"/>
        </w:rPr>
      </w:pPr>
      <w:r w:rsidRPr="000266B0">
        <w:rPr>
          <w:b/>
          <w:bCs/>
          <w:sz w:val="18"/>
          <w:szCs w:val="18"/>
        </w:rPr>
        <w:t>Distribu</w:t>
      </w:r>
      <w:r w:rsidR="00527774" w:rsidRPr="000266B0">
        <w:rPr>
          <w:b/>
          <w:bCs/>
          <w:sz w:val="18"/>
          <w:szCs w:val="18"/>
        </w:rPr>
        <w:t>c</w:t>
      </w:r>
      <w:r w:rsidRPr="000266B0">
        <w:rPr>
          <w:b/>
          <w:bCs/>
          <w:sz w:val="18"/>
          <w:szCs w:val="18"/>
        </w:rPr>
        <w:t>i</w:t>
      </w:r>
      <w:r w:rsidR="00527774" w:rsidRPr="000266B0">
        <w:rPr>
          <w:b/>
          <w:bCs/>
          <w:sz w:val="18"/>
          <w:szCs w:val="18"/>
        </w:rPr>
        <w:t>ó</w:t>
      </w:r>
      <w:r w:rsidRPr="000266B0">
        <w:rPr>
          <w:b/>
          <w:bCs/>
          <w:sz w:val="18"/>
          <w:szCs w:val="18"/>
        </w:rPr>
        <w:t>n:</w:t>
      </w:r>
    </w:p>
    <w:p w:rsidR="009F4598" w:rsidRPr="000266B0" w:rsidRDefault="009F4598" w:rsidP="00095D85">
      <w:pPr>
        <w:tabs>
          <w:tab w:val="left" w:pos="567"/>
          <w:tab w:val="left" w:pos="6237"/>
        </w:tabs>
        <w:ind w:left="567" w:hanging="567"/>
        <w:rPr>
          <w:sz w:val="18"/>
          <w:szCs w:val="18"/>
        </w:rPr>
      </w:pPr>
      <w:r w:rsidRPr="000266B0">
        <w:rPr>
          <w:sz w:val="18"/>
          <w:szCs w:val="18"/>
        </w:rPr>
        <w:t>–</w:t>
      </w:r>
      <w:r w:rsidRPr="000266B0">
        <w:rPr>
          <w:sz w:val="18"/>
          <w:szCs w:val="18"/>
        </w:rPr>
        <w:tab/>
        <w:t xml:space="preserve">Administraciones de los Estados Miembros del Sector de Radiocomunicaciones que participan en los trabajos de la Comisión de Estudio </w:t>
      </w:r>
      <w:r w:rsidR="00095D85">
        <w:rPr>
          <w:sz w:val="18"/>
          <w:szCs w:val="18"/>
        </w:rPr>
        <w:t>4</w:t>
      </w:r>
      <w:r w:rsidRPr="000266B0">
        <w:rPr>
          <w:sz w:val="18"/>
          <w:szCs w:val="18"/>
        </w:rPr>
        <w:t xml:space="preserve"> de Radiocomunicaciones </w:t>
      </w:r>
    </w:p>
    <w:p w:rsidR="009F4598" w:rsidRPr="000266B0" w:rsidRDefault="009F4598" w:rsidP="00095D85">
      <w:pPr>
        <w:tabs>
          <w:tab w:val="left" w:pos="567"/>
          <w:tab w:val="left" w:pos="6237"/>
        </w:tabs>
        <w:spacing w:before="0"/>
        <w:rPr>
          <w:sz w:val="18"/>
          <w:szCs w:val="18"/>
        </w:rPr>
      </w:pPr>
      <w:r w:rsidRPr="000266B0">
        <w:rPr>
          <w:sz w:val="18"/>
          <w:szCs w:val="18"/>
        </w:rPr>
        <w:t>–</w:t>
      </w:r>
      <w:r w:rsidRPr="000266B0">
        <w:rPr>
          <w:sz w:val="18"/>
          <w:szCs w:val="18"/>
        </w:rPr>
        <w:tab/>
      </w:r>
      <w:r w:rsidR="00527774" w:rsidRPr="000266B0">
        <w:rPr>
          <w:sz w:val="18"/>
          <w:szCs w:val="18"/>
        </w:rPr>
        <w:t>Asociados del U</w:t>
      </w:r>
      <w:r w:rsidRPr="000266B0">
        <w:rPr>
          <w:sz w:val="18"/>
          <w:szCs w:val="18"/>
        </w:rPr>
        <w:t xml:space="preserve">IT-R </w:t>
      </w:r>
      <w:r w:rsidR="00527774" w:rsidRPr="000266B0">
        <w:rPr>
          <w:sz w:val="18"/>
          <w:szCs w:val="18"/>
        </w:rPr>
        <w:t xml:space="preserve">que participan en los trabajos de la Comisión de Estudio </w:t>
      </w:r>
      <w:r w:rsidR="00095D85">
        <w:rPr>
          <w:sz w:val="18"/>
          <w:szCs w:val="18"/>
        </w:rPr>
        <w:t>4</w:t>
      </w:r>
      <w:r w:rsidR="00527774" w:rsidRPr="000266B0">
        <w:rPr>
          <w:sz w:val="18"/>
          <w:szCs w:val="18"/>
        </w:rPr>
        <w:t xml:space="preserve"> de Radiocomunicaciones </w:t>
      </w:r>
    </w:p>
    <w:p w:rsidR="009F4598" w:rsidRPr="000266B0" w:rsidRDefault="009F4598" w:rsidP="00527774">
      <w:pPr>
        <w:tabs>
          <w:tab w:val="left" w:pos="567"/>
          <w:tab w:val="left" w:pos="6237"/>
        </w:tabs>
        <w:spacing w:before="0"/>
        <w:rPr>
          <w:sz w:val="18"/>
          <w:szCs w:val="18"/>
        </w:rPr>
      </w:pPr>
      <w:r w:rsidRPr="000266B0">
        <w:rPr>
          <w:sz w:val="18"/>
          <w:szCs w:val="18"/>
        </w:rPr>
        <w:t>–</w:t>
      </w:r>
      <w:r w:rsidRPr="000266B0">
        <w:rPr>
          <w:sz w:val="18"/>
          <w:szCs w:val="18"/>
        </w:rPr>
        <w:tab/>
      </w:r>
      <w:r w:rsidR="00527774" w:rsidRPr="000266B0">
        <w:rPr>
          <w:sz w:val="18"/>
          <w:szCs w:val="18"/>
        </w:rPr>
        <w:t>Sectores académicos del U</w:t>
      </w:r>
      <w:r w:rsidRPr="000266B0">
        <w:rPr>
          <w:sz w:val="18"/>
          <w:szCs w:val="18"/>
        </w:rPr>
        <w:t xml:space="preserve">IT-R </w:t>
      </w:r>
    </w:p>
    <w:p w:rsidR="009F4598" w:rsidRPr="000266B0" w:rsidRDefault="009F4598" w:rsidP="008477F8">
      <w:pPr>
        <w:tabs>
          <w:tab w:val="left" w:pos="567"/>
          <w:tab w:val="left" w:pos="6237"/>
        </w:tabs>
        <w:spacing w:before="0"/>
        <w:ind w:left="567" w:hanging="567"/>
        <w:rPr>
          <w:sz w:val="18"/>
          <w:szCs w:val="18"/>
        </w:rPr>
      </w:pPr>
      <w:r w:rsidRPr="000266B0">
        <w:rPr>
          <w:sz w:val="18"/>
          <w:szCs w:val="18"/>
        </w:rPr>
        <w:t>–</w:t>
      </w:r>
      <w:r w:rsidRPr="000266B0">
        <w:rPr>
          <w:sz w:val="18"/>
          <w:szCs w:val="18"/>
        </w:rPr>
        <w:tab/>
      </w:r>
      <w:r w:rsidR="00527774" w:rsidRPr="000266B0">
        <w:rPr>
          <w:sz w:val="18"/>
          <w:szCs w:val="18"/>
        </w:rPr>
        <w:t>Presidente</w:t>
      </w:r>
      <w:r w:rsidR="002605C2">
        <w:rPr>
          <w:sz w:val="18"/>
          <w:szCs w:val="18"/>
        </w:rPr>
        <w:t>s</w:t>
      </w:r>
      <w:r w:rsidR="00527774" w:rsidRPr="000266B0">
        <w:rPr>
          <w:sz w:val="18"/>
          <w:szCs w:val="18"/>
        </w:rPr>
        <w:t xml:space="preserve"> y Vicepresidentes de las Comisiones de Estudio de Radiocomunicaciones y Comisión Especial para </w:t>
      </w:r>
      <w:r w:rsidR="008477F8" w:rsidRPr="000266B0">
        <w:rPr>
          <w:sz w:val="18"/>
          <w:szCs w:val="18"/>
        </w:rPr>
        <w:t>A</w:t>
      </w:r>
      <w:r w:rsidR="00527774" w:rsidRPr="000266B0">
        <w:rPr>
          <w:sz w:val="18"/>
          <w:szCs w:val="18"/>
        </w:rPr>
        <w:t xml:space="preserve">suntos </w:t>
      </w:r>
      <w:r w:rsidR="002605C2" w:rsidRPr="000266B0">
        <w:rPr>
          <w:sz w:val="18"/>
          <w:szCs w:val="18"/>
        </w:rPr>
        <w:t>R</w:t>
      </w:r>
      <w:r w:rsidR="00527774" w:rsidRPr="000266B0">
        <w:rPr>
          <w:sz w:val="18"/>
          <w:szCs w:val="18"/>
        </w:rPr>
        <w:t xml:space="preserve">eglamentarios </w:t>
      </w:r>
      <w:r w:rsidR="002605C2">
        <w:rPr>
          <w:sz w:val="18"/>
          <w:szCs w:val="18"/>
        </w:rPr>
        <w:t xml:space="preserve">y </w:t>
      </w:r>
      <w:r w:rsidR="00527774" w:rsidRPr="000266B0">
        <w:rPr>
          <w:sz w:val="18"/>
          <w:szCs w:val="18"/>
        </w:rPr>
        <w:t xml:space="preserve">de </w:t>
      </w:r>
      <w:r w:rsidR="008477F8">
        <w:rPr>
          <w:sz w:val="18"/>
          <w:szCs w:val="18"/>
        </w:rPr>
        <w:t>P</w:t>
      </w:r>
      <w:r w:rsidR="00527774" w:rsidRPr="000266B0">
        <w:rPr>
          <w:sz w:val="18"/>
          <w:szCs w:val="18"/>
        </w:rPr>
        <w:t xml:space="preserve">rocedimiento </w:t>
      </w:r>
    </w:p>
    <w:p w:rsidR="009F4598" w:rsidRPr="000266B0" w:rsidRDefault="009F4598" w:rsidP="00527774">
      <w:pPr>
        <w:tabs>
          <w:tab w:val="left" w:pos="567"/>
          <w:tab w:val="left" w:pos="6237"/>
        </w:tabs>
        <w:spacing w:before="0"/>
        <w:rPr>
          <w:sz w:val="18"/>
          <w:szCs w:val="18"/>
        </w:rPr>
      </w:pPr>
      <w:r w:rsidRPr="000266B0">
        <w:rPr>
          <w:sz w:val="18"/>
          <w:szCs w:val="18"/>
        </w:rPr>
        <w:t>–</w:t>
      </w:r>
      <w:r w:rsidRPr="000266B0">
        <w:rPr>
          <w:sz w:val="18"/>
          <w:szCs w:val="18"/>
        </w:rPr>
        <w:tab/>
      </w:r>
      <w:r w:rsidR="00527774" w:rsidRPr="000266B0">
        <w:rPr>
          <w:sz w:val="18"/>
          <w:szCs w:val="18"/>
        </w:rPr>
        <w:t xml:space="preserve">Presidente y Vicepresidentes de la Reunión Preparatoria de la Conferencia </w:t>
      </w:r>
    </w:p>
    <w:p w:rsidR="009F4598" w:rsidRPr="000266B0" w:rsidRDefault="009F4598" w:rsidP="00527774">
      <w:pPr>
        <w:tabs>
          <w:tab w:val="left" w:pos="567"/>
          <w:tab w:val="left" w:pos="6237"/>
        </w:tabs>
        <w:spacing w:before="0"/>
        <w:rPr>
          <w:sz w:val="18"/>
          <w:szCs w:val="18"/>
        </w:rPr>
      </w:pPr>
      <w:r w:rsidRPr="000266B0">
        <w:rPr>
          <w:sz w:val="18"/>
          <w:szCs w:val="18"/>
        </w:rPr>
        <w:t>–</w:t>
      </w:r>
      <w:r w:rsidRPr="000266B0">
        <w:rPr>
          <w:sz w:val="18"/>
          <w:szCs w:val="18"/>
        </w:rPr>
        <w:tab/>
      </w:r>
      <w:r w:rsidR="00527774" w:rsidRPr="000266B0">
        <w:rPr>
          <w:sz w:val="18"/>
          <w:szCs w:val="18"/>
        </w:rPr>
        <w:t xml:space="preserve">Miembros de la Junta del Reglamento de Radiocomunicaciones </w:t>
      </w:r>
    </w:p>
    <w:p w:rsidR="009F4598" w:rsidRPr="000266B0" w:rsidRDefault="009F4598" w:rsidP="00527774">
      <w:pPr>
        <w:tabs>
          <w:tab w:val="left" w:pos="567"/>
          <w:tab w:val="left" w:pos="6237"/>
        </w:tabs>
        <w:overflowPunct/>
        <w:autoSpaceDE/>
        <w:autoSpaceDN/>
        <w:adjustRightInd/>
        <w:spacing w:before="0"/>
        <w:ind w:left="567" w:hanging="567"/>
        <w:textAlignment w:val="auto"/>
        <w:rPr>
          <w:sz w:val="18"/>
          <w:szCs w:val="18"/>
        </w:rPr>
      </w:pPr>
      <w:r w:rsidRPr="000266B0">
        <w:rPr>
          <w:sz w:val="18"/>
          <w:szCs w:val="18"/>
        </w:rPr>
        <w:t>–</w:t>
      </w:r>
      <w:r w:rsidRPr="000266B0">
        <w:rPr>
          <w:sz w:val="18"/>
          <w:szCs w:val="18"/>
        </w:rPr>
        <w:tab/>
      </w:r>
      <w:r w:rsidR="00527774" w:rsidRPr="000266B0">
        <w:rPr>
          <w:sz w:val="18"/>
          <w:szCs w:val="18"/>
        </w:rPr>
        <w:t>Secretario General de la U</w:t>
      </w:r>
      <w:r w:rsidRPr="000266B0">
        <w:rPr>
          <w:sz w:val="18"/>
          <w:szCs w:val="18"/>
        </w:rPr>
        <w:t xml:space="preserve">IT, Director </w:t>
      </w:r>
      <w:r w:rsidR="00527774" w:rsidRPr="000266B0">
        <w:rPr>
          <w:sz w:val="18"/>
          <w:szCs w:val="18"/>
        </w:rPr>
        <w:t>de la Oficina de Normalización de las Telecomunicaciones, Director de la Oficina de Desarroll</w:t>
      </w:r>
      <w:r w:rsidRPr="000266B0">
        <w:rPr>
          <w:sz w:val="18"/>
          <w:szCs w:val="18"/>
        </w:rPr>
        <w:t>o</w:t>
      </w:r>
      <w:r w:rsidR="00527774" w:rsidRPr="000266B0">
        <w:rPr>
          <w:sz w:val="18"/>
          <w:szCs w:val="18"/>
        </w:rPr>
        <w:t xml:space="preserve"> de Telecomunicaciones </w:t>
      </w:r>
    </w:p>
    <w:p w:rsidR="005A7EC3" w:rsidRDefault="00527774" w:rsidP="00501B73">
      <w:pPr>
        <w:pStyle w:val="AnnexNotitle"/>
      </w:pPr>
      <w:r w:rsidRPr="000266B0">
        <w:lastRenderedPageBreak/>
        <w:t>Anexo</w:t>
      </w:r>
      <w:r w:rsidR="00501B73">
        <w:br/>
      </w:r>
      <w:r w:rsidR="00501B73">
        <w:br/>
      </w:r>
      <w:r w:rsidR="00B55BB2" w:rsidRPr="000266B0">
        <w:t>Títulos</w:t>
      </w:r>
      <w:r w:rsidR="005A7EC3" w:rsidRPr="000266B0">
        <w:t xml:space="preserve"> y </w:t>
      </w:r>
      <w:r w:rsidR="00A9322B" w:rsidRPr="000266B0">
        <w:t>resúm</w:t>
      </w:r>
      <w:r w:rsidR="00A9322B">
        <w:t>e</w:t>
      </w:r>
      <w:r w:rsidR="00A9322B" w:rsidRPr="000266B0">
        <w:t>n</w:t>
      </w:r>
      <w:r w:rsidR="00A9322B">
        <w:t>es</w:t>
      </w:r>
      <w:r w:rsidR="005A7EC3" w:rsidRPr="000266B0">
        <w:t xml:space="preserve"> de los proyectos de </w:t>
      </w:r>
      <w:r w:rsidR="00B55BB2" w:rsidRPr="000266B0">
        <w:t>R</w:t>
      </w:r>
      <w:r w:rsidR="005A7EC3" w:rsidRPr="000266B0">
        <w:t>ecomendaciones</w:t>
      </w:r>
    </w:p>
    <w:p w:rsidR="00095D85" w:rsidRPr="00095D85" w:rsidRDefault="00095D85" w:rsidP="00501B73">
      <w:pPr>
        <w:tabs>
          <w:tab w:val="right" w:pos="9639"/>
        </w:tabs>
        <w:spacing w:before="480"/>
      </w:pPr>
      <w:r w:rsidRPr="00095D85">
        <w:rPr>
          <w:u w:val="single"/>
        </w:rPr>
        <w:t>Proy</w:t>
      </w:r>
      <w:r>
        <w:rPr>
          <w:u w:val="single"/>
        </w:rPr>
        <w:t>ecto de nueva Recomendación UIT</w:t>
      </w:r>
      <w:r w:rsidRPr="00095D85">
        <w:rPr>
          <w:u w:val="single"/>
        </w:rPr>
        <w:t>-R M.[PULSE_EVAL]</w:t>
      </w:r>
      <w:r w:rsidRPr="00095D85">
        <w:tab/>
        <w:t>Doc. 4/11(Rev.1)</w:t>
      </w:r>
    </w:p>
    <w:p w:rsidR="00095D85" w:rsidRDefault="00D62812" w:rsidP="00021F27">
      <w:pPr>
        <w:pStyle w:val="Rectitle"/>
      </w:pPr>
      <w:r w:rsidRPr="00D62812">
        <w:t>Modelo de evaluación de la interferencia impulsiva causada</w:t>
      </w:r>
      <w:r w:rsidR="00021F27">
        <w:t xml:space="preserve"> </w:t>
      </w:r>
      <w:r w:rsidRPr="00D62812">
        <w:t>por fuentes radioeléctricas pertinentes distintas de las del</w:t>
      </w:r>
      <w:r w:rsidR="00021F27">
        <w:t xml:space="preserve"> </w:t>
      </w:r>
      <w:r w:rsidRPr="00D62812">
        <w:t xml:space="preserve">servicio de </w:t>
      </w:r>
      <w:r w:rsidR="00021F27">
        <w:t>radionavegación</w:t>
      </w:r>
      <w:r w:rsidR="00021F27">
        <w:br/>
      </w:r>
      <w:r w:rsidRPr="00D62812">
        <w:t>por satélite a sistemas y redes</w:t>
      </w:r>
      <w:r w:rsidR="00021F27">
        <w:t xml:space="preserve"> del servicio de radionavegación</w:t>
      </w:r>
      <w:r w:rsidR="00021F27">
        <w:br/>
      </w:r>
      <w:r w:rsidRPr="00D62812">
        <w:t>por satélite que funcionan en</w:t>
      </w:r>
      <w:r w:rsidR="00021F27">
        <w:t xml:space="preserve"> las bandas de frecuencias</w:t>
      </w:r>
      <w:r w:rsidR="00021F27">
        <w:br/>
      </w:r>
      <w:r w:rsidR="004954B3">
        <w:t>1 164-1 215 MHz, 1 215-</w:t>
      </w:r>
      <w:r w:rsidRPr="00D62812">
        <w:t>1 300 MHz</w:t>
      </w:r>
      <w:r w:rsidR="00A4400C">
        <w:br/>
      </w:r>
      <w:r w:rsidRPr="00D62812">
        <w:t>y 1 559-1 610 MHz</w:t>
      </w:r>
    </w:p>
    <w:p w:rsidR="00D62812" w:rsidRDefault="00D62812" w:rsidP="00810CBC">
      <w:pPr>
        <w:spacing w:before="240"/>
      </w:pPr>
      <w:r>
        <w:t>Esta Recomendación proporciona un método para utilizarlo en la evaluación inicial del potencial que tiene ciertas fuentes radioeléctricas distintas al servicio de radionavegación por satélite (SRNS) de causar interferencia impulsiva a redes y sistemas</w:t>
      </w:r>
      <w:r w:rsidR="00810CBC">
        <w:t xml:space="preserve"> del servicio</w:t>
      </w:r>
      <w:r>
        <w:t xml:space="preserve"> de radionavegación por satélite que funcionan en las bandas de frecuencias</w:t>
      </w:r>
      <w:r w:rsidR="00810CBC">
        <w:t xml:space="preserve"> 1 164-1 215 MHz, 1 215-1 300 MHz, y 1 559-1 610 MHz</w:t>
      </w:r>
      <w:r>
        <w:t>.</w:t>
      </w:r>
      <w:r w:rsidR="00810CBC">
        <w:t xml:space="preserve"> </w:t>
      </w:r>
      <w:r>
        <w:t>Las componentes del método de evaluación son un conjunto de ecuaciones y un cuadro de parámetros recomendados y relaciones de degradación admisibles para cada banda de frecuencia y tipo de receptor del SRNS. Dados los parámetros del método recomendado, las ecuaciones cuantifican la cantidad de degradación adicional más allá de la condición de interferencia de radiofrecuencia (RFI) básica causada por la introducción de</w:t>
      </w:r>
      <w:r w:rsidR="00A4400C">
        <w:t xml:space="preserve"> una</w:t>
      </w:r>
      <w:r>
        <w:t xml:space="preserve"> nueva fuente o grupo de fuentes de RFI impulsiva. En un anexo adicional a la Recomendación aparecen ejemplos de aplicación del modelo de evaluación.</w:t>
      </w:r>
    </w:p>
    <w:p w:rsidR="00D62812" w:rsidRDefault="00D62812" w:rsidP="00A4400C">
      <w:r>
        <w:t>Aunque las ecuaciones del método de evaluación son aplicables a los receptores del SRNS que funcionan en la banda 1</w:t>
      </w:r>
      <w:r w:rsidR="00810CBC">
        <w:t> </w:t>
      </w:r>
      <w:r>
        <w:t>559-1</w:t>
      </w:r>
      <w:r w:rsidR="00810CBC">
        <w:t> </w:t>
      </w:r>
      <w:r>
        <w:t>610 MHz, se necesitan más estudios para determinar el cuadro de parámetros del método recomendado necesario para esa banda de frecuencias antes de que est</w:t>
      </w:r>
      <w:r w:rsidR="00A4400C">
        <w:t>é</w:t>
      </w:r>
      <w:r>
        <w:t xml:space="preserve"> completamente definido el método de evaluación para la banda 1</w:t>
      </w:r>
      <w:r w:rsidR="00810CBC">
        <w:t> </w:t>
      </w:r>
      <w:r>
        <w:t>559-1</w:t>
      </w:r>
      <w:r w:rsidR="00810CBC">
        <w:t> </w:t>
      </w:r>
      <w:r>
        <w:t>610 MHz.</w:t>
      </w:r>
    </w:p>
    <w:p w:rsidR="00A4400C" w:rsidRDefault="00A4400C" w:rsidP="00CD0E1A">
      <w:pPr>
        <w:pStyle w:val="Normalaftertitle"/>
        <w:tabs>
          <w:tab w:val="right" w:pos="9639"/>
        </w:tabs>
        <w:spacing w:before="480"/>
      </w:pPr>
      <w:r w:rsidRPr="00A4400C">
        <w:rPr>
          <w:u w:val="single"/>
        </w:rPr>
        <w:t>Proyecto de nu</w:t>
      </w:r>
      <w:r>
        <w:rPr>
          <w:u w:val="single"/>
        </w:rPr>
        <w:t>eva Recomendación UIT</w:t>
      </w:r>
      <w:r w:rsidRPr="00A4400C">
        <w:rPr>
          <w:u w:val="single"/>
        </w:rPr>
        <w:t>-R S.[TIME_VAR_SMALL_E/S]</w:t>
      </w:r>
      <w:r w:rsidRPr="00A4400C">
        <w:tab/>
        <w:t>Doc. 4/20(Rev.1)</w:t>
      </w:r>
    </w:p>
    <w:p w:rsidR="00A4400C" w:rsidRPr="00A4400C" w:rsidRDefault="00A4400C" w:rsidP="00021F27">
      <w:pPr>
        <w:spacing w:before="360"/>
        <w:jc w:val="center"/>
        <w:rPr>
          <w:b/>
          <w:sz w:val="28"/>
        </w:rPr>
      </w:pPr>
      <w:r w:rsidRPr="00A4400C">
        <w:rPr>
          <w:b/>
          <w:sz w:val="28"/>
        </w:rPr>
        <w:t>Método estadístico para evaluar la interferencia variable en el tiempo</w:t>
      </w:r>
      <w:r>
        <w:rPr>
          <w:b/>
          <w:sz w:val="28"/>
        </w:rPr>
        <w:br/>
      </w:r>
      <w:r w:rsidRPr="00A4400C">
        <w:rPr>
          <w:b/>
          <w:sz w:val="28"/>
        </w:rPr>
        <w:t>producida por una red de estaciones terrenas del servicio fijo por</w:t>
      </w:r>
      <w:r>
        <w:rPr>
          <w:b/>
          <w:sz w:val="28"/>
        </w:rPr>
        <w:br/>
      </w:r>
      <w:r w:rsidRPr="00A4400C">
        <w:rPr>
          <w:b/>
          <w:sz w:val="28"/>
        </w:rPr>
        <w:t>satélite con satélites geoestacionarios funcionando con esquemas</w:t>
      </w:r>
      <w:r>
        <w:rPr>
          <w:b/>
          <w:sz w:val="28"/>
        </w:rPr>
        <w:br/>
      </w:r>
      <w:r w:rsidRPr="00A4400C">
        <w:rPr>
          <w:b/>
          <w:sz w:val="28"/>
        </w:rPr>
        <w:t>de MF-AMDT a redes</w:t>
      </w:r>
      <w:r w:rsidR="00021F27">
        <w:rPr>
          <w:b/>
          <w:sz w:val="28"/>
        </w:rPr>
        <w:t xml:space="preserve"> del servicio fijo por satélite</w:t>
      </w:r>
      <w:r w:rsidR="00021F27">
        <w:rPr>
          <w:b/>
          <w:sz w:val="28"/>
        </w:rPr>
        <w:br/>
      </w:r>
      <w:r w:rsidRPr="00A4400C">
        <w:rPr>
          <w:b/>
          <w:sz w:val="28"/>
        </w:rPr>
        <w:t>con</w:t>
      </w:r>
      <w:r w:rsidR="00021F27">
        <w:rPr>
          <w:b/>
          <w:sz w:val="28"/>
        </w:rPr>
        <w:t xml:space="preserve"> </w:t>
      </w:r>
      <w:r w:rsidRPr="00A4400C">
        <w:rPr>
          <w:b/>
          <w:sz w:val="28"/>
        </w:rPr>
        <w:t>satélites geoestacionarios</w:t>
      </w:r>
    </w:p>
    <w:p w:rsidR="00A4400C" w:rsidRDefault="00A4400C" w:rsidP="00501B73">
      <w:pPr>
        <w:spacing w:before="240"/>
      </w:pPr>
      <w:r>
        <w:t xml:space="preserve">Esta Recomendación presenta una metodología estadística para evaluar la interferencia variable en el tiempo producida por una red de estaciones terrenas del servicio fijo por satélite con satélites geoestacionarios que funciona con esquemas de acceso múltiple por división en el tiempo </w:t>
      </w:r>
      <w:proofErr w:type="spellStart"/>
      <w:r>
        <w:t>multifrecuencia</w:t>
      </w:r>
      <w:proofErr w:type="spellEnd"/>
      <w:r>
        <w:t xml:space="preserve"> </w:t>
      </w:r>
      <w:r w:rsidR="00CD0E1A">
        <w:t>a</w:t>
      </w:r>
      <w:r>
        <w:t xml:space="preserve"> una red del servicio fijo por satélite con satélites geoestacionari</w:t>
      </w:r>
      <w:r w:rsidR="00CD0E1A">
        <w:t>os. La metodología considera</w:t>
      </w:r>
      <w:r>
        <w:t xml:space="preserve"> la posible interferencia provocada a otra red del SFS OSG. Además, la metodología puede emplearse para ajustar los niveles de potencia de los terminales interferentes de forma que no resulten afectados los objetivos de calidad de funcionamiento de la red de satélites interferida.</w:t>
      </w:r>
    </w:p>
    <w:p w:rsidR="00CD0E1A" w:rsidRPr="00CD0E1A" w:rsidRDefault="00CD0E1A" w:rsidP="00CD0E1A">
      <w:pPr>
        <w:pStyle w:val="Normalaftertitle"/>
        <w:tabs>
          <w:tab w:val="right" w:pos="9639"/>
        </w:tabs>
        <w:rPr>
          <w:lang w:eastAsia="ko-KR"/>
        </w:rPr>
      </w:pPr>
      <w:r w:rsidRPr="00A4400C">
        <w:rPr>
          <w:u w:val="single"/>
        </w:rPr>
        <w:t>Proyecto</w:t>
      </w:r>
      <w:r>
        <w:rPr>
          <w:u w:val="single"/>
        </w:rPr>
        <w:t xml:space="preserve"> de revisión</w:t>
      </w:r>
      <w:r w:rsidRPr="00A4400C">
        <w:rPr>
          <w:u w:val="single"/>
        </w:rPr>
        <w:t xml:space="preserve"> de </w:t>
      </w:r>
      <w:r>
        <w:rPr>
          <w:u w:val="single"/>
        </w:rPr>
        <w:t>la Recomendación UIT</w:t>
      </w:r>
      <w:r w:rsidRPr="00CD0E1A">
        <w:rPr>
          <w:u w:val="single"/>
        </w:rPr>
        <w:t xml:space="preserve">-R </w:t>
      </w:r>
      <w:r w:rsidRPr="00CD0E1A">
        <w:rPr>
          <w:u w:val="single"/>
          <w:lang w:eastAsia="ko-KR"/>
        </w:rPr>
        <w:t>M.</w:t>
      </w:r>
      <w:r w:rsidRPr="00CD0E1A">
        <w:rPr>
          <w:rFonts w:hint="eastAsia"/>
          <w:u w:val="single"/>
          <w:lang w:eastAsia="ko-KR"/>
        </w:rPr>
        <w:t>1850</w:t>
      </w:r>
      <w:r w:rsidRPr="00CD0E1A">
        <w:rPr>
          <w:lang w:eastAsia="ko-KR"/>
        </w:rPr>
        <w:tab/>
        <w:t>Doc. 4/12(Rev.1)</w:t>
      </w:r>
    </w:p>
    <w:p w:rsidR="00CD0E1A" w:rsidRPr="00CD0E1A" w:rsidRDefault="00CD0E1A" w:rsidP="00CD0E1A">
      <w:pPr>
        <w:spacing w:before="360"/>
        <w:jc w:val="center"/>
        <w:rPr>
          <w:b/>
          <w:sz w:val="28"/>
        </w:rPr>
      </w:pPr>
      <w:r w:rsidRPr="00CD0E1A">
        <w:rPr>
          <w:b/>
          <w:sz w:val="28"/>
        </w:rPr>
        <w:t>Especificaciones detalladas de las interfaces radioeléctricas de la componente de satélite de las telecomunicaciones móviles internacionales-2000 (IMT-2000)</w:t>
      </w:r>
    </w:p>
    <w:p w:rsidR="00CD0E1A" w:rsidRDefault="00CD0E1A" w:rsidP="00810CBC">
      <w:pPr>
        <w:spacing w:before="240"/>
      </w:pPr>
      <w:r>
        <w:t xml:space="preserve">Basándose en los resultados de las actividades de armonización entre las familias de interfaces radioeléctricas de satélites (SRI)-A, C y G del ETSI, las familias SRI-C y SRI-G se fusionaron y se revisaron las especificaciones de la familia SRI-G mejorada. Esta familia SRI-G mejorada es un resultado armonizado de las anteriores familias SRI-C y SRI-G. También cabe señalar que </w:t>
      </w:r>
      <w:r w:rsidR="00501B73">
        <w:t>igualmente</w:t>
      </w:r>
      <w:r>
        <w:t xml:space="preserve"> se </w:t>
      </w:r>
      <w:r w:rsidR="00501B73">
        <w:t>incorporaron</w:t>
      </w:r>
      <w:r>
        <w:t xml:space="preserve"> en esta revisión unas cuantas características </w:t>
      </w:r>
      <w:r w:rsidR="00501B73">
        <w:t>espec</w:t>
      </w:r>
      <w:r w:rsidR="00810CBC">
        <w:t>í</w:t>
      </w:r>
      <w:r w:rsidR="00501B73">
        <w:t>ficas</w:t>
      </w:r>
      <w:r>
        <w:t xml:space="preserve"> de satélite de la familia SRI-A.</w:t>
      </w:r>
    </w:p>
    <w:p w:rsidR="00CD0E1A" w:rsidRPr="00CD0E1A" w:rsidRDefault="00CD0E1A" w:rsidP="00CD0E1A">
      <w:pPr>
        <w:pStyle w:val="Normalaftertitle"/>
        <w:tabs>
          <w:tab w:val="right" w:pos="9639"/>
        </w:tabs>
        <w:rPr>
          <w:lang w:eastAsia="ko-KR"/>
        </w:rPr>
      </w:pPr>
      <w:r w:rsidRPr="00A4400C">
        <w:rPr>
          <w:u w:val="single"/>
        </w:rPr>
        <w:t>Proyecto</w:t>
      </w:r>
      <w:r>
        <w:rPr>
          <w:u w:val="single"/>
        </w:rPr>
        <w:t xml:space="preserve"> de revisión</w:t>
      </w:r>
      <w:r w:rsidRPr="00A4400C">
        <w:rPr>
          <w:u w:val="single"/>
        </w:rPr>
        <w:t xml:space="preserve"> de </w:t>
      </w:r>
      <w:r>
        <w:rPr>
          <w:u w:val="single"/>
        </w:rPr>
        <w:t>la Recomendación UIT</w:t>
      </w:r>
      <w:r w:rsidRPr="00CD0E1A">
        <w:rPr>
          <w:u w:val="single"/>
        </w:rPr>
        <w:t xml:space="preserve">-R </w:t>
      </w:r>
      <w:r w:rsidRPr="00CD0E1A">
        <w:rPr>
          <w:u w:val="single"/>
          <w:lang w:eastAsia="ko-KR"/>
        </w:rPr>
        <w:t>BO.1898</w:t>
      </w:r>
      <w:r w:rsidRPr="00CD0E1A">
        <w:rPr>
          <w:lang w:eastAsia="ko-KR"/>
        </w:rPr>
        <w:tab/>
        <w:t>Doc. 4/17(Rev.1)</w:t>
      </w:r>
    </w:p>
    <w:p w:rsidR="00A4400C" w:rsidRDefault="00CD0E1A" w:rsidP="00021F27">
      <w:pPr>
        <w:spacing w:before="360"/>
        <w:jc w:val="center"/>
        <w:rPr>
          <w:b/>
          <w:sz w:val="28"/>
        </w:rPr>
      </w:pPr>
      <w:r w:rsidRPr="00CD0E1A">
        <w:rPr>
          <w:b/>
          <w:sz w:val="28"/>
        </w:rPr>
        <w:t xml:space="preserve">Valor de la densidad de flujo de potencia necesaria para proteger las estaciones terrenas </w:t>
      </w:r>
      <w:r w:rsidR="00501B73" w:rsidRPr="00CD0E1A">
        <w:rPr>
          <w:b/>
          <w:sz w:val="28"/>
        </w:rPr>
        <w:t>receptoras</w:t>
      </w:r>
      <w:r w:rsidRPr="00CD0E1A">
        <w:rPr>
          <w:b/>
          <w:sz w:val="28"/>
        </w:rPr>
        <w:t xml:space="preserve"> del servicio de </w:t>
      </w:r>
      <w:proofErr w:type="spellStart"/>
      <w:r w:rsidR="00021F27">
        <w:rPr>
          <w:b/>
          <w:sz w:val="28"/>
        </w:rPr>
        <w:t>radiofusión</w:t>
      </w:r>
      <w:proofErr w:type="spellEnd"/>
      <w:r w:rsidR="00021F27">
        <w:rPr>
          <w:b/>
          <w:sz w:val="28"/>
        </w:rPr>
        <w:t xml:space="preserve"> por satélite en las</w:t>
      </w:r>
      <w:r w:rsidR="00021F27">
        <w:rPr>
          <w:b/>
          <w:sz w:val="28"/>
        </w:rPr>
        <w:br/>
      </w:r>
      <w:r w:rsidRPr="00CD0E1A">
        <w:rPr>
          <w:b/>
          <w:sz w:val="28"/>
        </w:rPr>
        <w:t>Regiones 1 y 3 contra las emisiones de una</w:t>
      </w:r>
      <w:r w:rsidR="00021F27">
        <w:rPr>
          <w:b/>
          <w:sz w:val="28"/>
        </w:rPr>
        <w:t xml:space="preserve"> estación de los</w:t>
      </w:r>
      <w:r w:rsidR="00021F27">
        <w:rPr>
          <w:b/>
          <w:sz w:val="28"/>
        </w:rPr>
        <w:br/>
        <w:t xml:space="preserve">servicios </w:t>
      </w:r>
      <w:proofErr w:type="spellStart"/>
      <w:r w:rsidR="00021F27">
        <w:rPr>
          <w:b/>
          <w:sz w:val="28"/>
        </w:rPr>
        <w:t>fijo</w:t>
      </w:r>
      <w:r w:rsidRPr="00CD0E1A">
        <w:rPr>
          <w:b/>
          <w:sz w:val="28"/>
        </w:rPr>
        <w:t>y</w:t>
      </w:r>
      <w:proofErr w:type="spellEnd"/>
      <w:r w:rsidRPr="00CD0E1A">
        <w:rPr>
          <w:b/>
          <w:sz w:val="28"/>
        </w:rPr>
        <w:t>/o móvil</w:t>
      </w:r>
      <w:r w:rsidR="00021F27">
        <w:rPr>
          <w:b/>
          <w:sz w:val="28"/>
        </w:rPr>
        <w:t xml:space="preserve"> </w:t>
      </w:r>
      <w:r w:rsidRPr="00CD0E1A">
        <w:rPr>
          <w:b/>
          <w:sz w:val="28"/>
        </w:rPr>
        <w:t>en la banda 21,4-22 GHz</w:t>
      </w:r>
    </w:p>
    <w:p w:rsidR="00235094" w:rsidRDefault="00235094" w:rsidP="00810CBC">
      <w:pPr>
        <w:spacing w:before="240"/>
      </w:pPr>
      <w:r>
        <w:t xml:space="preserve">La Recomendación UIT-R BO.1898 recomienda que el valor de la densidad de flujo de potencia se utilice como límite estricto o como valor umbral de coordinación para garantizar la protección de las redes del servicio de radiodifusión por satélite en las Regiones 1 y 3 contra una estación terrenal, según el caso. Sin embargo, la CMR-12 aprobó posteriormente el valor de densidad de flujo de potencia como un límite estricto. La revisión tiene por objeto </w:t>
      </w:r>
      <w:r w:rsidR="00501B73">
        <w:t>actualizar</w:t>
      </w:r>
      <w:r>
        <w:t xml:space="preserve"> los </w:t>
      </w:r>
      <w:r w:rsidR="00501B73">
        <w:t>textos</w:t>
      </w:r>
      <w:r>
        <w:t xml:space="preserve"> en relación con estos resultados de la CMR-12 así como introducir algunos cambios </w:t>
      </w:r>
      <w:proofErr w:type="spellStart"/>
      <w:r>
        <w:t>redaccionales</w:t>
      </w:r>
      <w:proofErr w:type="spellEnd"/>
      <w:r>
        <w:t>.</w:t>
      </w:r>
    </w:p>
    <w:p w:rsidR="00235094" w:rsidRPr="00810CBC" w:rsidRDefault="00810CBC" w:rsidP="00810CBC">
      <w:pPr>
        <w:pStyle w:val="Normalaftertitle"/>
        <w:tabs>
          <w:tab w:val="right" w:pos="9639"/>
        </w:tabs>
        <w:rPr>
          <w:lang w:eastAsia="ko-KR"/>
        </w:rPr>
      </w:pPr>
      <w:r w:rsidRPr="00A4400C">
        <w:rPr>
          <w:u w:val="single"/>
        </w:rPr>
        <w:t>Proyecto</w:t>
      </w:r>
      <w:r>
        <w:rPr>
          <w:u w:val="single"/>
        </w:rPr>
        <w:t xml:space="preserve"> de revisión</w:t>
      </w:r>
      <w:r w:rsidRPr="00A4400C">
        <w:rPr>
          <w:u w:val="single"/>
        </w:rPr>
        <w:t xml:space="preserve"> de </w:t>
      </w:r>
      <w:r>
        <w:rPr>
          <w:u w:val="single"/>
        </w:rPr>
        <w:t>la Recomendación UIT</w:t>
      </w:r>
      <w:r w:rsidRPr="00CD0E1A">
        <w:rPr>
          <w:u w:val="single"/>
        </w:rPr>
        <w:t>-R</w:t>
      </w:r>
      <w:r w:rsidRPr="00810CBC">
        <w:rPr>
          <w:u w:val="single"/>
        </w:rPr>
        <w:t xml:space="preserve"> </w:t>
      </w:r>
      <w:r w:rsidR="00235094" w:rsidRPr="00810CBC">
        <w:rPr>
          <w:u w:val="single"/>
        </w:rPr>
        <w:t>S.732</w:t>
      </w:r>
      <w:r w:rsidR="00235094" w:rsidRPr="00810CBC">
        <w:rPr>
          <w:lang w:eastAsia="ko-KR"/>
        </w:rPr>
        <w:tab/>
        <w:t>Doc. 4/18(Rev.1)</w:t>
      </w:r>
    </w:p>
    <w:p w:rsidR="004E5AC4" w:rsidRDefault="004E5AC4" w:rsidP="00021F27">
      <w:pPr>
        <w:spacing w:before="360"/>
        <w:jc w:val="center"/>
        <w:rPr>
          <w:b/>
          <w:sz w:val="28"/>
        </w:rPr>
      </w:pPr>
      <w:r w:rsidRPr="004E5AC4">
        <w:rPr>
          <w:b/>
          <w:sz w:val="28"/>
        </w:rPr>
        <w:t>M</w:t>
      </w:r>
      <w:r>
        <w:rPr>
          <w:b/>
          <w:sz w:val="28"/>
        </w:rPr>
        <w:t>é</w:t>
      </w:r>
      <w:r w:rsidRPr="004E5AC4">
        <w:rPr>
          <w:b/>
          <w:sz w:val="28"/>
        </w:rPr>
        <w:t>todo para el tratamiento es</w:t>
      </w:r>
      <w:r w:rsidR="00021F27">
        <w:rPr>
          <w:b/>
          <w:sz w:val="28"/>
        </w:rPr>
        <w:t>tadístico de las crestas de los</w:t>
      </w:r>
      <w:r w:rsidR="00021F27">
        <w:rPr>
          <w:b/>
          <w:sz w:val="28"/>
        </w:rPr>
        <w:br/>
      </w:r>
      <w:r w:rsidRPr="004E5AC4">
        <w:rPr>
          <w:b/>
          <w:sz w:val="28"/>
        </w:rPr>
        <w:t>l</w:t>
      </w:r>
      <w:r>
        <w:rPr>
          <w:b/>
          <w:sz w:val="28"/>
        </w:rPr>
        <w:t>ó</w:t>
      </w:r>
      <w:r w:rsidR="007D6655">
        <w:rPr>
          <w:b/>
          <w:sz w:val="28"/>
        </w:rPr>
        <w:t>bulos laterales</w:t>
      </w:r>
      <w:r w:rsidR="00021F27">
        <w:rPr>
          <w:b/>
          <w:sz w:val="28"/>
        </w:rPr>
        <w:t xml:space="preserve"> </w:t>
      </w:r>
      <w:r w:rsidRPr="004E5AC4">
        <w:rPr>
          <w:b/>
          <w:sz w:val="28"/>
        </w:rPr>
        <w:t>de las antenas de estación terrena</w:t>
      </w:r>
    </w:p>
    <w:p w:rsidR="004E5AC4" w:rsidRDefault="004E5AC4" w:rsidP="00810CBC">
      <w:pPr>
        <w:spacing w:before="240"/>
      </w:pPr>
      <w:r>
        <w:t xml:space="preserve">Esta revisión tiene por objeto asociar la utilización de esta Recomendación con la Recomendación UIT-R sobre diagramas de radiación de antenas que contienen disposiciones que permiten que un cierto porcentaje de crestas de los lóbulos laterales rebasen las </w:t>
      </w:r>
      <w:r w:rsidR="00501B73">
        <w:t>envolventes</w:t>
      </w:r>
      <w:r>
        <w:t xml:space="preserve"> recomendadas. La revisión contiene una reducción en el número de regiones angulares dentro de las cuales se toman muestras de la cresta del </w:t>
      </w:r>
      <w:r w:rsidR="00501B73">
        <w:t>lóbulo</w:t>
      </w:r>
      <w:r>
        <w:t xml:space="preserve"> lateral e introduce una mínima resolución angular para las mediciones del lóbulo lateral de la antena. Se propone el establecimiento de límites de valores de ganancia de cresta de los lóbulos laterales por encima de las envolventes recomendadas que, si no </w:t>
      </w:r>
      <w:r w:rsidR="000625C3">
        <w:t>se rebasan, garantizan la compatibilidad del diagrama de antena con las envolventes recomendadas.</w:t>
      </w:r>
    </w:p>
    <w:p w:rsidR="00810CBC" w:rsidRDefault="00810CBC" w:rsidP="00810CBC">
      <w:pPr>
        <w:spacing w:before="240"/>
      </w:pPr>
    </w:p>
    <w:p w:rsidR="00810CBC" w:rsidRDefault="00810CBC" w:rsidP="00021F27"/>
    <w:p w:rsidR="00810CBC" w:rsidRDefault="00810CBC">
      <w:pPr>
        <w:jc w:val="center"/>
      </w:pPr>
      <w:r>
        <w:t>______________</w:t>
      </w:r>
    </w:p>
    <w:sectPr w:rsidR="00810CBC">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E1A" w:rsidRDefault="00CD0E1A">
      <w:r>
        <w:separator/>
      </w:r>
    </w:p>
  </w:endnote>
  <w:endnote w:type="continuationSeparator" w:id="0">
    <w:p w:rsidR="00CD0E1A" w:rsidRDefault="00CD0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B73" w:rsidRPr="007D6655" w:rsidRDefault="00131A53" w:rsidP="007D6655">
    <w:pPr>
      <w:pStyle w:val="Footer"/>
    </w:pPr>
    <w:r>
      <w:fldChar w:fldCharType="begin"/>
    </w:r>
    <w:r>
      <w:instrText xml:space="preserve"> FILENAME  \p  \* MERGEFORMAT </w:instrText>
    </w:r>
    <w:r>
      <w:fldChar w:fldCharType="separate"/>
    </w:r>
    <w:r w:rsidR="001A073F">
      <w:t>Y:\APP\BR\CIRCS_DMS\CACE\500\587\587s.docx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0" w:type="pct"/>
      <w:tblCellMar>
        <w:left w:w="107" w:type="dxa"/>
        <w:right w:w="107" w:type="dxa"/>
      </w:tblCellMar>
      <w:tblLook w:val="0000" w:firstRow="0" w:lastRow="0" w:firstColumn="0" w:lastColumn="0" w:noHBand="0" w:noVBand="0"/>
    </w:tblPr>
    <w:tblGrid>
      <w:gridCol w:w="2093"/>
      <w:gridCol w:w="3122"/>
      <w:gridCol w:w="2410"/>
      <w:gridCol w:w="2405"/>
    </w:tblGrid>
    <w:tr w:rsidR="00CD0E1A" w:rsidRPr="00131A53" w:rsidTr="00810CBC">
      <w:trPr>
        <w:cantSplit/>
      </w:trPr>
      <w:tc>
        <w:tcPr>
          <w:tcW w:w="1043" w:type="pct"/>
          <w:tcBorders>
            <w:top w:val="single" w:sz="6" w:space="0" w:color="auto"/>
          </w:tcBorders>
          <w:tcMar>
            <w:top w:w="57" w:type="dxa"/>
          </w:tcMar>
        </w:tcPr>
        <w:p w:rsidR="00CD0E1A" w:rsidRDefault="00CD0E1A">
          <w:pPr>
            <w:pStyle w:val="itu"/>
          </w:pPr>
          <w:r>
            <w:t>Place des Nations</w:t>
          </w:r>
        </w:p>
      </w:tc>
      <w:tc>
        <w:tcPr>
          <w:tcW w:w="1556" w:type="pct"/>
          <w:tcBorders>
            <w:top w:val="single" w:sz="6" w:space="0" w:color="auto"/>
          </w:tcBorders>
          <w:tcMar>
            <w:top w:w="57" w:type="dxa"/>
          </w:tcMar>
        </w:tcPr>
        <w:p w:rsidR="00CD0E1A" w:rsidRDefault="00CD0E1A">
          <w:pPr>
            <w:pStyle w:val="itu"/>
          </w:pPr>
          <w:proofErr w:type="spellStart"/>
          <w:r>
            <w:t>Teléfono</w:t>
          </w:r>
          <w:proofErr w:type="spellEnd"/>
          <w:r>
            <w:t xml:space="preserve"> </w:t>
          </w:r>
          <w:r>
            <w:tab/>
          </w:r>
          <w:r>
            <w:tab/>
            <w:t>+41 22 730 51 11</w:t>
          </w:r>
        </w:p>
      </w:tc>
      <w:tc>
        <w:tcPr>
          <w:tcW w:w="1201" w:type="pct"/>
          <w:tcBorders>
            <w:top w:val="single" w:sz="6" w:space="0" w:color="auto"/>
          </w:tcBorders>
          <w:tcMar>
            <w:top w:w="57" w:type="dxa"/>
          </w:tcMar>
        </w:tcPr>
        <w:p w:rsidR="00CD0E1A" w:rsidRDefault="00CD0E1A">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99" w:type="pct"/>
          <w:tcBorders>
            <w:top w:val="single" w:sz="6" w:space="0" w:color="auto"/>
          </w:tcBorders>
          <w:tcMar>
            <w:top w:w="57" w:type="dxa"/>
          </w:tcMar>
        </w:tcPr>
        <w:p w:rsidR="00CD0E1A" w:rsidRDefault="00810CBC" w:rsidP="00810CBC">
          <w:pPr>
            <w:pStyle w:val="itu"/>
            <w:tabs>
              <w:tab w:val="clear" w:pos="709"/>
              <w:tab w:val="left" w:pos="880"/>
            </w:tabs>
          </w:pPr>
          <w:proofErr w:type="spellStart"/>
          <w:r>
            <w:t>Correo</w:t>
          </w:r>
          <w:proofErr w:type="spellEnd"/>
          <w:r>
            <w:t>-e</w:t>
          </w:r>
          <w:r w:rsidR="00CD0E1A">
            <w:t>:</w:t>
          </w:r>
          <w:r w:rsidR="00CD0E1A">
            <w:tab/>
            <w:t>itumail@itu.int</w:t>
          </w:r>
        </w:p>
      </w:tc>
    </w:tr>
    <w:tr w:rsidR="00CD0E1A" w:rsidTr="00810CBC">
      <w:trPr>
        <w:cantSplit/>
      </w:trPr>
      <w:tc>
        <w:tcPr>
          <w:tcW w:w="1043" w:type="pct"/>
        </w:tcPr>
        <w:p w:rsidR="00CD0E1A" w:rsidRDefault="00CD0E1A">
          <w:pPr>
            <w:pStyle w:val="itu"/>
          </w:pPr>
          <w:r>
            <w:t xml:space="preserve">CH-1211 </w:t>
          </w:r>
          <w:proofErr w:type="spellStart"/>
          <w:r>
            <w:t>Ginebra</w:t>
          </w:r>
          <w:proofErr w:type="spellEnd"/>
          <w:r>
            <w:t xml:space="preserve"> 20</w:t>
          </w:r>
        </w:p>
      </w:tc>
      <w:tc>
        <w:tcPr>
          <w:tcW w:w="1556" w:type="pct"/>
        </w:tcPr>
        <w:p w:rsidR="00CD0E1A" w:rsidRDefault="00CD0E1A">
          <w:pPr>
            <w:pStyle w:val="itu"/>
          </w:pPr>
          <w:r>
            <w:t>Telefax</w:t>
          </w:r>
          <w:r>
            <w:tab/>
            <w:t>Gr3:</w:t>
          </w:r>
          <w:r w:rsidR="00810CBC">
            <w:tab/>
          </w:r>
          <w:r>
            <w:t>+41 22 733 72 56</w:t>
          </w:r>
        </w:p>
      </w:tc>
      <w:tc>
        <w:tcPr>
          <w:tcW w:w="1201" w:type="pct"/>
        </w:tcPr>
        <w:p w:rsidR="00CD0E1A" w:rsidRDefault="00CD0E1A">
          <w:pPr>
            <w:pStyle w:val="itu"/>
          </w:pPr>
          <w:proofErr w:type="spellStart"/>
          <w:r>
            <w:t>Telegrama</w:t>
          </w:r>
          <w:proofErr w:type="spellEnd"/>
          <w:r>
            <w:t xml:space="preserve"> ITU GENEVE</w:t>
          </w:r>
        </w:p>
      </w:tc>
      <w:tc>
        <w:tcPr>
          <w:tcW w:w="1199" w:type="pct"/>
        </w:tcPr>
        <w:p w:rsidR="00CD0E1A" w:rsidRDefault="00CD0E1A" w:rsidP="00810CBC">
          <w:pPr>
            <w:pStyle w:val="itu"/>
            <w:tabs>
              <w:tab w:val="clear" w:pos="709"/>
              <w:tab w:val="left" w:pos="880"/>
            </w:tabs>
          </w:pPr>
          <w:r>
            <w:tab/>
            <w:t>www.itu.int</w:t>
          </w:r>
        </w:p>
      </w:tc>
    </w:tr>
    <w:tr w:rsidR="00CD0E1A" w:rsidTr="00810CBC">
      <w:trPr>
        <w:cantSplit/>
      </w:trPr>
      <w:tc>
        <w:tcPr>
          <w:tcW w:w="1043" w:type="pct"/>
        </w:tcPr>
        <w:p w:rsidR="00CD0E1A" w:rsidRDefault="00CD0E1A">
          <w:pPr>
            <w:pStyle w:val="itu"/>
          </w:pPr>
          <w:proofErr w:type="spellStart"/>
          <w:r>
            <w:t>Suiza</w:t>
          </w:r>
          <w:proofErr w:type="spellEnd"/>
        </w:p>
      </w:tc>
      <w:tc>
        <w:tcPr>
          <w:tcW w:w="1556" w:type="pct"/>
        </w:tcPr>
        <w:p w:rsidR="00CD0E1A" w:rsidRDefault="00CD0E1A">
          <w:pPr>
            <w:pStyle w:val="itu"/>
          </w:pPr>
          <w:r>
            <w:tab/>
            <w:t>Gr4:</w:t>
          </w:r>
          <w:r>
            <w:tab/>
            <w:t>+41 22 730 65 00</w:t>
          </w:r>
        </w:p>
      </w:tc>
      <w:tc>
        <w:tcPr>
          <w:tcW w:w="1201" w:type="pct"/>
        </w:tcPr>
        <w:p w:rsidR="00CD0E1A" w:rsidRDefault="00CD0E1A">
          <w:pPr>
            <w:pStyle w:val="itu"/>
          </w:pPr>
        </w:p>
      </w:tc>
      <w:tc>
        <w:tcPr>
          <w:tcW w:w="1199" w:type="pct"/>
        </w:tcPr>
        <w:p w:rsidR="00CD0E1A" w:rsidRDefault="00CD0E1A">
          <w:pPr>
            <w:pStyle w:val="itu"/>
          </w:pPr>
        </w:p>
      </w:tc>
    </w:tr>
  </w:tbl>
  <w:p w:rsidR="00CD0E1A" w:rsidRDefault="00CD0E1A" w:rsidP="00810C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E1A" w:rsidRDefault="00CD0E1A">
      <w:r>
        <w:t>____________________</w:t>
      </w:r>
    </w:p>
  </w:footnote>
  <w:footnote w:type="continuationSeparator" w:id="0">
    <w:p w:rsidR="00CD0E1A" w:rsidRDefault="00CD0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1A" w:rsidRDefault="00CD0E1A">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31A53">
      <w:rPr>
        <w:rStyle w:val="PageNumber"/>
        <w:noProof/>
      </w:rPr>
      <w:t>2</w:t>
    </w:r>
    <w:r>
      <w:rPr>
        <w:rStyle w:val="PageNumber"/>
      </w:rPr>
      <w:fldChar w:fldCharType="end"/>
    </w:r>
    <w:r>
      <w:rPr>
        <w:rStyle w:val="PageNumber"/>
      </w:rPr>
      <w:t xml:space="preserve"> -</w:t>
    </w:r>
  </w:p>
  <w:p w:rsidR="00CD0E1A" w:rsidRPr="00F96264" w:rsidRDefault="00CD0E1A">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EC3"/>
    <w:rsid w:val="00021F27"/>
    <w:rsid w:val="000266B0"/>
    <w:rsid w:val="00032A89"/>
    <w:rsid w:val="000625C3"/>
    <w:rsid w:val="00095D85"/>
    <w:rsid w:val="000D2216"/>
    <w:rsid w:val="000E1E52"/>
    <w:rsid w:val="0011788D"/>
    <w:rsid w:val="00131358"/>
    <w:rsid w:val="00131A53"/>
    <w:rsid w:val="001366CE"/>
    <w:rsid w:val="00146B1C"/>
    <w:rsid w:val="00170325"/>
    <w:rsid w:val="001A073F"/>
    <w:rsid w:val="001A0880"/>
    <w:rsid w:val="00235094"/>
    <w:rsid w:val="00240010"/>
    <w:rsid w:val="002605C2"/>
    <w:rsid w:val="002E3D54"/>
    <w:rsid w:val="00416F31"/>
    <w:rsid w:val="004954B3"/>
    <w:rsid w:val="004D204C"/>
    <w:rsid w:val="004E5AC4"/>
    <w:rsid w:val="00501B73"/>
    <w:rsid w:val="00527774"/>
    <w:rsid w:val="005A7EC3"/>
    <w:rsid w:val="005C68B5"/>
    <w:rsid w:val="007D613E"/>
    <w:rsid w:val="007D6655"/>
    <w:rsid w:val="00810CBC"/>
    <w:rsid w:val="008477F8"/>
    <w:rsid w:val="008818DF"/>
    <w:rsid w:val="00885E2D"/>
    <w:rsid w:val="00930454"/>
    <w:rsid w:val="00953C5B"/>
    <w:rsid w:val="009937C1"/>
    <w:rsid w:val="009C6FE2"/>
    <w:rsid w:val="009E53EA"/>
    <w:rsid w:val="009F4598"/>
    <w:rsid w:val="00A353D3"/>
    <w:rsid w:val="00A4400C"/>
    <w:rsid w:val="00A9322B"/>
    <w:rsid w:val="00AA7B91"/>
    <w:rsid w:val="00AC0905"/>
    <w:rsid w:val="00AD1034"/>
    <w:rsid w:val="00AE07DC"/>
    <w:rsid w:val="00AF78C4"/>
    <w:rsid w:val="00B05A1B"/>
    <w:rsid w:val="00B55BB2"/>
    <w:rsid w:val="00B67E40"/>
    <w:rsid w:val="00BA0634"/>
    <w:rsid w:val="00BA3916"/>
    <w:rsid w:val="00BD0273"/>
    <w:rsid w:val="00BD5208"/>
    <w:rsid w:val="00C15D34"/>
    <w:rsid w:val="00C73047"/>
    <w:rsid w:val="00CD0E1A"/>
    <w:rsid w:val="00D04A11"/>
    <w:rsid w:val="00D57565"/>
    <w:rsid w:val="00D62812"/>
    <w:rsid w:val="00D80BD3"/>
    <w:rsid w:val="00DF0EBE"/>
    <w:rsid w:val="00E2635B"/>
    <w:rsid w:val="00EB04D4"/>
    <w:rsid w:val="00EB4112"/>
    <w:rsid w:val="00EF051F"/>
    <w:rsid w:val="00F31FC0"/>
    <w:rsid w:val="00F96264"/>
    <w:rsid w:val="00FD0F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uiPriority w:val="99"/>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uiPriority w:val="99"/>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customStyle="1" w:styleId="TabletextChar">
    <w:name w:val="Table_text Char"/>
    <w:link w:val="Tabletext"/>
    <w:uiPriority w:val="99"/>
    <w:locked/>
    <w:rsid w:val="00B55BB2"/>
    <w:rPr>
      <w:rFonts w:ascii="Times New Roman" w:hAnsi="Times New Roman"/>
      <w:sz w:val="22"/>
      <w:lang w:val="es-ES_tradnl" w:eastAsia="en-US"/>
    </w:rPr>
  </w:style>
  <w:style w:type="character" w:customStyle="1" w:styleId="TableheadChar">
    <w:name w:val="Table_head Char"/>
    <w:basedOn w:val="DefaultParagraphFont"/>
    <w:link w:val="Tablehead"/>
    <w:uiPriority w:val="99"/>
    <w:locked/>
    <w:rsid w:val="00B55BB2"/>
    <w:rPr>
      <w:rFonts w:ascii="Times New Roman" w:hAnsi="Times New Roman"/>
      <w:b/>
      <w:sz w:val="22"/>
      <w:lang w:val="es-ES_tradnl" w:eastAsia="en-US"/>
    </w:rPr>
  </w:style>
  <w:style w:type="paragraph" w:customStyle="1" w:styleId="Reasons">
    <w:name w:val="Reasons"/>
    <w:basedOn w:val="Normal"/>
    <w:qFormat/>
    <w:rsid w:val="00B67E40"/>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rsid w:val="00095D85"/>
    <w:rPr>
      <w:color w:val="800080" w:themeColor="followedHyperlink"/>
      <w:u w:val="single"/>
    </w:rPr>
  </w:style>
  <w:style w:type="character" w:customStyle="1" w:styleId="RectitleChar">
    <w:name w:val="Rec_title Char"/>
    <w:link w:val="Rectitle"/>
    <w:uiPriority w:val="99"/>
    <w:rsid w:val="00095D85"/>
    <w:rPr>
      <w:rFonts w:ascii="Times New Roman" w:hAnsi="Times New Roman"/>
      <w:b/>
      <w:sz w:val="28"/>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uiPriority w:val="99"/>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uiPriority w:val="99"/>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customStyle="1" w:styleId="TabletextChar">
    <w:name w:val="Table_text Char"/>
    <w:link w:val="Tabletext"/>
    <w:uiPriority w:val="99"/>
    <w:locked/>
    <w:rsid w:val="00B55BB2"/>
    <w:rPr>
      <w:rFonts w:ascii="Times New Roman" w:hAnsi="Times New Roman"/>
      <w:sz w:val="22"/>
      <w:lang w:val="es-ES_tradnl" w:eastAsia="en-US"/>
    </w:rPr>
  </w:style>
  <w:style w:type="character" w:customStyle="1" w:styleId="TableheadChar">
    <w:name w:val="Table_head Char"/>
    <w:basedOn w:val="DefaultParagraphFont"/>
    <w:link w:val="Tablehead"/>
    <w:uiPriority w:val="99"/>
    <w:locked/>
    <w:rsid w:val="00B55BB2"/>
    <w:rPr>
      <w:rFonts w:ascii="Times New Roman" w:hAnsi="Times New Roman"/>
      <w:b/>
      <w:sz w:val="22"/>
      <w:lang w:val="es-ES_tradnl" w:eastAsia="en-US"/>
    </w:rPr>
  </w:style>
  <w:style w:type="paragraph" w:customStyle="1" w:styleId="Reasons">
    <w:name w:val="Reasons"/>
    <w:basedOn w:val="Normal"/>
    <w:qFormat/>
    <w:rsid w:val="00B67E40"/>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rsid w:val="00095D85"/>
    <w:rPr>
      <w:color w:val="800080" w:themeColor="followedHyperlink"/>
      <w:u w:val="single"/>
    </w:rPr>
  </w:style>
  <w:style w:type="character" w:customStyle="1" w:styleId="RectitleChar">
    <w:name w:val="Rec_title Char"/>
    <w:link w:val="Rectitle"/>
    <w:uiPriority w:val="99"/>
    <w:rsid w:val="00095D85"/>
    <w:rPr>
      <w:rFonts w:ascii="Times New Roman" w:hAnsi="Times New Roman"/>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tu.int/md/R12-SG04-C" TargetMode="External"/><Relationship Id="rId4" Type="http://schemas.openxmlformats.org/officeDocument/2006/relationships/webSettings" Target="webSettings.xml"/><Relationship Id="rId9" Type="http://schemas.openxmlformats.org/officeDocument/2006/relationships/hyperlink" Target="http://www.itu.int/ITU-T/dbase/patent/patent-policy.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ndozas\Application%20Data\Microsoft\Templates\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PS_BRcirc</Template>
  <TotalTime>17</TotalTime>
  <Pages>4</Pages>
  <Words>1317</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9140</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Mendoza Siles, Sidma Jeanneth</dc:creator>
  <cp:keywords/>
  <dc:description/>
  <cp:lastModifiedBy>capdessu</cp:lastModifiedBy>
  <cp:revision>10</cp:revision>
  <cp:lastPrinted>2012-10-19T09:02:00Z</cp:lastPrinted>
  <dcterms:created xsi:type="dcterms:W3CDTF">2012-10-18T07:55:00Z</dcterms:created>
  <dcterms:modified xsi:type="dcterms:W3CDTF">2012-10-19T13:12:00Z</dcterms:modified>
</cp:coreProperties>
</file>