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D35752" w:rsidTr="00234177">
        <w:tc>
          <w:tcPr>
            <w:tcW w:w="8188" w:type="dxa"/>
            <w:vAlign w:val="center"/>
          </w:tcPr>
          <w:p w:rsidR="00AE050F" w:rsidRPr="00054872" w:rsidRDefault="00AE050F" w:rsidP="00234177">
            <w:pPr>
              <w:spacing w:before="0"/>
              <w:rPr>
                <w:lang w:bidi="ar-EG"/>
              </w:rPr>
            </w:pPr>
            <w:r w:rsidRPr="00234177">
              <w:rPr>
                <w:sz w:val="40"/>
                <w:szCs w:val="48"/>
                <w:rtl/>
                <w:lang w:bidi="ar-EG"/>
              </w:rPr>
              <w:t>الاتحـــاد  الدولــــي  للاتصــــالات</w:t>
            </w:r>
          </w:p>
        </w:tc>
        <w:tc>
          <w:tcPr>
            <w:tcW w:w="1667" w:type="dxa"/>
          </w:tcPr>
          <w:p w:rsidR="00AE050F" w:rsidRPr="00D35752" w:rsidRDefault="00E55B49" w:rsidP="00234177">
            <w:pPr>
              <w:spacing w:before="0"/>
              <w:jc w:val="right"/>
              <w:rPr>
                <w:lang w:bidi="ar-EG"/>
              </w:rPr>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trPr>
          <w:cantSplit/>
        </w:trPr>
        <w:tc>
          <w:tcPr>
            <w:tcW w:w="5075" w:type="dxa"/>
          </w:tcPr>
          <w:p w:rsidR="00AE050F" w:rsidRDefault="00AE050F"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AE050F" w:rsidRDefault="00AE050F" w:rsidP="00166B8C">
      <w:pPr>
        <w:tabs>
          <w:tab w:val="left" w:pos="7513"/>
        </w:tabs>
        <w:spacing w:before="0"/>
        <w:rPr>
          <w:rtl/>
          <w:lang w:bidi="ar-EG"/>
        </w:rPr>
      </w:pPr>
    </w:p>
    <w:p w:rsidR="00166B8C" w:rsidRPr="00054872" w:rsidRDefault="00166B8C" w:rsidP="00166B8C">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54872">
        <w:trPr>
          <w:cantSplit/>
        </w:trPr>
        <w:tc>
          <w:tcPr>
            <w:tcW w:w="2518" w:type="dxa"/>
          </w:tcPr>
          <w:p w:rsidR="00AE050F" w:rsidRPr="0004070C" w:rsidRDefault="00FB5CF1" w:rsidP="00DB5730">
            <w:pPr>
              <w:spacing w:before="80" w:after="80" w:line="280" w:lineRule="exact"/>
              <w:jc w:val="center"/>
              <w:rPr>
                <w:b/>
                <w:bCs/>
                <w:rtl/>
                <w:lang w:val="en-US" w:bidi="ar-SY"/>
              </w:rPr>
            </w:pPr>
            <w:bookmarkStart w:id="0" w:name="dletter"/>
            <w:bookmarkStart w:id="1" w:name="dnum"/>
            <w:bookmarkEnd w:id="0"/>
            <w:bookmarkEnd w:id="1"/>
            <w:r>
              <w:rPr>
                <w:rFonts w:hint="cs"/>
                <w:b/>
                <w:bCs/>
                <w:rtl/>
                <w:lang w:val="en-US" w:bidi="ar-EG"/>
              </w:rPr>
              <w:t>الرسالة</w:t>
            </w:r>
            <w:r w:rsidR="00AE050F" w:rsidRPr="0004070C">
              <w:rPr>
                <w:b/>
                <w:bCs/>
                <w:rtl/>
                <w:lang w:val="en-US" w:bidi="ar-EG"/>
              </w:rPr>
              <w:t xml:space="preserve"> الإدارية</w:t>
            </w:r>
            <w:r w:rsidR="00681995">
              <w:rPr>
                <w:rFonts w:hint="cs"/>
                <w:b/>
                <w:bCs/>
                <w:rtl/>
                <w:lang w:val="en-US" w:bidi="ar-EG"/>
              </w:rPr>
              <w:t xml:space="preserve"> المعممة</w:t>
            </w:r>
            <w:r w:rsidR="00AE050F" w:rsidRPr="0004070C">
              <w:rPr>
                <w:b/>
                <w:bCs/>
                <w:rtl/>
                <w:lang w:val="en-US" w:bidi="ar-EG"/>
              </w:rPr>
              <w:br/>
            </w:r>
            <w:r w:rsidR="00AE050F" w:rsidRPr="0004070C">
              <w:rPr>
                <w:b/>
                <w:bCs/>
                <w:lang w:bidi="ar-EG"/>
              </w:rPr>
              <w:t>CACE/</w:t>
            </w:r>
            <w:r w:rsidR="00DB5730">
              <w:rPr>
                <w:b/>
                <w:bCs/>
                <w:lang w:val="en-US" w:bidi="ar-EG"/>
              </w:rPr>
              <w:t>587</w:t>
            </w:r>
          </w:p>
        </w:tc>
        <w:tc>
          <w:tcPr>
            <w:tcW w:w="7502" w:type="dxa"/>
          </w:tcPr>
          <w:p w:rsidR="00AE050F" w:rsidRPr="00206E2B" w:rsidRDefault="00DB5730" w:rsidP="00572AFB">
            <w:pPr>
              <w:spacing w:before="80" w:after="80" w:line="280" w:lineRule="exact"/>
              <w:jc w:val="right"/>
              <w:rPr>
                <w:rtl/>
                <w:lang w:val="en-US"/>
              </w:rPr>
            </w:pPr>
            <w:bookmarkStart w:id="2" w:name="ddate"/>
            <w:bookmarkEnd w:id="2"/>
            <w:r>
              <w:rPr>
                <w:lang w:val="en-US" w:bidi="ar-EG"/>
              </w:rPr>
              <w:t>19</w:t>
            </w:r>
            <w:r>
              <w:rPr>
                <w:rFonts w:hint="cs"/>
                <w:rtl/>
                <w:lang w:val="en-US" w:bidi="ar-EG"/>
              </w:rPr>
              <w:t xml:space="preserve"> أكتوبر</w:t>
            </w:r>
            <w:r w:rsidR="00AE050F">
              <w:rPr>
                <w:rtl/>
                <w:lang w:val="en-US" w:bidi="ar-EG"/>
              </w:rPr>
              <w:t xml:space="preserve"> </w:t>
            </w:r>
            <w:r w:rsidR="005A0193">
              <w:rPr>
                <w:lang w:val="en-US" w:bidi="ar-EG"/>
              </w:rPr>
              <w:t>201</w:t>
            </w:r>
            <w:r w:rsidR="00572AFB">
              <w:rPr>
                <w:lang w:val="en-US" w:bidi="ar-EG"/>
              </w:rPr>
              <w:t>2</w:t>
            </w:r>
          </w:p>
        </w:tc>
      </w:tr>
    </w:tbl>
    <w:p w:rsidR="00AE050F" w:rsidRPr="00A20DC6" w:rsidRDefault="00AE050F" w:rsidP="00166B8C">
      <w:pPr>
        <w:spacing w:before="480" w:after="480"/>
        <w:jc w:val="center"/>
        <w:rPr>
          <w:b/>
          <w:bCs/>
          <w:sz w:val="26"/>
          <w:szCs w:val="36"/>
          <w:rtl/>
          <w:lang w:val="en-US"/>
        </w:rPr>
      </w:pPr>
      <w:r w:rsidRPr="00A20DC6">
        <w:rPr>
          <w:b/>
          <w:bCs/>
          <w:sz w:val="26"/>
          <w:szCs w:val="36"/>
          <w:rtl/>
          <w:lang w:bidi="ar-EG"/>
        </w:rPr>
        <w:t>إلى إدارات الدول الأعضاء في الاتحاد وأعضاء قطاع الاتصالات الراديوية والمنتسبين إليه</w:t>
      </w:r>
      <w:r w:rsidRPr="00A20DC6">
        <w:rPr>
          <w:b/>
          <w:bCs/>
          <w:sz w:val="26"/>
          <w:szCs w:val="36"/>
          <w:rtl/>
          <w:lang w:bidi="ar-EG"/>
        </w:rPr>
        <w:br/>
        <w:t xml:space="preserve">المشاركين في أعمال لجنة الدراسات </w:t>
      </w:r>
      <w:r w:rsidR="009C4AB8">
        <w:rPr>
          <w:rFonts w:ascii="Times New Roman Bold" w:hAnsi="Times New Roman Bold"/>
          <w:b/>
          <w:bCs/>
          <w:sz w:val="26"/>
          <w:szCs w:val="36"/>
          <w:lang w:val="en-US" w:bidi="ar-EG"/>
        </w:rPr>
        <w:t>4</w:t>
      </w:r>
      <w:r w:rsidRPr="00A20DC6">
        <w:rPr>
          <w:b/>
          <w:bCs/>
          <w:sz w:val="26"/>
          <w:szCs w:val="36"/>
          <w:rtl/>
          <w:lang w:bidi="ar-EG"/>
        </w:rPr>
        <w:t xml:space="preserve"> للاتصالات الراديوية</w:t>
      </w:r>
      <w:r w:rsidRPr="00A20DC6">
        <w:rPr>
          <w:b/>
          <w:bCs/>
          <w:sz w:val="26"/>
          <w:szCs w:val="36"/>
          <w:rtl/>
          <w:lang w:bidi="ar-EG"/>
        </w:rPr>
        <w:br/>
      </w:r>
      <w:r w:rsidR="002F45BB" w:rsidRPr="002F45BB">
        <w:rPr>
          <w:rFonts w:hint="cs"/>
          <w:b/>
          <w:bCs/>
          <w:sz w:val="26"/>
          <w:szCs w:val="36"/>
          <w:rtl/>
        </w:rPr>
        <w:t>والهيئات الأكاديمية المنضمة إلى قطاع الاتصالات الراديوية</w:t>
      </w:r>
    </w:p>
    <w:p w:rsidR="00AE050F" w:rsidRPr="001E5AB0" w:rsidRDefault="00AE050F" w:rsidP="009C4AB8">
      <w:pPr>
        <w:tabs>
          <w:tab w:val="clear" w:pos="794"/>
        </w:tabs>
        <w:spacing w:before="240"/>
        <w:ind w:left="1191" w:hanging="1191"/>
        <w:rPr>
          <w:rFonts w:ascii="Times New Roman Bold" w:hAnsi="Times New Roman Bold"/>
          <w:b/>
          <w:bCs/>
          <w:spacing w:val="-4"/>
          <w:rtl/>
          <w:lang w:val="en-US" w:bidi="ar-EG"/>
        </w:rPr>
      </w:pPr>
      <w:r w:rsidRPr="00A20DC6">
        <w:rPr>
          <w:rFonts w:ascii="Times New Roman Bold" w:hAnsi="Times New Roman Bold" w:hint="eastAsia"/>
          <w:b/>
          <w:bCs/>
          <w:rtl/>
          <w:lang w:bidi="ar-EG"/>
        </w:rPr>
        <w:t>الموضوع</w:t>
      </w:r>
      <w:r w:rsidRPr="00A20DC6">
        <w:rPr>
          <w:rFonts w:ascii="Times New Roman Bold" w:hAnsi="Times New Roman Bold"/>
          <w:b/>
          <w:bCs/>
          <w:rtl/>
          <w:lang w:bidi="ar-EG"/>
        </w:rPr>
        <w:t>:</w:t>
      </w:r>
      <w:r w:rsidRPr="00A20DC6">
        <w:rPr>
          <w:rFonts w:ascii="Times New Roman Bold" w:hAnsi="Times New Roman Bold"/>
          <w:b/>
          <w:bCs/>
          <w:rtl/>
          <w:lang w:bidi="ar-EG"/>
        </w:rPr>
        <w:tab/>
      </w:r>
      <w:r w:rsidRPr="00A20DC6">
        <w:rPr>
          <w:b/>
          <w:bCs/>
          <w:rtl/>
          <w:lang w:bidi="ar-EG"/>
        </w:rPr>
        <w:t xml:space="preserve">لجنة الدراسات </w:t>
      </w:r>
      <w:r w:rsidR="009C4AB8">
        <w:rPr>
          <w:rFonts w:hAnsi="Times New Roman Bold"/>
          <w:b/>
          <w:bCs/>
          <w:lang w:val="en-US" w:bidi="ar-EG"/>
        </w:rPr>
        <w:t>4</w:t>
      </w:r>
      <w:r w:rsidRPr="00A20DC6">
        <w:rPr>
          <w:b/>
          <w:bCs/>
          <w:rtl/>
          <w:lang w:val="en-US" w:bidi="ar-EG"/>
        </w:rPr>
        <w:t xml:space="preserve"> للاتصالات الراديوي</w:t>
      </w:r>
      <w:r w:rsidR="00442301">
        <w:rPr>
          <w:rFonts w:hint="cs"/>
          <w:b/>
          <w:bCs/>
          <w:rtl/>
          <w:lang w:val="en-US" w:bidi="ar-EG"/>
        </w:rPr>
        <w:t>ة</w:t>
      </w:r>
      <w:r w:rsidR="009C4AB8">
        <w:rPr>
          <w:rFonts w:hint="cs"/>
          <w:b/>
          <w:bCs/>
          <w:rtl/>
          <w:lang w:val="en-US" w:bidi="ar-EG"/>
        </w:rPr>
        <w:t xml:space="preserve"> (الخدمات الساتلية)</w:t>
      </w:r>
    </w:p>
    <w:p w:rsidR="00AE050F" w:rsidRPr="00D83FD7" w:rsidRDefault="00CF1208" w:rsidP="009C4AB8">
      <w:pPr>
        <w:tabs>
          <w:tab w:val="clear" w:pos="794"/>
          <w:tab w:val="clear" w:pos="1191"/>
          <w:tab w:val="clear" w:pos="1588"/>
          <w:tab w:val="clear" w:pos="1985"/>
        </w:tabs>
        <w:spacing w:before="60"/>
        <w:ind w:left="1701" w:hanging="488"/>
        <w:rPr>
          <w:rFonts w:ascii="Times New Roman Bold" w:hAnsi="Times New Roman Bold"/>
          <w:b/>
          <w:bCs/>
          <w:spacing w:val="2"/>
          <w:rtl/>
          <w:lang w:val="fr-FR" w:bidi="ar-EG"/>
        </w:rPr>
      </w:pPr>
      <w:r>
        <w:rPr>
          <w:rFonts w:ascii="Times New Roman Bold" w:hAnsi="Times New Roman Bold" w:hint="cs"/>
          <w:b/>
          <w:bCs/>
          <w:spacing w:val="2"/>
          <w:rtl/>
          <w:lang w:bidi="ar-EG"/>
        </w:rPr>
        <w:t>-</w:t>
      </w:r>
      <w:r w:rsidR="00AE050F" w:rsidRPr="00D83FD7">
        <w:rPr>
          <w:rFonts w:ascii="Times New Roman Bold" w:hAnsi="Times New Roman Bold"/>
          <w:b/>
          <w:bCs/>
          <w:spacing w:val="2"/>
          <w:rtl/>
          <w:lang w:bidi="ar-EG"/>
        </w:rPr>
        <w:tab/>
      </w:r>
      <w:r w:rsidR="00442301" w:rsidRPr="00D83FD7">
        <w:rPr>
          <w:rFonts w:ascii="Times New Roman Bold" w:hAnsi="Times New Roman Bold" w:hint="cs"/>
          <w:b/>
          <w:bCs/>
          <w:spacing w:val="2"/>
          <w:rtl/>
          <w:lang w:bidi="ar-EG"/>
        </w:rPr>
        <w:t xml:space="preserve">اقتراح </w:t>
      </w:r>
      <w:r w:rsidR="00442301" w:rsidRPr="00D83FD7">
        <w:rPr>
          <w:rFonts w:ascii="Times New Roman Bold" w:hAnsi="Times New Roman Bold"/>
          <w:b/>
          <w:bCs/>
          <w:spacing w:val="2"/>
          <w:rtl/>
          <w:lang w:bidi="ar-EG"/>
        </w:rPr>
        <w:t>اعتماد</w:t>
      </w:r>
      <w:r w:rsidR="00442301" w:rsidRPr="00D83FD7">
        <w:rPr>
          <w:rFonts w:ascii="Times New Roman Bold" w:hAnsi="Times New Roman Bold" w:hint="cs"/>
          <w:b/>
          <w:bCs/>
          <w:spacing w:val="2"/>
          <w:rtl/>
          <w:lang w:bidi="ar-EG"/>
        </w:rPr>
        <w:t xml:space="preserve"> مشروع</w:t>
      </w:r>
      <w:r w:rsidR="009C4AB8">
        <w:rPr>
          <w:rFonts w:ascii="Times New Roman Bold" w:hAnsi="Times New Roman Bold" w:hint="cs"/>
          <w:b/>
          <w:bCs/>
          <w:spacing w:val="2"/>
          <w:rtl/>
          <w:lang w:bidi="ar-EG"/>
        </w:rPr>
        <w:t xml:space="preserve">ي </w:t>
      </w:r>
      <w:r w:rsidR="00442301" w:rsidRPr="00D83FD7">
        <w:rPr>
          <w:rFonts w:ascii="Times New Roman Bold" w:hAnsi="Times New Roman Bold" w:hint="cs"/>
          <w:b/>
          <w:bCs/>
          <w:spacing w:val="2"/>
          <w:rtl/>
        </w:rPr>
        <w:t>توصي</w:t>
      </w:r>
      <w:r w:rsidR="009C4AB8">
        <w:rPr>
          <w:rFonts w:ascii="Times New Roman Bold" w:hAnsi="Times New Roman Bold" w:hint="cs"/>
          <w:b/>
          <w:bCs/>
          <w:spacing w:val="2"/>
          <w:rtl/>
        </w:rPr>
        <w:t xml:space="preserve">تين جديدتين ومشاريع </w:t>
      </w:r>
      <w:r w:rsidR="00442301" w:rsidRPr="00D83FD7">
        <w:rPr>
          <w:rFonts w:ascii="Times New Roman Bold" w:hAnsi="Times New Roman Bold" w:hint="cs"/>
          <w:b/>
          <w:bCs/>
          <w:spacing w:val="2"/>
          <w:rtl/>
        </w:rPr>
        <w:t xml:space="preserve">مراجعة </w:t>
      </w:r>
      <w:r w:rsidR="009C4AB8">
        <w:rPr>
          <w:rFonts w:cs="Times New Roman"/>
          <w:b/>
          <w:bCs/>
          <w:spacing w:val="2"/>
          <w:lang w:val="en-US"/>
        </w:rPr>
        <w:t>3</w:t>
      </w:r>
      <w:r w:rsidR="00D83FD7" w:rsidRPr="00D83FD7">
        <w:rPr>
          <w:rFonts w:asciiTheme="minorHAnsi" w:hAnsiTheme="minorHAnsi" w:hint="cs"/>
          <w:b/>
          <w:bCs/>
          <w:spacing w:val="2"/>
          <w:rtl/>
          <w:lang w:val="en-US" w:bidi="ar-SY"/>
        </w:rPr>
        <w:t xml:space="preserve"> </w:t>
      </w:r>
      <w:r w:rsidR="009C4AB8">
        <w:rPr>
          <w:rFonts w:ascii="Times New Roman Bold" w:hAnsi="Times New Roman Bold" w:hint="cs"/>
          <w:b/>
          <w:bCs/>
          <w:spacing w:val="2"/>
          <w:rtl/>
        </w:rPr>
        <w:t>توصيات</w:t>
      </w:r>
      <w:r w:rsidR="00442301" w:rsidRPr="00D83FD7">
        <w:rPr>
          <w:rFonts w:ascii="Times New Roman Bold" w:hAnsi="Times New Roman Bold" w:hint="cs"/>
          <w:b/>
          <w:bCs/>
          <w:spacing w:val="2"/>
          <w:rtl/>
        </w:rPr>
        <w:t xml:space="preserve"> لقطاع الاتصالات الراديوية</w:t>
      </w:r>
      <w:r w:rsidR="00442301" w:rsidRPr="00D83FD7">
        <w:rPr>
          <w:rFonts w:ascii="Times New Roman Bold" w:hAnsi="Times New Roman Bold"/>
          <w:b/>
          <w:bCs/>
          <w:spacing w:val="2"/>
          <w:rtl/>
          <w:lang w:bidi="ar-EG"/>
        </w:rPr>
        <w:t xml:space="preserve"> والموافقة عليها في</w:t>
      </w:r>
      <w:r w:rsidR="00D83FD7">
        <w:rPr>
          <w:rFonts w:ascii="Times New Roman Bold" w:hAnsi="Times New Roman Bold" w:hint="eastAsia"/>
          <w:b/>
          <w:bCs/>
          <w:spacing w:val="2"/>
          <w:rtl/>
          <w:lang w:bidi="ar-EG"/>
        </w:rPr>
        <w:t> </w:t>
      </w:r>
      <w:r w:rsidR="00442301" w:rsidRPr="00D83FD7">
        <w:rPr>
          <w:rFonts w:ascii="Times New Roman Bold" w:hAnsi="Times New Roman Bold"/>
          <w:b/>
          <w:bCs/>
          <w:spacing w:val="2"/>
          <w:rtl/>
          <w:lang w:bidi="ar-EG"/>
        </w:rPr>
        <w:t>نفس الوقت</w:t>
      </w:r>
      <w:r w:rsidR="00442301" w:rsidRPr="00D83FD7">
        <w:rPr>
          <w:rFonts w:ascii="Times New Roman Bold" w:hAnsi="Times New Roman Bold" w:hint="cs"/>
          <w:b/>
          <w:bCs/>
          <w:spacing w:val="2"/>
          <w:rtl/>
          <w:lang w:bidi="ar-EG"/>
        </w:rPr>
        <w:t xml:space="preserve"> بالمراسلة</w:t>
      </w:r>
      <w:r w:rsidR="00442301" w:rsidRPr="00D83FD7">
        <w:rPr>
          <w:rFonts w:ascii="Times New Roman Bold" w:hAnsi="Times New Roman Bold"/>
          <w:b/>
          <w:bCs/>
          <w:spacing w:val="2"/>
          <w:rtl/>
          <w:lang w:bidi="ar-EG"/>
        </w:rPr>
        <w:t xml:space="preserve"> وفقاً للفقرة</w:t>
      </w:r>
      <w:r w:rsidR="00442301" w:rsidRPr="00D83FD7">
        <w:rPr>
          <w:rFonts w:ascii="Times New Roman Bold" w:hAnsi="Times New Roman Bold" w:hint="cs"/>
          <w:b/>
          <w:bCs/>
          <w:spacing w:val="2"/>
          <w:rtl/>
          <w:lang w:bidi="ar-EG"/>
        </w:rPr>
        <w:t> </w:t>
      </w:r>
      <w:r w:rsidR="00442301" w:rsidRPr="00D83FD7">
        <w:rPr>
          <w:rFonts w:ascii="Times New Roman Bold" w:hAnsi="Times New Roman Bold"/>
          <w:b/>
          <w:bCs/>
          <w:spacing w:val="2"/>
          <w:lang w:val="fr-FR" w:bidi="ar-EG"/>
        </w:rPr>
        <w:t>3.10</w:t>
      </w:r>
      <w:r w:rsidR="00442301" w:rsidRPr="00D83FD7">
        <w:rPr>
          <w:rFonts w:ascii="Times New Roman Bold" w:hAnsi="Times New Roman Bold"/>
          <w:b/>
          <w:bCs/>
          <w:spacing w:val="2"/>
          <w:rtl/>
          <w:lang w:bidi="ar-EG"/>
        </w:rPr>
        <w:t xml:space="preserve"> من القرار </w:t>
      </w:r>
      <w:r w:rsidR="00442301" w:rsidRPr="00D83FD7">
        <w:rPr>
          <w:rFonts w:ascii="Times New Roman Bold" w:hAnsi="Times New Roman Bold"/>
          <w:b/>
          <w:bCs/>
          <w:spacing w:val="2"/>
          <w:lang w:val="fr-FR" w:bidi="ar-EG"/>
        </w:rPr>
        <w:t>ITU-R 1-6</w:t>
      </w:r>
      <w:r w:rsidR="00442301" w:rsidRPr="00D83FD7">
        <w:rPr>
          <w:rFonts w:ascii="Times New Roman Bold" w:hAnsi="Times New Roman Bold"/>
          <w:b/>
          <w:bCs/>
          <w:spacing w:val="2"/>
          <w:rtl/>
          <w:lang w:bidi="ar-EG"/>
        </w:rPr>
        <w:t xml:space="preserve"> (إجراء الاعتماد والموافقة في</w:t>
      </w:r>
      <w:r w:rsidR="00D83FD7">
        <w:rPr>
          <w:rFonts w:ascii="Times New Roman Bold" w:hAnsi="Times New Roman Bold" w:hint="eastAsia"/>
          <w:b/>
          <w:bCs/>
          <w:spacing w:val="2"/>
          <w:rtl/>
          <w:lang w:bidi="ar-EG"/>
        </w:rPr>
        <w:t> </w:t>
      </w:r>
      <w:r w:rsidR="00442301" w:rsidRPr="00D83FD7">
        <w:rPr>
          <w:rFonts w:ascii="Times New Roman Bold" w:hAnsi="Times New Roman Bold"/>
          <w:b/>
          <w:bCs/>
          <w:spacing w:val="2"/>
          <w:rtl/>
          <w:lang w:bidi="ar-EG"/>
        </w:rPr>
        <w:t>نفس الوقت بالمراسلة)</w:t>
      </w:r>
    </w:p>
    <w:p w:rsidR="00AE050F" w:rsidRDefault="00442301" w:rsidP="00FB5CF1">
      <w:pPr>
        <w:spacing w:before="480"/>
        <w:rPr>
          <w:rtl/>
          <w:lang w:val="en-US" w:bidi="ar-EG"/>
        </w:rPr>
      </w:pPr>
      <w:r w:rsidRPr="00442301">
        <w:rPr>
          <w:rtl/>
          <w:lang w:val="en-US" w:bidi="ar-EG"/>
        </w:rPr>
        <w:t>قررت لجنة الدراسات</w:t>
      </w:r>
      <w:r w:rsidRPr="00442301">
        <w:rPr>
          <w:rFonts w:hint="cs"/>
          <w:rtl/>
          <w:lang w:val="en-US" w:bidi="ar-EG"/>
        </w:rPr>
        <w:t> </w:t>
      </w:r>
      <w:r w:rsidR="00ED79B1">
        <w:t>4</w:t>
      </w:r>
      <w:r w:rsidRPr="00442301">
        <w:rPr>
          <w:rtl/>
          <w:lang w:val="en-US" w:bidi="ar-EG"/>
        </w:rPr>
        <w:t xml:space="preserve"> للاتصالات الراديوية في اجتماعها المنعقد </w:t>
      </w:r>
      <w:r w:rsidR="00ED79B1">
        <w:rPr>
          <w:rFonts w:hint="cs"/>
          <w:rtl/>
          <w:lang w:val="en-US" w:bidi="ar-EG"/>
        </w:rPr>
        <w:t xml:space="preserve">يوم </w:t>
      </w:r>
      <w:r w:rsidR="00ED79B1">
        <w:rPr>
          <w:lang w:val="en-US" w:bidi="ar-EG"/>
        </w:rPr>
        <w:t>28</w:t>
      </w:r>
      <w:r w:rsidR="00ED79B1">
        <w:rPr>
          <w:rFonts w:hint="cs"/>
          <w:rtl/>
          <w:lang w:val="en-US" w:bidi="ar-EG"/>
        </w:rPr>
        <w:t xml:space="preserve"> سبتمبر </w:t>
      </w:r>
      <w:r w:rsidRPr="00442301">
        <w:rPr>
          <w:lang w:val="en-US"/>
        </w:rPr>
        <w:t>2012</w:t>
      </w:r>
      <w:r w:rsidRPr="00442301">
        <w:rPr>
          <w:rtl/>
          <w:lang w:val="en-US" w:bidi="ar-EG"/>
        </w:rPr>
        <w:t xml:space="preserve"> أن </w:t>
      </w:r>
      <w:r w:rsidRPr="00442301">
        <w:rPr>
          <w:rFonts w:hint="cs"/>
          <w:rtl/>
          <w:lang w:val="en-US" w:bidi="ar-EG"/>
        </w:rPr>
        <w:t>تطبق إجراء الاعتماد والموافقة في</w:t>
      </w:r>
      <w:r w:rsidR="00FB5CF1">
        <w:rPr>
          <w:rFonts w:hint="eastAsia"/>
          <w:rtl/>
          <w:lang w:val="en-US" w:bidi="ar-EG"/>
        </w:rPr>
        <w:t> </w:t>
      </w:r>
      <w:r w:rsidRPr="00442301">
        <w:rPr>
          <w:rFonts w:hint="cs"/>
          <w:rtl/>
          <w:lang w:val="en-US" w:bidi="ar-EG"/>
        </w:rPr>
        <w:t>نفس الوقت عن طريق المراسلة</w:t>
      </w:r>
      <w:r w:rsidR="00AC2975">
        <w:rPr>
          <w:rFonts w:hint="eastAsia"/>
          <w:rtl/>
          <w:lang w:val="en-US" w:bidi="ar-EG"/>
        </w:rPr>
        <w:t> </w:t>
      </w:r>
      <w:r w:rsidRPr="00442301">
        <w:rPr>
          <w:lang w:val="en-US"/>
        </w:rPr>
        <w:t>(PSAA)</w:t>
      </w:r>
      <w:r w:rsidRPr="00442301">
        <w:rPr>
          <w:rFonts w:hint="cs"/>
          <w:rtl/>
          <w:lang w:val="en-US" w:bidi="ar-EG"/>
        </w:rPr>
        <w:t xml:space="preserve"> (</w:t>
      </w:r>
      <w:r w:rsidR="009804F9">
        <w:rPr>
          <w:rFonts w:hint="cs"/>
          <w:rtl/>
          <w:lang w:val="en-US" w:bidi="ar-EG"/>
        </w:rPr>
        <w:t xml:space="preserve">انظر </w:t>
      </w:r>
      <w:r w:rsidRPr="00442301">
        <w:rPr>
          <w:rFonts w:hint="cs"/>
          <w:rtl/>
          <w:lang w:val="en-US" w:bidi="ar-EG"/>
        </w:rPr>
        <w:t xml:space="preserve">الفقرة </w:t>
      </w:r>
      <w:r w:rsidR="005F650D">
        <w:rPr>
          <w:lang w:val="en-US"/>
        </w:rPr>
        <w:t>3.10</w:t>
      </w:r>
      <w:r w:rsidRPr="00442301">
        <w:rPr>
          <w:rFonts w:hint="cs"/>
          <w:rtl/>
          <w:lang w:val="en-US" w:bidi="ar-EG"/>
        </w:rPr>
        <w:t xml:space="preserve"> من القرار</w:t>
      </w:r>
      <w:r w:rsidRPr="00ED79B1">
        <w:rPr>
          <w:rFonts w:hint="cs"/>
          <w:rtl/>
        </w:rPr>
        <w:t xml:space="preserve"> </w:t>
      </w:r>
      <w:r w:rsidRPr="00ED79B1">
        <w:t>ITU</w:t>
      </w:r>
      <w:r w:rsidRPr="00ED79B1">
        <w:noBreakHyphen/>
        <w:t>R 1</w:t>
      </w:r>
      <w:r w:rsidRPr="00ED79B1">
        <w:noBreakHyphen/>
        <w:t>6</w:t>
      </w:r>
      <w:r w:rsidRPr="00ED79B1">
        <w:rPr>
          <w:rFonts w:hint="cs"/>
          <w:rtl/>
        </w:rPr>
        <w:t>)</w:t>
      </w:r>
      <w:r w:rsidR="00ED79B1" w:rsidRPr="00ED79B1">
        <w:rPr>
          <w:rFonts w:hint="cs"/>
          <w:rtl/>
        </w:rPr>
        <w:t xml:space="preserve"> على مشروعي توصيتين جديدتين ومشاريع مراجعة </w:t>
      </w:r>
      <w:r w:rsidR="00ED79B1" w:rsidRPr="00ED79B1">
        <w:t>3</w:t>
      </w:r>
      <w:r w:rsidR="00ED79B1" w:rsidRPr="00ED79B1">
        <w:rPr>
          <w:rFonts w:hint="cs"/>
          <w:rtl/>
        </w:rPr>
        <w:t xml:space="preserve"> توصيات لقطاع الاتصالات الراديوية</w:t>
      </w:r>
      <w:r w:rsidRPr="00442301">
        <w:rPr>
          <w:rFonts w:hint="cs"/>
          <w:rtl/>
          <w:lang w:val="en-US" w:bidi="ar-EG"/>
        </w:rPr>
        <w:t>. و</w:t>
      </w:r>
      <w:r w:rsidR="00ED79B1">
        <w:rPr>
          <w:rFonts w:hint="cs"/>
          <w:rtl/>
          <w:lang w:val="en-US" w:bidi="ar-EG"/>
        </w:rPr>
        <w:t>ت</w:t>
      </w:r>
      <w:r w:rsidRPr="00442301">
        <w:rPr>
          <w:rFonts w:hint="cs"/>
          <w:rtl/>
          <w:lang w:val="en-US" w:bidi="ar-EG"/>
        </w:rPr>
        <w:t xml:space="preserve">رد في الملحق عناوين </w:t>
      </w:r>
      <w:r w:rsidR="00FB5CF1">
        <w:rPr>
          <w:rFonts w:hint="cs"/>
          <w:rtl/>
          <w:lang w:val="en-US" w:bidi="ar-EG"/>
        </w:rPr>
        <w:t>و</w:t>
      </w:r>
      <w:r w:rsidRPr="00442301">
        <w:rPr>
          <w:rFonts w:hint="cs"/>
          <w:rtl/>
          <w:lang w:val="en-US" w:bidi="ar-EG"/>
        </w:rPr>
        <w:t>ملخصات مشاريع</w:t>
      </w:r>
      <w:r w:rsidR="00ED79B1">
        <w:rPr>
          <w:rFonts w:hint="cs"/>
          <w:rtl/>
          <w:lang w:val="en-US" w:bidi="ar-EG"/>
        </w:rPr>
        <w:t xml:space="preserve"> </w:t>
      </w:r>
      <w:r w:rsidRPr="00442301">
        <w:rPr>
          <w:rFonts w:hint="cs"/>
          <w:rtl/>
          <w:lang w:val="en-US" w:bidi="ar-EG"/>
        </w:rPr>
        <w:t>التوصيات</w:t>
      </w:r>
      <w:r w:rsidR="00ED79B1">
        <w:rPr>
          <w:rFonts w:hint="cs"/>
          <w:rtl/>
          <w:lang w:val="en-US" w:bidi="ar-EG"/>
        </w:rPr>
        <w:t>.</w:t>
      </w:r>
    </w:p>
    <w:p w:rsidR="00AE050F" w:rsidRPr="00087766" w:rsidRDefault="00442301" w:rsidP="009804F9">
      <w:pPr>
        <w:rPr>
          <w:rtl/>
          <w:lang w:val="en-US" w:bidi="ar-EG"/>
        </w:rPr>
      </w:pPr>
      <w:r w:rsidRPr="00442301">
        <w:rPr>
          <w:rtl/>
          <w:lang w:val="en-US" w:bidi="ar-EG"/>
        </w:rPr>
        <w:t xml:space="preserve">وتمتد فترة النظر </w:t>
      </w:r>
      <w:r w:rsidR="0089247E">
        <w:rPr>
          <w:rFonts w:hint="cs"/>
          <w:rtl/>
          <w:lang w:val="en-US" w:bidi="ar-EG"/>
        </w:rPr>
        <w:t xml:space="preserve">لمدة </w:t>
      </w:r>
      <w:r w:rsidRPr="00442301">
        <w:rPr>
          <w:rFonts w:hint="cs"/>
          <w:rtl/>
          <w:lang w:val="en-US" w:bidi="ar-EG"/>
        </w:rPr>
        <w:t xml:space="preserve">شهرين </w:t>
      </w:r>
      <w:r w:rsidRPr="00442301">
        <w:rPr>
          <w:rtl/>
          <w:lang w:val="en-US" w:bidi="ar-EG"/>
        </w:rPr>
        <w:t>تنتهي في</w:t>
      </w:r>
      <w:r w:rsidR="00ED79B1">
        <w:rPr>
          <w:rFonts w:hint="cs"/>
          <w:rtl/>
          <w:lang w:val="en-US" w:bidi="ar-EG"/>
        </w:rPr>
        <w:t xml:space="preserve"> </w:t>
      </w:r>
      <w:r w:rsidR="00ED79B1">
        <w:rPr>
          <w:lang w:val="en-US" w:bidi="ar-EG"/>
        </w:rPr>
        <w:t>19</w:t>
      </w:r>
      <w:r w:rsidR="00ED79B1">
        <w:rPr>
          <w:rFonts w:hint="cs"/>
          <w:rtl/>
          <w:lang w:val="en-US" w:bidi="ar-EG"/>
        </w:rPr>
        <w:t xml:space="preserve"> ديسمبر </w:t>
      </w:r>
      <w:r w:rsidRPr="00ED79B1">
        <w:rPr>
          <w:lang w:val="en-US" w:bidi="ar-EG"/>
        </w:rPr>
        <w:t>2012</w:t>
      </w:r>
      <w:r w:rsidRPr="00442301">
        <w:rPr>
          <w:rtl/>
          <w:lang w:val="en-US" w:bidi="ar-EG"/>
        </w:rPr>
        <w:t xml:space="preserve">. وإذا لم ترد أي اعتراضات من الدول الأعضاء خلال هذه الفترة فإن </w:t>
      </w:r>
      <w:r w:rsidR="0089247E">
        <w:rPr>
          <w:rFonts w:hint="cs"/>
          <w:rtl/>
          <w:lang w:val="en-US" w:bidi="ar-EG"/>
        </w:rPr>
        <w:t>مشاريع التوصيات</w:t>
      </w:r>
      <w:r w:rsidR="00993516">
        <w:rPr>
          <w:rFonts w:hint="cs"/>
          <w:rtl/>
          <w:lang w:val="en-US" w:bidi="ar-EG"/>
        </w:rPr>
        <w:t xml:space="preserve"> </w:t>
      </w:r>
      <w:r w:rsidR="0089247E">
        <w:rPr>
          <w:rFonts w:hint="cs"/>
          <w:rtl/>
          <w:lang w:val="en-US" w:bidi="ar-EG"/>
        </w:rPr>
        <w:t>تعتبر قد اعتمدتها</w:t>
      </w:r>
      <w:r w:rsidRPr="00442301">
        <w:rPr>
          <w:rtl/>
          <w:lang w:val="en-US" w:bidi="ar-EG"/>
        </w:rPr>
        <w:t xml:space="preserve"> لجنة الدراسات</w:t>
      </w:r>
      <w:r w:rsidRPr="00442301">
        <w:rPr>
          <w:rFonts w:hint="eastAsia"/>
          <w:rtl/>
          <w:lang w:val="en-US" w:bidi="ar-EG"/>
        </w:rPr>
        <w:t> </w:t>
      </w:r>
      <w:r w:rsidR="00ED79B1">
        <w:rPr>
          <w:lang w:val="en-US" w:bidi="ar-EG"/>
        </w:rPr>
        <w:t>4</w:t>
      </w:r>
      <w:r w:rsidRPr="00442301">
        <w:rPr>
          <w:rtl/>
          <w:lang w:val="en-US" w:bidi="ar-EG"/>
        </w:rPr>
        <w:t xml:space="preserve">. </w:t>
      </w:r>
      <w:r w:rsidRPr="00442301">
        <w:rPr>
          <w:rFonts w:hint="cs"/>
          <w:rtl/>
          <w:lang w:val="en-US" w:bidi="ar-EG"/>
        </w:rPr>
        <w:t>وعلاوة على</w:t>
      </w:r>
      <w:r w:rsidRPr="00442301">
        <w:rPr>
          <w:rtl/>
          <w:lang w:val="en-US" w:bidi="ar-EG"/>
        </w:rPr>
        <w:t xml:space="preserve"> ذلك، ولما كان قد تم اتباع إجراء الاعتماد والموافقة في</w:t>
      </w:r>
      <w:r w:rsidRPr="00442301">
        <w:rPr>
          <w:rFonts w:hint="cs"/>
          <w:rtl/>
          <w:lang w:val="en-US" w:bidi="ar-EG"/>
        </w:rPr>
        <w:t> </w:t>
      </w:r>
      <w:r w:rsidRPr="00442301">
        <w:rPr>
          <w:rtl/>
          <w:lang w:val="en-US" w:bidi="ar-EG"/>
        </w:rPr>
        <w:t xml:space="preserve">نفس الوقت عن طريق المراسلة، فإن </w:t>
      </w:r>
      <w:r w:rsidR="0089247E">
        <w:rPr>
          <w:rFonts w:hint="cs"/>
          <w:rtl/>
          <w:lang w:val="en-US" w:bidi="ar-EG"/>
        </w:rPr>
        <w:t>مشاريع التوصيات</w:t>
      </w:r>
      <w:r w:rsidRPr="00442301">
        <w:rPr>
          <w:rtl/>
          <w:lang w:val="en-US" w:bidi="ar-EG"/>
        </w:rPr>
        <w:t xml:space="preserve"> </w:t>
      </w:r>
      <w:r w:rsidR="0089247E">
        <w:rPr>
          <w:rFonts w:hint="cs"/>
          <w:rtl/>
          <w:lang w:val="en-US" w:bidi="ar-EG"/>
        </w:rPr>
        <w:t xml:space="preserve">ستعتبر </w:t>
      </w:r>
      <w:r w:rsidRPr="00442301">
        <w:rPr>
          <w:rtl/>
          <w:lang w:val="en-US" w:bidi="ar-EG"/>
        </w:rPr>
        <w:t xml:space="preserve">أيضاً بحكم الموافق </w:t>
      </w:r>
      <w:r w:rsidR="0089247E">
        <w:rPr>
          <w:rFonts w:hint="cs"/>
          <w:rtl/>
          <w:lang w:val="en-US" w:bidi="ar-EG"/>
        </w:rPr>
        <w:t>عليها</w:t>
      </w:r>
      <w:r w:rsidRPr="00442301">
        <w:rPr>
          <w:rtl/>
          <w:lang w:val="en-US" w:bidi="ar-EG"/>
        </w:rPr>
        <w:t>.</w:t>
      </w:r>
    </w:p>
    <w:p w:rsidR="001C579A" w:rsidRDefault="00442301" w:rsidP="0089247E">
      <w:pPr>
        <w:rPr>
          <w:rtl/>
          <w:lang w:val="en-US" w:bidi="ar-EG"/>
        </w:rPr>
      </w:pPr>
      <w:r w:rsidRPr="00442301">
        <w:rPr>
          <w:rFonts w:hint="cs"/>
          <w:rtl/>
          <w:lang w:val="en-US" w:bidi="ar-EG"/>
        </w:rPr>
        <w:t>ويُطلب من أي دولة عضو تعترض على اعتماد مشروع توصية أن تخبر المدير ورئيس لجنة الدراسات بأسباب اعتراضها.</w:t>
      </w:r>
    </w:p>
    <w:p w:rsidR="00442301" w:rsidRDefault="00442301" w:rsidP="00FB5CF1">
      <w:pPr>
        <w:rPr>
          <w:rtl/>
          <w:lang w:val="en-US" w:bidi="ar-EG"/>
        </w:rPr>
      </w:pPr>
      <w:r w:rsidRPr="00442301">
        <w:rPr>
          <w:rtl/>
          <w:lang w:val="en-US" w:bidi="ar-EG"/>
        </w:rPr>
        <w:t>وبعد المهلة المحددة أعلاه</w:t>
      </w:r>
      <w:r w:rsidRPr="00442301">
        <w:rPr>
          <w:rFonts w:hint="cs"/>
          <w:rtl/>
          <w:lang w:val="en-US" w:bidi="ar-EG"/>
        </w:rPr>
        <w:t>،</w:t>
      </w:r>
      <w:r w:rsidRPr="00442301">
        <w:rPr>
          <w:rtl/>
          <w:lang w:val="en-US" w:bidi="ar-EG"/>
        </w:rPr>
        <w:t xml:space="preserve"> ستعلن نتائج هذا الإجراء في </w:t>
      </w:r>
      <w:r w:rsidR="00FB5CF1">
        <w:rPr>
          <w:rFonts w:hint="cs"/>
          <w:rtl/>
          <w:lang w:val="en-US" w:bidi="ar-EG"/>
        </w:rPr>
        <w:t>رسالة</w:t>
      </w:r>
      <w:r w:rsidRPr="00442301">
        <w:rPr>
          <w:rtl/>
          <w:lang w:val="en-US" w:bidi="ar-EG"/>
        </w:rPr>
        <w:t xml:space="preserve"> إدارية</w:t>
      </w:r>
      <w:r w:rsidRPr="00442301">
        <w:rPr>
          <w:rFonts w:hint="cs"/>
          <w:rtl/>
          <w:lang w:val="en-US" w:bidi="ar-EG"/>
        </w:rPr>
        <w:t xml:space="preserve"> معممة</w:t>
      </w:r>
      <w:r w:rsidRPr="00442301">
        <w:rPr>
          <w:rtl/>
          <w:lang w:val="en-US" w:bidi="ar-EG"/>
        </w:rPr>
        <w:t xml:space="preserve"> وستنشر</w:t>
      </w:r>
      <w:r w:rsidR="0097788B">
        <w:rPr>
          <w:rFonts w:hint="cs"/>
          <w:rtl/>
          <w:lang w:val="en-US" w:bidi="ar-EG"/>
        </w:rPr>
        <w:t xml:space="preserve"> </w:t>
      </w:r>
      <w:r w:rsidRPr="00442301">
        <w:rPr>
          <w:rtl/>
          <w:lang w:val="en-US" w:bidi="ar-EG"/>
        </w:rPr>
        <w:t>التوص</w:t>
      </w:r>
      <w:r w:rsidRPr="00442301">
        <w:rPr>
          <w:rFonts w:hint="cs"/>
          <w:rtl/>
          <w:lang w:val="en-US" w:bidi="ar-EG"/>
        </w:rPr>
        <w:t>يات</w:t>
      </w:r>
      <w:r w:rsidRPr="00442301">
        <w:rPr>
          <w:rtl/>
          <w:lang w:val="en-US" w:bidi="ar-EG"/>
        </w:rPr>
        <w:t xml:space="preserve"> التي تمت الموافقة عليها في</w:t>
      </w:r>
      <w:r w:rsidRPr="00442301">
        <w:rPr>
          <w:rFonts w:hint="cs"/>
          <w:rtl/>
          <w:lang w:val="en-US" w:bidi="ar-EG"/>
        </w:rPr>
        <w:t> </w:t>
      </w:r>
      <w:r w:rsidRPr="00442301">
        <w:rPr>
          <w:rtl/>
          <w:lang w:val="en-US" w:bidi="ar-EG"/>
        </w:rPr>
        <w:t>أقرب وقت</w:t>
      </w:r>
      <w:r w:rsidRPr="00442301">
        <w:rPr>
          <w:rFonts w:hint="cs"/>
          <w:rtl/>
          <w:lang w:val="en-US" w:bidi="ar-EG"/>
        </w:rPr>
        <w:t> </w:t>
      </w:r>
      <w:r w:rsidRPr="00442301">
        <w:rPr>
          <w:rtl/>
          <w:lang w:val="en-US" w:bidi="ar-EG"/>
        </w:rPr>
        <w:t>ممكن</w:t>
      </w:r>
      <w:r w:rsidRPr="00442301">
        <w:rPr>
          <w:rFonts w:hint="cs"/>
          <w:rtl/>
          <w:lang w:val="en-US" w:bidi="ar-EG"/>
        </w:rPr>
        <w:t xml:space="preserve"> (انظر</w:t>
      </w:r>
      <w:r w:rsidR="000A0FE3">
        <w:rPr>
          <w:rFonts w:hint="cs"/>
          <w:rtl/>
          <w:lang w:val="en-US" w:bidi="ar-EG"/>
        </w:rPr>
        <w:t xml:space="preserve"> </w:t>
      </w:r>
      <w:hyperlink r:id="rId10" w:history="1">
        <w:r w:rsidR="000A0FE3" w:rsidRPr="000A0FE3">
          <w:rPr>
            <w:rStyle w:val="Hyperlink"/>
            <w:rFonts w:cs="Traditional Arabic"/>
            <w:lang w:bidi="ar-EG"/>
          </w:rPr>
          <w:t>http://www.itu.int/pub/R-REC</w:t>
        </w:r>
      </w:hyperlink>
      <w:r w:rsidRPr="00442301">
        <w:rPr>
          <w:rFonts w:hint="cs"/>
          <w:rtl/>
          <w:lang w:val="en-US" w:bidi="ar-EG"/>
        </w:rPr>
        <w:t>).</w:t>
      </w:r>
    </w:p>
    <w:p w:rsidR="00442301" w:rsidRPr="000810C4" w:rsidRDefault="00442301" w:rsidP="000A0FE3">
      <w:pPr>
        <w:pageBreakBefore/>
        <w:rPr>
          <w:spacing w:val="-6"/>
          <w:rtl/>
          <w:lang w:val="en-US" w:bidi="ar-EG"/>
        </w:rPr>
      </w:pPr>
      <w:r w:rsidRPr="000810C4">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0810C4">
        <w:rPr>
          <w:spacing w:val="-6"/>
          <w:lang w:val="en-US" w:bidi="ar-EG"/>
        </w:rPr>
        <w:t>"ITU</w:t>
      </w:r>
      <w:r w:rsidRPr="000810C4">
        <w:rPr>
          <w:spacing w:val="-6"/>
          <w:lang w:val="en-US" w:bidi="ar-EG"/>
        </w:rPr>
        <w:noBreakHyphen/>
        <w:t>T/ITU</w:t>
      </w:r>
      <w:r w:rsidRPr="000810C4">
        <w:rPr>
          <w:spacing w:val="-6"/>
          <w:lang w:val="en-US" w:bidi="ar-EG"/>
        </w:rPr>
        <w:noBreakHyphen/>
        <w:t>R/ISO/IEC"</w:t>
      </w:r>
      <w:r w:rsidRPr="000810C4">
        <w:rPr>
          <w:spacing w:val="-6"/>
          <w:rtl/>
          <w:lang w:val="en-US" w:bidi="ar-EG"/>
        </w:rPr>
        <w:t xml:space="preserve"> في الموقع الإلكتروني</w:t>
      </w:r>
      <w:r w:rsidRPr="000810C4">
        <w:rPr>
          <w:rFonts w:hint="cs"/>
          <w:spacing w:val="-6"/>
          <w:rtl/>
          <w:lang w:val="en-US" w:bidi="ar-EG"/>
        </w:rPr>
        <w:t>:</w:t>
      </w:r>
      <w:r w:rsidR="000A0FE3">
        <w:rPr>
          <w:rFonts w:hint="cs"/>
          <w:spacing w:val="-6"/>
          <w:rtl/>
          <w:lang w:val="en-US" w:bidi="ar-EG"/>
        </w:rPr>
        <w:t xml:space="preserve"> </w:t>
      </w:r>
      <w:hyperlink r:id="rId11" w:history="1">
        <w:r w:rsidR="000A0FE3" w:rsidRPr="000A0FE3">
          <w:rPr>
            <w:rStyle w:val="Hyperlink"/>
            <w:rFonts w:cs="Traditional Arabic"/>
            <w:spacing w:val="-6"/>
            <w:lang w:bidi="ar-EG"/>
          </w:rPr>
          <w:t>http://www.itu.int/ITU</w:t>
        </w:r>
        <w:r w:rsidR="000A0FE3" w:rsidRPr="000A0FE3">
          <w:rPr>
            <w:rStyle w:val="Hyperlink"/>
            <w:rFonts w:cs="Traditional Arabic"/>
            <w:spacing w:val="-6"/>
            <w:lang w:bidi="ar-EG"/>
          </w:rPr>
          <w:noBreakHyphen/>
          <w:t>T/dbase/patent/patent-policy.html</w:t>
        </w:r>
      </w:hyperlink>
      <w:r w:rsidRPr="000810C4">
        <w:rPr>
          <w:spacing w:val="-6"/>
          <w:rtl/>
          <w:lang w:val="en-US" w:bidi="ar-EG"/>
        </w:rPr>
        <w:t>.</w:t>
      </w:r>
    </w:p>
    <w:p w:rsidR="00AE050F" w:rsidRDefault="003F60F7" w:rsidP="00FB70C2">
      <w:pPr>
        <w:spacing w:before="1440"/>
        <w:ind w:left="5103"/>
        <w:jc w:val="center"/>
        <w:rPr>
          <w:sz w:val="30"/>
          <w:rtl/>
          <w:lang w:val="en-US" w:bidi="ar-EG"/>
        </w:rPr>
      </w:pPr>
      <w:r>
        <w:rPr>
          <w:rFonts w:hint="cs"/>
          <w:sz w:val="30"/>
          <w:rtl/>
          <w:lang w:val="en-US" w:bidi="ar-EG"/>
        </w:rPr>
        <w:t>فرانسوا</w:t>
      </w:r>
      <w:r w:rsidR="00B61A1A">
        <w:rPr>
          <w:rFonts w:hint="eastAsia"/>
          <w:sz w:val="30"/>
          <w:rtl/>
          <w:lang w:val="en-US" w:bidi="ar-EG"/>
        </w:rPr>
        <w:t> </w:t>
      </w:r>
      <w:r>
        <w:rPr>
          <w:rFonts w:hint="cs"/>
          <w:sz w:val="30"/>
          <w:rtl/>
          <w:lang w:val="en-US" w:bidi="ar-EG"/>
        </w:rPr>
        <w:t>رانسي</w:t>
      </w:r>
      <w:r w:rsidR="00AE050F" w:rsidRPr="00CB4CC7">
        <w:rPr>
          <w:sz w:val="30"/>
          <w:rtl/>
          <w:lang w:val="en-US" w:bidi="ar-EG"/>
        </w:rPr>
        <w:br/>
        <w:t>مدير مكتب الاتصالات الراديوية</w:t>
      </w:r>
    </w:p>
    <w:p w:rsidR="00AE050F" w:rsidRPr="00442301" w:rsidRDefault="00442301" w:rsidP="009804F9">
      <w:pPr>
        <w:tabs>
          <w:tab w:val="clear" w:pos="794"/>
        </w:tabs>
        <w:spacing w:before="600"/>
        <w:rPr>
          <w:rtl/>
          <w:lang w:val="en-US" w:bidi="ar-EG"/>
        </w:rPr>
      </w:pPr>
      <w:r w:rsidRPr="0097788B">
        <w:rPr>
          <w:b/>
          <w:bCs/>
          <w:rtl/>
          <w:lang w:val="en-US" w:bidi="ar-EG"/>
        </w:rPr>
        <w:t>الملحق:</w:t>
      </w:r>
      <w:r w:rsidR="009804F9">
        <w:rPr>
          <w:rFonts w:hint="cs"/>
          <w:b/>
          <w:bCs/>
          <w:rtl/>
          <w:lang w:val="en-US" w:bidi="ar-EG"/>
        </w:rPr>
        <w:tab/>
      </w:r>
      <w:r w:rsidRPr="00442301">
        <w:rPr>
          <w:rFonts w:hint="cs"/>
          <w:rtl/>
          <w:lang w:val="en-US" w:bidi="ar-EG"/>
        </w:rPr>
        <w:t xml:space="preserve">عناوين </w:t>
      </w:r>
      <w:r w:rsidR="009804F9">
        <w:rPr>
          <w:rFonts w:hint="cs"/>
          <w:rtl/>
          <w:lang w:val="en-US" w:bidi="ar-EG"/>
        </w:rPr>
        <w:t>و</w:t>
      </w:r>
      <w:r w:rsidRPr="00442301">
        <w:rPr>
          <w:rFonts w:hint="cs"/>
          <w:rtl/>
          <w:lang w:val="en-US" w:bidi="ar-EG"/>
        </w:rPr>
        <w:t>ملخصات مشاريع التوصيات.</w:t>
      </w:r>
    </w:p>
    <w:p w:rsidR="00442301" w:rsidRDefault="00442301" w:rsidP="008404C8">
      <w:pPr>
        <w:spacing w:before="600"/>
        <w:rPr>
          <w:rtl/>
          <w:lang w:val="en-US" w:bidi="ar-EG"/>
        </w:rPr>
      </w:pPr>
      <w:r w:rsidRPr="0097788B">
        <w:rPr>
          <w:rFonts w:hint="cs"/>
          <w:b/>
          <w:bCs/>
          <w:rtl/>
          <w:lang w:val="en-US" w:bidi="ar-EG"/>
        </w:rPr>
        <w:t>الوثائق</w:t>
      </w:r>
      <w:r w:rsidRPr="0097788B">
        <w:rPr>
          <w:b/>
          <w:bCs/>
          <w:rtl/>
          <w:lang w:val="en-US" w:bidi="ar-EG"/>
        </w:rPr>
        <w:t>:</w:t>
      </w:r>
      <w:r w:rsidRPr="00442301">
        <w:rPr>
          <w:rFonts w:hint="cs"/>
          <w:rtl/>
          <w:lang w:val="en-US" w:bidi="ar-EG"/>
        </w:rPr>
        <w:tab/>
      </w:r>
      <w:r w:rsidR="009804F9">
        <w:rPr>
          <w:rFonts w:hint="cs"/>
          <w:rtl/>
          <w:lang w:val="en-US" w:bidi="ar-EG"/>
        </w:rPr>
        <w:t>الوثائق</w:t>
      </w:r>
      <w:r w:rsidRPr="00442301">
        <w:rPr>
          <w:rFonts w:hint="cs"/>
          <w:rtl/>
          <w:lang w:val="en-US" w:bidi="ar-EG"/>
        </w:rPr>
        <w:t xml:space="preserve"> </w:t>
      </w:r>
      <w:r w:rsidR="009804F9">
        <w:rPr>
          <w:lang w:val="en-US" w:bidi="ar-EG"/>
        </w:rPr>
        <w:t>4</w:t>
      </w:r>
      <w:r w:rsidRPr="00442301">
        <w:rPr>
          <w:lang w:val="en-US" w:bidi="ar-EG"/>
        </w:rPr>
        <w:t>/</w:t>
      </w:r>
      <w:r w:rsidR="009804F9">
        <w:rPr>
          <w:lang w:val="en-US" w:bidi="ar-EG"/>
        </w:rPr>
        <w:t>11</w:t>
      </w:r>
      <w:r w:rsidRPr="00442301">
        <w:rPr>
          <w:lang w:val="en-US" w:bidi="ar-EG"/>
        </w:rPr>
        <w:t>(Rev.1)</w:t>
      </w:r>
      <w:r w:rsidR="009804F9">
        <w:rPr>
          <w:rFonts w:hint="cs"/>
          <w:rtl/>
          <w:lang w:val="en-US" w:bidi="ar-EG"/>
        </w:rPr>
        <w:t xml:space="preserve"> و</w:t>
      </w:r>
      <w:r w:rsidR="008404C8">
        <w:rPr>
          <w:lang w:val="en-US" w:bidi="ar-EG"/>
        </w:rPr>
        <w:t>4</w:t>
      </w:r>
      <w:r w:rsidR="008404C8" w:rsidRPr="00442301">
        <w:rPr>
          <w:lang w:val="en-US" w:bidi="ar-EG"/>
        </w:rPr>
        <w:t>/</w:t>
      </w:r>
      <w:r w:rsidR="008404C8">
        <w:rPr>
          <w:lang w:val="en-US" w:bidi="ar-EG"/>
        </w:rPr>
        <w:t>1</w:t>
      </w:r>
      <w:r w:rsidR="008404C8">
        <w:rPr>
          <w:lang w:val="en-US" w:bidi="ar-EG"/>
        </w:rPr>
        <w:t>2</w:t>
      </w:r>
      <w:bookmarkStart w:id="3" w:name="_GoBack"/>
      <w:bookmarkEnd w:id="3"/>
      <w:r w:rsidR="008404C8" w:rsidRPr="00442301">
        <w:rPr>
          <w:lang w:val="en-US" w:bidi="ar-EG"/>
        </w:rPr>
        <w:t>(Rev.1)</w:t>
      </w:r>
      <w:r w:rsidR="008404C8" w:rsidRPr="008404C8">
        <w:rPr>
          <w:rFonts w:hint="cs"/>
          <w:rtl/>
          <w:lang w:val="en-US"/>
        </w:rPr>
        <w:t xml:space="preserve"> </w:t>
      </w:r>
      <w:r w:rsidR="008404C8">
        <w:rPr>
          <w:rFonts w:hint="cs"/>
          <w:rtl/>
          <w:lang w:val="en-US"/>
        </w:rPr>
        <w:t>و</w:t>
      </w:r>
      <w:r w:rsidR="008404C8">
        <w:rPr>
          <w:lang w:val="en-US" w:bidi="ar-EG"/>
        </w:rPr>
        <w:t xml:space="preserve"> </w:t>
      </w:r>
      <w:r w:rsidR="009804F9">
        <w:rPr>
          <w:lang w:val="en-US" w:bidi="ar-EG"/>
        </w:rPr>
        <w:t>4</w:t>
      </w:r>
      <w:r w:rsidR="009804F9" w:rsidRPr="00442301">
        <w:rPr>
          <w:lang w:val="en-US" w:bidi="ar-EG"/>
        </w:rPr>
        <w:t>/</w:t>
      </w:r>
      <w:r w:rsidR="009804F9">
        <w:rPr>
          <w:lang w:val="en-US" w:bidi="ar-EG"/>
        </w:rPr>
        <w:t>17</w:t>
      </w:r>
      <w:r w:rsidR="009804F9" w:rsidRPr="00442301">
        <w:rPr>
          <w:lang w:val="en-US" w:bidi="ar-EG"/>
        </w:rPr>
        <w:t>(Rev.1)</w:t>
      </w:r>
      <w:r w:rsidR="009804F9">
        <w:rPr>
          <w:rFonts w:hint="cs"/>
          <w:rtl/>
          <w:lang w:val="en-US"/>
        </w:rPr>
        <w:t xml:space="preserve"> و</w:t>
      </w:r>
      <w:r w:rsidR="009804F9">
        <w:rPr>
          <w:lang w:val="en-US" w:bidi="ar-EG"/>
        </w:rPr>
        <w:t>4</w:t>
      </w:r>
      <w:r w:rsidR="009804F9" w:rsidRPr="00442301">
        <w:rPr>
          <w:lang w:val="en-US" w:bidi="ar-EG"/>
        </w:rPr>
        <w:t>/</w:t>
      </w:r>
      <w:r w:rsidR="009804F9">
        <w:rPr>
          <w:lang w:val="en-US" w:bidi="ar-EG"/>
        </w:rPr>
        <w:t>18</w:t>
      </w:r>
      <w:r w:rsidR="009804F9" w:rsidRPr="00442301">
        <w:rPr>
          <w:lang w:val="en-US" w:bidi="ar-EG"/>
        </w:rPr>
        <w:t>(Rev.1)</w:t>
      </w:r>
      <w:r w:rsidR="009804F9">
        <w:rPr>
          <w:rFonts w:hint="cs"/>
          <w:rtl/>
          <w:lang w:val="en-US" w:bidi="ar-EG"/>
        </w:rPr>
        <w:t xml:space="preserve"> و</w:t>
      </w:r>
      <w:r w:rsidR="009804F9">
        <w:rPr>
          <w:lang w:val="en-US" w:bidi="ar-EG"/>
        </w:rPr>
        <w:t>4</w:t>
      </w:r>
      <w:r w:rsidR="009804F9" w:rsidRPr="00442301">
        <w:rPr>
          <w:lang w:val="en-US" w:bidi="ar-EG"/>
        </w:rPr>
        <w:t>/</w:t>
      </w:r>
      <w:r w:rsidR="009804F9">
        <w:rPr>
          <w:lang w:val="en-US" w:bidi="ar-EG"/>
        </w:rPr>
        <w:t>20</w:t>
      </w:r>
      <w:r w:rsidR="009804F9" w:rsidRPr="00442301">
        <w:rPr>
          <w:lang w:val="en-US" w:bidi="ar-EG"/>
        </w:rPr>
        <w:t>(Rev.1)</w:t>
      </w:r>
    </w:p>
    <w:p w:rsidR="009804F9" w:rsidRPr="00442301" w:rsidRDefault="009804F9" w:rsidP="009804F9">
      <w:pPr>
        <w:spacing w:before="240"/>
        <w:rPr>
          <w:rtl/>
          <w:lang w:val="en-US" w:bidi="ar-EG"/>
        </w:rPr>
      </w:pPr>
      <w:r>
        <w:rPr>
          <w:rFonts w:hint="cs"/>
          <w:rtl/>
          <w:lang w:val="en-US" w:bidi="ar-EG"/>
        </w:rPr>
        <w:t xml:space="preserve">هذه الوثائق متاحة بنسق إلكتروني على: </w:t>
      </w:r>
      <w:hyperlink r:id="rId12" w:history="1">
        <w:r w:rsidR="00CF1335" w:rsidRPr="00EA1FB0">
          <w:rPr>
            <w:rStyle w:val="Hyperlink"/>
            <w:lang w:val="en-US"/>
          </w:rPr>
          <w:t>http://www.itu.int/md/R12-SG04-C</w:t>
        </w:r>
      </w:hyperlink>
    </w:p>
    <w:p w:rsidR="00AE050F" w:rsidRDefault="00AE050F" w:rsidP="0097788B">
      <w:pPr>
        <w:spacing w:before="4440"/>
        <w:rPr>
          <w:sz w:val="18"/>
          <w:szCs w:val="24"/>
          <w:rtl/>
          <w:lang w:val="en-US" w:bidi="ar-EG"/>
        </w:rPr>
      </w:pPr>
      <w:bookmarkStart w:id="4" w:name="ddistribution"/>
      <w:bookmarkEnd w:id="4"/>
      <w:r w:rsidRPr="00DC68DE">
        <w:rPr>
          <w:b/>
          <w:bCs/>
          <w:sz w:val="18"/>
          <w:szCs w:val="24"/>
          <w:rtl/>
          <w:lang w:val="en-US" w:bidi="ar-EG"/>
        </w:rPr>
        <w:t>التوزيع</w:t>
      </w:r>
      <w:r>
        <w:rPr>
          <w:sz w:val="18"/>
          <w:szCs w:val="24"/>
          <w:rtl/>
          <w:lang w:val="en-US" w:bidi="ar-EG"/>
        </w:rPr>
        <w:t>:</w:t>
      </w:r>
    </w:p>
    <w:p w:rsidR="00AE050F" w:rsidRPr="002F45BB" w:rsidRDefault="00442301" w:rsidP="00442301">
      <w:pPr>
        <w:tabs>
          <w:tab w:val="left" w:pos="425"/>
        </w:tabs>
        <w:spacing w:before="60" w:line="168" w:lineRule="auto"/>
        <w:rPr>
          <w:sz w:val="18"/>
          <w:szCs w:val="24"/>
          <w:rtl/>
          <w:lang w:val="fr-CH" w:bidi="ar-EG"/>
        </w:rPr>
      </w:pPr>
      <w:r w:rsidRPr="00442301">
        <w:rPr>
          <w:rFonts w:hint="cs"/>
          <w:sz w:val="18"/>
          <w:szCs w:val="24"/>
          <w:rtl/>
          <w:lang w:val="fr-CH" w:bidi="ar-EG"/>
        </w:rPr>
        <w:t>-</w:t>
      </w:r>
      <w:r w:rsidRPr="00442301">
        <w:rPr>
          <w:rFonts w:hint="cs"/>
          <w:sz w:val="18"/>
          <w:szCs w:val="24"/>
          <w:rtl/>
          <w:lang w:val="fr-CH" w:bidi="ar-EG"/>
        </w:rPr>
        <w:tab/>
      </w:r>
      <w:r w:rsidRPr="00442301">
        <w:rPr>
          <w:sz w:val="18"/>
          <w:szCs w:val="24"/>
          <w:rtl/>
          <w:lang w:val="fr-CH" w:bidi="ar-EG"/>
        </w:rPr>
        <w:t>إدارات الدول الأعضاء</w:t>
      </w:r>
      <w:r w:rsidRPr="00442301">
        <w:rPr>
          <w:rFonts w:hint="cs"/>
          <w:sz w:val="18"/>
          <w:szCs w:val="24"/>
          <w:rtl/>
          <w:lang w:val="fr-CH" w:bidi="ar-EG"/>
        </w:rPr>
        <w:t xml:space="preserve"> في الاتحاد</w:t>
      </w:r>
      <w:r w:rsidRPr="00442301">
        <w:rPr>
          <w:sz w:val="18"/>
          <w:szCs w:val="24"/>
          <w:rtl/>
          <w:lang w:val="fr-CH" w:bidi="ar-EG"/>
        </w:rPr>
        <w:t xml:space="preserve"> وأعضاء قطاع الاتصالات الراديوية</w:t>
      </w:r>
      <w:r w:rsidRPr="00442301">
        <w:rPr>
          <w:rFonts w:hint="cs"/>
          <w:sz w:val="18"/>
          <w:szCs w:val="24"/>
          <w:rtl/>
          <w:lang w:val="fr-CH" w:bidi="ar-EG"/>
        </w:rPr>
        <w:t xml:space="preserve"> المشاركون في أعمال لجنة الدراسات </w:t>
      </w:r>
      <w:r w:rsidR="00CF1335">
        <w:rPr>
          <w:sz w:val="18"/>
          <w:szCs w:val="24"/>
          <w:lang w:val="fr-CH" w:bidi="ar-EG"/>
        </w:rPr>
        <w:t>4</w:t>
      </w:r>
      <w:r w:rsidRPr="00442301">
        <w:rPr>
          <w:rFonts w:hint="cs"/>
          <w:sz w:val="18"/>
          <w:szCs w:val="24"/>
          <w:rtl/>
          <w:lang w:val="fr-CH" w:bidi="ar-EG"/>
        </w:rPr>
        <w:t xml:space="preserve"> للاتصالات الراديوية</w:t>
      </w:r>
    </w:p>
    <w:p w:rsidR="00442301" w:rsidRDefault="00442301" w:rsidP="00442301">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sidR="00CF1335">
        <w:rPr>
          <w:sz w:val="18"/>
          <w:szCs w:val="24"/>
          <w:lang w:val="fr-CH" w:bidi="ar-EG"/>
        </w:rPr>
        <w:t>4</w:t>
      </w:r>
      <w:r>
        <w:rPr>
          <w:sz w:val="18"/>
          <w:szCs w:val="24"/>
          <w:rtl/>
          <w:lang w:val="en-US" w:bidi="ar-EG"/>
        </w:rPr>
        <w:t xml:space="preserve"> للاتصالات الراديوية</w:t>
      </w:r>
    </w:p>
    <w:p w:rsidR="00442301" w:rsidRPr="002F45BB" w:rsidRDefault="00442301" w:rsidP="00442301">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442301" w:rsidRDefault="00442301" w:rsidP="00442301">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442301" w:rsidRDefault="00442301" w:rsidP="00442301">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442301" w:rsidRDefault="00442301" w:rsidP="00442301">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442301" w:rsidRDefault="00442301" w:rsidP="00442301">
      <w:pPr>
        <w:tabs>
          <w:tab w:val="left" w:pos="425"/>
        </w:tabs>
        <w:spacing w:before="0" w:line="168" w:lineRule="auto"/>
        <w:rPr>
          <w:sz w:val="18"/>
          <w:szCs w:val="24"/>
          <w:rtl/>
          <w:lang w:val="en-US" w:bidi="ar-EG"/>
        </w:rPr>
      </w:pPr>
      <w:r w:rsidRPr="00442301">
        <w:rPr>
          <w:sz w:val="18"/>
          <w:szCs w:val="24"/>
          <w:rtl/>
          <w:lang w:val="en-US" w:bidi="ar-EG"/>
        </w:rPr>
        <w:t>-</w:t>
      </w:r>
      <w:r w:rsidRPr="00442301">
        <w:rPr>
          <w:sz w:val="18"/>
          <w:szCs w:val="24"/>
          <w:rtl/>
          <w:lang w:val="en-US" w:bidi="ar-EG"/>
        </w:rPr>
        <w:tab/>
        <w:t>الأمين العام للاتحاد ومدير مكتب تقييس الاتصالات ومدير مكتب تنمية الاتصالات</w:t>
      </w:r>
    </w:p>
    <w:p w:rsidR="00442301" w:rsidRPr="00CF1335" w:rsidRDefault="00AE050F" w:rsidP="00CF1335">
      <w:pPr>
        <w:pStyle w:val="AnnexNo"/>
        <w:spacing w:after="120"/>
        <w:rPr>
          <w:b w:val="0"/>
          <w:bCs w:val="0"/>
          <w:lang w:val="en-US"/>
        </w:rPr>
      </w:pPr>
      <w:r w:rsidRPr="00CE166F">
        <w:rPr>
          <w:b w:val="0"/>
          <w:bCs w:val="0"/>
          <w:rtl/>
        </w:rPr>
        <w:br w:type="page"/>
      </w:r>
      <w:r w:rsidR="00442301" w:rsidRPr="00CE166F">
        <w:rPr>
          <w:rFonts w:hint="eastAsia"/>
          <w:b w:val="0"/>
          <w:bCs w:val="0"/>
          <w:rtl/>
        </w:rPr>
        <w:t>ال</w:t>
      </w:r>
      <w:r w:rsidR="00DF4E25">
        <w:rPr>
          <w:rFonts w:ascii="MS Mincho" w:eastAsia="MS Mincho" w:hAnsi="MS Mincho" w:cs="MS Mincho" w:hint="cs"/>
          <w:b w:val="0"/>
          <w:bCs w:val="0"/>
          <w:rtl/>
        </w:rPr>
        <w:t>‍</w:t>
      </w:r>
      <w:r w:rsidR="00442301" w:rsidRPr="00CE166F">
        <w:rPr>
          <w:rFonts w:hint="eastAsia"/>
          <w:b w:val="0"/>
          <w:bCs w:val="0"/>
          <w:rtl/>
        </w:rPr>
        <w:t>ملحـق</w:t>
      </w:r>
    </w:p>
    <w:p w:rsidR="00442301" w:rsidRDefault="00442301" w:rsidP="00CF1335">
      <w:pPr>
        <w:pStyle w:val="Annextitle"/>
        <w:spacing w:after="960"/>
        <w:rPr>
          <w:rtl/>
        </w:rPr>
      </w:pPr>
      <w:r>
        <w:rPr>
          <w:rFonts w:hint="cs"/>
          <w:rtl/>
        </w:rPr>
        <w:t>عناوين وملخصات</w:t>
      </w:r>
      <w:r w:rsidR="00CF1335">
        <w:rPr>
          <w:rFonts w:hint="cs"/>
          <w:rtl/>
        </w:rPr>
        <w:t xml:space="preserve"> </w:t>
      </w:r>
      <w:r>
        <w:rPr>
          <w:rFonts w:hint="cs"/>
          <w:rtl/>
        </w:rPr>
        <w:t>مشاريع</w:t>
      </w:r>
      <w:r w:rsidR="00CF1335">
        <w:rPr>
          <w:rFonts w:hint="cs"/>
          <w:rtl/>
        </w:rPr>
        <w:t xml:space="preserve"> </w:t>
      </w:r>
      <w:r>
        <w:rPr>
          <w:rFonts w:hint="cs"/>
          <w:rtl/>
        </w:rPr>
        <w:t>التوصيات</w:t>
      </w:r>
    </w:p>
    <w:p w:rsidR="00DB5730" w:rsidRDefault="00DB5730" w:rsidP="00126477">
      <w:pPr>
        <w:keepNext/>
        <w:tabs>
          <w:tab w:val="left" w:pos="229"/>
          <w:tab w:val="right" w:pos="9639"/>
        </w:tabs>
        <w:spacing w:before="240"/>
        <w:rPr>
          <w:rtl/>
          <w:lang w:val="en-US" w:bidi="ar-EG"/>
        </w:rPr>
      </w:pPr>
      <w:r w:rsidRPr="00DB5730">
        <w:rPr>
          <w:rFonts w:hint="cs"/>
          <w:u w:val="single"/>
          <w:rtl/>
        </w:rPr>
        <w:t xml:space="preserve">مشروع التوصية الجديدة </w:t>
      </w:r>
      <w:r>
        <w:rPr>
          <w:u w:val="single"/>
        </w:rPr>
        <w:t>ITU-R M.[PULSE_EVAL</w:t>
      </w:r>
      <w:r w:rsidRPr="00DB5730">
        <w:rPr>
          <w:u w:val="single"/>
        </w:rPr>
        <w:t>]</w:t>
      </w:r>
      <w:r w:rsidRPr="00DB5730">
        <w:rPr>
          <w:rFonts w:hint="cs"/>
          <w:rtl/>
        </w:rPr>
        <w:tab/>
        <w:t>الوثيقة</w:t>
      </w:r>
      <w:r>
        <w:rPr>
          <w:rFonts w:hint="cs"/>
          <w:rtl/>
        </w:rPr>
        <w:t xml:space="preserve"> </w:t>
      </w:r>
      <w:r w:rsidR="0019114D">
        <w:rPr>
          <w:lang w:val="en-US"/>
        </w:rPr>
        <w:t>4/11(</w:t>
      </w:r>
      <w:r w:rsidR="0019114D">
        <w:rPr>
          <w:lang w:val="en-US" w:bidi="ar-EG"/>
        </w:rPr>
        <w:t>Rev.1)</w:t>
      </w:r>
    </w:p>
    <w:p w:rsidR="0019114D" w:rsidRDefault="00CF1335" w:rsidP="00CF1335">
      <w:pPr>
        <w:pStyle w:val="Rectitle"/>
        <w:rPr>
          <w:rtl/>
          <w:lang w:bidi="ar-EG"/>
        </w:rPr>
      </w:pPr>
      <w:r>
        <w:rPr>
          <w:rFonts w:hint="cs"/>
          <w:rtl/>
          <w:lang w:bidi="ar-EG"/>
        </w:rPr>
        <w:t>طريقة لتقييم التداخل النبض</w:t>
      </w:r>
      <w:r w:rsidR="00FB5CF1">
        <w:rPr>
          <w:rFonts w:hint="cs"/>
          <w:rtl/>
          <w:lang w:bidi="ar-EG"/>
        </w:rPr>
        <w:t>ي</w:t>
      </w:r>
      <w:r>
        <w:rPr>
          <w:rFonts w:hint="cs"/>
          <w:rtl/>
          <w:lang w:bidi="ar-EG"/>
        </w:rPr>
        <w:t xml:space="preserve"> من المصادر الراديوية ذات الصلة خلاف المصادر</w:t>
      </w:r>
      <w:r>
        <w:rPr>
          <w:rtl/>
          <w:lang w:bidi="ar-EG"/>
        </w:rPr>
        <w:br/>
      </w:r>
      <w:r>
        <w:rPr>
          <w:rFonts w:hint="cs"/>
          <w:rtl/>
          <w:lang w:bidi="ar-EG"/>
        </w:rPr>
        <w:t xml:space="preserve">العاملة </w:t>
      </w:r>
      <w:r w:rsidR="00FB5CF1">
        <w:rPr>
          <w:rFonts w:hint="cs"/>
          <w:rtl/>
          <w:lang w:bidi="ar-EG"/>
        </w:rPr>
        <w:t xml:space="preserve">في </w:t>
      </w:r>
      <w:r>
        <w:rPr>
          <w:rFonts w:hint="cs"/>
          <w:rtl/>
          <w:lang w:bidi="ar-EG"/>
        </w:rPr>
        <w:t>خدمة الملاحة الراديوية الساتلية على أنظمة خدمة الملاحة الراديوية الساتلية</w:t>
      </w:r>
      <w:r>
        <w:rPr>
          <w:rtl/>
          <w:lang w:bidi="ar-EG"/>
        </w:rPr>
        <w:br/>
      </w:r>
      <w:r>
        <w:rPr>
          <w:rFonts w:hint="cs"/>
          <w:rtl/>
          <w:lang w:bidi="ar-EG"/>
        </w:rPr>
        <w:t>وشبكاتها</w:t>
      </w:r>
      <w:r w:rsidR="00FB5CF1">
        <w:rPr>
          <w:rFonts w:hint="cs"/>
          <w:rtl/>
          <w:lang w:bidi="ar-EG"/>
        </w:rPr>
        <w:t xml:space="preserve"> </w:t>
      </w:r>
      <w:r>
        <w:rPr>
          <w:rFonts w:hint="cs"/>
          <w:rtl/>
          <w:lang w:bidi="ar-EG"/>
        </w:rPr>
        <w:t xml:space="preserve">العاملة في نطاق التردد </w:t>
      </w:r>
      <w:r>
        <w:t>MHz 1 215-1 164</w:t>
      </w:r>
      <w:r>
        <w:rPr>
          <w:rFonts w:hint="cs"/>
          <w:rtl/>
          <w:lang w:bidi="ar-EG"/>
        </w:rPr>
        <w:t xml:space="preserve"> و</w:t>
      </w:r>
      <w:r>
        <w:t>MHz 1 300-1 215</w:t>
      </w:r>
      <w:r>
        <w:rPr>
          <w:rFonts w:hint="cs"/>
          <w:rtl/>
          <w:lang w:bidi="ar-EG"/>
        </w:rPr>
        <w:t xml:space="preserve"> و</w:t>
      </w:r>
      <w:r>
        <w:t>MHz 1 610</w:t>
      </w:r>
      <w:r>
        <w:noBreakHyphen/>
        <w:t>1 559</w:t>
      </w:r>
    </w:p>
    <w:p w:rsidR="00CF1335" w:rsidRDefault="00CF1335" w:rsidP="00FB5CF1">
      <w:pPr>
        <w:pStyle w:val="Normalaftertitle"/>
        <w:rPr>
          <w:rtl/>
        </w:rPr>
      </w:pPr>
      <w:r>
        <w:rPr>
          <w:rFonts w:hint="cs"/>
          <w:rtl/>
          <w:lang w:val="en-US" w:bidi="ar-EG"/>
        </w:rPr>
        <w:t xml:space="preserve">توفر هذه </w:t>
      </w:r>
      <w:r>
        <w:rPr>
          <w:rFonts w:hint="cs"/>
          <w:rtl/>
          <w:lang w:val="en-US"/>
        </w:rPr>
        <w:t>التوصية</w:t>
      </w:r>
      <w:r>
        <w:rPr>
          <w:rFonts w:hint="cs"/>
          <w:rtl/>
          <w:lang w:val="en-US" w:bidi="ar-EG"/>
        </w:rPr>
        <w:t xml:space="preserve"> طريقة للاستعمال في التقييم الأولي لإمكانية تسبب بعض المصادر الراديوية خلاف المصادر العاملة في خدمة الملاحة الراديوية الساتلية </w:t>
      </w:r>
      <w:r>
        <w:t>(RNSS)</w:t>
      </w:r>
      <w:r>
        <w:rPr>
          <w:rFonts w:hint="cs"/>
          <w:rtl/>
          <w:lang w:bidi="ar-EG"/>
        </w:rPr>
        <w:t xml:space="preserve"> في تداخلات نبضية على نظام أو شبكة في الخدمة </w:t>
      </w:r>
      <w:r>
        <w:t>RNSS</w:t>
      </w:r>
      <w:r>
        <w:rPr>
          <w:rFonts w:hint="cs"/>
          <w:rtl/>
          <w:lang w:bidi="ar-EG"/>
        </w:rPr>
        <w:t xml:space="preserve"> يعملان في النطاقات</w:t>
      </w:r>
      <w:r>
        <w:rPr>
          <w:rFonts w:hint="cs"/>
          <w:rtl/>
          <w:lang w:val="en-US" w:bidi="ar-EG"/>
        </w:rPr>
        <w:t xml:space="preserve"> </w:t>
      </w:r>
      <w:r>
        <w:t>MHz 1 215-1 164</w:t>
      </w:r>
      <w:r>
        <w:rPr>
          <w:rFonts w:hint="cs"/>
          <w:rtl/>
          <w:lang w:bidi="ar-EG"/>
        </w:rPr>
        <w:t xml:space="preserve"> و</w:t>
      </w:r>
      <w:r>
        <w:t>MHz 1 300-1 215</w:t>
      </w:r>
      <w:r>
        <w:rPr>
          <w:rFonts w:hint="cs"/>
          <w:rtl/>
          <w:lang w:bidi="ar-EG"/>
        </w:rPr>
        <w:t xml:space="preserve"> و</w:t>
      </w:r>
      <w:r>
        <w:t>MHz 1 610</w:t>
      </w:r>
      <w:r>
        <w:noBreakHyphen/>
        <w:t>1 559</w:t>
      </w:r>
      <w:r>
        <w:rPr>
          <w:rFonts w:hint="cs"/>
          <w:rtl/>
        </w:rPr>
        <w:t xml:space="preserve">. وتتألف طريقة التقييم من مجموعة من المعادلات بالإضافة إلى </w:t>
      </w:r>
      <w:r>
        <w:rPr>
          <w:rFonts w:hint="cs"/>
          <w:rtl/>
          <w:lang w:val="en-US"/>
        </w:rPr>
        <w:t>جدول للمعلمات الموصى بها ونسب الانحطاط المسموح بها لكل نطاق تردد ولكل نمط من أنماط مستقبلات الخدمة</w:t>
      </w:r>
      <w:r w:rsidR="00FB5CF1">
        <w:rPr>
          <w:rFonts w:hint="eastAsia"/>
          <w:rtl/>
          <w:lang w:val="en-US"/>
        </w:rPr>
        <w:t> </w:t>
      </w:r>
      <w:r>
        <w:t>RNSS</w:t>
      </w:r>
      <w:r>
        <w:rPr>
          <w:rFonts w:hint="cs"/>
          <w:rtl/>
        </w:rPr>
        <w:t>. ومع وجود معلمات الطريقة الموصى بها، تقد</w:t>
      </w:r>
      <w:r w:rsidR="00FB5CF1">
        <w:rPr>
          <w:rFonts w:hint="cs"/>
          <w:rtl/>
        </w:rPr>
        <w:t>ر</w:t>
      </w:r>
      <w:r>
        <w:rPr>
          <w:rFonts w:hint="cs"/>
          <w:rtl/>
        </w:rPr>
        <w:t xml:space="preserve"> المعادلات كمية الانحطاط الإضافي الزائد عن ظروف تداخل الترددات الراديوية الأساسي الناجم عن إدخال مصدر جديد أو مجموعة مصادر جديدة </w:t>
      </w:r>
      <w:r w:rsidR="00126477">
        <w:rPr>
          <w:rFonts w:hint="cs"/>
          <w:rtl/>
        </w:rPr>
        <w:t>لتداخلات الترددات الراديوية النبضية. وترد في ملحق إضافي بالتوصية أمثلة تطبيقية لنموذج التقييم.</w:t>
      </w:r>
    </w:p>
    <w:p w:rsidR="00126477" w:rsidRDefault="00126477" w:rsidP="00126477">
      <w:pPr>
        <w:rPr>
          <w:rtl/>
        </w:rPr>
      </w:pPr>
      <w:r w:rsidRPr="00126477">
        <w:rPr>
          <w:rFonts w:hint="cs"/>
          <w:rtl/>
        </w:rPr>
        <w:t xml:space="preserve">وعلى الرغم من أن معادلات طريقة التقييم تنطبق على مستقبلات الخدمة </w:t>
      </w:r>
      <w:r w:rsidRPr="00126477">
        <w:t>RNSS</w:t>
      </w:r>
      <w:r w:rsidRPr="00126477">
        <w:rPr>
          <w:rFonts w:hint="cs"/>
          <w:rtl/>
        </w:rPr>
        <w:t xml:space="preserve"> العاملة في النطاق </w:t>
      </w:r>
      <w:r w:rsidRPr="00126477">
        <w:t>MHz 1 610</w:t>
      </w:r>
      <w:r w:rsidRPr="00126477">
        <w:noBreakHyphen/>
        <w:t>1 559</w:t>
      </w:r>
      <w:r w:rsidRPr="00126477">
        <w:rPr>
          <w:rFonts w:hint="cs"/>
          <w:rtl/>
        </w:rPr>
        <w:t>،</w:t>
      </w:r>
      <w:r>
        <w:rPr>
          <w:rFonts w:hint="cs"/>
          <w:rtl/>
        </w:rPr>
        <w:t xml:space="preserve"> سيحتاج المر إلى مزيد من الدراسات لتحديد الجدول اللازم لمعلمات الطريقة الموصى بها لهذا النطاق قبل التحديد الكامل لطريقة التقييم المطبقة على هذا النطاق.</w:t>
      </w:r>
    </w:p>
    <w:p w:rsidR="00126477" w:rsidRDefault="00126477" w:rsidP="00126477">
      <w:pPr>
        <w:rPr>
          <w:rtl/>
        </w:rPr>
      </w:pPr>
    </w:p>
    <w:p w:rsidR="0019114D" w:rsidRPr="0019114D" w:rsidRDefault="0019114D" w:rsidP="00126477">
      <w:pPr>
        <w:keepNext/>
        <w:tabs>
          <w:tab w:val="left" w:pos="229"/>
          <w:tab w:val="right" w:pos="9639"/>
        </w:tabs>
        <w:spacing w:before="240"/>
        <w:rPr>
          <w:u w:val="single"/>
          <w:rtl/>
          <w:lang w:val="en-US" w:bidi="ar-EG"/>
        </w:rPr>
      </w:pPr>
      <w:r w:rsidRPr="00DB5730">
        <w:rPr>
          <w:rFonts w:hint="cs"/>
          <w:u w:val="single"/>
          <w:rtl/>
        </w:rPr>
        <w:t xml:space="preserve">مشروع التوصية الجديدة </w:t>
      </w:r>
      <w:r w:rsidRPr="00EA1FB0">
        <w:rPr>
          <w:u w:val="single"/>
        </w:rPr>
        <w:t>ITU-R</w:t>
      </w:r>
      <w:r>
        <w:rPr>
          <w:u w:val="single"/>
        </w:rPr>
        <w:t xml:space="preserve"> </w:t>
      </w:r>
      <w:r w:rsidRPr="00EA1FB0">
        <w:rPr>
          <w:u w:val="single"/>
        </w:rPr>
        <w:t>S.[TIME_VAR_SMALL_E/S]</w:t>
      </w:r>
      <w:r w:rsidRPr="0019114D">
        <w:rPr>
          <w:rFonts w:hint="cs"/>
          <w:rtl/>
        </w:rPr>
        <w:t xml:space="preserve"> </w:t>
      </w:r>
      <w:r w:rsidRPr="00DB5730">
        <w:rPr>
          <w:rFonts w:hint="cs"/>
          <w:rtl/>
        </w:rPr>
        <w:tab/>
        <w:t>الوثيقة</w:t>
      </w:r>
      <w:r>
        <w:rPr>
          <w:rFonts w:hint="cs"/>
          <w:rtl/>
        </w:rPr>
        <w:t xml:space="preserve"> </w:t>
      </w:r>
      <w:r>
        <w:rPr>
          <w:lang w:val="en-US"/>
        </w:rPr>
        <w:t>4/20(</w:t>
      </w:r>
      <w:r>
        <w:rPr>
          <w:lang w:val="en-US" w:bidi="ar-EG"/>
        </w:rPr>
        <w:t>Rev.1)</w:t>
      </w:r>
    </w:p>
    <w:p w:rsidR="0019114D" w:rsidRPr="00126477" w:rsidRDefault="00126477" w:rsidP="00126477">
      <w:pPr>
        <w:pStyle w:val="Rectitle"/>
        <w:rPr>
          <w:rtl/>
          <w:lang w:bidi="ar-EG"/>
        </w:rPr>
      </w:pPr>
      <w:r w:rsidRPr="00126477">
        <w:rPr>
          <w:rFonts w:hint="cs"/>
          <w:rtl/>
          <w:lang w:bidi="ar-EG"/>
        </w:rPr>
        <w:t>منهجية</w:t>
      </w:r>
      <w:r>
        <w:rPr>
          <w:rFonts w:hint="cs"/>
          <w:rtl/>
          <w:lang w:bidi="ar-EG"/>
        </w:rPr>
        <w:t xml:space="preserve"> إحصائية لتقييم التداخل المتغير مع الزمن الناجم عن شبكة</w:t>
      </w:r>
      <w:r>
        <w:rPr>
          <w:rtl/>
          <w:lang w:bidi="ar-EG"/>
        </w:rPr>
        <w:br/>
      </w:r>
      <w:r>
        <w:rPr>
          <w:rFonts w:hint="cs"/>
          <w:rtl/>
          <w:lang w:bidi="ar-EG"/>
        </w:rPr>
        <w:t>من المحطات الأرضية في الخدمة الثابتة الساتلية المستقرة بالنسبة</w:t>
      </w:r>
      <w:r>
        <w:rPr>
          <w:rtl/>
          <w:lang w:bidi="ar-EG"/>
        </w:rPr>
        <w:br/>
      </w:r>
      <w:r>
        <w:rPr>
          <w:rFonts w:hint="cs"/>
          <w:rtl/>
          <w:lang w:bidi="ar-EG"/>
        </w:rPr>
        <w:t xml:space="preserve">إلى الأرض تعمل بالمخططات </w:t>
      </w:r>
      <w:r w:rsidRPr="00C561C6">
        <w:t>M</w:t>
      </w:r>
      <w:r>
        <w:t>F-TDMA</w:t>
      </w:r>
      <w:r>
        <w:rPr>
          <w:rFonts w:hint="cs"/>
          <w:rtl/>
          <w:lang w:bidi="ar-EG"/>
        </w:rPr>
        <w:t xml:space="preserve"> على شبكات</w:t>
      </w:r>
      <w:r>
        <w:rPr>
          <w:rtl/>
          <w:lang w:bidi="ar-EG"/>
        </w:rPr>
        <w:br/>
      </w:r>
      <w:r>
        <w:rPr>
          <w:rFonts w:hint="cs"/>
          <w:rtl/>
          <w:lang w:bidi="ar-EG"/>
        </w:rPr>
        <w:t>الخدمة الثابتة الساتلية المستقرة بالنسبة إلى الأرض</w:t>
      </w:r>
    </w:p>
    <w:p w:rsidR="00126477" w:rsidRDefault="00126477" w:rsidP="00793A61">
      <w:pPr>
        <w:pStyle w:val="Normalaftertitle"/>
        <w:rPr>
          <w:rtl/>
          <w:lang w:bidi="ar-EG"/>
        </w:rPr>
      </w:pPr>
      <w:r>
        <w:rPr>
          <w:rFonts w:hint="cs"/>
          <w:rtl/>
          <w:lang w:bidi="ar-EG"/>
        </w:rPr>
        <w:t xml:space="preserve">تقدم هذه </w:t>
      </w:r>
      <w:r w:rsidRPr="00793A61">
        <w:rPr>
          <w:rFonts w:hint="cs"/>
          <w:rtl/>
          <w:lang w:val="en-US"/>
        </w:rPr>
        <w:t>التوصية</w:t>
      </w:r>
      <w:r>
        <w:rPr>
          <w:rFonts w:hint="cs"/>
          <w:rtl/>
          <w:lang w:bidi="ar-EG"/>
        </w:rPr>
        <w:t xml:space="preserve"> </w:t>
      </w:r>
      <w:r w:rsidRPr="00126477">
        <w:rPr>
          <w:rFonts w:hint="cs"/>
          <w:rtl/>
          <w:lang w:bidi="ar-EG"/>
        </w:rPr>
        <w:t>منهجية</w:t>
      </w:r>
      <w:r>
        <w:rPr>
          <w:rFonts w:hint="cs"/>
          <w:rtl/>
          <w:lang w:bidi="ar-EG"/>
        </w:rPr>
        <w:t xml:space="preserve"> إحصائية لتقييم التداخل المتغير مع الزمن الناجم عن شبكة من المحطات الأرضية في الخدمة الثابتة الساتلية المستقرة بالنسبة إلى الأرض تعمل بالمخططات </w:t>
      </w:r>
      <w:r w:rsidRPr="00C561C6">
        <w:t>M</w:t>
      </w:r>
      <w:r>
        <w:t>F-TDMA</w:t>
      </w:r>
      <w:r>
        <w:rPr>
          <w:rFonts w:hint="cs"/>
          <w:rtl/>
          <w:lang w:bidi="ar-EG"/>
        </w:rPr>
        <w:t xml:space="preserve"> على شبكة من شبكات الخدمة الساتلية العاملة على المدار المستقر بالنسبة إلى الأرض. وتتناول التوصية التداخل المحتمل</w:t>
      </w:r>
      <w:r w:rsidR="00793A61">
        <w:rPr>
          <w:rFonts w:hint="cs"/>
          <w:rtl/>
          <w:lang w:bidi="ar-EG"/>
        </w:rPr>
        <w:t xml:space="preserve"> </w:t>
      </w:r>
      <w:r>
        <w:rPr>
          <w:rFonts w:hint="cs"/>
          <w:rtl/>
          <w:lang w:bidi="ar-EG"/>
        </w:rPr>
        <w:t>على شبكة أخرى من شبكات الخدمة الثابتة الساتلية المستقرة بالنسبة إلى الأرض. كما أنه يمكن استعمال هذه المنهجية لضبط مستويات القدرة للمطاريف المسببة للتداخل بحيث لا تتأثر أهداف ال</w:t>
      </w:r>
      <w:r w:rsidR="00FB5CF1">
        <w:rPr>
          <w:rFonts w:hint="cs"/>
          <w:rtl/>
          <w:lang w:bidi="ar-EG"/>
        </w:rPr>
        <w:t>أ</w:t>
      </w:r>
      <w:r>
        <w:rPr>
          <w:rFonts w:hint="cs"/>
          <w:rtl/>
          <w:lang w:bidi="ar-EG"/>
        </w:rPr>
        <w:t>داء الخاصة بالشبكة الس</w:t>
      </w:r>
      <w:r w:rsidR="00FB5CF1">
        <w:rPr>
          <w:rFonts w:hint="cs"/>
          <w:rtl/>
          <w:lang w:bidi="ar-EG"/>
        </w:rPr>
        <w:t>اتلية ال</w:t>
      </w:r>
      <w:r>
        <w:rPr>
          <w:rFonts w:hint="cs"/>
          <w:rtl/>
          <w:lang w:bidi="ar-EG"/>
        </w:rPr>
        <w:t>واقع عليها التداخل.</w:t>
      </w:r>
    </w:p>
    <w:p w:rsidR="0019114D" w:rsidRPr="0019114D" w:rsidRDefault="0019114D" w:rsidP="00126477">
      <w:pPr>
        <w:keepNext/>
        <w:tabs>
          <w:tab w:val="left" w:pos="229"/>
          <w:tab w:val="right" w:pos="9639"/>
        </w:tabs>
        <w:spacing w:before="240"/>
        <w:rPr>
          <w:u w:val="single"/>
          <w:rtl/>
          <w:lang w:val="en-US" w:bidi="ar-EG"/>
        </w:rPr>
      </w:pPr>
      <w:r w:rsidRPr="00DB5730">
        <w:rPr>
          <w:rFonts w:hint="cs"/>
          <w:u w:val="single"/>
          <w:rtl/>
        </w:rPr>
        <w:t xml:space="preserve">مشروع </w:t>
      </w:r>
      <w:r w:rsidR="00126477">
        <w:rPr>
          <w:rFonts w:hint="cs"/>
          <w:u w:val="single"/>
          <w:rtl/>
        </w:rPr>
        <w:t xml:space="preserve">مراجعة </w:t>
      </w:r>
      <w:r w:rsidRPr="00DB5730">
        <w:rPr>
          <w:rFonts w:hint="cs"/>
          <w:u w:val="single"/>
          <w:rtl/>
        </w:rPr>
        <w:t xml:space="preserve">التوصية </w:t>
      </w:r>
      <w:r w:rsidRPr="00EA1FB0">
        <w:rPr>
          <w:u w:val="single"/>
        </w:rPr>
        <w:t>ITU-R</w:t>
      </w:r>
      <w:r>
        <w:rPr>
          <w:u w:val="single"/>
        </w:rPr>
        <w:t xml:space="preserve"> M.1850</w:t>
      </w:r>
      <w:r w:rsidRPr="0019114D">
        <w:rPr>
          <w:rFonts w:hint="cs"/>
          <w:rtl/>
        </w:rPr>
        <w:t xml:space="preserve"> </w:t>
      </w:r>
      <w:r w:rsidRPr="00DB5730">
        <w:rPr>
          <w:rFonts w:hint="cs"/>
          <w:rtl/>
        </w:rPr>
        <w:tab/>
        <w:t>الوثيقة</w:t>
      </w:r>
      <w:r>
        <w:rPr>
          <w:rFonts w:hint="cs"/>
          <w:rtl/>
        </w:rPr>
        <w:t xml:space="preserve"> </w:t>
      </w:r>
      <w:r>
        <w:rPr>
          <w:lang w:val="en-US"/>
        </w:rPr>
        <w:t>4/12(</w:t>
      </w:r>
      <w:r>
        <w:rPr>
          <w:lang w:val="en-US" w:bidi="ar-EG"/>
        </w:rPr>
        <w:t>Rev.1)</w:t>
      </w:r>
    </w:p>
    <w:p w:rsidR="0019114D" w:rsidRDefault="0019114D" w:rsidP="00715363">
      <w:pPr>
        <w:pStyle w:val="Rectitle"/>
        <w:rPr>
          <w:rtl/>
          <w:lang w:eastAsia="zh-CN" w:bidi="ar-EG"/>
        </w:rPr>
      </w:pPr>
      <w:r w:rsidRPr="004E04CD">
        <w:rPr>
          <w:rFonts w:hint="cs"/>
          <w:rtl/>
        </w:rPr>
        <w:t>المواصفات التفصيلية للسطوح البينية الراديوية للمكوّن الساتلي</w:t>
      </w:r>
      <w:r>
        <w:rPr>
          <w:rtl/>
        </w:rPr>
        <w:br/>
      </w:r>
      <w:r w:rsidRPr="004E04CD">
        <w:rPr>
          <w:rFonts w:hint="cs"/>
          <w:rtl/>
        </w:rPr>
        <w:t>للاتصالات المتنقلة الدولية</w:t>
      </w:r>
      <w:r>
        <w:rPr>
          <w:rFonts w:hint="cs"/>
          <w:rtl/>
        </w:rPr>
        <w:t>-</w:t>
      </w:r>
      <w:r w:rsidRPr="004E04CD">
        <w:t>2000</w:t>
      </w:r>
      <w:r w:rsidRPr="004E04CD">
        <w:rPr>
          <w:rFonts w:hint="cs"/>
          <w:rtl/>
        </w:rPr>
        <w:t xml:space="preserve"> </w:t>
      </w:r>
      <w:r>
        <w:t>(</w:t>
      </w:r>
      <w:r w:rsidRPr="004E04CD">
        <w:t>IMT-2000</w:t>
      </w:r>
      <w:r>
        <w:t>)</w:t>
      </w:r>
    </w:p>
    <w:p w:rsidR="0019114D" w:rsidRDefault="00126477" w:rsidP="00FB5CF1">
      <w:pPr>
        <w:pStyle w:val="Normalaftertitle"/>
        <w:rPr>
          <w:rtl/>
          <w:lang w:val="en-US" w:eastAsia="zh-CN" w:bidi="ar-EG"/>
        </w:rPr>
      </w:pPr>
      <w:r>
        <w:rPr>
          <w:rFonts w:hint="cs"/>
          <w:rtl/>
          <w:lang w:eastAsia="zh-CN" w:bidi="ar-EG"/>
        </w:rPr>
        <w:t xml:space="preserve">استناداً إلى نتائج أنشطة منسقة بين عائلات السطوح البينية الراديوية الساتلية </w:t>
      </w:r>
      <w:r>
        <w:rPr>
          <w:lang w:val="en-US" w:eastAsia="zh-CN" w:bidi="ar-EG"/>
        </w:rPr>
        <w:t>(SRI)</w:t>
      </w:r>
      <w:r>
        <w:rPr>
          <w:rFonts w:hint="cs"/>
          <w:rtl/>
          <w:lang w:val="en-US" w:eastAsia="zh-CN" w:bidi="ar-EG"/>
        </w:rPr>
        <w:t xml:space="preserve"> </w:t>
      </w:r>
      <w:r>
        <w:rPr>
          <w:lang w:val="en-US" w:eastAsia="zh-CN" w:bidi="ar-EG"/>
        </w:rPr>
        <w:t>A</w:t>
      </w:r>
      <w:r>
        <w:rPr>
          <w:rFonts w:hint="cs"/>
          <w:rtl/>
          <w:lang w:val="en-US" w:eastAsia="zh-CN" w:bidi="ar-EG"/>
        </w:rPr>
        <w:t xml:space="preserve"> و</w:t>
      </w:r>
      <w:r>
        <w:rPr>
          <w:lang w:val="en-US" w:eastAsia="zh-CN" w:bidi="ar-EG"/>
        </w:rPr>
        <w:t>C</w:t>
      </w:r>
      <w:r>
        <w:rPr>
          <w:rFonts w:hint="cs"/>
          <w:rtl/>
          <w:lang w:val="en-US" w:eastAsia="zh-CN" w:bidi="ar-EG"/>
        </w:rPr>
        <w:t xml:space="preserve"> و</w:t>
      </w:r>
      <w:r>
        <w:rPr>
          <w:lang w:val="en-US" w:eastAsia="zh-CN" w:bidi="ar-EG"/>
        </w:rPr>
        <w:t>G</w:t>
      </w:r>
      <w:r>
        <w:rPr>
          <w:rFonts w:hint="cs"/>
          <w:rtl/>
          <w:lang w:val="en-US" w:eastAsia="zh-CN" w:bidi="ar-EG"/>
        </w:rPr>
        <w:t xml:space="preserve"> في المعهد الأوروبي لمعايير الاتصالات </w:t>
      </w:r>
      <w:r w:rsidR="00FB5CF1">
        <w:rPr>
          <w:lang w:val="en-US" w:eastAsia="zh-CN" w:bidi="ar-EG"/>
        </w:rPr>
        <w:t>(</w:t>
      </w:r>
      <w:r>
        <w:rPr>
          <w:lang w:val="en-US" w:eastAsia="zh-CN" w:bidi="ar-EG"/>
        </w:rPr>
        <w:t>ETSI</w:t>
      </w:r>
      <w:r w:rsidR="00FB5CF1">
        <w:rPr>
          <w:lang w:val="en-US" w:eastAsia="zh-CN" w:bidi="ar-EG"/>
        </w:rPr>
        <w:t>)</w:t>
      </w:r>
      <w:r>
        <w:rPr>
          <w:rFonts w:hint="cs"/>
          <w:rtl/>
          <w:lang w:val="en-US" w:eastAsia="zh-CN" w:bidi="ar-EG"/>
        </w:rPr>
        <w:t xml:space="preserve">، تم دمج عائلتي السطوح البينية </w:t>
      </w:r>
      <w:r>
        <w:rPr>
          <w:lang w:val="en-US" w:eastAsia="zh-CN" w:bidi="ar-EG"/>
        </w:rPr>
        <w:t>SRI-C</w:t>
      </w:r>
      <w:r>
        <w:rPr>
          <w:rFonts w:hint="cs"/>
          <w:rtl/>
          <w:lang w:val="en-US" w:eastAsia="zh-CN" w:bidi="ar-EG"/>
        </w:rPr>
        <w:t xml:space="preserve"> و</w:t>
      </w:r>
      <w:r>
        <w:rPr>
          <w:lang w:val="en-US" w:eastAsia="zh-CN" w:bidi="ar-EG"/>
        </w:rPr>
        <w:t>SRI-G</w:t>
      </w:r>
      <w:r>
        <w:rPr>
          <w:rFonts w:hint="cs"/>
          <w:rtl/>
          <w:lang w:val="en-US" w:eastAsia="zh-CN" w:bidi="ar-EG"/>
        </w:rPr>
        <w:t xml:space="preserve"> وصقلهما إلى مواصفات العائلة </w:t>
      </w:r>
      <w:r>
        <w:rPr>
          <w:lang w:val="en-US" w:eastAsia="zh-CN" w:bidi="ar-EG"/>
        </w:rPr>
        <w:t>SRI-G</w:t>
      </w:r>
      <w:r>
        <w:rPr>
          <w:rFonts w:hint="cs"/>
          <w:rtl/>
          <w:lang w:val="en-US" w:eastAsia="zh-CN" w:bidi="ar-EG"/>
        </w:rPr>
        <w:t xml:space="preserve"> المحسنة. والعائلة</w:t>
      </w:r>
      <w:r w:rsidR="00FB5CF1">
        <w:rPr>
          <w:rFonts w:hint="eastAsia"/>
          <w:rtl/>
          <w:lang w:val="en-US" w:eastAsia="zh-CN" w:bidi="ar-EG"/>
        </w:rPr>
        <w:t> </w:t>
      </w:r>
      <w:r>
        <w:rPr>
          <w:lang w:val="en-US" w:eastAsia="zh-CN" w:bidi="ar-EG"/>
        </w:rPr>
        <w:t>SRI-G</w:t>
      </w:r>
      <w:r>
        <w:rPr>
          <w:rFonts w:hint="cs"/>
          <w:rtl/>
          <w:lang w:val="en-US" w:eastAsia="zh-CN" w:bidi="ar-EG"/>
        </w:rPr>
        <w:t xml:space="preserve"> المحسنة هي نتاج منسق للعائلتين السابقتين </w:t>
      </w:r>
      <w:r>
        <w:rPr>
          <w:lang w:val="en-US" w:eastAsia="zh-CN" w:bidi="ar-EG"/>
        </w:rPr>
        <w:t>SRI-C</w:t>
      </w:r>
      <w:r>
        <w:rPr>
          <w:rFonts w:hint="cs"/>
          <w:rtl/>
          <w:lang w:val="en-US" w:eastAsia="zh-CN" w:bidi="ar-EG"/>
        </w:rPr>
        <w:t xml:space="preserve"> و</w:t>
      </w:r>
      <w:r>
        <w:rPr>
          <w:lang w:val="en-US" w:eastAsia="zh-CN" w:bidi="ar-EG"/>
        </w:rPr>
        <w:t>SRI-G</w:t>
      </w:r>
      <w:r>
        <w:rPr>
          <w:rFonts w:hint="cs"/>
          <w:rtl/>
          <w:lang w:val="en-US" w:eastAsia="zh-CN" w:bidi="ar-EG"/>
        </w:rPr>
        <w:t>.</w:t>
      </w:r>
      <w:r w:rsidR="00664EE1">
        <w:rPr>
          <w:rFonts w:hint="cs"/>
          <w:rtl/>
          <w:lang w:val="en-US" w:eastAsia="zh-CN" w:bidi="ar-EG"/>
        </w:rPr>
        <w:t xml:space="preserve"> وجدير بالذكر أيضاً أنه تم دمج عدد قليل من الخواص الساتلية المحددة من العائلة </w:t>
      </w:r>
      <w:r w:rsidR="00664EE1">
        <w:rPr>
          <w:lang w:val="en-US" w:eastAsia="zh-CN" w:bidi="ar-EG"/>
        </w:rPr>
        <w:t>SRI-A</w:t>
      </w:r>
      <w:r w:rsidR="00664EE1">
        <w:rPr>
          <w:rFonts w:hint="cs"/>
          <w:rtl/>
          <w:lang w:val="en-US" w:eastAsia="zh-CN" w:bidi="ar-EG"/>
        </w:rPr>
        <w:t xml:space="preserve"> كذلك في هذا الإصدار.</w:t>
      </w:r>
    </w:p>
    <w:p w:rsidR="00715363" w:rsidRPr="00715363" w:rsidRDefault="00715363" w:rsidP="00715363">
      <w:pPr>
        <w:rPr>
          <w:lang w:val="en-US"/>
        </w:rPr>
      </w:pPr>
    </w:p>
    <w:p w:rsidR="0019114D" w:rsidRPr="0019114D" w:rsidRDefault="0019114D" w:rsidP="00FB5CF1">
      <w:pPr>
        <w:keepNext/>
        <w:tabs>
          <w:tab w:val="left" w:pos="229"/>
          <w:tab w:val="right" w:pos="9639"/>
        </w:tabs>
        <w:spacing w:before="240"/>
        <w:rPr>
          <w:u w:val="single"/>
          <w:rtl/>
          <w:lang w:val="en-US" w:bidi="ar-EG"/>
        </w:rPr>
      </w:pPr>
      <w:r w:rsidRPr="00DB5730">
        <w:rPr>
          <w:rFonts w:hint="cs"/>
          <w:u w:val="single"/>
          <w:rtl/>
        </w:rPr>
        <w:t xml:space="preserve">مشروع </w:t>
      </w:r>
      <w:r w:rsidR="00FB5CF1">
        <w:rPr>
          <w:rFonts w:hint="cs"/>
          <w:u w:val="single"/>
          <w:rtl/>
        </w:rPr>
        <w:t xml:space="preserve">مراجعة </w:t>
      </w:r>
      <w:r w:rsidRPr="00DB5730">
        <w:rPr>
          <w:rFonts w:hint="cs"/>
          <w:u w:val="single"/>
          <w:rtl/>
        </w:rPr>
        <w:t xml:space="preserve">التوصية </w:t>
      </w:r>
      <w:r w:rsidRPr="00EA1FB0">
        <w:rPr>
          <w:u w:val="single"/>
        </w:rPr>
        <w:t>ITU-R</w:t>
      </w:r>
      <w:r>
        <w:rPr>
          <w:u w:val="single"/>
        </w:rPr>
        <w:t xml:space="preserve"> BO.1898</w:t>
      </w:r>
      <w:r w:rsidRPr="0019114D">
        <w:rPr>
          <w:rFonts w:hint="cs"/>
          <w:rtl/>
        </w:rPr>
        <w:t xml:space="preserve"> </w:t>
      </w:r>
      <w:r w:rsidRPr="00DB5730">
        <w:rPr>
          <w:rFonts w:hint="cs"/>
          <w:rtl/>
        </w:rPr>
        <w:tab/>
        <w:t>الوثيقة</w:t>
      </w:r>
      <w:r>
        <w:rPr>
          <w:rFonts w:hint="cs"/>
          <w:rtl/>
        </w:rPr>
        <w:t xml:space="preserve"> </w:t>
      </w:r>
      <w:r>
        <w:rPr>
          <w:lang w:val="en-US"/>
        </w:rPr>
        <w:t>4/17(</w:t>
      </w:r>
      <w:r>
        <w:rPr>
          <w:lang w:val="en-US" w:bidi="ar-EG"/>
        </w:rPr>
        <w:t>Rev.1)</w:t>
      </w:r>
    </w:p>
    <w:p w:rsidR="0019114D" w:rsidRDefault="00715363" w:rsidP="00715363">
      <w:pPr>
        <w:pStyle w:val="Rectitle"/>
        <w:rPr>
          <w:rtl/>
          <w:lang w:val="en-GB" w:eastAsia="zh-CN" w:bidi="ar-EG"/>
        </w:rPr>
      </w:pPr>
      <w:r w:rsidRPr="005058BC">
        <w:rPr>
          <w:rFonts w:hint="cs"/>
          <w:rtl/>
        </w:rPr>
        <w:t>قيمة كثافة تدفق القدرة اللازمة لحماية محطات الاستقبال الأرضية</w:t>
      </w:r>
      <w:r>
        <w:rPr>
          <w:rtl/>
        </w:rPr>
        <w:br/>
      </w:r>
      <w:r w:rsidRPr="005058BC">
        <w:rPr>
          <w:rFonts w:hint="cs"/>
          <w:rtl/>
        </w:rPr>
        <w:t>في الخدمة الإذاعية الساتلية</w:t>
      </w:r>
      <w:r>
        <w:rPr>
          <w:rFonts w:hint="cs"/>
          <w:rtl/>
        </w:rPr>
        <w:t xml:space="preserve"> </w:t>
      </w:r>
      <w:r w:rsidRPr="005058BC">
        <w:rPr>
          <w:rFonts w:hint="cs"/>
          <w:rtl/>
        </w:rPr>
        <w:t xml:space="preserve">في الإقليمين </w:t>
      </w:r>
      <w:r w:rsidRPr="005058BC">
        <w:t>1</w:t>
      </w:r>
      <w:r w:rsidRPr="005058BC">
        <w:rPr>
          <w:rFonts w:hint="cs"/>
          <w:rtl/>
        </w:rPr>
        <w:t xml:space="preserve"> و</w:t>
      </w:r>
      <w:r w:rsidRPr="005058BC">
        <w:t>3</w:t>
      </w:r>
      <w:r w:rsidRPr="005058BC">
        <w:rPr>
          <w:rFonts w:hint="cs"/>
          <w:rtl/>
        </w:rPr>
        <w:t xml:space="preserve"> من إرسالات صادرة</w:t>
      </w:r>
      <w:r>
        <w:rPr>
          <w:rtl/>
        </w:rPr>
        <w:br/>
      </w:r>
      <w:r w:rsidRPr="005058BC">
        <w:rPr>
          <w:rFonts w:hint="cs"/>
          <w:rtl/>
        </w:rPr>
        <w:t xml:space="preserve">من محطة في الخدمة الثابتة و/أو المتنقلة في النطاق </w:t>
      </w:r>
      <w:r w:rsidRPr="005058BC">
        <w:t>GHz 22</w:t>
      </w:r>
      <w:r>
        <w:t>,0</w:t>
      </w:r>
      <w:r>
        <w:noBreakHyphen/>
      </w:r>
      <w:r w:rsidRPr="005058BC">
        <w:t>21,4</w:t>
      </w:r>
    </w:p>
    <w:p w:rsidR="00715363" w:rsidRDefault="00664EE1" w:rsidP="00FB5CF1">
      <w:pPr>
        <w:pStyle w:val="Normalaftertitle"/>
        <w:rPr>
          <w:rtl/>
          <w:lang w:val="en-US"/>
        </w:rPr>
      </w:pPr>
      <w:r w:rsidRPr="00793A61">
        <w:rPr>
          <w:rFonts w:hint="cs"/>
          <w:rtl/>
          <w:lang w:val="en-US"/>
        </w:rPr>
        <w:t>تنادي</w:t>
      </w:r>
      <w:r w:rsidRPr="00664EE1">
        <w:rPr>
          <w:rFonts w:hint="cs"/>
          <w:rtl/>
        </w:rPr>
        <w:t xml:space="preserve"> التوصية </w:t>
      </w:r>
      <w:r w:rsidRPr="00664EE1">
        <w:t>ITU-R BO.1898</w:t>
      </w:r>
      <w:r>
        <w:rPr>
          <w:rFonts w:hint="cs"/>
          <w:rtl/>
        </w:rPr>
        <w:t xml:space="preserve"> بأنه يجوز استعمال قيمة كثافة تدفق القدرة إما كحد صارم أو كقيمة لعتبة التنسيق لضمان حماية شبكات الخدمة الإذاعية الساتلية في الإقليمين </w:t>
      </w:r>
      <w:r>
        <w:rPr>
          <w:lang w:val="en-US"/>
        </w:rPr>
        <w:t>1</w:t>
      </w:r>
      <w:r>
        <w:rPr>
          <w:rFonts w:hint="cs"/>
          <w:rtl/>
          <w:lang w:val="en-US" w:bidi="ar-EG"/>
        </w:rPr>
        <w:t xml:space="preserve"> و</w:t>
      </w:r>
      <w:r>
        <w:rPr>
          <w:lang w:val="en-US"/>
        </w:rPr>
        <w:t>3</w:t>
      </w:r>
      <w:r>
        <w:rPr>
          <w:rFonts w:hint="cs"/>
          <w:rtl/>
        </w:rPr>
        <w:t xml:space="preserve"> من أي محطة للأرض، حسب الاقتضاء. بيد أن المؤتمر العالمي للاتصالات الراديوية لعام </w:t>
      </w:r>
      <w:r>
        <w:rPr>
          <w:lang w:val="en-US"/>
        </w:rPr>
        <w:t>2012</w:t>
      </w:r>
      <w:r>
        <w:rPr>
          <w:rFonts w:hint="cs"/>
          <w:rtl/>
        </w:rPr>
        <w:t xml:space="preserve"> </w:t>
      </w:r>
      <w:r>
        <w:rPr>
          <w:lang w:val="en-US"/>
        </w:rPr>
        <w:t>(WRC-12)</w:t>
      </w:r>
      <w:r>
        <w:rPr>
          <w:rFonts w:hint="cs"/>
          <w:rtl/>
          <w:lang w:val="en-US" w:bidi="ar-EG"/>
        </w:rPr>
        <w:t xml:space="preserve"> وافق بعد ذلك على قيمة كثافة تدفق القدرة كحد صارم. والغرض من هذه الصيغة هو تحديث النصوص فيما يخص هذه النتائج الخاصة بالمؤتمر </w:t>
      </w:r>
      <w:r>
        <w:rPr>
          <w:lang w:val="en-US"/>
        </w:rPr>
        <w:t>WRC-12</w:t>
      </w:r>
      <w:r>
        <w:rPr>
          <w:rFonts w:hint="cs"/>
          <w:rtl/>
          <w:lang w:val="en-US"/>
        </w:rPr>
        <w:t xml:space="preserve"> إضافة إلى إدخال بعض التغييرات الصياغية.</w:t>
      </w:r>
    </w:p>
    <w:p w:rsidR="00664EE1" w:rsidRPr="00664EE1" w:rsidRDefault="00664EE1" w:rsidP="00664EE1">
      <w:pPr>
        <w:rPr>
          <w:rtl/>
          <w:lang w:val="en-US" w:bidi="ar-EG"/>
        </w:rPr>
      </w:pPr>
    </w:p>
    <w:p w:rsidR="00715363" w:rsidRPr="0019114D" w:rsidRDefault="00715363" w:rsidP="00FB5CF1">
      <w:pPr>
        <w:keepNext/>
        <w:tabs>
          <w:tab w:val="left" w:pos="229"/>
          <w:tab w:val="right" w:pos="9639"/>
        </w:tabs>
        <w:spacing w:before="240"/>
        <w:rPr>
          <w:u w:val="single"/>
          <w:rtl/>
          <w:lang w:val="en-US" w:bidi="ar-EG"/>
        </w:rPr>
      </w:pPr>
      <w:r w:rsidRPr="00DB5730">
        <w:rPr>
          <w:rFonts w:hint="cs"/>
          <w:u w:val="single"/>
          <w:rtl/>
        </w:rPr>
        <w:t xml:space="preserve">مشروع </w:t>
      </w:r>
      <w:r w:rsidR="00FB5CF1">
        <w:rPr>
          <w:rFonts w:hint="cs"/>
          <w:u w:val="single"/>
          <w:rtl/>
        </w:rPr>
        <w:t xml:space="preserve">مراجعة </w:t>
      </w:r>
      <w:r w:rsidR="00FB5CF1" w:rsidRPr="00DB5730">
        <w:rPr>
          <w:rFonts w:hint="cs"/>
          <w:u w:val="single"/>
          <w:rtl/>
        </w:rPr>
        <w:t xml:space="preserve">التوصية </w:t>
      </w:r>
      <w:r w:rsidRPr="00EA1FB0">
        <w:rPr>
          <w:u w:val="single"/>
        </w:rPr>
        <w:t>ITU-R</w:t>
      </w:r>
      <w:r>
        <w:rPr>
          <w:u w:val="single"/>
        </w:rPr>
        <w:t xml:space="preserve"> </w:t>
      </w:r>
      <w:r>
        <w:rPr>
          <w:u w:val="single"/>
          <w:lang w:val="en-US"/>
        </w:rPr>
        <w:t>S</w:t>
      </w:r>
      <w:r>
        <w:rPr>
          <w:u w:val="single"/>
        </w:rPr>
        <w:t>.732</w:t>
      </w:r>
      <w:r w:rsidRPr="0019114D">
        <w:rPr>
          <w:rFonts w:hint="cs"/>
          <w:rtl/>
        </w:rPr>
        <w:t xml:space="preserve"> </w:t>
      </w:r>
      <w:r w:rsidRPr="00DB5730">
        <w:rPr>
          <w:rFonts w:hint="cs"/>
          <w:rtl/>
        </w:rPr>
        <w:tab/>
        <w:t>الوثيقة</w:t>
      </w:r>
      <w:r>
        <w:rPr>
          <w:rFonts w:hint="cs"/>
          <w:rtl/>
        </w:rPr>
        <w:t xml:space="preserve"> </w:t>
      </w:r>
      <w:r>
        <w:rPr>
          <w:lang w:val="en-US"/>
        </w:rPr>
        <w:t>4/18(</w:t>
      </w:r>
      <w:r>
        <w:rPr>
          <w:lang w:val="en-US" w:bidi="ar-EG"/>
        </w:rPr>
        <w:t>Rev.1)</w:t>
      </w:r>
    </w:p>
    <w:p w:rsidR="00715363" w:rsidRDefault="00715363" w:rsidP="00664EE1">
      <w:pPr>
        <w:pStyle w:val="Rectitle"/>
        <w:rPr>
          <w:rtl/>
        </w:rPr>
      </w:pPr>
      <w:r w:rsidRPr="00F37A68">
        <w:rPr>
          <w:rtl/>
        </w:rPr>
        <w:t>طريقة المعالجة الإحصائية لذرى الفصوص الجانبية</w:t>
      </w:r>
      <w:r w:rsidRPr="00F37A68">
        <w:rPr>
          <w:rFonts w:hint="cs"/>
          <w:rtl/>
        </w:rPr>
        <w:t xml:space="preserve"> </w:t>
      </w:r>
      <w:r w:rsidRPr="00F37A68">
        <w:rPr>
          <w:rtl/>
        </w:rPr>
        <w:t>لهوائيات المحطات الأرضية</w:t>
      </w:r>
    </w:p>
    <w:p w:rsidR="00664EE1" w:rsidRDefault="00664EE1" w:rsidP="00FB5CF1">
      <w:pPr>
        <w:pStyle w:val="Normalaftertitle"/>
        <w:rPr>
          <w:rtl/>
          <w:lang w:val="en-US"/>
        </w:rPr>
      </w:pPr>
      <w:r>
        <w:rPr>
          <w:rFonts w:hint="cs"/>
          <w:rtl/>
          <w:lang w:val="en-US"/>
        </w:rPr>
        <w:t xml:space="preserve">الغرض من هذه المراجعة ربط استعمال هذه التوصية بتوصيات قطاع الاتصالات الراديوية المعنية بمخططات إشعاع الهوائيات والتي تتضمن أحكاماً تسمح بتجاوز نسبة مئوية معينة من ذرى </w:t>
      </w:r>
      <w:r w:rsidR="00FB5CF1">
        <w:rPr>
          <w:rFonts w:hint="cs"/>
          <w:rtl/>
          <w:lang w:val="en-US"/>
        </w:rPr>
        <w:t>الفصوص</w:t>
      </w:r>
      <w:r>
        <w:rPr>
          <w:rFonts w:hint="cs"/>
          <w:rtl/>
          <w:lang w:val="en-US"/>
        </w:rPr>
        <w:t xml:space="preserve"> الجانبية للأغلفة الموصى بها. وتتضمن هذه المراجعة خفضاً في عدد المناطق الزاوية التي تؤخذ منها عينات ذرى </w:t>
      </w:r>
      <w:r w:rsidR="00FB5CF1">
        <w:rPr>
          <w:rFonts w:hint="cs"/>
          <w:rtl/>
          <w:lang w:val="en-US"/>
        </w:rPr>
        <w:t>الفصوص</w:t>
      </w:r>
      <w:r>
        <w:rPr>
          <w:rFonts w:hint="cs"/>
          <w:rtl/>
          <w:lang w:val="en-US"/>
        </w:rPr>
        <w:t xml:space="preserve"> الجانبية والتي تولد الحد الدنى من الاستبانة الزاوية في</w:t>
      </w:r>
      <w:r w:rsidR="00FB5CF1">
        <w:rPr>
          <w:rFonts w:hint="eastAsia"/>
          <w:rtl/>
          <w:lang w:val="en-US"/>
        </w:rPr>
        <w:t> </w:t>
      </w:r>
      <w:r>
        <w:rPr>
          <w:rFonts w:hint="cs"/>
          <w:rtl/>
          <w:lang w:val="en-US"/>
        </w:rPr>
        <w:t xml:space="preserve">قياسات </w:t>
      </w:r>
      <w:r w:rsidR="00FB5CF1">
        <w:rPr>
          <w:rFonts w:hint="cs"/>
          <w:rtl/>
          <w:lang w:val="en-US"/>
        </w:rPr>
        <w:t>الفصوص</w:t>
      </w:r>
      <w:r>
        <w:rPr>
          <w:rFonts w:hint="cs"/>
          <w:rtl/>
          <w:lang w:val="en-US"/>
        </w:rPr>
        <w:t xml:space="preserve"> الجانبية للهوائيات. ويقترح وضع حدود لقيم كسب ذرى </w:t>
      </w:r>
      <w:r w:rsidR="00FB5CF1">
        <w:rPr>
          <w:rFonts w:hint="cs"/>
          <w:rtl/>
          <w:lang w:val="en-US"/>
        </w:rPr>
        <w:t>الفصوص</w:t>
      </w:r>
      <w:r>
        <w:rPr>
          <w:rFonts w:hint="cs"/>
          <w:rtl/>
          <w:lang w:val="en-US"/>
        </w:rPr>
        <w:t xml:space="preserve"> الجانبية تتجاوز ال</w:t>
      </w:r>
      <w:r w:rsidR="00FB5CF1">
        <w:rPr>
          <w:rFonts w:hint="cs"/>
          <w:rtl/>
          <w:lang w:val="en-US"/>
        </w:rPr>
        <w:t>أ</w:t>
      </w:r>
      <w:r>
        <w:rPr>
          <w:rFonts w:hint="cs"/>
          <w:rtl/>
          <w:lang w:val="en-US"/>
        </w:rPr>
        <w:t>غلفة الموصى بها والتي طالما لم يتم تجاوزها، تواصل ضمان التوافق بين مخططا</w:t>
      </w:r>
      <w:r w:rsidR="00FB5CF1">
        <w:rPr>
          <w:rFonts w:hint="cs"/>
          <w:rtl/>
          <w:lang w:val="en-US"/>
        </w:rPr>
        <w:t>ت</w:t>
      </w:r>
      <w:r>
        <w:rPr>
          <w:rFonts w:hint="cs"/>
          <w:rtl/>
          <w:lang w:val="en-US"/>
        </w:rPr>
        <w:t xml:space="preserve"> إشعاع الهوائي والأغلفة الموصى بها.</w:t>
      </w:r>
    </w:p>
    <w:p w:rsidR="00664EE1" w:rsidRDefault="00664EE1" w:rsidP="00664EE1">
      <w:pPr>
        <w:rPr>
          <w:rtl/>
          <w:lang w:val="en-US"/>
        </w:rPr>
      </w:pPr>
    </w:p>
    <w:p w:rsidR="00664EE1" w:rsidRPr="00664EE1" w:rsidRDefault="00664EE1" w:rsidP="00793A61">
      <w:pPr>
        <w:jc w:val="center"/>
        <w:rPr>
          <w:rtl/>
          <w:lang w:val="en-US"/>
        </w:rPr>
      </w:pPr>
      <w:r>
        <w:rPr>
          <w:rFonts w:hint="cs"/>
          <w:rtl/>
          <w:lang w:val="en-US"/>
        </w:rPr>
        <w:t>__________</w:t>
      </w:r>
    </w:p>
    <w:sectPr w:rsidR="00664EE1" w:rsidRPr="00664EE1" w:rsidSect="00A8793D">
      <w:headerReference w:type="default" r:id="rId13"/>
      <w:footerReference w:type="default" r:id="rId14"/>
      <w:footerReference w:type="first" r:id="rId15"/>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77" w:rsidRDefault="00126477">
      <w:r>
        <w:separator/>
      </w:r>
    </w:p>
  </w:endnote>
  <w:endnote w:type="continuationSeparator" w:id="0">
    <w:p w:rsidR="00126477" w:rsidRDefault="0012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7" w:rsidRPr="00AC2383" w:rsidRDefault="00AC2383" w:rsidP="00AC2383">
    <w:pPr>
      <w:pStyle w:val="Footer"/>
    </w:pPr>
    <w:fldSimple w:instr=" FILENAME  \p  \* MERGEFORMAT ">
      <w:r w:rsidR="008404C8">
        <w:t>Y:\APP\BR\CIRCS_DMS\CACE\500\587\587a.docx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26477" w:rsidTr="009A22FA">
      <w:trPr>
        <w:cantSplit/>
      </w:trPr>
      <w:tc>
        <w:tcPr>
          <w:tcW w:w="1062" w:type="pct"/>
          <w:tcBorders>
            <w:top w:val="single" w:sz="6" w:space="0" w:color="auto"/>
          </w:tcBorders>
          <w:tcMar>
            <w:top w:w="57" w:type="dxa"/>
          </w:tcMar>
        </w:tcPr>
        <w:p w:rsidR="00126477" w:rsidRDefault="00126477" w:rsidP="00206E2B">
          <w:pPr>
            <w:pStyle w:val="itu"/>
            <w:bidi w:val="0"/>
            <w:spacing w:line="240" w:lineRule="auto"/>
          </w:pPr>
          <w:r>
            <w:t>Place des Nations</w:t>
          </w:r>
        </w:p>
      </w:tc>
      <w:tc>
        <w:tcPr>
          <w:tcW w:w="1583" w:type="pct"/>
          <w:tcBorders>
            <w:top w:val="single" w:sz="6" w:space="0" w:color="auto"/>
          </w:tcBorders>
          <w:tcMar>
            <w:top w:w="57" w:type="dxa"/>
          </w:tcMar>
        </w:tcPr>
        <w:p w:rsidR="00126477" w:rsidRDefault="00126477"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126477" w:rsidRDefault="00126477" w:rsidP="00206E2B">
          <w:pPr>
            <w:pStyle w:val="itu"/>
            <w:bidi w:val="0"/>
            <w:spacing w:line="240" w:lineRule="auto"/>
          </w:pPr>
          <w:r>
            <w:t>Telex 421 000 uit ch</w:t>
          </w:r>
        </w:p>
      </w:tc>
      <w:tc>
        <w:tcPr>
          <w:tcW w:w="1131" w:type="pct"/>
          <w:tcBorders>
            <w:top w:val="single" w:sz="6" w:space="0" w:color="auto"/>
          </w:tcBorders>
          <w:tcMar>
            <w:top w:w="57" w:type="dxa"/>
          </w:tcMar>
        </w:tcPr>
        <w:p w:rsidR="00126477" w:rsidRDefault="00126477" w:rsidP="00206E2B">
          <w:pPr>
            <w:pStyle w:val="itu"/>
            <w:bidi w:val="0"/>
            <w:spacing w:line="240" w:lineRule="auto"/>
          </w:pPr>
          <w:r>
            <w:t>E-mail:</w:t>
          </w:r>
          <w:r>
            <w:tab/>
            <w:t>itumail@itu.int</w:t>
          </w:r>
        </w:p>
      </w:tc>
    </w:tr>
    <w:tr w:rsidR="00126477" w:rsidTr="009A22FA">
      <w:trPr>
        <w:cantSplit/>
      </w:trPr>
      <w:tc>
        <w:tcPr>
          <w:tcW w:w="1062" w:type="pct"/>
        </w:tcPr>
        <w:p w:rsidR="00126477" w:rsidRDefault="00126477"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26477" w:rsidRDefault="00126477" w:rsidP="00206E2B">
          <w:pPr>
            <w:pStyle w:val="itu"/>
            <w:bidi w:val="0"/>
            <w:spacing w:line="240" w:lineRule="auto"/>
          </w:pPr>
          <w:r>
            <w:t>Telefax</w:t>
          </w:r>
          <w:r>
            <w:tab/>
            <w:t>Gr3:</w:t>
          </w:r>
          <w:r>
            <w:tab/>
            <w:t>+41 22 733 72 56</w:t>
          </w:r>
        </w:p>
      </w:tc>
      <w:tc>
        <w:tcPr>
          <w:tcW w:w="1224" w:type="pct"/>
        </w:tcPr>
        <w:p w:rsidR="00126477" w:rsidRDefault="00126477" w:rsidP="00206E2B">
          <w:pPr>
            <w:pStyle w:val="itu"/>
            <w:bidi w:val="0"/>
            <w:spacing w:line="240" w:lineRule="auto"/>
          </w:pPr>
          <w:r>
            <w:t>Telegram ITU GENEVE</w:t>
          </w:r>
        </w:p>
      </w:tc>
      <w:tc>
        <w:tcPr>
          <w:tcW w:w="1131" w:type="pct"/>
        </w:tcPr>
        <w:p w:rsidR="00126477" w:rsidRDefault="00126477" w:rsidP="00206E2B">
          <w:pPr>
            <w:pStyle w:val="itu"/>
            <w:bidi w:val="0"/>
            <w:spacing w:line="240" w:lineRule="auto"/>
          </w:pPr>
          <w:r>
            <w:tab/>
          </w:r>
          <w:hyperlink r:id="rId1" w:history="1">
            <w:r>
              <w:t>http://www.itu.int/</w:t>
            </w:r>
          </w:hyperlink>
        </w:p>
      </w:tc>
    </w:tr>
    <w:tr w:rsidR="00126477" w:rsidTr="009A22FA">
      <w:trPr>
        <w:cantSplit/>
      </w:trPr>
      <w:tc>
        <w:tcPr>
          <w:tcW w:w="1062" w:type="pct"/>
        </w:tcPr>
        <w:p w:rsidR="00126477" w:rsidRDefault="00126477"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126477" w:rsidRDefault="00126477" w:rsidP="00206E2B">
          <w:pPr>
            <w:pStyle w:val="itu"/>
            <w:bidi w:val="0"/>
            <w:spacing w:line="240" w:lineRule="auto"/>
          </w:pPr>
          <w:r>
            <w:tab/>
            <w:t>Gr4:</w:t>
          </w:r>
          <w:r>
            <w:tab/>
            <w:t>+41 22 730 65 00</w:t>
          </w:r>
        </w:p>
      </w:tc>
      <w:tc>
        <w:tcPr>
          <w:tcW w:w="1224" w:type="pct"/>
        </w:tcPr>
        <w:p w:rsidR="00126477" w:rsidRDefault="00126477" w:rsidP="00206E2B">
          <w:pPr>
            <w:pStyle w:val="itu"/>
            <w:bidi w:val="0"/>
            <w:spacing w:line="240" w:lineRule="auto"/>
          </w:pPr>
        </w:p>
      </w:tc>
      <w:tc>
        <w:tcPr>
          <w:tcW w:w="1131" w:type="pct"/>
        </w:tcPr>
        <w:p w:rsidR="00126477" w:rsidRDefault="00126477" w:rsidP="00206E2B">
          <w:pPr>
            <w:pStyle w:val="itu"/>
            <w:bidi w:val="0"/>
            <w:spacing w:line="240" w:lineRule="auto"/>
          </w:pPr>
        </w:p>
      </w:tc>
    </w:tr>
  </w:tbl>
  <w:p w:rsidR="00126477" w:rsidRPr="00CD6A72" w:rsidRDefault="00126477"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77" w:rsidRDefault="00126477">
      <w:r>
        <w:t>____________________</w:t>
      </w:r>
    </w:p>
  </w:footnote>
  <w:footnote w:type="continuationSeparator" w:id="0">
    <w:p w:rsidR="00126477" w:rsidRDefault="0012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7" w:rsidRPr="003F60F7" w:rsidRDefault="00126477"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8404C8">
      <w:rPr>
        <w:rStyle w:val="PageNumber"/>
        <w:rFonts w:cs="Traditional Arabic"/>
        <w:noProof/>
        <w:sz w:val="20"/>
        <w:szCs w:val="20"/>
      </w:rPr>
      <w:t>2</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410A"/>
    <w:rsid w:val="00016557"/>
    <w:rsid w:val="00017CFE"/>
    <w:rsid w:val="000347DE"/>
    <w:rsid w:val="0004070C"/>
    <w:rsid w:val="00051EEA"/>
    <w:rsid w:val="00054872"/>
    <w:rsid w:val="00076078"/>
    <w:rsid w:val="000810C4"/>
    <w:rsid w:val="00082D29"/>
    <w:rsid w:val="00087766"/>
    <w:rsid w:val="000A0FE3"/>
    <w:rsid w:val="000B2525"/>
    <w:rsid w:val="000B5C3B"/>
    <w:rsid w:val="000B6E18"/>
    <w:rsid w:val="000C6738"/>
    <w:rsid w:val="000E0EEB"/>
    <w:rsid w:val="000E15C1"/>
    <w:rsid w:val="000E27D1"/>
    <w:rsid w:val="000E64DA"/>
    <w:rsid w:val="000F181D"/>
    <w:rsid w:val="000F38AE"/>
    <w:rsid w:val="000F527D"/>
    <w:rsid w:val="00106760"/>
    <w:rsid w:val="001145CA"/>
    <w:rsid w:val="00120B72"/>
    <w:rsid w:val="001214B1"/>
    <w:rsid w:val="00122CE1"/>
    <w:rsid w:val="00125F99"/>
    <w:rsid w:val="001262AF"/>
    <w:rsid w:val="00126477"/>
    <w:rsid w:val="001307AE"/>
    <w:rsid w:val="001315F3"/>
    <w:rsid w:val="0014668A"/>
    <w:rsid w:val="001541D8"/>
    <w:rsid w:val="00166B8C"/>
    <w:rsid w:val="001708DB"/>
    <w:rsid w:val="00171929"/>
    <w:rsid w:val="001879A0"/>
    <w:rsid w:val="0019114D"/>
    <w:rsid w:val="001A634A"/>
    <w:rsid w:val="001A7892"/>
    <w:rsid w:val="001B0C6D"/>
    <w:rsid w:val="001B33F8"/>
    <w:rsid w:val="001C02EC"/>
    <w:rsid w:val="001C2DF4"/>
    <w:rsid w:val="001C579A"/>
    <w:rsid w:val="001D01A8"/>
    <w:rsid w:val="001D0B93"/>
    <w:rsid w:val="001E0782"/>
    <w:rsid w:val="001E15AA"/>
    <w:rsid w:val="001E5AB0"/>
    <w:rsid w:val="001E6AAE"/>
    <w:rsid w:val="001E6E10"/>
    <w:rsid w:val="001E7A30"/>
    <w:rsid w:val="001F3B2A"/>
    <w:rsid w:val="00206A4D"/>
    <w:rsid w:val="00206E2B"/>
    <w:rsid w:val="00210B45"/>
    <w:rsid w:val="00217604"/>
    <w:rsid w:val="00217A61"/>
    <w:rsid w:val="002234F0"/>
    <w:rsid w:val="0022559C"/>
    <w:rsid w:val="00227F65"/>
    <w:rsid w:val="00234177"/>
    <w:rsid w:val="00244139"/>
    <w:rsid w:val="00251013"/>
    <w:rsid w:val="00253405"/>
    <w:rsid w:val="002620C2"/>
    <w:rsid w:val="00266C81"/>
    <w:rsid w:val="0027032C"/>
    <w:rsid w:val="00272B6B"/>
    <w:rsid w:val="00274377"/>
    <w:rsid w:val="00274EA6"/>
    <w:rsid w:val="002750E2"/>
    <w:rsid w:val="00282A09"/>
    <w:rsid w:val="002966D5"/>
    <w:rsid w:val="002A4340"/>
    <w:rsid w:val="002C00F5"/>
    <w:rsid w:val="002C3F64"/>
    <w:rsid w:val="002C7607"/>
    <w:rsid w:val="002D5FFC"/>
    <w:rsid w:val="002E43E0"/>
    <w:rsid w:val="002F45BB"/>
    <w:rsid w:val="00307384"/>
    <w:rsid w:val="00310232"/>
    <w:rsid w:val="00315421"/>
    <w:rsid w:val="003250B5"/>
    <w:rsid w:val="0032727C"/>
    <w:rsid w:val="00327BB4"/>
    <w:rsid w:val="00330B20"/>
    <w:rsid w:val="00340B5E"/>
    <w:rsid w:val="00343581"/>
    <w:rsid w:val="00344931"/>
    <w:rsid w:val="00352DE6"/>
    <w:rsid w:val="00356D02"/>
    <w:rsid w:val="0036292F"/>
    <w:rsid w:val="00365151"/>
    <w:rsid w:val="00367C62"/>
    <w:rsid w:val="00376A60"/>
    <w:rsid w:val="00395851"/>
    <w:rsid w:val="003A00D0"/>
    <w:rsid w:val="003B2AF6"/>
    <w:rsid w:val="003B3F9E"/>
    <w:rsid w:val="003C51CD"/>
    <w:rsid w:val="003C5F59"/>
    <w:rsid w:val="003D0B0A"/>
    <w:rsid w:val="003D3993"/>
    <w:rsid w:val="003D4BAC"/>
    <w:rsid w:val="003E03B0"/>
    <w:rsid w:val="003E64E5"/>
    <w:rsid w:val="003F18DA"/>
    <w:rsid w:val="003F60F7"/>
    <w:rsid w:val="003F67A8"/>
    <w:rsid w:val="0040383D"/>
    <w:rsid w:val="00411C73"/>
    <w:rsid w:val="004140EA"/>
    <w:rsid w:val="00416965"/>
    <w:rsid w:val="00427900"/>
    <w:rsid w:val="004406E3"/>
    <w:rsid w:val="00441904"/>
    <w:rsid w:val="00442301"/>
    <w:rsid w:val="0044634B"/>
    <w:rsid w:val="00471F5C"/>
    <w:rsid w:val="004826EC"/>
    <w:rsid w:val="004843CC"/>
    <w:rsid w:val="00487D5C"/>
    <w:rsid w:val="004A5AB1"/>
    <w:rsid w:val="004B1157"/>
    <w:rsid w:val="004B1FC8"/>
    <w:rsid w:val="004C1881"/>
    <w:rsid w:val="004C6D38"/>
    <w:rsid w:val="004C7217"/>
    <w:rsid w:val="004D5D3B"/>
    <w:rsid w:val="004E5232"/>
    <w:rsid w:val="004E7028"/>
    <w:rsid w:val="004F26AE"/>
    <w:rsid w:val="00506F48"/>
    <w:rsid w:val="005078C6"/>
    <w:rsid w:val="0052066D"/>
    <w:rsid w:val="005211E6"/>
    <w:rsid w:val="00523421"/>
    <w:rsid w:val="00526035"/>
    <w:rsid w:val="00533BA0"/>
    <w:rsid w:val="00536301"/>
    <w:rsid w:val="0056345F"/>
    <w:rsid w:val="00572AFB"/>
    <w:rsid w:val="0057351C"/>
    <w:rsid w:val="005807A0"/>
    <w:rsid w:val="005818D3"/>
    <w:rsid w:val="00582519"/>
    <w:rsid w:val="00587A96"/>
    <w:rsid w:val="005933D1"/>
    <w:rsid w:val="00595800"/>
    <w:rsid w:val="00596BA9"/>
    <w:rsid w:val="005A0193"/>
    <w:rsid w:val="005B589A"/>
    <w:rsid w:val="005B73E9"/>
    <w:rsid w:val="005C2F59"/>
    <w:rsid w:val="005C7A2B"/>
    <w:rsid w:val="005D6483"/>
    <w:rsid w:val="005D7A94"/>
    <w:rsid w:val="005F130D"/>
    <w:rsid w:val="005F1D97"/>
    <w:rsid w:val="005F424A"/>
    <w:rsid w:val="005F650D"/>
    <w:rsid w:val="005F7F4C"/>
    <w:rsid w:val="00602FD1"/>
    <w:rsid w:val="00604CDC"/>
    <w:rsid w:val="006075B8"/>
    <w:rsid w:val="006108D7"/>
    <w:rsid w:val="00611E07"/>
    <w:rsid w:val="006136BC"/>
    <w:rsid w:val="00621F46"/>
    <w:rsid w:val="00624358"/>
    <w:rsid w:val="00630BAE"/>
    <w:rsid w:val="00631B5F"/>
    <w:rsid w:val="00636C9E"/>
    <w:rsid w:val="00637C9D"/>
    <w:rsid w:val="00640E54"/>
    <w:rsid w:val="006457AF"/>
    <w:rsid w:val="00657BB9"/>
    <w:rsid w:val="006601D2"/>
    <w:rsid w:val="00664EE1"/>
    <w:rsid w:val="00671439"/>
    <w:rsid w:val="00681995"/>
    <w:rsid w:val="00691FF0"/>
    <w:rsid w:val="006B3F95"/>
    <w:rsid w:val="006B5E71"/>
    <w:rsid w:val="006D323A"/>
    <w:rsid w:val="006D44F6"/>
    <w:rsid w:val="006D5865"/>
    <w:rsid w:val="006E2755"/>
    <w:rsid w:val="00702A71"/>
    <w:rsid w:val="0070484E"/>
    <w:rsid w:val="0070638A"/>
    <w:rsid w:val="00707421"/>
    <w:rsid w:val="00710DBE"/>
    <w:rsid w:val="0071106C"/>
    <w:rsid w:val="00713194"/>
    <w:rsid w:val="00715363"/>
    <w:rsid w:val="0072288B"/>
    <w:rsid w:val="00726CF3"/>
    <w:rsid w:val="00734796"/>
    <w:rsid w:val="00740E51"/>
    <w:rsid w:val="00746900"/>
    <w:rsid w:val="0074724A"/>
    <w:rsid w:val="00747BF3"/>
    <w:rsid w:val="00750B39"/>
    <w:rsid w:val="00751BD8"/>
    <w:rsid w:val="00757481"/>
    <w:rsid w:val="00757D5D"/>
    <w:rsid w:val="0076553E"/>
    <w:rsid w:val="00767F28"/>
    <w:rsid w:val="00771005"/>
    <w:rsid w:val="0077439C"/>
    <w:rsid w:val="0078518B"/>
    <w:rsid w:val="00786140"/>
    <w:rsid w:val="00793A61"/>
    <w:rsid w:val="007953DC"/>
    <w:rsid w:val="007A65E5"/>
    <w:rsid w:val="007B1D6E"/>
    <w:rsid w:val="007B3C0A"/>
    <w:rsid w:val="007D7C2D"/>
    <w:rsid w:val="007E0116"/>
    <w:rsid w:val="007E5305"/>
    <w:rsid w:val="00811467"/>
    <w:rsid w:val="00811F14"/>
    <w:rsid w:val="00827AF6"/>
    <w:rsid w:val="008320D7"/>
    <w:rsid w:val="008355FD"/>
    <w:rsid w:val="008372B0"/>
    <w:rsid w:val="008404C8"/>
    <w:rsid w:val="00847B1A"/>
    <w:rsid w:val="00863E00"/>
    <w:rsid w:val="00865255"/>
    <w:rsid w:val="00865B94"/>
    <w:rsid w:val="008753C7"/>
    <w:rsid w:val="008753E4"/>
    <w:rsid w:val="00881D43"/>
    <w:rsid w:val="0089247E"/>
    <w:rsid w:val="00893245"/>
    <w:rsid w:val="008A34FA"/>
    <w:rsid w:val="008A36C0"/>
    <w:rsid w:val="008A5DF1"/>
    <w:rsid w:val="008A6806"/>
    <w:rsid w:val="008B4DCA"/>
    <w:rsid w:val="008C5635"/>
    <w:rsid w:val="008D4874"/>
    <w:rsid w:val="008E2159"/>
    <w:rsid w:val="008E3F9C"/>
    <w:rsid w:val="00905178"/>
    <w:rsid w:val="009129EA"/>
    <w:rsid w:val="0093664B"/>
    <w:rsid w:val="0093776F"/>
    <w:rsid w:val="00947214"/>
    <w:rsid w:val="00947C2E"/>
    <w:rsid w:val="00952FB0"/>
    <w:rsid w:val="009676DC"/>
    <w:rsid w:val="00970EFC"/>
    <w:rsid w:val="009746CA"/>
    <w:rsid w:val="00974E26"/>
    <w:rsid w:val="00976BA7"/>
    <w:rsid w:val="0097788B"/>
    <w:rsid w:val="009804F9"/>
    <w:rsid w:val="00980D6F"/>
    <w:rsid w:val="00981A82"/>
    <w:rsid w:val="009846D5"/>
    <w:rsid w:val="00993516"/>
    <w:rsid w:val="009A22FA"/>
    <w:rsid w:val="009A28D0"/>
    <w:rsid w:val="009B6AEF"/>
    <w:rsid w:val="009C4AB8"/>
    <w:rsid w:val="009C7D03"/>
    <w:rsid w:val="009E14F3"/>
    <w:rsid w:val="009E1957"/>
    <w:rsid w:val="009F11D2"/>
    <w:rsid w:val="009F72D8"/>
    <w:rsid w:val="00A01D89"/>
    <w:rsid w:val="00A06093"/>
    <w:rsid w:val="00A06F64"/>
    <w:rsid w:val="00A12083"/>
    <w:rsid w:val="00A20DC6"/>
    <w:rsid w:val="00A215DE"/>
    <w:rsid w:val="00A33BD6"/>
    <w:rsid w:val="00A33F0F"/>
    <w:rsid w:val="00A341B6"/>
    <w:rsid w:val="00A3798B"/>
    <w:rsid w:val="00A46325"/>
    <w:rsid w:val="00A52902"/>
    <w:rsid w:val="00A55AA3"/>
    <w:rsid w:val="00A609F8"/>
    <w:rsid w:val="00A674C8"/>
    <w:rsid w:val="00A67D30"/>
    <w:rsid w:val="00A7788E"/>
    <w:rsid w:val="00A81588"/>
    <w:rsid w:val="00A82282"/>
    <w:rsid w:val="00A8793D"/>
    <w:rsid w:val="00AB07C5"/>
    <w:rsid w:val="00AB19FA"/>
    <w:rsid w:val="00AC2383"/>
    <w:rsid w:val="00AC2975"/>
    <w:rsid w:val="00AC47DF"/>
    <w:rsid w:val="00AD550E"/>
    <w:rsid w:val="00AD6E16"/>
    <w:rsid w:val="00AE050F"/>
    <w:rsid w:val="00AE7E78"/>
    <w:rsid w:val="00AF5B54"/>
    <w:rsid w:val="00B01711"/>
    <w:rsid w:val="00B06335"/>
    <w:rsid w:val="00B1030C"/>
    <w:rsid w:val="00B11436"/>
    <w:rsid w:val="00B21CD3"/>
    <w:rsid w:val="00B21CDA"/>
    <w:rsid w:val="00B31898"/>
    <w:rsid w:val="00B51A86"/>
    <w:rsid w:val="00B55E68"/>
    <w:rsid w:val="00B57344"/>
    <w:rsid w:val="00B61A1A"/>
    <w:rsid w:val="00B6228B"/>
    <w:rsid w:val="00B74977"/>
    <w:rsid w:val="00B758DB"/>
    <w:rsid w:val="00B76590"/>
    <w:rsid w:val="00B76B61"/>
    <w:rsid w:val="00B819D5"/>
    <w:rsid w:val="00B85691"/>
    <w:rsid w:val="00B87E04"/>
    <w:rsid w:val="00BA08FD"/>
    <w:rsid w:val="00BA1358"/>
    <w:rsid w:val="00BA53CC"/>
    <w:rsid w:val="00BB5F44"/>
    <w:rsid w:val="00BC23AD"/>
    <w:rsid w:val="00BC4737"/>
    <w:rsid w:val="00BD3B66"/>
    <w:rsid w:val="00BD6FF5"/>
    <w:rsid w:val="00BE4430"/>
    <w:rsid w:val="00C00246"/>
    <w:rsid w:val="00C021C9"/>
    <w:rsid w:val="00C049E2"/>
    <w:rsid w:val="00C0606B"/>
    <w:rsid w:val="00C06B45"/>
    <w:rsid w:val="00C11C9A"/>
    <w:rsid w:val="00C22686"/>
    <w:rsid w:val="00C312D0"/>
    <w:rsid w:val="00C35132"/>
    <w:rsid w:val="00C42255"/>
    <w:rsid w:val="00C44A3C"/>
    <w:rsid w:val="00C52FD1"/>
    <w:rsid w:val="00C53DD3"/>
    <w:rsid w:val="00C57D87"/>
    <w:rsid w:val="00C60966"/>
    <w:rsid w:val="00C60F9A"/>
    <w:rsid w:val="00C613A1"/>
    <w:rsid w:val="00C72584"/>
    <w:rsid w:val="00C90BC5"/>
    <w:rsid w:val="00C97D3C"/>
    <w:rsid w:val="00CA1979"/>
    <w:rsid w:val="00CA4464"/>
    <w:rsid w:val="00CA5F9D"/>
    <w:rsid w:val="00CB4CC7"/>
    <w:rsid w:val="00CB73C8"/>
    <w:rsid w:val="00CC2143"/>
    <w:rsid w:val="00CD2CFF"/>
    <w:rsid w:val="00CD49E0"/>
    <w:rsid w:val="00CD6A72"/>
    <w:rsid w:val="00CE166F"/>
    <w:rsid w:val="00CE7DDC"/>
    <w:rsid w:val="00CF1208"/>
    <w:rsid w:val="00CF1335"/>
    <w:rsid w:val="00CF175A"/>
    <w:rsid w:val="00CF523A"/>
    <w:rsid w:val="00D02208"/>
    <w:rsid w:val="00D02FA2"/>
    <w:rsid w:val="00D03BDA"/>
    <w:rsid w:val="00D1255F"/>
    <w:rsid w:val="00D15681"/>
    <w:rsid w:val="00D231C7"/>
    <w:rsid w:val="00D238E6"/>
    <w:rsid w:val="00D35752"/>
    <w:rsid w:val="00D45DA3"/>
    <w:rsid w:val="00D463D0"/>
    <w:rsid w:val="00D5604F"/>
    <w:rsid w:val="00D61395"/>
    <w:rsid w:val="00D61661"/>
    <w:rsid w:val="00D744B4"/>
    <w:rsid w:val="00D82FF8"/>
    <w:rsid w:val="00D835B9"/>
    <w:rsid w:val="00D83FD7"/>
    <w:rsid w:val="00D9532B"/>
    <w:rsid w:val="00DA2FBF"/>
    <w:rsid w:val="00DA4D2D"/>
    <w:rsid w:val="00DA51CA"/>
    <w:rsid w:val="00DA5883"/>
    <w:rsid w:val="00DB5730"/>
    <w:rsid w:val="00DC68DE"/>
    <w:rsid w:val="00DE6042"/>
    <w:rsid w:val="00DF4E25"/>
    <w:rsid w:val="00E22745"/>
    <w:rsid w:val="00E24278"/>
    <w:rsid w:val="00E25F9F"/>
    <w:rsid w:val="00E43B86"/>
    <w:rsid w:val="00E55B49"/>
    <w:rsid w:val="00E642EB"/>
    <w:rsid w:val="00E65B17"/>
    <w:rsid w:val="00E66D15"/>
    <w:rsid w:val="00E67237"/>
    <w:rsid w:val="00E75C8D"/>
    <w:rsid w:val="00E85333"/>
    <w:rsid w:val="00E86407"/>
    <w:rsid w:val="00E931DD"/>
    <w:rsid w:val="00E938F4"/>
    <w:rsid w:val="00EA1FA3"/>
    <w:rsid w:val="00EA310B"/>
    <w:rsid w:val="00EA3EC1"/>
    <w:rsid w:val="00EA65A3"/>
    <w:rsid w:val="00EC710F"/>
    <w:rsid w:val="00EC75FD"/>
    <w:rsid w:val="00ED79B1"/>
    <w:rsid w:val="00EE30FC"/>
    <w:rsid w:val="00EE3858"/>
    <w:rsid w:val="00EE4CC4"/>
    <w:rsid w:val="00EF73B1"/>
    <w:rsid w:val="00F0314A"/>
    <w:rsid w:val="00F03D81"/>
    <w:rsid w:val="00F1170C"/>
    <w:rsid w:val="00F42740"/>
    <w:rsid w:val="00F45E6E"/>
    <w:rsid w:val="00F55179"/>
    <w:rsid w:val="00F601B0"/>
    <w:rsid w:val="00F73F2C"/>
    <w:rsid w:val="00F75AC0"/>
    <w:rsid w:val="00F838F2"/>
    <w:rsid w:val="00F9140A"/>
    <w:rsid w:val="00F931BB"/>
    <w:rsid w:val="00F96658"/>
    <w:rsid w:val="00F97C62"/>
    <w:rsid w:val="00FA74ED"/>
    <w:rsid w:val="00FB5CF1"/>
    <w:rsid w:val="00FB70C2"/>
    <w:rsid w:val="00FC6453"/>
    <w:rsid w:val="00FD109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5542-D81C-4518-9181-EF28946D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6</TotalTime>
  <Pages>4</Pages>
  <Words>1009</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capdessu</cp:lastModifiedBy>
  <cp:revision>4</cp:revision>
  <cp:lastPrinted>2012-10-18T10:05:00Z</cp:lastPrinted>
  <dcterms:created xsi:type="dcterms:W3CDTF">2012-10-18T10:01:00Z</dcterms:created>
  <dcterms:modified xsi:type="dcterms:W3CDTF">2012-10-18T10:07:00Z</dcterms:modified>
</cp:coreProperties>
</file>