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46DB6" w:rsidRPr="00D35752" w:rsidTr="0051072C">
        <w:tc>
          <w:tcPr>
            <w:tcW w:w="8188" w:type="dxa"/>
            <w:vAlign w:val="center"/>
          </w:tcPr>
          <w:p w:rsidR="00846DB6" w:rsidRPr="009828BD" w:rsidRDefault="00846DB6" w:rsidP="001D0684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46DB6" w:rsidRPr="00D35752" w:rsidRDefault="00846DB6" w:rsidP="001D0684">
            <w:pPr>
              <w:spacing w:before="0"/>
            </w:pPr>
          </w:p>
        </w:tc>
        <w:tc>
          <w:tcPr>
            <w:tcW w:w="1667" w:type="dxa"/>
          </w:tcPr>
          <w:p w:rsidR="00846DB6" w:rsidRPr="00D35752" w:rsidRDefault="00FA0ABB" w:rsidP="001D068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9514358" wp14:editId="0D912A1D">
                  <wp:extent cx="800100" cy="876300"/>
                  <wp:effectExtent l="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46DB6" w:rsidTr="0051072C">
        <w:trPr>
          <w:cantSplit/>
        </w:trPr>
        <w:tc>
          <w:tcPr>
            <w:tcW w:w="5075" w:type="dxa"/>
          </w:tcPr>
          <w:p w:rsidR="00846DB6" w:rsidRDefault="00846DB6" w:rsidP="001D0684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46DB6" w:rsidRDefault="00846DB6" w:rsidP="001D06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46DB6" w:rsidRDefault="00846DB6" w:rsidP="001D0684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46DB6" w:rsidTr="0051072C">
        <w:trPr>
          <w:cantSplit/>
        </w:trPr>
        <w:tc>
          <w:tcPr>
            <w:tcW w:w="2518" w:type="dxa"/>
          </w:tcPr>
          <w:p w:rsidR="00846DB6" w:rsidRPr="00F40936" w:rsidRDefault="00846DB6" w:rsidP="001D0684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46DB6" w:rsidRPr="0068376F" w:rsidRDefault="00846DB6" w:rsidP="0044194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proofErr w:type="spellStart"/>
            <w:r w:rsidRPr="00F40936">
              <w:rPr>
                <w:b/>
                <w:bCs/>
                <w:lang w:val="fr-FR" w:eastAsia="zh-CN"/>
              </w:rPr>
              <w:t>CACE</w:t>
            </w:r>
            <w:proofErr w:type="spellEnd"/>
            <w:r w:rsidRPr="00F40936">
              <w:rPr>
                <w:b/>
                <w:bCs/>
                <w:lang w:val="fr-FR" w:eastAsia="zh-CN"/>
              </w:rPr>
              <w:t>/</w:t>
            </w:r>
            <w:r>
              <w:rPr>
                <w:b/>
                <w:bCs/>
                <w:lang w:val="fr-FR" w:eastAsia="zh-CN"/>
              </w:rPr>
              <w:t>5</w:t>
            </w:r>
            <w:r w:rsidR="00F8738F">
              <w:rPr>
                <w:rFonts w:hint="eastAsia"/>
                <w:b/>
                <w:bCs/>
                <w:lang w:val="fr-FR" w:eastAsia="zh-CN"/>
              </w:rPr>
              <w:t>6</w:t>
            </w:r>
            <w:r w:rsidR="00441943">
              <w:rPr>
                <w:rFonts w:hint="eastAsia"/>
                <w:b/>
                <w:bCs/>
                <w:lang w:val="fr-FR" w:eastAsia="zh-CN"/>
              </w:rPr>
              <w:t>5</w:t>
            </w:r>
          </w:p>
        </w:tc>
        <w:tc>
          <w:tcPr>
            <w:tcW w:w="7502" w:type="dxa"/>
          </w:tcPr>
          <w:p w:rsidR="00846DB6" w:rsidRDefault="005F16F6" w:rsidP="00F8738F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2</w:t>
            </w:r>
            <w:r w:rsidR="00846DB6">
              <w:rPr>
                <w:rFonts w:hint="eastAsia"/>
                <w:lang w:eastAsia="zh-CN"/>
              </w:rPr>
              <w:t>年</w:t>
            </w:r>
            <w:r w:rsidR="00F8738F">
              <w:rPr>
                <w:rFonts w:hint="eastAsia"/>
                <w:lang w:eastAsia="zh-CN"/>
              </w:rPr>
              <w:t>3</w:t>
            </w:r>
            <w:r w:rsidR="00846DB6">
              <w:rPr>
                <w:rFonts w:hint="eastAsia"/>
                <w:lang w:eastAsia="zh-CN"/>
              </w:rPr>
              <w:t>月</w:t>
            </w:r>
            <w:r w:rsidR="00F8738F">
              <w:rPr>
                <w:rFonts w:hint="eastAsia"/>
                <w:lang w:eastAsia="zh-CN"/>
              </w:rPr>
              <w:t>2</w:t>
            </w:r>
            <w:r w:rsidR="00363CD3">
              <w:rPr>
                <w:rFonts w:hint="eastAsia"/>
                <w:lang w:eastAsia="zh-CN"/>
              </w:rPr>
              <w:t>8</w:t>
            </w:r>
            <w:r w:rsidR="00846DB6">
              <w:rPr>
                <w:rFonts w:hint="eastAsia"/>
                <w:lang w:eastAsia="zh-CN"/>
              </w:rPr>
              <w:t>日</w:t>
            </w:r>
          </w:p>
        </w:tc>
      </w:tr>
    </w:tbl>
    <w:p w:rsidR="00846DB6" w:rsidRDefault="001800FC" w:rsidP="000F776A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致国际电联</w:t>
      </w:r>
      <w:r>
        <w:rPr>
          <w:rFonts w:ascii="SimSun" w:hAnsi="SimSun" w:hint="eastAsia"/>
          <w:b/>
          <w:spacing w:val="12"/>
          <w:lang w:eastAsia="zh-CN"/>
        </w:rPr>
        <w:t>成员国</w:t>
      </w:r>
      <w:r>
        <w:rPr>
          <w:rFonts w:ascii="SimSun" w:hAnsi="SimSun" w:hint="eastAsia"/>
          <w:b/>
          <w:bCs/>
          <w:lang w:eastAsia="zh-CN"/>
        </w:rPr>
        <w:t>主管部门和参加无线电通信</w:t>
      </w:r>
      <w:r>
        <w:rPr>
          <w:rFonts w:ascii="SimSun" w:hAnsi="SimSun" w:hint="eastAsia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363CD3">
        <w:rPr>
          <w:rFonts w:hint="eastAsia"/>
          <w:b/>
          <w:bCs/>
          <w:lang w:val="fr-CH" w:eastAsia="zh-CN"/>
        </w:rPr>
        <w:t>5</w:t>
      </w:r>
      <w:r>
        <w:rPr>
          <w:rFonts w:ascii="SimSun" w:hAnsi="SimSun" w:hint="eastAsia"/>
          <w:b/>
          <w:bCs/>
          <w:lang w:eastAsia="zh-CN"/>
        </w:rPr>
        <w:t>研究组工作的无线电通信部门成员</w:t>
      </w:r>
      <w:r w:rsidR="000F776A">
        <w:rPr>
          <w:rFonts w:ascii="SimSun" w:hAns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部门准成员</w:t>
      </w:r>
      <w:r>
        <w:rPr>
          <w:rFonts w:ascii="SimSun" w:hAnsi="SimSun" w:hint="eastAsia"/>
          <w:b/>
          <w:bCs/>
          <w:lang w:val="en-US" w:eastAsia="zh-CN"/>
        </w:rPr>
        <w:t>以及</w:t>
      </w:r>
      <w:r w:rsidR="000F776A">
        <w:rPr>
          <w:rFonts w:ascii="SimSun" w:hAnsi="SimSun"/>
          <w:b/>
          <w:bCs/>
          <w:lang w:val="en-US" w:eastAsia="zh-CN"/>
        </w:rPr>
        <w:br/>
      </w:r>
      <w:r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846DB6" w:rsidRDefault="00846DB6" w:rsidP="001D0684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846DB6" w:rsidRPr="00722C6B" w:rsidRDefault="00846DB6" w:rsidP="00363CD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363CD3">
        <w:rPr>
          <w:rFonts w:hint="eastAsia"/>
          <w:b/>
          <w:bCs/>
          <w:lang w:eastAsia="zh-CN"/>
        </w:rPr>
        <w:t>5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 w:rsidR="00240CE4">
        <w:rPr>
          <w:rFonts w:asciiTheme="majorBidi" w:hAnsiTheme="majorBidi" w:cstheme="majorBidi" w:hint="eastAsia"/>
          <w:b/>
          <w:bCs/>
          <w:lang w:eastAsia="zh-CN"/>
        </w:rPr>
        <w:t>（</w:t>
      </w:r>
      <w:r w:rsidR="00363CD3">
        <w:rPr>
          <w:rFonts w:asciiTheme="majorBidi" w:hAnsiTheme="majorBidi" w:cstheme="majorBidi" w:hint="eastAsia"/>
          <w:b/>
          <w:bCs/>
          <w:lang w:eastAsia="zh-CN"/>
        </w:rPr>
        <w:t>地面业务</w:t>
      </w:r>
      <w:r w:rsidR="00240CE4">
        <w:rPr>
          <w:rFonts w:asciiTheme="majorBidi" w:hAnsiTheme="majorBidi" w:cstheme="majorBidi" w:hint="eastAsia"/>
          <w:b/>
          <w:bCs/>
          <w:lang w:eastAsia="zh-CN"/>
        </w:rPr>
        <w:t>）</w:t>
      </w:r>
    </w:p>
    <w:p w:rsidR="00846DB6" w:rsidRDefault="00846DB6" w:rsidP="00363CD3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</w:t>
      </w:r>
      <w:r w:rsidR="00DB251E">
        <w:rPr>
          <w:rFonts w:hint="eastAsia"/>
          <w:b/>
          <w:bCs/>
          <w:lang w:eastAsia="zh-CN"/>
        </w:rPr>
        <w:t>6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363CD3">
        <w:rPr>
          <w:rFonts w:hint="eastAsia"/>
          <w:b/>
          <w:bCs/>
          <w:lang w:val="es-ES_tradnl" w:eastAsia="zh-CN" w:bidi="ar-EG"/>
        </w:rPr>
        <w:t>9</w:t>
      </w:r>
      <w:r w:rsidR="0038774D">
        <w:rPr>
          <w:rFonts w:hint="eastAsia"/>
          <w:b/>
          <w:bCs/>
          <w:lang w:val="es-ES_tradnl" w:eastAsia="zh-CN" w:bidi="ar-EG"/>
        </w:rPr>
        <w:t>份新建议书</w:t>
      </w:r>
      <w:r w:rsidR="0011041E">
        <w:rPr>
          <w:rFonts w:hint="eastAsia"/>
          <w:b/>
          <w:bCs/>
          <w:lang w:val="es-ES_tradnl" w:eastAsia="zh-CN" w:bidi="ar-EG"/>
        </w:rPr>
        <w:t>和</w:t>
      </w:r>
      <w:r w:rsidR="00363CD3">
        <w:rPr>
          <w:rFonts w:hint="eastAsia"/>
          <w:b/>
          <w:bCs/>
          <w:lang w:val="es-ES_tradnl" w:eastAsia="zh-CN" w:bidi="ar-EG"/>
        </w:rPr>
        <w:t>18</w:t>
      </w:r>
      <w:r w:rsidR="0011041E" w:rsidRPr="00722C6B">
        <w:rPr>
          <w:rFonts w:hint="eastAsia"/>
          <w:b/>
          <w:bCs/>
          <w:lang w:eastAsia="zh-CN"/>
        </w:rPr>
        <w:t>份经修订的建议书</w:t>
      </w:r>
      <w:r w:rsidR="00F91ECF">
        <w:rPr>
          <w:rFonts w:hint="eastAsia"/>
          <w:b/>
          <w:bCs/>
          <w:lang w:val="es-ES_tradnl" w:eastAsia="zh-CN" w:bidi="ar-EG"/>
        </w:rPr>
        <w:t>，</w:t>
      </w:r>
      <w:r w:rsidR="0011041E">
        <w:rPr>
          <w:rFonts w:hint="eastAsia"/>
          <w:b/>
          <w:bCs/>
          <w:lang w:val="es-ES_tradnl" w:eastAsia="zh-CN" w:bidi="ar-EG"/>
        </w:rPr>
        <w:t>并</w:t>
      </w:r>
      <w:r>
        <w:rPr>
          <w:rFonts w:hint="eastAsia"/>
          <w:b/>
          <w:bCs/>
          <w:lang w:val="es-ES_tradnl" w:eastAsia="zh-CN" w:bidi="ar-EG"/>
        </w:rPr>
        <w:t>同时</w:t>
      </w:r>
      <w:r w:rsidR="0011041E">
        <w:rPr>
          <w:rFonts w:hint="eastAsia"/>
          <w:b/>
          <w:bCs/>
          <w:lang w:val="es-ES_tradnl" w:eastAsia="zh-CN" w:bidi="ar-EG"/>
        </w:rPr>
        <w:t>予以</w:t>
      </w:r>
      <w:r>
        <w:rPr>
          <w:rFonts w:hint="eastAsia"/>
          <w:b/>
          <w:bCs/>
          <w:lang w:val="es-ES_tradnl" w:eastAsia="zh-CN" w:bidi="ar-EG"/>
        </w:rPr>
        <w:t>批准</w:t>
      </w:r>
    </w:p>
    <w:p w:rsidR="00846DB6" w:rsidRDefault="00846DB6" w:rsidP="001D068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</w:p>
    <w:p w:rsidR="00846DB6" w:rsidRDefault="00846DB6" w:rsidP="008E3F80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 w:rsidR="008E3F80">
        <w:rPr>
          <w:lang w:eastAsia="zh-CN"/>
        </w:rPr>
        <w:t>5</w:t>
      </w:r>
      <w:bookmarkStart w:id="4" w:name="_GoBack"/>
      <w:bookmarkEnd w:id="4"/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38774D">
        <w:rPr>
          <w:rFonts w:hint="eastAsia"/>
          <w:lang w:eastAsia="zh-CN"/>
        </w:rPr>
        <w:t>1</w:t>
      </w:r>
      <w:r w:rsidR="00363CD3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363CD3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日的第</w:t>
      </w:r>
      <w:r w:rsidR="0038774D">
        <w:rPr>
          <w:lang w:eastAsia="zh-CN"/>
        </w:rPr>
        <w:t>CAR/3</w:t>
      </w:r>
      <w:r w:rsidR="0038774D">
        <w:rPr>
          <w:rFonts w:hint="eastAsia"/>
          <w:lang w:eastAsia="zh-CN"/>
        </w:rPr>
        <w:t>2</w:t>
      </w:r>
      <w:r w:rsidR="00363CD3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号行政通函，提交了</w:t>
      </w:r>
      <w:r w:rsidR="00363CD3">
        <w:rPr>
          <w:rFonts w:hint="eastAsia"/>
          <w:lang w:eastAsia="zh-CN"/>
        </w:rPr>
        <w:t>9</w:t>
      </w:r>
      <w:r w:rsidR="0038774D">
        <w:rPr>
          <w:rFonts w:hint="eastAsia"/>
          <w:lang w:eastAsia="zh-CN"/>
        </w:rPr>
        <w:t>份新建议书草案和</w:t>
      </w:r>
      <w:r w:rsidR="00363CD3">
        <w:rPr>
          <w:rFonts w:hint="eastAsia"/>
          <w:lang w:eastAsia="zh-CN"/>
        </w:rPr>
        <w:t>18</w:t>
      </w:r>
      <w:r>
        <w:rPr>
          <w:rFonts w:hint="eastAsia"/>
          <w:lang w:eastAsia="zh-CN" w:bidi="ar-EG"/>
        </w:rPr>
        <w:t>份经修订的建议书草案，</w:t>
      </w:r>
      <w:r>
        <w:rPr>
          <w:rFonts w:hint="eastAsia"/>
          <w:lang w:val="es-ES_tradnl" w:eastAsia="zh-CN" w:bidi="ar-EG"/>
        </w:rPr>
        <w:t>以便</w:t>
      </w:r>
      <w:r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同时通过和批准（</w:t>
      </w:r>
      <w:proofErr w:type="spellStart"/>
      <w:r>
        <w:rPr>
          <w:lang w:val="es-ES_tradnl" w:eastAsia="zh-CN" w:bidi="ar-EG"/>
        </w:rPr>
        <w:t>PSAA</w:t>
      </w:r>
      <w:proofErr w:type="spellEnd"/>
      <w:r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</w:t>
      </w:r>
    </w:p>
    <w:p w:rsidR="00846DB6" w:rsidRDefault="00846DB6" w:rsidP="00363CD3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 w:rsidR="0038774D">
        <w:rPr>
          <w:lang w:eastAsia="zh-CN"/>
        </w:rPr>
        <w:t>201</w:t>
      </w:r>
      <w:r w:rsidR="0038774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363CD3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363CD3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日得到满足。</w:t>
      </w:r>
    </w:p>
    <w:p w:rsidR="00846DB6" w:rsidRDefault="00846DB6" w:rsidP="00F8738F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5" w:name="StartTyping_E"/>
      <w:bookmarkEnd w:id="5"/>
    </w:p>
    <w:p w:rsidR="00846DB6" w:rsidRDefault="00846DB6" w:rsidP="001D0684">
      <w:pPr>
        <w:rPr>
          <w:lang w:val="en-US" w:eastAsia="zh-CN"/>
        </w:rPr>
      </w:pPr>
    </w:p>
    <w:p w:rsidR="00846DB6" w:rsidRDefault="00846DB6" w:rsidP="001D0684">
      <w:pPr>
        <w:rPr>
          <w:lang w:val="en-US" w:eastAsia="zh-CN"/>
        </w:rPr>
      </w:pPr>
    </w:p>
    <w:p w:rsidR="00001646" w:rsidRDefault="00001646" w:rsidP="001D0684">
      <w:pPr>
        <w:rPr>
          <w:lang w:val="en-US" w:eastAsia="zh-CN"/>
        </w:rPr>
      </w:pPr>
    </w:p>
    <w:p w:rsidR="00846DB6" w:rsidRDefault="00846DB6" w:rsidP="001D068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846DB6" w:rsidRDefault="00846DB6" w:rsidP="001D0684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846DB6" w:rsidRDefault="00846DB6" w:rsidP="00F8738F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F8738F">
        <w:rPr>
          <w:rFonts w:hint="eastAsia"/>
          <w:lang w:val="en-US" w:eastAsia="zh-CN"/>
        </w:rPr>
        <w:t>1</w:t>
      </w:r>
      <w:r>
        <w:rPr>
          <w:rFonts w:hint="eastAsia"/>
          <w:bCs/>
          <w:lang w:val="en-US" w:eastAsia="zh-CN"/>
        </w:rPr>
        <w:t>件</w:t>
      </w:r>
    </w:p>
    <w:p w:rsidR="00846DB6" w:rsidRPr="00A979BC" w:rsidRDefault="00846DB6" w:rsidP="001D0684">
      <w:pPr>
        <w:tabs>
          <w:tab w:val="left" w:pos="6237"/>
        </w:tabs>
        <w:rPr>
          <w:sz w:val="18"/>
          <w:szCs w:val="18"/>
          <w:lang w:eastAsia="zh-CN"/>
        </w:rPr>
      </w:pPr>
      <w:r w:rsidRPr="0099433C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846DB6" w:rsidRPr="00A979BC" w:rsidRDefault="00846DB6" w:rsidP="00363CD3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国际电联</w:t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参与无线电通信第</w:t>
      </w:r>
      <w:r w:rsidR="00363CD3"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846DB6" w:rsidRDefault="00846DB6" w:rsidP="00363CD3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363CD3">
        <w:rPr>
          <w:rFonts w:hint="eastAsia"/>
          <w:sz w:val="18"/>
          <w:szCs w:val="18"/>
          <w:lang w:val="en-US" w:eastAsia="zh-CN"/>
        </w:rPr>
        <w:t>5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846DB6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  <w:t>ITU-R</w:t>
      </w:r>
      <w:r>
        <w:rPr>
          <w:rFonts w:hint="eastAsia"/>
          <w:sz w:val="18"/>
          <w:szCs w:val="18"/>
          <w:lang w:val="en-US" w:eastAsia="zh-CN"/>
        </w:rPr>
        <w:t>学术成员</w:t>
      </w:r>
    </w:p>
    <w:p w:rsidR="00846DB6" w:rsidRPr="00A979BC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846DB6" w:rsidRDefault="00846DB6" w:rsidP="001D0684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846DB6" w:rsidRDefault="00846DB6" w:rsidP="001D06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846DB6" w:rsidRPr="00000D54" w:rsidRDefault="00846DB6" w:rsidP="00A94C59">
      <w:pPr>
        <w:pStyle w:val="Arttitle"/>
        <w:rPr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t>1</w:t>
      </w:r>
      <w:r w:rsidRPr="00000D54">
        <w:rPr>
          <w:lang w:eastAsia="zh-CN"/>
        </w:rPr>
        <w:br/>
      </w:r>
      <w:r w:rsidRPr="00000D54">
        <w:rPr>
          <w:lang w:eastAsia="zh-CN"/>
        </w:rPr>
        <w:br/>
      </w:r>
      <w:r w:rsidR="006C0F42">
        <w:rPr>
          <w:rFonts w:hint="eastAsia"/>
          <w:lang w:eastAsia="zh-CN"/>
        </w:rPr>
        <w:t>已</w:t>
      </w:r>
      <w:r w:rsidR="003C5A33">
        <w:rPr>
          <w:rFonts w:hint="eastAsia"/>
          <w:lang w:eastAsia="zh-CN"/>
        </w:rPr>
        <w:t>批准的</w:t>
      </w:r>
      <w:r w:rsidRPr="00000D54">
        <w:rPr>
          <w:rFonts w:hint="eastAsia"/>
          <w:lang w:eastAsia="zh-CN"/>
        </w:rPr>
        <w:t>建议书</w:t>
      </w:r>
      <w:r w:rsidRPr="00000D54">
        <w:rPr>
          <w:rFonts w:hint="eastAsia"/>
          <w:lang w:val="en-US" w:eastAsia="zh-CN"/>
        </w:rPr>
        <w:t>标题</w:t>
      </w:r>
    </w:p>
    <w:p w:rsidR="00103065" w:rsidRPr="00000D54" w:rsidRDefault="00103065" w:rsidP="001D0684">
      <w:pPr>
        <w:rPr>
          <w:lang w:eastAsia="zh-CN"/>
        </w:rPr>
      </w:pPr>
    </w:p>
    <w:p w:rsidR="00363CD3" w:rsidRDefault="00363CD3" w:rsidP="00363CD3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2002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5/261(Rev.1)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szCs w:val="24"/>
          <w:lang w:eastAsia="zh-CN"/>
        </w:rPr>
      </w:pPr>
      <w:r>
        <w:rPr>
          <w:rFonts w:hint="eastAsia"/>
          <w:lang w:eastAsia="zh-CN"/>
        </w:rPr>
        <w:t>广域传感器和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或执行器网络（</w:t>
      </w:r>
      <w:proofErr w:type="spellStart"/>
      <w:r>
        <w:rPr>
          <w:lang w:eastAsia="zh-CN"/>
        </w:rPr>
        <w:t>WASN</w:t>
      </w:r>
      <w:proofErr w:type="spellEnd"/>
      <w:r>
        <w:rPr>
          <w:rFonts w:hint="eastAsia"/>
          <w:lang w:eastAsia="zh-CN"/>
        </w:rPr>
        <w:t>）系统的</w:t>
      </w:r>
      <w:r>
        <w:rPr>
          <w:lang w:eastAsia="zh-CN"/>
        </w:rPr>
        <w:br/>
      </w:r>
      <w:r>
        <w:rPr>
          <w:rFonts w:hint="eastAsia"/>
          <w:lang w:eastAsia="zh-CN"/>
        </w:rPr>
        <w:t>目标、特性和功能要求</w:t>
      </w: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2003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5/298(Rev.1)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lang w:eastAsia="zh-CN"/>
        </w:rPr>
        <w:t>60 GHz</w:t>
      </w:r>
      <w:r>
        <w:rPr>
          <w:rFonts w:hint="eastAsia"/>
          <w:lang w:eastAsia="zh-CN"/>
        </w:rPr>
        <w:t>频率上下的多吉比特无线系统</w:t>
      </w: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2004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5/307(Rev.1)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ja-JP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92-95 GHz</w:t>
      </w:r>
      <w:r>
        <w:rPr>
          <w:rFonts w:hint="eastAsia"/>
          <w:lang w:eastAsia="zh-CN"/>
        </w:rPr>
        <w:t>范围操作的固定业务系统的</w:t>
      </w:r>
      <w:r>
        <w:rPr>
          <w:lang w:eastAsia="zh-CN"/>
        </w:rPr>
        <w:br/>
      </w:r>
      <w:r>
        <w:rPr>
          <w:rFonts w:hint="eastAsia"/>
          <w:lang w:eastAsia="zh-CN"/>
        </w:rPr>
        <w:t>射频信道安排</w:t>
      </w: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2005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5/311(Rev.1)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42 GHz</w:t>
      </w:r>
      <w:r>
        <w:rPr>
          <w:rFonts w:hint="eastAsia"/>
          <w:lang w:eastAsia="zh-CN"/>
        </w:rPr>
        <w:t>（</w:t>
      </w:r>
      <w:r>
        <w:rPr>
          <w:lang w:eastAsia="zh-CN"/>
        </w:rPr>
        <w:t>40.5</w:t>
      </w:r>
      <w:r>
        <w:rPr>
          <w:rFonts w:hint="eastAsia"/>
          <w:lang w:eastAsia="zh-CN"/>
        </w:rPr>
        <w:t>至</w:t>
      </w:r>
      <w:r>
        <w:rPr>
          <w:lang w:eastAsia="zh-CN"/>
        </w:rPr>
        <w:t>43.5 GHz</w:t>
      </w:r>
      <w:r>
        <w:rPr>
          <w:rFonts w:hint="eastAsia"/>
          <w:lang w:eastAsia="zh-CN"/>
        </w:rPr>
        <w:t>）频段操作的</w:t>
      </w:r>
      <w:r>
        <w:rPr>
          <w:lang w:eastAsia="zh-CN"/>
        </w:rPr>
        <w:br/>
      </w:r>
      <w:r>
        <w:rPr>
          <w:rFonts w:hint="eastAsia"/>
          <w:lang w:eastAsia="zh-CN"/>
        </w:rPr>
        <w:t>固定无线系统的射频信道和模块安排</w:t>
      </w: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2006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5/313(Rev.1)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ja-JP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71-76</w:t>
      </w:r>
      <w:r>
        <w:rPr>
          <w:rFonts w:hint="eastAsia"/>
          <w:lang w:eastAsia="zh-CN"/>
        </w:rPr>
        <w:t>和</w:t>
      </w:r>
      <w:r>
        <w:rPr>
          <w:lang w:eastAsia="zh-CN"/>
        </w:rPr>
        <w:t>81-86 GHz</w:t>
      </w:r>
      <w:r>
        <w:rPr>
          <w:rFonts w:hint="eastAsia"/>
          <w:lang w:eastAsia="zh-CN"/>
        </w:rPr>
        <w:t>频段操作的固定无线系统</w:t>
      </w:r>
      <w:r>
        <w:rPr>
          <w:lang w:eastAsia="zh-CN"/>
        </w:rPr>
        <w:br/>
      </w:r>
      <w:r>
        <w:rPr>
          <w:rFonts w:hint="eastAsia"/>
          <w:lang w:eastAsia="zh-CN"/>
        </w:rPr>
        <w:t>的射频信道和模块安排</w:t>
      </w: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2007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5/317(Rev.1) </w:t>
      </w:r>
      <w:r>
        <w:rPr>
          <w:rFonts w:hint="eastAsia"/>
          <w:lang w:eastAsia="zh-CN"/>
        </w:rPr>
        <w:t>号文件</w:t>
      </w:r>
    </w:p>
    <w:p w:rsidR="00363CD3" w:rsidRDefault="00AD42B3" w:rsidP="00363CD3">
      <w:pPr>
        <w:pStyle w:val="Rectitle"/>
        <w:rPr>
          <w:lang w:eastAsia="zh-CN"/>
        </w:rPr>
      </w:pPr>
      <w:r>
        <w:rPr>
          <w:lang w:eastAsia="zh-CN"/>
        </w:rPr>
        <w:t>5 150-5 250 MHz</w:t>
      </w:r>
      <w:r w:rsidR="00363CD3">
        <w:rPr>
          <w:rFonts w:hint="eastAsia"/>
          <w:lang w:eastAsia="zh-CN"/>
        </w:rPr>
        <w:t>频段航空无线电导航业务（</w:t>
      </w:r>
      <w:proofErr w:type="spellStart"/>
      <w:r w:rsidR="00363CD3">
        <w:rPr>
          <w:lang w:eastAsia="zh-CN"/>
        </w:rPr>
        <w:t>ARNS</w:t>
      </w:r>
      <w:proofErr w:type="spellEnd"/>
      <w:r w:rsidR="00363CD3">
        <w:rPr>
          <w:rFonts w:hint="eastAsia"/>
          <w:lang w:eastAsia="zh-CN"/>
        </w:rPr>
        <w:t>）内</w:t>
      </w:r>
      <w:r w:rsidR="00363CD3">
        <w:rPr>
          <w:lang w:eastAsia="zh-CN"/>
        </w:rPr>
        <w:br/>
      </w:r>
      <w:r w:rsidR="00363CD3">
        <w:rPr>
          <w:rFonts w:hint="eastAsia"/>
          <w:lang w:eastAsia="zh-CN"/>
        </w:rPr>
        <w:t>操作的雷达特性及保护标准</w:t>
      </w: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2008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5/320(Rev.1)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lang w:eastAsia="zh-CN"/>
        </w:rPr>
        <w:t>13.25-13.40 GHz</w:t>
      </w:r>
      <w:r>
        <w:rPr>
          <w:rFonts w:hint="eastAsia"/>
          <w:lang w:eastAsia="zh-CN"/>
        </w:rPr>
        <w:t>频段航空无线电导航业务内</w:t>
      </w:r>
      <w:r>
        <w:rPr>
          <w:lang w:eastAsia="zh-CN"/>
        </w:rPr>
        <w:br/>
      </w:r>
      <w:r>
        <w:rPr>
          <w:rFonts w:hint="eastAsia"/>
          <w:lang w:eastAsia="zh-CN"/>
        </w:rPr>
        <w:t>操作的雷达特性及保护标准</w:t>
      </w:r>
    </w:p>
    <w:p w:rsidR="00363CD3" w:rsidRDefault="00363CD3" w:rsidP="00363CD3">
      <w:pPr>
        <w:tabs>
          <w:tab w:val="left" w:pos="720"/>
        </w:tabs>
        <w:overflowPunct/>
        <w:autoSpaceDE/>
        <w:adjustRightInd/>
        <w:spacing w:before="0"/>
        <w:rPr>
          <w:szCs w:val="24"/>
          <w:lang w:eastAsia="zh-CN"/>
        </w:rPr>
      </w:pPr>
    </w:p>
    <w:p w:rsidR="00363CD3" w:rsidRDefault="00363CD3" w:rsidP="00363CD3">
      <w:pPr>
        <w:tabs>
          <w:tab w:val="left" w:pos="720"/>
        </w:tabs>
        <w:overflowPunct/>
        <w:autoSpaceDE/>
        <w:adjustRightInd/>
        <w:spacing w:before="0"/>
        <w:rPr>
          <w:u w:val="single"/>
          <w:lang w:eastAsia="zh-CN"/>
        </w:rPr>
      </w:pP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lastRenderedPageBreak/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2009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5/329(Rev.1) </w:t>
      </w:r>
      <w:r>
        <w:rPr>
          <w:rFonts w:hint="eastAsia"/>
          <w:lang w:eastAsia="zh-CN"/>
        </w:rPr>
        <w:t>号文件</w:t>
      </w:r>
    </w:p>
    <w:p w:rsidR="00363CD3" w:rsidRDefault="00363CD3" w:rsidP="00B53EB2">
      <w:pPr>
        <w:pStyle w:val="Rectitle"/>
        <w:rPr>
          <w:lang w:eastAsia="zh-CN"/>
        </w:rPr>
      </w:pPr>
      <w:r>
        <w:rPr>
          <w:rFonts w:hint="eastAsia"/>
          <w:lang w:eastAsia="zh-CN"/>
        </w:rPr>
        <w:t>根据第</w:t>
      </w:r>
      <w:r>
        <w:rPr>
          <w:lang w:eastAsia="zh-CN"/>
        </w:rPr>
        <w:t>646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WRC-03</w:t>
      </w:r>
      <w:r>
        <w:rPr>
          <w:rFonts w:hint="eastAsia"/>
          <w:lang w:eastAsia="zh-CN"/>
        </w:rPr>
        <w:t>）在甚高频（</w:t>
      </w:r>
      <w:r>
        <w:rPr>
          <w:lang w:eastAsia="zh-CN"/>
        </w:rPr>
        <w:t>UHF</w:t>
      </w:r>
      <w:r>
        <w:rPr>
          <w:rFonts w:hint="eastAsia"/>
          <w:lang w:eastAsia="zh-CN"/>
        </w:rPr>
        <w:t>）的</w:t>
      </w:r>
      <w:r w:rsidR="00B53EB2">
        <w:rPr>
          <w:lang w:eastAsia="zh-CN"/>
        </w:rPr>
        <w:br/>
      </w:r>
      <w:r>
        <w:rPr>
          <w:rFonts w:hint="eastAsia"/>
          <w:lang w:eastAsia="zh-CN"/>
        </w:rPr>
        <w:t>部分频段内将无线电接口标准用于公众保护</w:t>
      </w:r>
      <w:r>
        <w:rPr>
          <w:lang w:eastAsia="zh-CN"/>
        </w:rPr>
        <w:br/>
      </w:r>
      <w:r>
        <w:rPr>
          <w:rFonts w:hint="eastAsia"/>
          <w:lang w:eastAsia="zh-CN"/>
        </w:rPr>
        <w:t>和救灾行动</w:t>
      </w:r>
    </w:p>
    <w:p w:rsidR="00363CD3" w:rsidRDefault="00363CD3" w:rsidP="00363CD3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2010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5/333(Rev.1)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500 kHz</w:t>
      </w:r>
      <w:r>
        <w:rPr>
          <w:rFonts w:hint="eastAsia"/>
          <w:lang w:eastAsia="zh-CN"/>
        </w:rPr>
        <w:t>频段用于广播水上安全和与海岸至船舶方向</w:t>
      </w:r>
      <w:r>
        <w:rPr>
          <w:lang w:eastAsia="zh-CN"/>
        </w:rPr>
        <w:br/>
      </w:r>
      <w:r>
        <w:rPr>
          <w:rFonts w:hint="eastAsia"/>
          <w:lang w:eastAsia="zh-CN"/>
        </w:rPr>
        <w:t>安全信息的导航数据数字系统的特性</w:t>
      </w:r>
    </w:p>
    <w:p w:rsidR="00363CD3" w:rsidRDefault="00551DE4" w:rsidP="00551DE4">
      <w:pPr>
        <w:tabs>
          <w:tab w:val="right" w:pos="9639"/>
        </w:tabs>
        <w:spacing w:before="360"/>
        <w:rPr>
          <w:szCs w:val="24"/>
          <w:lang w:eastAsia="zh-CN"/>
        </w:rPr>
      </w:pPr>
      <w:r>
        <w:rPr>
          <w:u w:val="single"/>
          <w:lang w:eastAsia="zh-CN"/>
        </w:rPr>
        <w:t>ITU-R M.</w:t>
      </w:r>
      <w:r>
        <w:rPr>
          <w:rFonts w:hint="eastAsia"/>
          <w:color w:val="000000"/>
          <w:szCs w:val="24"/>
          <w:u w:val="single"/>
          <w:lang w:eastAsia="zh-CN"/>
        </w:rPr>
        <w:t>1036-4</w:t>
      </w:r>
      <w:r>
        <w:rPr>
          <w:rFonts w:hint="eastAsia"/>
          <w:color w:val="000000"/>
          <w:szCs w:val="24"/>
          <w:u w:val="single"/>
          <w:lang w:eastAsia="zh-CN"/>
        </w:rPr>
        <w:t>建议书</w:t>
      </w:r>
      <w:r w:rsidR="00363CD3">
        <w:rPr>
          <w:szCs w:val="24"/>
          <w:lang w:eastAsia="zh-CN"/>
        </w:rPr>
        <w:tab/>
        <w:t>5/274(Rev.2)</w:t>
      </w:r>
      <w:r w:rsidR="00363CD3">
        <w:rPr>
          <w:lang w:eastAsia="zh-CN"/>
        </w:rPr>
        <w:t xml:space="preserve"> </w:t>
      </w:r>
      <w:r w:rsidR="00363CD3">
        <w:rPr>
          <w:rFonts w:hint="eastAsia"/>
          <w:lang w:eastAsia="zh-CN"/>
        </w:rPr>
        <w:t>号文件</w:t>
      </w:r>
    </w:p>
    <w:p w:rsidR="00363CD3" w:rsidRDefault="00363CD3" w:rsidP="00441943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 w:rsidR="00441943">
        <w:rPr>
          <w:rFonts w:hint="eastAsia"/>
          <w:lang w:eastAsia="zh-CN"/>
        </w:rPr>
        <w:t>《无线电规则》（</w:t>
      </w:r>
      <w:r w:rsidR="00441943">
        <w:rPr>
          <w:rFonts w:hint="eastAsia"/>
          <w:lang w:eastAsia="zh-CN"/>
        </w:rPr>
        <w:t>RR</w:t>
      </w:r>
      <w:r w:rsidR="00441943">
        <w:rPr>
          <w:rFonts w:hint="eastAsia"/>
          <w:lang w:eastAsia="zh-CN"/>
        </w:rPr>
        <w:t>）为国际移动通信（</w:t>
      </w:r>
      <w:proofErr w:type="spellStart"/>
      <w:r w:rsidR="00441943">
        <w:rPr>
          <w:lang w:eastAsia="zh-CN"/>
        </w:rPr>
        <w:t>IMT</w:t>
      </w:r>
      <w:proofErr w:type="spellEnd"/>
      <w:r w:rsidR="00441943">
        <w:rPr>
          <w:rFonts w:hint="eastAsia"/>
          <w:lang w:eastAsia="zh-CN"/>
        </w:rPr>
        <w:t>）确定的</w:t>
      </w:r>
      <w:r w:rsidR="00B53EB2">
        <w:rPr>
          <w:lang w:eastAsia="zh-CN"/>
        </w:rPr>
        <w:br/>
      </w:r>
      <w:r>
        <w:rPr>
          <w:rFonts w:hint="eastAsia"/>
          <w:lang w:eastAsia="zh-CN"/>
        </w:rPr>
        <w:t>频段</w:t>
      </w:r>
      <w:r w:rsidR="00441943">
        <w:rPr>
          <w:rFonts w:hint="eastAsia"/>
          <w:lang w:eastAsia="zh-CN"/>
        </w:rPr>
        <w:t>内</w:t>
      </w:r>
      <w:r>
        <w:rPr>
          <w:rFonts w:hint="eastAsia"/>
          <w:lang w:eastAsia="zh-CN"/>
        </w:rPr>
        <w:t>实施国际移动通信（</w:t>
      </w:r>
      <w:proofErr w:type="spellStart"/>
      <w:r>
        <w:rPr>
          <w:lang w:eastAsia="zh-CN"/>
        </w:rPr>
        <w:t>IMT</w:t>
      </w:r>
      <w:proofErr w:type="spellEnd"/>
      <w:r>
        <w:rPr>
          <w:rFonts w:hint="eastAsia"/>
          <w:lang w:eastAsia="zh-CN"/>
        </w:rPr>
        <w:t>）</w:t>
      </w:r>
      <w:r w:rsidR="00B53EB2">
        <w:rPr>
          <w:lang w:eastAsia="zh-CN"/>
        </w:rPr>
        <w:br/>
      </w:r>
      <w:r>
        <w:rPr>
          <w:rFonts w:hint="eastAsia"/>
          <w:lang w:eastAsia="zh-CN"/>
        </w:rPr>
        <w:t>地面部分的频率安排</w:t>
      </w:r>
    </w:p>
    <w:p w:rsidR="00363CD3" w:rsidRDefault="00363CD3" w:rsidP="00551DE4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M.1732</w:t>
      </w:r>
      <w:r w:rsidR="00551DE4">
        <w:rPr>
          <w:rFonts w:hint="eastAsia"/>
          <w:u w:val="single"/>
          <w:lang w:eastAsia="zh-CN"/>
        </w:rPr>
        <w:t>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5/294(Rev.1)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用于共用研究的业余和卫星业余业务</w:t>
      </w:r>
      <w:r>
        <w:rPr>
          <w:lang w:eastAsia="zh-CN"/>
        </w:rPr>
        <w:br/>
      </w:r>
      <w:r>
        <w:rPr>
          <w:rFonts w:hint="eastAsia"/>
          <w:lang w:eastAsia="zh-CN"/>
        </w:rPr>
        <w:t>的系统特性</w:t>
      </w:r>
    </w:p>
    <w:p w:rsidR="00363CD3" w:rsidRDefault="00363CD3" w:rsidP="00363CD3">
      <w:pPr>
        <w:tabs>
          <w:tab w:val="left" w:pos="720"/>
        </w:tabs>
        <w:overflowPunct/>
        <w:autoSpaceDE/>
        <w:adjustRightInd/>
        <w:spacing w:before="0"/>
        <w:rPr>
          <w:u w:val="single"/>
          <w:lang w:eastAsia="zh-CN"/>
        </w:rPr>
      </w:pPr>
    </w:p>
    <w:p w:rsidR="00363CD3" w:rsidRDefault="00363CD3" w:rsidP="00551DE4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M.1073-</w:t>
      </w:r>
      <w:r w:rsidR="00551DE4">
        <w:rPr>
          <w:rFonts w:hint="eastAsia"/>
          <w:u w:val="single"/>
          <w:lang w:eastAsia="zh-CN"/>
        </w:rPr>
        <w:t>3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5/297(Rev.1)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数字蜂窝陆地移动通信系统</w:t>
      </w:r>
    </w:p>
    <w:p w:rsidR="00363CD3" w:rsidRDefault="00363CD3" w:rsidP="00551DE4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F.1495-</w:t>
      </w:r>
      <w:r w:rsidR="00551DE4">
        <w:rPr>
          <w:rFonts w:hint="eastAsia"/>
          <w:u w:val="single"/>
          <w:lang w:eastAsia="zh-CN"/>
        </w:rPr>
        <w:t>2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5/306(Rev.1)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保护固定业务免受来自同为主要使用条件并共用</w:t>
      </w:r>
      <w:r>
        <w:rPr>
          <w:lang w:eastAsia="zh-CN"/>
        </w:rPr>
        <w:br/>
        <w:t xml:space="preserve">17.7-19.3 GHz </w:t>
      </w:r>
      <w:r>
        <w:rPr>
          <w:rFonts w:hint="eastAsia"/>
          <w:lang w:eastAsia="zh-CN"/>
        </w:rPr>
        <w:t>频段的其它业务时</w:t>
      </w:r>
      <w:r>
        <w:rPr>
          <w:lang w:eastAsia="zh-CN"/>
        </w:rPr>
        <w:br/>
      </w:r>
      <w:r>
        <w:rPr>
          <w:rFonts w:hint="eastAsia"/>
          <w:lang w:eastAsia="zh-CN"/>
        </w:rPr>
        <w:t>变集总干扰的干扰标准</w:t>
      </w:r>
    </w:p>
    <w:p w:rsidR="00363CD3" w:rsidRDefault="00363CD3" w:rsidP="00551DE4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F.1245-</w:t>
      </w:r>
      <w:r w:rsidR="00551DE4">
        <w:rPr>
          <w:rFonts w:hint="eastAsia"/>
          <w:u w:val="single"/>
          <w:lang w:eastAsia="zh-CN"/>
        </w:rPr>
        <w:t>2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szCs w:val="24"/>
          <w:lang w:eastAsia="zh-CN"/>
        </w:rPr>
        <w:tab/>
      </w:r>
      <w:r>
        <w:rPr>
          <w:lang w:eastAsia="zh-CN"/>
        </w:rPr>
        <w:t xml:space="preserve">5/312(Rev.1) </w:t>
      </w:r>
      <w:r>
        <w:rPr>
          <w:rFonts w:hint="eastAsia"/>
          <w:lang w:eastAsia="zh-CN"/>
        </w:rPr>
        <w:t>号文件</w:t>
      </w:r>
    </w:p>
    <w:p w:rsidR="00363CD3" w:rsidRDefault="00363CD3" w:rsidP="00441943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lang w:eastAsia="zh-CN"/>
        </w:rPr>
        <w:t>1 GHz</w:t>
      </w:r>
      <w:r>
        <w:rPr>
          <w:rFonts w:hint="eastAsia"/>
          <w:lang w:eastAsia="zh-CN"/>
        </w:rPr>
        <w:t>至大约</w:t>
      </w:r>
      <w:r>
        <w:rPr>
          <w:lang w:eastAsia="zh-CN"/>
        </w:rPr>
        <w:t>70 GHz</w:t>
      </w:r>
      <w:r>
        <w:rPr>
          <w:rFonts w:hint="eastAsia"/>
          <w:lang w:eastAsia="zh-CN"/>
        </w:rPr>
        <w:t>频率范围某些协调研究和干扰评估的</w:t>
      </w:r>
      <w:r>
        <w:rPr>
          <w:lang w:eastAsia="zh-CN"/>
        </w:rPr>
        <w:br/>
      </w:r>
      <w:r>
        <w:rPr>
          <w:rFonts w:hint="eastAsia"/>
          <w:lang w:eastAsia="zh-CN"/>
        </w:rPr>
        <w:t>视距内点对点</w:t>
      </w:r>
      <w:r w:rsidR="00441943">
        <w:rPr>
          <w:rFonts w:hint="eastAsia"/>
          <w:lang w:eastAsia="zh-CN"/>
        </w:rPr>
        <w:t>固定无线</w:t>
      </w:r>
      <w:r>
        <w:rPr>
          <w:rFonts w:hint="eastAsia"/>
          <w:lang w:eastAsia="zh-CN"/>
        </w:rPr>
        <w:t>系统的天线平均值和</w:t>
      </w:r>
      <w:r>
        <w:rPr>
          <w:lang w:eastAsia="zh-CN"/>
        </w:rPr>
        <w:br/>
      </w:r>
      <w:r>
        <w:rPr>
          <w:rFonts w:hint="eastAsia"/>
          <w:lang w:eastAsia="zh-CN"/>
        </w:rPr>
        <w:t>相关辐射图的数学模型</w:t>
      </w:r>
    </w:p>
    <w:p w:rsidR="00441943" w:rsidRDefault="004419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eastAsia="ja-JP"/>
        </w:rPr>
      </w:pPr>
      <w:r>
        <w:rPr>
          <w:szCs w:val="24"/>
          <w:u w:val="single"/>
          <w:lang w:eastAsia="ja-JP"/>
        </w:rPr>
        <w:br w:type="page"/>
      </w:r>
    </w:p>
    <w:p w:rsidR="00363CD3" w:rsidRDefault="00363CD3" w:rsidP="00551DE4">
      <w:pPr>
        <w:tabs>
          <w:tab w:val="right" w:pos="9639"/>
        </w:tabs>
        <w:spacing w:before="360"/>
        <w:rPr>
          <w:szCs w:val="24"/>
          <w:lang w:eastAsia="ja-JP"/>
        </w:rPr>
      </w:pPr>
      <w:r>
        <w:rPr>
          <w:szCs w:val="24"/>
          <w:u w:val="single"/>
          <w:lang w:eastAsia="ja-JP"/>
        </w:rPr>
        <w:lastRenderedPageBreak/>
        <w:t>ITU-R F.746-</w:t>
      </w:r>
      <w:r w:rsidR="00551DE4">
        <w:rPr>
          <w:rFonts w:hint="eastAsia"/>
          <w:szCs w:val="24"/>
          <w:u w:val="single"/>
          <w:lang w:eastAsia="zh-CN"/>
        </w:rPr>
        <w:t>10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szCs w:val="24"/>
          <w:lang w:eastAsia="ja-JP"/>
        </w:rPr>
        <w:tab/>
        <w:t>5/315(Rev.1)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固定业务系统的射频安排</w:t>
      </w:r>
    </w:p>
    <w:p w:rsidR="00363CD3" w:rsidRDefault="00363CD3" w:rsidP="00551DE4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M.628-</w:t>
      </w:r>
      <w:r w:rsidR="00551DE4">
        <w:rPr>
          <w:rFonts w:hint="eastAsia"/>
          <w:u w:val="single"/>
          <w:lang w:eastAsia="zh-CN"/>
        </w:rPr>
        <w:t>5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5/316(Rev.1)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搜救雷达转发器的技术特性</w:t>
      </w:r>
    </w:p>
    <w:p w:rsidR="00363CD3" w:rsidRDefault="00363CD3" w:rsidP="00551DE4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F.1336-</w:t>
      </w:r>
      <w:r w:rsidR="00551DE4">
        <w:rPr>
          <w:rFonts w:hint="eastAsia"/>
          <w:u w:val="single"/>
          <w:lang w:eastAsia="zh-CN"/>
        </w:rPr>
        <w:t>3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5/324(Rev.1)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1 GHz</w:t>
      </w:r>
      <w:r>
        <w:rPr>
          <w:rFonts w:hint="eastAsia"/>
          <w:lang w:eastAsia="zh-CN"/>
        </w:rPr>
        <w:t>到约</w:t>
      </w:r>
      <w:r>
        <w:rPr>
          <w:lang w:eastAsia="zh-CN"/>
        </w:rPr>
        <w:t>70 GHz</w:t>
      </w:r>
      <w:r>
        <w:rPr>
          <w:rFonts w:hint="eastAsia"/>
          <w:lang w:eastAsia="zh-CN"/>
        </w:rPr>
        <w:t>频率范围内用于共用研究的</w:t>
      </w:r>
      <w:r>
        <w:rPr>
          <w:lang w:eastAsia="zh-CN"/>
        </w:rPr>
        <w:br/>
      </w:r>
      <w:r>
        <w:rPr>
          <w:rFonts w:hint="eastAsia"/>
          <w:lang w:eastAsia="zh-CN"/>
        </w:rPr>
        <w:t>点对多</w:t>
      </w:r>
      <w:proofErr w:type="gramStart"/>
      <w:r>
        <w:rPr>
          <w:rFonts w:hint="eastAsia"/>
          <w:lang w:eastAsia="zh-CN"/>
        </w:rPr>
        <w:t>点系统</w:t>
      </w:r>
      <w:proofErr w:type="gramEnd"/>
      <w:r>
        <w:rPr>
          <w:rFonts w:hint="eastAsia"/>
          <w:lang w:eastAsia="zh-CN"/>
        </w:rPr>
        <w:t>中的全向天线、扇形天线和</w:t>
      </w:r>
      <w:r>
        <w:rPr>
          <w:lang w:eastAsia="zh-CN"/>
        </w:rPr>
        <w:br/>
      </w:r>
      <w:r>
        <w:rPr>
          <w:rFonts w:hint="eastAsia"/>
          <w:lang w:eastAsia="zh-CN"/>
        </w:rPr>
        <w:t>其他天线的参考辐射</w:t>
      </w:r>
      <w:r>
        <w:rPr>
          <w:rFonts w:ascii="SimSun" w:hAnsi="SimSun" w:cs="SimSun" w:hint="eastAsia"/>
          <w:lang w:eastAsia="zh-CN"/>
        </w:rPr>
        <w:t>图</w:t>
      </w:r>
    </w:p>
    <w:p w:rsidR="00363CD3" w:rsidRDefault="00363CD3" w:rsidP="00551DE4">
      <w:pPr>
        <w:tabs>
          <w:tab w:val="right" w:pos="9639"/>
        </w:tabs>
        <w:spacing w:before="360"/>
        <w:rPr>
          <w:lang w:eastAsia="zh-CN"/>
        </w:rPr>
      </w:pPr>
      <w:r>
        <w:rPr>
          <w:u w:val="single"/>
          <w:lang w:eastAsia="zh-CN"/>
        </w:rPr>
        <w:t>ITU-R M.1796</w:t>
      </w:r>
      <w:r w:rsidR="00551DE4">
        <w:rPr>
          <w:rFonts w:hint="eastAsia"/>
          <w:u w:val="single"/>
          <w:lang w:eastAsia="zh-CN"/>
        </w:rPr>
        <w:t>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5/325(Rev.1) </w:t>
      </w:r>
      <w:r>
        <w:rPr>
          <w:rFonts w:hint="eastAsia"/>
          <w:lang w:eastAsia="zh-CN"/>
        </w:rPr>
        <w:t>号文件</w:t>
      </w:r>
    </w:p>
    <w:p w:rsidR="00363CD3" w:rsidRDefault="00363CD3" w:rsidP="00D652AC">
      <w:pPr>
        <w:pStyle w:val="Rectitle"/>
        <w:rPr>
          <w:lang w:eastAsia="zh-CN"/>
        </w:rPr>
      </w:pPr>
      <w:r>
        <w:rPr>
          <w:rFonts w:hint="eastAsia"/>
          <w:lang w:eastAsia="zh-CN"/>
        </w:rPr>
        <w:t>工作于</w:t>
      </w:r>
      <w:r>
        <w:rPr>
          <w:lang w:eastAsia="zh-CN"/>
        </w:rPr>
        <w:t xml:space="preserve">8 500-10 </w:t>
      </w:r>
      <w:r w:rsidR="00D652AC">
        <w:rPr>
          <w:rFonts w:hint="eastAsia"/>
          <w:lang w:eastAsia="zh-CN"/>
        </w:rPr>
        <w:t>680</w:t>
      </w:r>
      <w:r>
        <w:rPr>
          <w:lang w:eastAsia="zh-CN"/>
        </w:rPr>
        <w:t xml:space="preserve"> MHz</w:t>
      </w:r>
      <w:r>
        <w:rPr>
          <w:rFonts w:hint="eastAsia"/>
          <w:lang w:eastAsia="zh-CN"/>
        </w:rPr>
        <w:t>频带的无线电测定业务中</w:t>
      </w:r>
      <w:r>
        <w:rPr>
          <w:lang w:eastAsia="zh-CN"/>
        </w:rPr>
        <w:br/>
      </w:r>
      <w:r>
        <w:rPr>
          <w:rFonts w:hint="eastAsia"/>
          <w:lang w:eastAsia="zh-CN"/>
        </w:rPr>
        <w:t>地面雷达的特性与保护标准</w:t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M.1081</w:t>
      </w:r>
      <w:r w:rsidR="00551DE4">
        <w:rPr>
          <w:rFonts w:hint="eastAsia"/>
          <w:u w:val="single"/>
          <w:lang w:eastAsia="zh-CN"/>
        </w:rPr>
        <w:t>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5/342(Rev.1)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用于水上移动用户的自动高频（</w:t>
      </w:r>
      <w:proofErr w:type="spellStart"/>
      <w:r>
        <w:rPr>
          <w:lang w:eastAsia="zh-CN"/>
        </w:rPr>
        <w:t>HF</w:t>
      </w:r>
      <w:proofErr w:type="spellEnd"/>
      <w:r>
        <w:rPr>
          <w:rFonts w:hint="eastAsia"/>
          <w:lang w:eastAsia="zh-CN"/>
        </w:rPr>
        <w:t>）</w:t>
      </w:r>
      <w:r>
        <w:rPr>
          <w:lang w:eastAsia="zh-CN"/>
        </w:rPr>
        <w:br/>
      </w:r>
      <w:r>
        <w:rPr>
          <w:rFonts w:hint="eastAsia"/>
          <w:lang w:eastAsia="zh-CN"/>
        </w:rPr>
        <w:t>传真和数据系统</w:t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M.1170</w:t>
      </w:r>
      <w:r w:rsidR="00551DE4">
        <w:rPr>
          <w:rFonts w:hint="eastAsia"/>
          <w:u w:val="single"/>
          <w:lang w:eastAsia="zh-CN"/>
        </w:rPr>
        <w:t>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5/343(Rev.1)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水上移动业务的莫尔斯电报程序</w:t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M.1084-</w:t>
      </w:r>
      <w:r w:rsidR="00551DE4">
        <w:rPr>
          <w:rFonts w:hint="eastAsia"/>
          <w:u w:val="single"/>
          <w:lang w:eastAsia="zh-CN"/>
        </w:rPr>
        <w:t>5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5/346(Rev.1)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val="en-US" w:eastAsia="zh-CN"/>
        </w:rPr>
      </w:pPr>
      <w:r>
        <w:rPr>
          <w:rFonts w:ascii="SimSun" w:hAnsi="SimSun" w:cs="SimSun" w:hint="eastAsia"/>
          <w:lang w:eastAsia="zh-CN"/>
        </w:rPr>
        <w:t>提高水上移动业务台站使用</w:t>
      </w:r>
      <w:r w:rsidR="00B53EB2">
        <w:rPr>
          <w:lang w:eastAsia="zh-CN"/>
        </w:rPr>
        <w:t>156-174 MHz</w:t>
      </w:r>
      <w:r>
        <w:rPr>
          <w:rFonts w:ascii="SimSun" w:hAnsi="SimSun" w:cs="SimSun" w:hint="eastAsia"/>
          <w:lang w:eastAsia="zh-CN"/>
        </w:rPr>
        <w:t>频段</w:t>
      </w:r>
      <w:r>
        <w:rPr>
          <w:rFonts w:ascii="SimSun" w:hAnsi="SimSun" w:cs="SimSun" w:hint="eastAsia"/>
          <w:lang w:eastAsia="zh-CN"/>
        </w:rPr>
        <w:br/>
        <w:t>效率的临时解决方案</w:t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M.689-</w:t>
      </w:r>
      <w:r w:rsidR="00551DE4">
        <w:rPr>
          <w:rFonts w:hint="eastAsia"/>
          <w:u w:val="single"/>
          <w:lang w:eastAsia="zh-CN"/>
        </w:rPr>
        <w:t>3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5/347(Rev.1) </w:t>
      </w:r>
      <w:r>
        <w:rPr>
          <w:rFonts w:hint="eastAsia"/>
          <w:lang w:eastAsia="zh-CN"/>
        </w:rPr>
        <w:t>号文件</w:t>
      </w:r>
    </w:p>
    <w:p w:rsidR="00363CD3" w:rsidRDefault="00363CD3" w:rsidP="00B53EB2">
      <w:pPr>
        <w:pStyle w:val="Rectitle"/>
        <w:rPr>
          <w:lang w:eastAsia="zh-CN"/>
        </w:rPr>
      </w:pPr>
      <w:r>
        <w:rPr>
          <w:rFonts w:hint="eastAsia"/>
          <w:lang w:eastAsia="zh-CN"/>
        </w:rPr>
        <w:t>基于</w:t>
      </w:r>
      <w:r>
        <w:rPr>
          <w:lang w:eastAsia="zh-CN"/>
        </w:rPr>
        <w:t>DSC</w:t>
      </w:r>
      <w:r>
        <w:rPr>
          <w:rFonts w:hint="eastAsia"/>
          <w:lang w:eastAsia="zh-CN"/>
        </w:rPr>
        <w:t>信令格式并使用自动设施的国际水上</w:t>
      </w:r>
      <w:r w:rsidR="00B53EB2">
        <w:rPr>
          <w:lang w:eastAsia="zh-CN"/>
        </w:rPr>
        <w:br/>
      </w:r>
      <w:r>
        <w:rPr>
          <w:rFonts w:hint="eastAsia"/>
          <w:lang w:eastAsia="zh-CN"/>
        </w:rPr>
        <w:t>甚高频（</w:t>
      </w:r>
      <w:r>
        <w:rPr>
          <w:lang w:eastAsia="zh-CN"/>
        </w:rPr>
        <w:t>VHF</w:t>
      </w:r>
      <w:r>
        <w:rPr>
          <w:rFonts w:hint="eastAsia"/>
          <w:lang w:eastAsia="zh-CN"/>
        </w:rPr>
        <w:t>）无线电话系统</w:t>
      </w:r>
    </w:p>
    <w:p w:rsidR="00441943" w:rsidRDefault="004419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lastRenderedPageBreak/>
        <w:t>ITU-R M.820</w:t>
      </w:r>
      <w:r w:rsidR="00551DE4">
        <w:rPr>
          <w:rFonts w:hint="eastAsia"/>
          <w:u w:val="single"/>
          <w:lang w:eastAsia="zh-CN"/>
        </w:rPr>
        <w:t>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5/348(Rev.1)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在水上移动业务中将</w:t>
      </w:r>
      <w:r>
        <w:rPr>
          <w:lang w:eastAsia="zh-CN"/>
        </w:rPr>
        <w:t>9</w:t>
      </w:r>
      <w:r>
        <w:rPr>
          <w:rFonts w:hint="eastAsia"/>
          <w:lang w:eastAsia="zh-CN"/>
        </w:rPr>
        <w:t>位的数字标识</w:t>
      </w:r>
      <w:r>
        <w:rPr>
          <w:lang w:eastAsia="zh-CN"/>
        </w:rPr>
        <w:br/>
      </w:r>
      <w:r>
        <w:rPr>
          <w:rFonts w:hint="eastAsia"/>
          <w:lang w:eastAsia="zh-CN"/>
        </w:rPr>
        <w:t>用于</w:t>
      </w:r>
      <w:proofErr w:type="gramStart"/>
      <w:r>
        <w:rPr>
          <w:rFonts w:hint="eastAsia"/>
          <w:lang w:eastAsia="zh-CN"/>
        </w:rPr>
        <w:t>窄带直印电报</w:t>
      </w:r>
      <w:proofErr w:type="gramEnd"/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M.693</w:t>
      </w:r>
      <w:r w:rsidR="00551DE4">
        <w:rPr>
          <w:rFonts w:hint="eastAsia"/>
          <w:u w:val="single"/>
          <w:lang w:eastAsia="zh-CN"/>
        </w:rPr>
        <w:t>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5/349(Rev.1) </w:t>
      </w:r>
      <w:r>
        <w:rPr>
          <w:rFonts w:hint="eastAsia"/>
          <w:lang w:eastAsia="zh-CN"/>
        </w:rPr>
        <w:t>号文件</w:t>
      </w:r>
    </w:p>
    <w:p w:rsidR="00363CD3" w:rsidRDefault="00363CD3" w:rsidP="00D652AC">
      <w:pPr>
        <w:pStyle w:val="Rectitle"/>
        <w:rPr>
          <w:lang w:eastAsia="zh-CN"/>
        </w:rPr>
      </w:pPr>
      <w:r>
        <w:rPr>
          <w:rFonts w:hint="eastAsia"/>
          <w:lang w:eastAsia="zh-CN"/>
        </w:rPr>
        <w:t>使用数字选择性呼叫的</w:t>
      </w:r>
      <w:r>
        <w:rPr>
          <w:lang w:eastAsia="zh-CN"/>
        </w:rPr>
        <w:t>VHF</w:t>
      </w:r>
      <w:r>
        <w:rPr>
          <w:rFonts w:hint="eastAsia"/>
          <w:lang w:eastAsia="zh-CN"/>
        </w:rPr>
        <w:t>应急示位无线电</w:t>
      </w:r>
      <w:r>
        <w:rPr>
          <w:lang w:eastAsia="zh-CN"/>
        </w:rPr>
        <w:br/>
      </w:r>
      <w:r>
        <w:rPr>
          <w:rFonts w:hint="eastAsia"/>
          <w:lang w:eastAsia="zh-CN"/>
        </w:rPr>
        <w:t>信标的技术特性</w:t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M.625-</w:t>
      </w:r>
      <w:r w:rsidR="00551DE4">
        <w:rPr>
          <w:rFonts w:hint="eastAsia"/>
          <w:u w:val="single"/>
          <w:lang w:eastAsia="zh-CN"/>
        </w:rPr>
        <w:t>4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5/352(Rev.) </w:t>
      </w:r>
      <w:r>
        <w:rPr>
          <w:rFonts w:hint="eastAsia"/>
          <w:lang w:eastAsia="zh-CN"/>
        </w:rPr>
        <w:t>号文件</w:t>
      </w:r>
    </w:p>
    <w:p w:rsidR="00363CD3" w:rsidRDefault="00363CD3" w:rsidP="00363CD3">
      <w:pPr>
        <w:pStyle w:val="Rectitle"/>
        <w:rPr>
          <w:lang w:eastAsia="zh-CN"/>
        </w:rPr>
      </w:pPr>
      <w:r>
        <w:rPr>
          <w:rFonts w:hint="eastAsia"/>
          <w:lang w:eastAsia="zh-CN"/>
        </w:rPr>
        <w:t>水上移动业务中使用的自动</w:t>
      </w:r>
      <w:proofErr w:type="gramStart"/>
      <w:r>
        <w:rPr>
          <w:rFonts w:hint="eastAsia"/>
          <w:lang w:eastAsia="zh-CN"/>
        </w:rPr>
        <w:t>识别直印电报</w:t>
      </w:r>
      <w:proofErr w:type="gramEnd"/>
      <w:r>
        <w:rPr>
          <w:rFonts w:hint="eastAsia"/>
          <w:lang w:eastAsia="zh-CN"/>
        </w:rPr>
        <w:t>设备</w:t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M.690-</w:t>
      </w:r>
      <w:r w:rsidR="00551DE4">
        <w:rPr>
          <w:rFonts w:hint="eastAsia"/>
          <w:u w:val="single"/>
          <w:lang w:eastAsia="zh-CN"/>
        </w:rPr>
        <w:t>2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 xml:space="preserve">5/353(Rev.) </w:t>
      </w:r>
      <w:r>
        <w:rPr>
          <w:rFonts w:hint="eastAsia"/>
          <w:lang w:eastAsia="zh-CN"/>
        </w:rPr>
        <w:t>号文件</w:t>
      </w:r>
    </w:p>
    <w:p w:rsidR="00363CD3" w:rsidRDefault="00363CD3" w:rsidP="00441943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121.5 MHz </w:t>
      </w:r>
      <w:r>
        <w:rPr>
          <w:rFonts w:hint="eastAsia"/>
          <w:lang w:eastAsia="zh-CN"/>
        </w:rPr>
        <w:t>和</w:t>
      </w:r>
      <w:r>
        <w:rPr>
          <w:lang w:eastAsia="zh-CN"/>
        </w:rPr>
        <w:t>243 MHz</w:t>
      </w:r>
      <w:r>
        <w:rPr>
          <w:rFonts w:hint="eastAsia"/>
          <w:lang w:eastAsia="zh-CN"/>
        </w:rPr>
        <w:t>载频工作的应急示位</w:t>
      </w:r>
      <w:r>
        <w:rPr>
          <w:lang w:eastAsia="zh-CN"/>
        </w:rPr>
        <w:br/>
      </w:r>
      <w:r>
        <w:rPr>
          <w:rFonts w:hint="eastAsia"/>
          <w:lang w:eastAsia="zh-CN"/>
        </w:rPr>
        <w:t>无线电信标的技术特性</w:t>
      </w:r>
    </w:p>
    <w:p w:rsidR="00363CD3" w:rsidRDefault="00363CD3" w:rsidP="00551DE4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M.1173</w:t>
      </w:r>
      <w:r w:rsidR="00551DE4">
        <w:rPr>
          <w:rFonts w:hint="eastAsia"/>
          <w:u w:val="single"/>
          <w:lang w:eastAsia="zh-CN"/>
        </w:rPr>
        <w:t>-1</w:t>
      </w:r>
      <w:r>
        <w:rPr>
          <w:rFonts w:hint="eastAsia"/>
          <w:szCs w:val="24"/>
          <w:u w:val="single"/>
          <w:lang w:eastAsia="zh-CN"/>
        </w:rPr>
        <w:t>建议书</w:t>
      </w:r>
      <w:r>
        <w:rPr>
          <w:lang w:eastAsia="zh-CN"/>
        </w:rPr>
        <w:tab/>
        <w:t>5/354(Rev.</w:t>
      </w:r>
      <w:proofErr w:type="gramStart"/>
      <w:r>
        <w:rPr>
          <w:lang w:eastAsia="zh-CN"/>
        </w:rPr>
        <w:t>)</w:t>
      </w:r>
      <w:r>
        <w:rPr>
          <w:rFonts w:hint="eastAsia"/>
          <w:lang w:eastAsia="zh-CN"/>
        </w:rPr>
        <w:t>号文件</w:t>
      </w:r>
      <w:proofErr w:type="gramEnd"/>
    </w:p>
    <w:p w:rsidR="00363CD3" w:rsidRDefault="00363CD3" w:rsidP="00363CD3">
      <w:pPr>
        <w:pStyle w:val="Rectitle"/>
        <w:rPr>
          <w:lang w:eastAsia="zh-CN"/>
        </w:rPr>
      </w:pPr>
      <w:r>
        <w:rPr>
          <w:lang w:eastAsia="zh-CN"/>
        </w:rPr>
        <w:t>1 605.5 kHz</w:t>
      </w: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区为</w:t>
      </w:r>
      <w:r>
        <w:rPr>
          <w:lang w:eastAsia="zh-CN"/>
        </w:rPr>
        <w:t>1 605 kHz</w:t>
      </w:r>
      <w:r>
        <w:rPr>
          <w:rFonts w:hint="eastAsia"/>
          <w:lang w:eastAsia="zh-CN"/>
        </w:rPr>
        <w:t>）至</w:t>
      </w:r>
      <w:r>
        <w:rPr>
          <w:lang w:eastAsia="zh-CN"/>
        </w:rPr>
        <w:t>4 000 kHz</w:t>
      </w:r>
      <w:r>
        <w:rPr>
          <w:rFonts w:hint="eastAsia"/>
          <w:lang w:eastAsia="zh-CN"/>
        </w:rPr>
        <w:t>和</w:t>
      </w:r>
      <w:r>
        <w:rPr>
          <w:lang w:eastAsia="zh-CN"/>
        </w:rPr>
        <w:br/>
        <w:t>4 000 kHz</w:t>
      </w:r>
      <w:r>
        <w:rPr>
          <w:rFonts w:hint="eastAsia"/>
          <w:lang w:eastAsia="zh-CN"/>
        </w:rPr>
        <w:t>至</w:t>
      </w:r>
      <w:r>
        <w:rPr>
          <w:lang w:eastAsia="zh-CN"/>
        </w:rPr>
        <w:t>27 500 kHz</w:t>
      </w:r>
      <w:r>
        <w:rPr>
          <w:rFonts w:hint="eastAsia"/>
          <w:lang w:eastAsia="zh-CN"/>
        </w:rPr>
        <w:t>频段无线电话</w:t>
      </w:r>
      <w:r>
        <w:rPr>
          <w:lang w:eastAsia="zh-CN"/>
        </w:rPr>
        <w:br/>
      </w:r>
      <w:r>
        <w:rPr>
          <w:rFonts w:hint="eastAsia"/>
          <w:lang w:eastAsia="zh-CN"/>
        </w:rPr>
        <w:t>水上移动业务用的单边带发信机</w:t>
      </w:r>
      <w:r>
        <w:rPr>
          <w:lang w:eastAsia="zh-CN"/>
        </w:rPr>
        <w:br/>
      </w:r>
      <w:r>
        <w:rPr>
          <w:rFonts w:hint="eastAsia"/>
          <w:lang w:eastAsia="zh-CN"/>
        </w:rPr>
        <w:t>的技术特性</w:t>
      </w:r>
    </w:p>
    <w:p w:rsidR="00D652AC" w:rsidRDefault="00D652AC" w:rsidP="00B53EB2">
      <w:pPr>
        <w:pStyle w:val="Reasons"/>
        <w:rPr>
          <w:rFonts w:eastAsiaTheme="minorEastAsia"/>
          <w:lang w:eastAsia="zh-CN"/>
        </w:rPr>
      </w:pPr>
    </w:p>
    <w:p w:rsidR="00125280" w:rsidRPr="00125280" w:rsidRDefault="00125280" w:rsidP="00B53EB2">
      <w:pPr>
        <w:pStyle w:val="Reasons"/>
        <w:rPr>
          <w:rFonts w:eastAsiaTheme="minorEastAsia"/>
          <w:lang w:eastAsia="zh-CN"/>
        </w:rPr>
      </w:pPr>
    </w:p>
    <w:p w:rsidR="00D652AC" w:rsidRDefault="00D652AC">
      <w:pPr>
        <w:jc w:val="center"/>
      </w:pPr>
      <w:r>
        <w:t>______________</w:t>
      </w:r>
    </w:p>
    <w:p w:rsidR="006C14D8" w:rsidRPr="00F91ECF" w:rsidRDefault="006C14D8" w:rsidP="009814DE">
      <w:pPr>
        <w:pStyle w:val="Rectitle"/>
        <w:rPr>
          <w:lang w:eastAsia="zh-CN"/>
        </w:rPr>
      </w:pPr>
    </w:p>
    <w:sectPr w:rsidR="006C14D8" w:rsidRPr="00F91ECF" w:rsidSect="006E28BB">
      <w:headerReference w:type="default" r:id="rId10"/>
      <w:footerReference w:type="default" r:id="rId11"/>
      <w:footerReference w:type="first" r:id="rId12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3C" w:rsidRDefault="0099433C" w:rsidP="00C1315E">
      <w:pPr>
        <w:spacing w:before="0"/>
      </w:pPr>
      <w:r>
        <w:separator/>
      </w:r>
    </w:p>
  </w:endnote>
  <w:endnote w:type="continuationSeparator" w:id="0">
    <w:p w:rsidR="0099433C" w:rsidRDefault="0099433C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3C" w:rsidRPr="0024142F" w:rsidRDefault="0099433C" w:rsidP="0024142F">
    <w:pPr>
      <w:pStyle w:val="Footer"/>
      <w:rPr>
        <w:lang w:eastAsia="zh-CN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302DC1">
      <w:rPr>
        <w:noProof/>
        <w:sz w:val="16"/>
        <w:szCs w:val="16"/>
      </w:rPr>
      <w:t>P:\CHI\ITU-R\BR\DIR\CACE\500\565C.docx</w:t>
    </w:r>
    <w:r>
      <w:rPr>
        <w:sz w:val="16"/>
        <w:szCs w:val="16"/>
      </w:rPr>
      <w:fldChar w:fldCharType="end"/>
    </w:r>
    <w:r>
      <w:rPr>
        <w:rFonts w:hint="eastAsia"/>
        <w:sz w:val="16"/>
        <w:szCs w:val="16"/>
        <w:lang w:eastAsia="zh-CN"/>
      </w:rPr>
      <w:t xml:space="preserve"> (323301)</w:t>
    </w:r>
    <w:r>
      <w:rPr>
        <w:rFonts w:hint="eastAsia"/>
        <w:sz w:val="16"/>
        <w:szCs w:val="16"/>
        <w:lang w:eastAsia="zh-CN"/>
      </w:rPr>
      <w:tab/>
    </w:r>
    <w:r>
      <w:rPr>
        <w:sz w:val="16"/>
        <w:szCs w:val="16"/>
        <w:lang w:eastAsia="zh-CN"/>
      </w:rPr>
      <w:t>23/03/2012</w:t>
    </w:r>
    <w:r>
      <w:rPr>
        <w:rFonts w:hint="eastAsia"/>
        <w:sz w:val="16"/>
        <w:szCs w:val="16"/>
        <w:lang w:eastAsia="zh-CN"/>
      </w:rPr>
      <w:tab/>
    </w:r>
    <w:r>
      <w:rPr>
        <w:sz w:val="16"/>
        <w:szCs w:val="16"/>
        <w:lang w:eastAsia="zh-CN"/>
      </w:rPr>
      <w:t>23/03/2012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99433C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9433C" w:rsidRDefault="0099433C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9433C" w:rsidRDefault="0099433C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9433C" w:rsidRDefault="0099433C" w:rsidP="001632A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9433C" w:rsidRDefault="0099433C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9433C" w:rsidTr="001632A6">
      <w:trPr>
        <w:cantSplit/>
      </w:trPr>
      <w:tc>
        <w:tcPr>
          <w:tcW w:w="1062" w:type="pct"/>
        </w:tcPr>
        <w:p w:rsidR="0099433C" w:rsidRDefault="0099433C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9433C" w:rsidRDefault="0099433C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9433C" w:rsidRDefault="0099433C" w:rsidP="001632A6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99433C" w:rsidRDefault="0099433C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9433C" w:rsidTr="001632A6">
      <w:trPr>
        <w:cantSplit/>
      </w:trPr>
      <w:tc>
        <w:tcPr>
          <w:tcW w:w="1062" w:type="pct"/>
        </w:tcPr>
        <w:p w:rsidR="0099433C" w:rsidRDefault="0099433C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9433C" w:rsidRDefault="0099433C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9433C" w:rsidRDefault="0099433C" w:rsidP="001632A6">
          <w:pPr>
            <w:pStyle w:val="itu"/>
          </w:pPr>
        </w:p>
      </w:tc>
      <w:tc>
        <w:tcPr>
          <w:tcW w:w="1131" w:type="pct"/>
        </w:tcPr>
        <w:p w:rsidR="0099433C" w:rsidRDefault="0099433C" w:rsidP="001632A6">
          <w:pPr>
            <w:pStyle w:val="itu"/>
          </w:pPr>
        </w:p>
      </w:tc>
    </w:tr>
  </w:tbl>
  <w:p w:rsidR="0099433C" w:rsidRPr="006E28BB" w:rsidRDefault="0099433C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3C" w:rsidRDefault="0099433C" w:rsidP="00C1315E">
      <w:pPr>
        <w:spacing w:before="0"/>
      </w:pPr>
      <w:r>
        <w:separator/>
      </w:r>
    </w:p>
  </w:footnote>
  <w:footnote w:type="continuationSeparator" w:id="0">
    <w:p w:rsidR="0099433C" w:rsidRDefault="0099433C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3C" w:rsidRPr="008D1EB1" w:rsidRDefault="0099433C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8E3F80">
      <w:rPr>
        <w:noProof/>
        <w:sz w:val="18"/>
        <w:szCs w:val="18"/>
      </w:rPr>
      <w:t>5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0D54"/>
    <w:rsid w:val="00001646"/>
    <w:rsid w:val="00006ECE"/>
    <w:rsid w:val="0001176A"/>
    <w:rsid w:val="00037BFA"/>
    <w:rsid w:val="000405D9"/>
    <w:rsid w:val="00040CB7"/>
    <w:rsid w:val="00084A24"/>
    <w:rsid w:val="00097F15"/>
    <w:rsid w:val="000B1B9C"/>
    <w:rsid w:val="000B3543"/>
    <w:rsid w:val="000D1290"/>
    <w:rsid w:val="000D12B0"/>
    <w:rsid w:val="000E1CB9"/>
    <w:rsid w:val="000E54F5"/>
    <w:rsid w:val="000E7247"/>
    <w:rsid w:val="000F11BE"/>
    <w:rsid w:val="000F776A"/>
    <w:rsid w:val="000F7BD8"/>
    <w:rsid w:val="00103065"/>
    <w:rsid w:val="00105E51"/>
    <w:rsid w:val="0011041E"/>
    <w:rsid w:val="001245EA"/>
    <w:rsid w:val="00125280"/>
    <w:rsid w:val="00147E21"/>
    <w:rsid w:val="0015258D"/>
    <w:rsid w:val="00153E23"/>
    <w:rsid w:val="001579E0"/>
    <w:rsid w:val="001632A6"/>
    <w:rsid w:val="0017659C"/>
    <w:rsid w:val="001800FC"/>
    <w:rsid w:val="00181FBC"/>
    <w:rsid w:val="001A6C73"/>
    <w:rsid w:val="001C17A3"/>
    <w:rsid w:val="001D0684"/>
    <w:rsid w:val="001E20BD"/>
    <w:rsid w:val="001F08C6"/>
    <w:rsid w:val="001F323F"/>
    <w:rsid w:val="001F4E9F"/>
    <w:rsid w:val="00217520"/>
    <w:rsid w:val="0023062C"/>
    <w:rsid w:val="00240CE4"/>
    <w:rsid w:val="0024142F"/>
    <w:rsid w:val="002514A0"/>
    <w:rsid w:val="00255032"/>
    <w:rsid w:val="002615F3"/>
    <w:rsid w:val="00263806"/>
    <w:rsid w:val="00273328"/>
    <w:rsid w:val="002A23F5"/>
    <w:rsid w:val="002B7671"/>
    <w:rsid w:val="002C0BE4"/>
    <w:rsid w:val="002E419D"/>
    <w:rsid w:val="002F00FB"/>
    <w:rsid w:val="002F23B4"/>
    <w:rsid w:val="00302DC1"/>
    <w:rsid w:val="00322B64"/>
    <w:rsid w:val="00324FA5"/>
    <w:rsid w:val="003437F5"/>
    <w:rsid w:val="003533C6"/>
    <w:rsid w:val="00362CBD"/>
    <w:rsid w:val="00363CD3"/>
    <w:rsid w:val="00385D8C"/>
    <w:rsid w:val="0038774D"/>
    <w:rsid w:val="00396BAB"/>
    <w:rsid w:val="003C5A33"/>
    <w:rsid w:val="003C71DC"/>
    <w:rsid w:val="004308D0"/>
    <w:rsid w:val="00441943"/>
    <w:rsid w:val="00480760"/>
    <w:rsid w:val="004A1A52"/>
    <w:rsid w:val="004A5571"/>
    <w:rsid w:val="004D29AD"/>
    <w:rsid w:val="004E5B09"/>
    <w:rsid w:val="004F67E2"/>
    <w:rsid w:val="0051072C"/>
    <w:rsid w:val="005369A0"/>
    <w:rsid w:val="00546F8B"/>
    <w:rsid w:val="00551DE4"/>
    <w:rsid w:val="005631E9"/>
    <w:rsid w:val="00564241"/>
    <w:rsid w:val="00565559"/>
    <w:rsid w:val="00575F05"/>
    <w:rsid w:val="005764A6"/>
    <w:rsid w:val="00592957"/>
    <w:rsid w:val="00593F5A"/>
    <w:rsid w:val="005A75D9"/>
    <w:rsid w:val="005C08EC"/>
    <w:rsid w:val="005C0E7E"/>
    <w:rsid w:val="005F16F6"/>
    <w:rsid w:val="00657F6F"/>
    <w:rsid w:val="00674301"/>
    <w:rsid w:val="00681CC7"/>
    <w:rsid w:val="0068376F"/>
    <w:rsid w:val="00694F01"/>
    <w:rsid w:val="006A183F"/>
    <w:rsid w:val="006C0F42"/>
    <w:rsid w:val="006C14D8"/>
    <w:rsid w:val="006C392E"/>
    <w:rsid w:val="006C7086"/>
    <w:rsid w:val="006E28BB"/>
    <w:rsid w:val="006F4264"/>
    <w:rsid w:val="00722C6B"/>
    <w:rsid w:val="0075461A"/>
    <w:rsid w:val="00763E44"/>
    <w:rsid w:val="00765EF4"/>
    <w:rsid w:val="00770A15"/>
    <w:rsid w:val="007736A3"/>
    <w:rsid w:val="00775B4A"/>
    <w:rsid w:val="007820B4"/>
    <w:rsid w:val="007C5368"/>
    <w:rsid w:val="007F284D"/>
    <w:rsid w:val="00846DB6"/>
    <w:rsid w:val="008536F2"/>
    <w:rsid w:val="0086239C"/>
    <w:rsid w:val="008A4BE8"/>
    <w:rsid w:val="008A57EC"/>
    <w:rsid w:val="008B12E7"/>
    <w:rsid w:val="008D1EB1"/>
    <w:rsid w:val="008E3F80"/>
    <w:rsid w:val="008F0BF9"/>
    <w:rsid w:val="008F20A2"/>
    <w:rsid w:val="0090215F"/>
    <w:rsid w:val="00902C88"/>
    <w:rsid w:val="009071C5"/>
    <w:rsid w:val="00912040"/>
    <w:rsid w:val="00937F87"/>
    <w:rsid w:val="009417C0"/>
    <w:rsid w:val="00942775"/>
    <w:rsid w:val="009814DE"/>
    <w:rsid w:val="009828BD"/>
    <w:rsid w:val="0099433C"/>
    <w:rsid w:val="009A534F"/>
    <w:rsid w:val="009E0ACD"/>
    <w:rsid w:val="00A100CE"/>
    <w:rsid w:val="00A56E42"/>
    <w:rsid w:val="00A57A69"/>
    <w:rsid w:val="00A63B27"/>
    <w:rsid w:val="00A66FD4"/>
    <w:rsid w:val="00A82B27"/>
    <w:rsid w:val="00A87B92"/>
    <w:rsid w:val="00A94C59"/>
    <w:rsid w:val="00A979BC"/>
    <w:rsid w:val="00A97F6F"/>
    <w:rsid w:val="00AA6817"/>
    <w:rsid w:val="00AD0930"/>
    <w:rsid w:val="00AD2D24"/>
    <w:rsid w:val="00AD42B3"/>
    <w:rsid w:val="00AD5F26"/>
    <w:rsid w:val="00AE6011"/>
    <w:rsid w:val="00B225B4"/>
    <w:rsid w:val="00B321BC"/>
    <w:rsid w:val="00B34C2C"/>
    <w:rsid w:val="00B47A42"/>
    <w:rsid w:val="00B53EB2"/>
    <w:rsid w:val="00B63556"/>
    <w:rsid w:val="00BC231B"/>
    <w:rsid w:val="00C1315E"/>
    <w:rsid w:val="00C247D9"/>
    <w:rsid w:val="00C51222"/>
    <w:rsid w:val="00C610CA"/>
    <w:rsid w:val="00C725EC"/>
    <w:rsid w:val="00C950AA"/>
    <w:rsid w:val="00C97FF4"/>
    <w:rsid w:val="00CA1B63"/>
    <w:rsid w:val="00CC746B"/>
    <w:rsid w:val="00CE3212"/>
    <w:rsid w:val="00D2311F"/>
    <w:rsid w:val="00D24551"/>
    <w:rsid w:val="00D35752"/>
    <w:rsid w:val="00D35ABD"/>
    <w:rsid w:val="00D652AC"/>
    <w:rsid w:val="00D65BE9"/>
    <w:rsid w:val="00D66262"/>
    <w:rsid w:val="00D67D2E"/>
    <w:rsid w:val="00D86B5B"/>
    <w:rsid w:val="00D95A8E"/>
    <w:rsid w:val="00DB251E"/>
    <w:rsid w:val="00E00E89"/>
    <w:rsid w:val="00E2347F"/>
    <w:rsid w:val="00E26164"/>
    <w:rsid w:val="00E36158"/>
    <w:rsid w:val="00E543EB"/>
    <w:rsid w:val="00E651C2"/>
    <w:rsid w:val="00E708D6"/>
    <w:rsid w:val="00E8312F"/>
    <w:rsid w:val="00E90353"/>
    <w:rsid w:val="00E90ACC"/>
    <w:rsid w:val="00EE1E7B"/>
    <w:rsid w:val="00EF40A9"/>
    <w:rsid w:val="00F40936"/>
    <w:rsid w:val="00F46C6F"/>
    <w:rsid w:val="00F664A6"/>
    <w:rsid w:val="00F75552"/>
    <w:rsid w:val="00F8679A"/>
    <w:rsid w:val="00F8738F"/>
    <w:rsid w:val="00F90081"/>
    <w:rsid w:val="00F91ECF"/>
    <w:rsid w:val="00FA0912"/>
    <w:rsid w:val="00FA0ABB"/>
    <w:rsid w:val="00FC1EFE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Reasons">
    <w:name w:val="Reasons"/>
    <w:basedOn w:val="Normal"/>
    <w:qFormat/>
    <w:rsid w:val="006C14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uiPriority w:val="99"/>
    <w:rsid w:val="00F8738F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8738F"/>
    <w:rPr>
      <w:rFonts w:cs="Times New Roman"/>
    </w:rPr>
  </w:style>
  <w:style w:type="character" w:customStyle="1" w:styleId="apple-style-span">
    <w:name w:val="apple-style-span"/>
    <w:basedOn w:val="DefaultParagraphFont"/>
    <w:rsid w:val="00363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Reasons">
    <w:name w:val="Reasons"/>
    <w:basedOn w:val="Normal"/>
    <w:qFormat/>
    <w:rsid w:val="006C14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uiPriority w:val="99"/>
    <w:rsid w:val="00F8738F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8738F"/>
    <w:rPr>
      <w:rFonts w:cs="Times New Roman"/>
    </w:rPr>
  </w:style>
  <w:style w:type="character" w:customStyle="1" w:styleId="apple-style-span">
    <w:name w:val="apple-style-span"/>
    <w:basedOn w:val="DefaultParagraphFont"/>
    <w:rsid w:val="0036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FCDA-0B6A-4D9D-B6A9-98AC779E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bonnici</cp:lastModifiedBy>
  <cp:revision>3</cp:revision>
  <cp:lastPrinted>2012-03-26T13:39:00Z</cp:lastPrinted>
  <dcterms:created xsi:type="dcterms:W3CDTF">2012-03-27T13:27:00Z</dcterms:created>
  <dcterms:modified xsi:type="dcterms:W3CDTF">2012-03-28T11:57:00Z</dcterms:modified>
</cp:coreProperties>
</file>