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46DB6" w:rsidRPr="00D35752" w:rsidTr="0051072C">
        <w:tc>
          <w:tcPr>
            <w:tcW w:w="8188" w:type="dxa"/>
            <w:vAlign w:val="center"/>
          </w:tcPr>
          <w:p w:rsidR="00846DB6" w:rsidRPr="009828BD" w:rsidRDefault="00846DB6" w:rsidP="001D0684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46DB6" w:rsidRPr="00D35752" w:rsidRDefault="00846DB6" w:rsidP="001D0684">
            <w:pPr>
              <w:spacing w:before="0"/>
            </w:pPr>
          </w:p>
        </w:tc>
        <w:tc>
          <w:tcPr>
            <w:tcW w:w="1667" w:type="dxa"/>
          </w:tcPr>
          <w:p w:rsidR="00846DB6" w:rsidRPr="00D35752" w:rsidRDefault="00FA0ABB" w:rsidP="001D068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9514358" wp14:editId="0D912A1D">
                  <wp:extent cx="800100" cy="876300"/>
                  <wp:effectExtent l="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46DB6" w:rsidTr="0051072C">
        <w:trPr>
          <w:cantSplit/>
        </w:trPr>
        <w:tc>
          <w:tcPr>
            <w:tcW w:w="5075" w:type="dxa"/>
          </w:tcPr>
          <w:p w:rsidR="00846DB6" w:rsidRDefault="00846DB6" w:rsidP="001D0684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46DB6" w:rsidRDefault="00846DB6" w:rsidP="001D06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46DB6" w:rsidRDefault="00846DB6" w:rsidP="001D0684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46DB6" w:rsidTr="0051072C">
        <w:trPr>
          <w:cantSplit/>
        </w:trPr>
        <w:tc>
          <w:tcPr>
            <w:tcW w:w="2518" w:type="dxa"/>
          </w:tcPr>
          <w:p w:rsidR="00846DB6" w:rsidRPr="00F40936" w:rsidRDefault="00846DB6" w:rsidP="001D0684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46DB6" w:rsidRPr="0068376F" w:rsidRDefault="00846DB6" w:rsidP="00F8738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</w:t>
            </w:r>
            <w:r w:rsidR="00F8738F">
              <w:rPr>
                <w:rFonts w:hint="eastAsia"/>
                <w:b/>
                <w:bCs/>
                <w:lang w:val="fr-FR" w:eastAsia="zh-CN"/>
              </w:rPr>
              <w:t>63</w:t>
            </w:r>
          </w:p>
        </w:tc>
        <w:tc>
          <w:tcPr>
            <w:tcW w:w="7502" w:type="dxa"/>
          </w:tcPr>
          <w:p w:rsidR="00846DB6" w:rsidRDefault="005F16F6" w:rsidP="00F8738F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2</w:t>
            </w:r>
            <w:r w:rsidR="00846DB6">
              <w:rPr>
                <w:rFonts w:hint="eastAsia"/>
                <w:lang w:eastAsia="zh-CN"/>
              </w:rPr>
              <w:t>年</w:t>
            </w:r>
            <w:r w:rsidR="00F8738F">
              <w:rPr>
                <w:rFonts w:hint="eastAsia"/>
                <w:lang w:eastAsia="zh-CN"/>
              </w:rPr>
              <w:t>3</w:t>
            </w:r>
            <w:r w:rsidR="00846DB6">
              <w:rPr>
                <w:rFonts w:hint="eastAsia"/>
                <w:lang w:eastAsia="zh-CN"/>
              </w:rPr>
              <w:t>月</w:t>
            </w:r>
            <w:r w:rsidR="00F8738F">
              <w:rPr>
                <w:rFonts w:hint="eastAsia"/>
                <w:lang w:eastAsia="zh-CN"/>
              </w:rPr>
              <w:t>2</w:t>
            </w:r>
            <w:r w:rsidR="00846DB6">
              <w:rPr>
                <w:rFonts w:hint="eastAsia"/>
                <w:lang w:eastAsia="zh-CN"/>
              </w:rPr>
              <w:t>日</w:t>
            </w:r>
          </w:p>
        </w:tc>
      </w:tr>
    </w:tbl>
    <w:p w:rsidR="00846DB6" w:rsidRDefault="001800FC" w:rsidP="00F8738F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致国际电联</w:t>
      </w:r>
      <w:r>
        <w:rPr>
          <w:rFonts w:ascii="SimSun" w:hAnsi="SimSun" w:hint="eastAsia"/>
          <w:b/>
          <w:spacing w:val="12"/>
          <w:lang w:eastAsia="zh-CN"/>
        </w:rPr>
        <w:t>成员国</w:t>
      </w:r>
      <w:r>
        <w:rPr>
          <w:rFonts w:ascii="SimSun" w:hAnsi="SimSun" w:hint="eastAsia"/>
          <w:b/>
          <w:bCs/>
          <w:lang w:eastAsia="zh-CN"/>
        </w:rPr>
        <w:t>主管部门和参加无线电通信</w:t>
      </w:r>
      <w:r>
        <w:rPr>
          <w:rFonts w:ascii="SimSun" w:hAnsi="SimSun" w:hint="eastAsia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F8738F">
        <w:rPr>
          <w:rFonts w:hint="eastAsia"/>
          <w:b/>
          <w:bCs/>
          <w:lang w:val="fr-CH" w:eastAsia="zh-CN"/>
        </w:rPr>
        <w:t>3</w:t>
      </w:r>
      <w:r>
        <w:rPr>
          <w:rFonts w:ascii="SimSun" w:hAnsi="SimSun" w:hint="eastAsia"/>
          <w:b/>
          <w:bCs/>
          <w:lang w:eastAsia="zh-CN"/>
        </w:rPr>
        <w:t>研究组工作的无线电通信部门成员和</w:t>
      </w:r>
      <w:r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部门准成员</w:t>
      </w:r>
      <w:r>
        <w:rPr>
          <w:rFonts w:ascii="SimSun" w:hAnsi="SimSun" w:hint="eastAsia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en-US" w:eastAsia="zh-CN"/>
        </w:rPr>
        <w:t>以及</w:t>
      </w:r>
      <w:r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846DB6" w:rsidRDefault="00846DB6" w:rsidP="001D0684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846DB6" w:rsidRPr="00722C6B" w:rsidRDefault="00846DB6" w:rsidP="00240CE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F8738F">
        <w:rPr>
          <w:rFonts w:hint="eastAsia"/>
          <w:b/>
          <w:bCs/>
          <w:lang w:eastAsia="zh-CN"/>
        </w:rPr>
        <w:t>3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 w:rsidR="00240CE4">
        <w:rPr>
          <w:rFonts w:asciiTheme="majorBidi" w:hAnsiTheme="majorBidi" w:cstheme="majorBidi" w:hint="eastAsia"/>
          <w:b/>
          <w:bCs/>
          <w:lang w:eastAsia="zh-CN"/>
        </w:rPr>
        <w:t>（无线电波传播）</w:t>
      </w:r>
    </w:p>
    <w:p w:rsidR="00846DB6" w:rsidRDefault="00846DB6" w:rsidP="00F8738F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</w:t>
      </w:r>
      <w:r w:rsidR="00DB251E">
        <w:rPr>
          <w:rFonts w:hint="eastAsia"/>
          <w:b/>
          <w:bCs/>
          <w:lang w:eastAsia="zh-CN"/>
        </w:rPr>
        <w:t>6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F8738F">
        <w:rPr>
          <w:rFonts w:hint="eastAsia"/>
          <w:b/>
          <w:bCs/>
          <w:lang w:val="es-ES_tradnl" w:eastAsia="zh-CN" w:bidi="ar-EG"/>
        </w:rPr>
        <w:t>1</w:t>
      </w:r>
      <w:r w:rsidR="0038774D">
        <w:rPr>
          <w:rFonts w:hint="eastAsia"/>
          <w:b/>
          <w:bCs/>
          <w:lang w:val="es-ES_tradnl" w:eastAsia="zh-CN" w:bidi="ar-EG"/>
        </w:rPr>
        <w:t>份新建议书</w:t>
      </w:r>
      <w:r w:rsidR="0011041E">
        <w:rPr>
          <w:rFonts w:hint="eastAsia"/>
          <w:b/>
          <w:bCs/>
          <w:lang w:val="es-ES_tradnl" w:eastAsia="zh-CN" w:bidi="ar-EG"/>
        </w:rPr>
        <w:t>和</w:t>
      </w:r>
      <w:r w:rsidR="00F8738F">
        <w:rPr>
          <w:rFonts w:hint="eastAsia"/>
          <w:b/>
          <w:bCs/>
          <w:lang w:val="es-ES_tradnl" w:eastAsia="zh-CN" w:bidi="ar-EG"/>
        </w:rPr>
        <w:t>27</w:t>
      </w:r>
      <w:r w:rsidR="0011041E" w:rsidRPr="00722C6B">
        <w:rPr>
          <w:rFonts w:hint="eastAsia"/>
          <w:b/>
          <w:bCs/>
          <w:lang w:eastAsia="zh-CN"/>
        </w:rPr>
        <w:t>份经修订的建议书</w:t>
      </w:r>
      <w:r w:rsidR="00F91ECF">
        <w:rPr>
          <w:rFonts w:hint="eastAsia"/>
          <w:b/>
          <w:bCs/>
          <w:lang w:val="es-ES_tradnl" w:eastAsia="zh-CN" w:bidi="ar-EG"/>
        </w:rPr>
        <w:t>，</w:t>
      </w:r>
      <w:r w:rsidR="0011041E">
        <w:rPr>
          <w:rFonts w:hint="eastAsia"/>
          <w:b/>
          <w:bCs/>
          <w:lang w:val="es-ES_tradnl" w:eastAsia="zh-CN" w:bidi="ar-EG"/>
        </w:rPr>
        <w:t>并</w:t>
      </w:r>
      <w:r>
        <w:rPr>
          <w:rFonts w:hint="eastAsia"/>
          <w:b/>
          <w:bCs/>
          <w:lang w:val="es-ES_tradnl" w:eastAsia="zh-CN" w:bidi="ar-EG"/>
        </w:rPr>
        <w:t>同时</w:t>
      </w:r>
      <w:r w:rsidR="0011041E">
        <w:rPr>
          <w:rFonts w:hint="eastAsia"/>
          <w:b/>
          <w:bCs/>
          <w:lang w:val="es-ES_tradnl" w:eastAsia="zh-CN" w:bidi="ar-EG"/>
        </w:rPr>
        <w:t>予以</w:t>
      </w:r>
      <w:r>
        <w:rPr>
          <w:rFonts w:hint="eastAsia"/>
          <w:b/>
          <w:bCs/>
          <w:lang w:val="es-ES_tradnl" w:eastAsia="zh-CN" w:bidi="ar-EG"/>
        </w:rPr>
        <w:t>批准</w:t>
      </w:r>
    </w:p>
    <w:p w:rsidR="00846DB6" w:rsidRDefault="00846DB6" w:rsidP="001D068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</w:p>
    <w:p w:rsidR="00846DB6" w:rsidRDefault="00846DB6" w:rsidP="00F8738F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 w:rsidR="004E5B09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38774D">
        <w:rPr>
          <w:rFonts w:hint="eastAsia"/>
          <w:lang w:eastAsia="zh-CN"/>
        </w:rPr>
        <w:t>1</w:t>
      </w:r>
      <w:r w:rsidR="00F8738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9A534F">
        <w:rPr>
          <w:rFonts w:hint="eastAsia"/>
          <w:lang w:eastAsia="zh-CN"/>
        </w:rPr>
        <w:t>2</w:t>
      </w:r>
      <w:r w:rsidR="00F8738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日的第</w:t>
      </w:r>
      <w:r w:rsidR="0038774D">
        <w:rPr>
          <w:lang w:eastAsia="zh-CN"/>
        </w:rPr>
        <w:t>CAR/3</w:t>
      </w:r>
      <w:r w:rsidR="0038774D">
        <w:rPr>
          <w:rFonts w:hint="eastAsia"/>
          <w:lang w:eastAsia="zh-CN"/>
        </w:rPr>
        <w:t>2</w:t>
      </w:r>
      <w:r w:rsidR="00F8738F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号行政通函，提交了</w:t>
      </w:r>
      <w:r w:rsidR="00F8738F">
        <w:rPr>
          <w:rFonts w:hint="eastAsia"/>
          <w:lang w:eastAsia="zh-CN"/>
        </w:rPr>
        <w:t>1</w:t>
      </w:r>
      <w:r w:rsidR="0038774D">
        <w:rPr>
          <w:rFonts w:hint="eastAsia"/>
          <w:lang w:eastAsia="zh-CN"/>
        </w:rPr>
        <w:t>份新建议书草案和</w:t>
      </w:r>
      <w:r w:rsidR="00F8738F">
        <w:rPr>
          <w:rFonts w:hint="eastAsia"/>
          <w:lang w:eastAsia="zh-CN"/>
        </w:rPr>
        <w:t>27</w:t>
      </w:r>
      <w:r>
        <w:rPr>
          <w:rFonts w:hint="eastAsia"/>
          <w:lang w:eastAsia="zh-CN" w:bidi="ar-EG"/>
        </w:rPr>
        <w:t>份经修订的建议书草案，</w:t>
      </w:r>
      <w:r>
        <w:rPr>
          <w:rFonts w:hint="eastAsia"/>
          <w:lang w:val="es-ES_tradnl" w:eastAsia="zh-CN" w:bidi="ar-EG"/>
        </w:rPr>
        <w:t>以便</w:t>
      </w:r>
      <w:r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同时通过和批准（</w:t>
      </w:r>
      <w:r>
        <w:rPr>
          <w:lang w:val="es-ES_tradnl" w:eastAsia="zh-CN" w:bidi="ar-EG"/>
        </w:rPr>
        <w:t>PSAA</w:t>
      </w:r>
      <w:r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</w:t>
      </w:r>
    </w:p>
    <w:p w:rsidR="00846DB6" w:rsidRDefault="00846DB6" w:rsidP="00F8738F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 w:rsidR="0038774D">
        <w:rPr>
          <w:lang w:eastAsia="zh-CN"/>
        </w:rPr>
        <w:t>201</w:t>
      </w:r>
      <w:r w:rsidR="0038774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F8738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E36158">
        <w:rPr>
          <w:rFonts w:hint="eastAsia"/>
          <w:lang w:eastAsia="zh-CN"/>
        </w:rPr>
        <w:t>2</w:t>
      </w:r>
      <w:r w:rsidR="00F8738F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日得到满足。</w:t>
      </w:r>
    </w:p>
    <w:p w:rsidR="00846DB6" w:rsidRDefault="00846DB6" w:rsidP="00F8738F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4" w:name="StartTyping_E"/>
      <w:bookmarkEnd w:id="4"/>
    </w:p>
    <w:p w:rsidR="00846DB6" w:rsidRDefault="00846DB6" w:rsidP="001D0684">
      <w:pPr>
        <w:rPr>
          <w:lang w:val="en-US" w:eastAsia="zh-CN"/>
        </w:rPr>
      </w:pPr>
    </w:p>
    <w:p w:rsidR="00846DB6" w:rsidRDefault="00846DB6" w:rsidP="001D0684">
      <w:pPr>
        <w:rPr>
          <w:lang w:val="en-US" w:eastAsia="zh-CN"/>
        </w:rPr>
      </w:pPr>
    </w:p>
    <w:p w:rsidR="00001646" w:rsidRDefault="00001646" w:rsidP="001D0684">
      <w:pPr>
        <w:rPr>
          <w:lang w:val="en-US" w:eastAsia="zh-CN"/>
        </w:rPr>
      </w:pPr>
    </w:p>
    <w:p w:rsidR="00846DB6" w:rsidRDefault="00846DB6" w:rsidP="001D068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846DB6" w:rsidRDefault="00846DB6" w:rsidP="001D0684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846DB6" w:rsidRDefault="00846DB6" w:rsidP="00F8738F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F8738F">
        <w:rPr>
          <w:rFonts w:hint="eastAsia"/>
          <w:lang w:val="en-US" w:eastAsia="zh-CN"/>
        </w:rPr>
        <w:t>1</w:t>
      </w:r>
      <w:r>
        <w:rPr>
          <w:rFonts w:hint="eastAsia"/>
          <w:bCs/>
          <w:lang w:val="en-US" w:eastAsia="zh-CN"/>
        </w:rPr>
        <w:t>件</w:t>
      </w:r>
    </w:p>
    <w:p w:rsidR="00846DB6" w:rsidRPr="00A979BC" w:rsidRDefault="00846DB6" w:rsidP="001D0684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846DB6" w:rsidRPr="00A979BC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国际电联</w:t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参与无线电通信第</w:t>
      </w:r>
      <w:r w:rsidR="00D35ABD"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846DB6" w:rsidRDefault="00846DB6" w:rsidP="00F8738F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D35ABD">
        <w:rPr>
          <w:rFonts w:hint="eastAsia"/>
          <w:sz w:val="18"/>
          <w:szCs w:val="18"/>
          <w:lang w:val="en-US" w:eastAsia="zh-CN"/>
        </w:rPr>
        <w:t>3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846DB6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  <w:t>ITU-R</w:t>
      </w:r>
      <w:r>
        <w:rPr>
          <w:rFonts w:hint="eastAsia"/>
          <w:sz w:val="18"/>
          <w:szCs w:val="18"/>
          <w:lang w:val="en-US" w:eastAsia="zh-CN"/>
        </w:rPr>
        <w:t>学术成员</w:t>
      </w:r>
    </w:p>
    <w:p w:rsidR="00846DB6" w:rsidRPr="00A979BC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1D068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846DB6" w:rsidRDefault="00846DB6" w:rsidP="001D0684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846DB6" w:rsidRDefault="00846DB6" w:rsidP="001D06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846DB6" w:rsidRPr="00000D54" w:rsidRDefault="00846DB6" w:rsidP="00A94C59">
      <w:pPr>
        <w:pStyle w:val="Arttitle"/>
        <w:rPr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t>1</w:t>
      </w:r>
      <w:r w:rsidRPr="00000D54">
        <w:rPr>
          <w:lang w:eastAsia="zh-CN"/>
        </w:rPr>
        <w:br/>
      </w:r>
      <w:r w:rsidRPr="00000D54">
        <w:rPr>
          <w:lang w:eastAsia="zh-CN"/>
        </w:rPr>
        <w:br/>
      </w:r>
      <w:r w:rsidR="006C0F42">
        <w:rPr>
          <w:rFonts w:hint="eastAsia"/>
          <w:lang w:eastAsia="zh-CN"/>
        </w:rPr>
        <w:t>已</w:t>
      </w:r>
      <w:r w:rsidR="003C5A33">
        <w:rPr>
          <w:rFonts w:hint="eastAsia"/>
          <w:lang w:eastAsia="zh-CN"/>
        </w:rPr>
        <w:t>批准的</w:t>
      </w:r>
      <w:r w:rsidRPr="00000D54">
        <w:rPr>
          <w:rFonts w:hint="eastAsia"/>
          <w:lang w:eastAsia="zh-CN"/>
        </w:rPr>
        <w:t>建议书</w:t>
      </w:r>
      <w:r w:rsidRPr="00000D54">
        <w:rPr>
          <w:rFonts w:hint="eastAsia"/>
          <w:lang w:val="en-US" w:eastAsia="zh-CN"/>
        </w:rPr>
        <w:t>标题</w:t>
      </w:r>
    </w:p>
    <w:p w:rsidR="00103065" w:rsidRPr="00000D54" w:rsidRDefault="00103065" w:rsidP="001D0684">
      <w:pPr>
        <w:rPr>
          <w:lang w:eastAsia="zh-CN"/>
        </w:rPr>
      </w:pPr>
    </w:p>
    <w:p w:rsidR="00F8738F" w:rsidRDefault="00F8738F" w:rsidP="00F8738F">
      <w:pPr>
        <w:tabs>
          <w:tab w:val="right" w:pos="9356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t>ITU-R P.</w:t>
      </w:r>
      <w:r>
        <w:rPr>
          <w:szCs w:val="24"/>
          <w:u w:val="single"/>
          <w:lang w:eastAsia="zh-CN"/>
        </w:rPr>
        <w:t>2001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szCs w:val="24"/>
          <w:lang w:eastAsia="zh-CN"/>
        </w:rPr>
        <w:tab/>
        <w:t>3/95(Rev.1</w:t>
      </w:r>
      <w:proofErr w:type="gramStart"/>
      <w:r w:rsidRPr="00D91C1E">
        <w:rPr>
          <w:szCs w:val="24"/>
          <w:lang w:eastAsia="zh-CN"/>
        </w:rPr>
        <w:t>)</w:t>
      </w:r>
      <w:r>
        <w:rPr>
          <w:rFonts w:hint="eastAsia"/>
          <w:szCs w:val="24"/>
          <w:lang w:eastAsia="zh-CN"/>
        </w:rPr>
        <w:t>号文件</w:t>
      </w:r>
      <w:proofErr w:type="gramEnd"/>
    </w:p>
    <w:p w:rsidR="00F8738F" w:rsidRPr="00674301" w:rsidRDefault="00674301" w:rsidP="00F8738F">
      <w:pPr>
        <w:tabs>
          <w:tab w:val="right" w:pos="9639"/>
        </w:tabs>
        <w:spacing w:before="240"/>
        <w:jc w:val="center"/>
        <w:rPr>
          <w:rStyle w:val="RectitleChar"/>
          <w:b w:val="0"/>
          <w:bCs/>
          <w:szCs w:val="28"/>
          <w:lang w:eastAsia="zh-CN"/>
        </w:rPr>
      </w:pPr>
      <w:r w:rsidRPr="00AD5F26">
        <w:rPr>
          <w:rFonts w:asciiTheme="majorBidi" w:hAnsiTheme="majorBidi" w:cstheme="majorBidi"/>
          <w:b/>
          <w:bCs/>
          <w:sz w:val="28"/>
          <w:szCs w:val="28"/>
          <w:lang w:eastAsia="zh-CN"/>
        </w:rPr>
        <w:t>30 MHz</w:t>
      </w:r>
      <w:r w:rsidRPr="00AD5F26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至</w:t>
      </w:r>
      <w:r w:rsidRPr="00AD5F26">
        <w:rPr>
          <w:rFonts w:asciiTheme="majorBidi" w:hAnsiTheme="majorBidi" w:cstheme="majorBidi"/>
          <w:b/>
          <w:bCs/>
          <w:sz w:val="28"/>
          <w:szCs w:val="28"/>
          <w:lang w:eastAsia="zh-CN"/>
        </w:rPr>
        <w:t>50 GHz</w:t>
      </w:r>
      <w:r w:rsidRPr="00AD5F26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频率范围内的通用大范围</w:t>
      </w:r>
      <w:r w:rsidRPr="00AD5F26">
        <w:rPr>
          <w:rFonts w:asciiTheme="majorBidi" w:hAnsiTheme="majorBidi" w:cstheme="majorBidi"/>
          <w:b/>
          <w:bCs/>
          <w:sz w:val="28"/>
          <w:szCs w:val="28"/>
          <w:lang w:eastAsia="zh-CN"/>
        </w:rPr>
        <w:br/>
      </w:r>
      <w:r w:rsidRPr="00AD5F26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地面传播模型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t>ITU-R P.1410-</w:t>
      </w:r>
      <w:r>
        <w:rPr>
          <w:szCs w:val="24"/>
          <w:u w:val="single"/>
          <w:lang w:eastAsia="zh-CN"/>
        </w:rPr>
        <w:t>5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szCs w:val="24"/>
          <w:lang w:eastAsia="zh-CN"/>
        </w:rPr>
        <w:tab/>
        <w:t>3/60(Rev.1)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674301" w:rsidRDefault="00674301" w:rsidP="00A94C59">
      <w:pPr>
        <w:pStyle w:val="Rectitle"/>
        <w:rPr>
          <w:rStyle w:val="RectitleChar"/>
          <w:b/>
          <w:lang w:eastAsia="zh-CN"/>
        </w:rPr>
      </w:pPr>
      <w:r w:rsidRPr="00AD5F26">
        <w:rPr>
          <w:lang w:eastAsia="zh-CN"/>
        </w:rPr>
        <w:t>3</w:t>
      </w:r>
      <w:r w:rsidRPr="00AD5F26">
        <w:rPr>
          <w:rFonts w:hint="eastAsia"/>
          <w:lang w:eastAsia="zh-CN"/>
        </w:rPr>
        <w:t>至</w:t>
      </w:r>
      <w:r w:rsidRPr="00AD5F26">
        <w:rPr>
          <w:lang w:eastAsia="zh-CN"/>
        </w:rPr>
        <w:t>60 GHz</w:t>
      </w:r>
      <w:r w:rsidRPr="00AD5F26">
        <w:rPr>
          <w:rFonts w:hint="eastAsia"/>
          <w:lang w:eastAsia="zh-CN"/>
        </w:rPr>
        <w:t>频率范围内地面宽带无线电接入系统</w:t>
      </w:r>
      <w:r w:rsidRPr="00AD5F26">
        <w:rPr>
          <w:lang w:eastAsia="zh-CN"/>
        </w:rPr>
        <w:br/>
      </w:r>
      <w:r w:rsidRPr="00AD5F26">
        <w:rPr>
          <w:rFonts w:hint="eastAsia"/>
          <w:lang w:eastAsia="zh-CN"/>
        </w:rPr>
        <w:t>设计所需的传播数据和预测方法</w:t>
      </w:r>
    </w:p>
    <w:p w:rsidR="00F8738F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P.1411</w:t>
      </w:r>
      <w:r w:rsidRPr="00D91C1E">
        <w:rPr>
          <w:u w:val="single"/>
          <w:lang w:eastAsia="ja-JP"/>
        </w:rPr>
        <w:t>-</w:t>
      </w:r>
      <w:r>
        <w:rPr>
          <w:u w:val="single"/>
          <w:lang w:eastAsia="ja-JP"/>
        </w:rPr>
        <w:t>6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ja-JP"/>
        </w:rPr>
        <w:tab/>
        <w:t>3/61(Rev.1)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674301" w:rsidP="00A94C59">
      <w:pPr>
        <w:pStyle w:val="Rectitle"/>
        <w:rPr>
          <w:rStyle w:val="RectitleChar"/>
          <w:lang w:eastAsia="zh-CN"/>
        </w:rPr>
      </w:pPr>
      <w:r w:rsidRPr="00AD5F26">
        <w:rPr>
          <w:lang w:eastAsia="zh-CN"/>
        </w:rPr>
        <w:t>300 MHz</w:t>
      </w:r>
      <w:r w:rsidRPr="00AD5F26">
        <w:rPr>
          <w:rFonts w:hint="eastAsia"/>
          <w:lang w:eastAsia="zh-CN"/>
        </w:rPr>
        <w:t>至</w:t>
      </w:r>
      <w:r w:rsidRPr="00AD5F26">
        <w:rPr>
          <w:lang w:eastAsia="zh-CN"/>
        </w:rPr>
        <w:t>100 GHz</w:t>
      </w:r>
      <w:r w:rsidRPr="00AD5F26">
        <w:rPr>
          <w:rFonts w:hint="eastAsia"/>
          <w:lang w:eastAsia="zh-CN"/>
        </w:rPr>
        <w:t>频率范围内的短距离室外</w:t>
      </w:r>
      <w:r w:rsidRPr="00AD5F26">
        <w:rPr>
          <w:lang w:eastAsia="zh-CN"/>
        </w:rPr>
        <w:br/>
      </w:r>
      <w:r w:rsidRPr="00AD5F26">
        <w:rPr>
          <w:rFonts w:hint="eastAsia"/>
          <w:lang w:eastAsia="zh-CN"/>
        </w:rPr>
        <w:t>无线电通信系统和无线电局域网规划</w:t>
      </w:r>
      <w:r w:rsidRPr="00AD5F26">
        <w:rPr>
          <w:lang w:eastAsia="zh-CN"/>
        </w:rPr>
        <w:br/>
      </w:r>
      <w:r w:rsidRPr="00AD5F26">
        <w:rPr>
          <w:rFonts w:hint="eastAsia"/>
          <w:lang w:eastAsia="zh-CN"/>
        </w:rPr>
        <w:t>所用的传播数据和预测方法</w:t>
      </w:r>
    </w:p>
    <w:p w:rsidR="00F8738F" w:rsidRPr="00D91C1E" w:rsidRDefault="00F8738F" w:rsidP="00F8738F">
      <w:pPr>
        <w:rPr>
          <w:lang w:eastAsia="zh-CN"/>
        </w:rPr>
      </w:pPr>
    </w:p>
    <w:p w:rsidR="00F8738F" w:rsidRPr="00D91C1E" w:rsidRDefault="00F8738F" w:rsidP="0024142F">
      <w:pPr>
        <w:tabs>
          <w:tab w:val="right" w:pos="9356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P.835-</w:t>
      </w:r>
      <w:r>
        <w:rPr>
          <w:u w:val="single"/>
          <w:lang w:eastAsia="zh-CN"/>
        </w:rPr>
        <w:t>5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3/64(Rev.</w:t>
      </w:r>
      <w:r w:rsidR="0024142F">
        <w:rPr>
          <w:lang w:eastAsia="zh-CN"/>
        </w:rPr>
        <w:t>2</w:t>
      </w:r>
      <w:r w:rsidRPr="00D91C1E">
        <w:rPr>
          <w:lang w:eastAsia="zh-CN"/>
        </w:rPr>
        <w:t>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674301" w:rsidP="00A94C59">
      <w:pPr>
        <w:pStyle w:val="Rectitle"/>
        <w:rPr>
          <w:rStyle w:val="RectitleChar"/>
          <w:lang w:eastAsia="zh-CN"/>
        </w:rPr>
      </w:pPr>
      <w:r w:rsidRPr="00AD5F26">
        <w:rPr>
          <w:rFonts w:hint="eastAsia"/>
          <w:lang w:eastAsia="zh-CN"/>
        </w:rPr>
        <w:t>参考标准大气</w:t>
      </w:r>
    </w:p>
    <w:p w:rsidR="00F8738F" w:rsidRPr="00D91C1E" w:rsidRDefault="00F8738F" w:rsidP="00F8738F">
      <w:pPr>
        <w:pStyle w:val="enumlev1"/>
        <w:rPr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szCs w:val="28"/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szCs w:val="28"/>
          <w:u w:val="single"/>
          <w:lang w:eastAsia="zh-CN"/>
        </w:rPr>
        <w:t xml:space="preserve"> P.676</w:t>
      </w:r>
      <w:r>
        <w:rPr>
          <w:szCs w:val="28"/>
          <w:u w:val="single"/>
          <w:lang w:eastAsia="zh-CN"/>
        </w:rPr>
        <w:t>-9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szCs w:val="28"/>
          <w:lang w:eastAsia="zh-CN"/>
        </w:rPr>
        <w:tab/>
        <w:t>3/65(Rev.1)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674301" w:rsidP="009814DE">
      <w:pPr>
        <w:pStyle w:val="Rectitle"/>
        <w:rPr>
          <w:rStyle w:val="RectitleChar"/>
          <w:lang w:eastAsia="zh-CN"/>
        </w:rPr>
      </w:pPr>
      <w:r w:rsidRPr="00AD5F26">
        <w:rPr>
          <w:rFonts w:hint="eastAsia"/>
          <w:lang w:eastAsia="zh-CN"/>
        </w:rPr>
        <w:t>大气气体造成的衰减</w:t>
      </w:r>
    </w:p>
    <w:p w:rsidR="00F8738F" w:rsidRDefault="00F8738F" w:rsidP="00F8738F">
      <w:pPr>
        <w:rPr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P.837-</w:t>
      </w:r>
      <w:r>
        <w:rPr>
          <w:u w:val="single"/>
          <w:lang w:eastAsia="zh-CN"/>
        </w:rPr>
        <w:t>6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3/67(Rev.1)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674301" w:rsidP="009814DE">
      <w:pPr>
        <w:pStyle w:val="Rectitle"/>
        <w:rPr>
          <w:rStyle w:val="RectitleChar"/>
          <w:lang w:eastAsia="zh-CN"/>
        </w:rPr>
      </w:pPr>
      <w:r w:rsidRPr="00AD5F26">
        <w:rPr>
          <w:rFonts w:hint="eastAsia"/>
          <w:lang w:eastAsia="zh-CN"/>
        </w:rPr>
        <w:t>用于传播建模的降水特性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P.453-</w:t>
      </w:r>
      <w:r>
        <w:rPr>
          <w:u w:val="single"/>
          <w:lang w:eastAsia="zh-CN"/>
        </w:rPr>
        <w:t>10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3/69(Rev.1)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9A534F" w:rsidP="009814DE">
      <w:pPr>
        <w:pStyle w:val="Rectitle"/>
        <w:rPr>
          <w:rStyle w:val="RectitleChar"/>
          <w:lang w:eastAsia="zh-CN"/>
        </w:rPr>
      </w:pPr>
      <w:r>
        <w:rPr>
          <w:rFonts w:hint="eastAsia"/>
          <w:lang w:eastAsia="zh-CN"/>
        </w:rPr>
        <w:t>无线电折射率：</w:t>
      </w:r>
      <w:r w:rsidR="00674301" w:rsidRPr="00AD5F26">
        <w:rPr>
          <w:rFonts w:hint="eastAsia"/>
          <w:lang w:eastAsia="zh-CN"/>
        </w:rPr>
        <w:t>公式和折射数据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Default="00F8738F" w:rsidP="00F873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eastAsia="zh-CN"/>
        </w:rPr>
      </w:pPr>
      <w:r>
        <w:rPr>
          <w:szCs w:val="24"/>
          <w:u w:val="single"/>
          <w:lang w:eastAsia="zh-CN"/>
        </w:rPr>
        <w:br w:type="page"/>
      </w:r>
    </w:p>
    <w:p w:rsidR="00F8738F" w:rsidRPr="00D91C1E" w:rsidRDefault="00F8738F" w:rsidP="00674301">
      <w:pPr>
        <w:tabs>
          <w:tab w:val="right" w:pos="9356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lastRenderedPageBreak/>
        <w:t>ITU-R</w:t>
      </w:r>
      <w:r w:rsidRPr="00D91C1E">
        <w:rPr>
          <w:u w:val="single"/>
          <w:lang w:eastAsia="zh-CN"/>
        </w:rPr>
        <w:t xml:space="preserve"> P.833-</w:t>
      </w:r>
      <w:r>
        <w:rPr>
          <w:u w:val="single"/>
          <w:lang w:eastAsia="zh-CN"/>
        </w:rPr>
        <w:t>7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3/70(Rev.1)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AD5F26">
        <w:rPr>
          <w:rFonts w:hint="eastAsia"/>
          <w:lang w:eastAsia="zh-CN"/>
        </w:rPr>
        <w:t>植被产生的衰减</w:t>
      </w:r>
    </w:p>
    <w:p w:rsidR="00F8738F" w:rsidRPr="00880C68" w:rsidRDefault="00F8738F" w:rsidP="00F8738F">
      <w:pPr>
        <w:rPr>
          <w:rStyle w:val="RectitleChar"/>
          <w:b w:val="0"/>
          <w:bCs/>
          <w:szCs w:val="24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P.840</w:t>
      </w:r>
      <w:r>
        <w:rPr>
          <w:u w:val="single"/>
          <w:lang w:eastAsia="zh-CN"/>
        </w:rPr>
        <w:t>-5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3/71(Rev.1)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AD5F26">
        <w:rPr>
          <w:rFonts w:hint="eastAsia"/>
          <w:lang w:eastAsia="zh-CN"/>
        </w:rPr>
        <w:t>云和雾产生的衰减</w:t>
      </w:r>
    </w:p>
    <w:p w:rsidR="00F8738F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CD4EC0" w:rsidRDefault="00F8738F" w:rsidP="00674301">
      <w:pPr>
        <w:tabs>
          <w:tab w:val="right" w:pos="9356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CD4EC0">
        <w:rPr>
          <w:szCs w:val="24"/>
          <w:u w:val="single"/>
          <w:lang w:eastAsia="zh-CN"/>
        </w:rPr>
        <w:t xml:space="preserve"> P.526-1</w:t>
      </w:r>
      <w:r>
        <w:rPr>
          <w:szCs w:val="24"/>
          <w:u w:val="single"/>
          <w:lang w:eastAsia="zh-CN"/>
        </w:rPr>
        <w:t>2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CD4EC0">
        <w:rPr>
          <w:szCs w:val="24"/>
          <w:lang w:eastAsia="zh-CN"/>
        </w:rPr>
        <w:tab/>
        <w:t>3/72(Rev.1)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AD5F26">
        <w:rPr>
          <w:rFonts w:hint="eastAsia"/>
          <w:lang w:eastAsia="zh-CN"/>
        </w:rPr>
        <w:t>衍射传播</w:t>
      </w:r>
    </w:p>
    <w:p w:rsidR="00F8738F" w:rsidRDefault="00F8738F" w:rsidP="00F873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rStyle w:val="href"/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</w:t>
      </w:r>
      <w:r w:rsidRPr="00D91C1E">
        <w:rPr>
          <w:rStyle w:val="href"/>
          <w:u w:val="single"/>
          <w:lang w:eastAsia="zh-CN"/>
        </w:rPr>
        <w:t>P.1144-</w:t>
      </w:r>
      <w:r>
        <w:rPr>
          <w:rStyle w:val="href"/>
          <w:u w:val="single"/>
          <w:lang w:eastAsia="zh-CN"/>
        </w:rPr>
        <w:t>6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rStyle w:val="href"/>
          <w:lang w:eastAsia="zh-CN"/>
        </w:rPr>
        <w:tab/>
        <w:t>3/73(Rev.1)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AD5F26" w:rsidRDefault="00AD5F26" w:rsidP="009814DE">
      <w:pPr>
        <w:pStyle w:val="Rectitle"/>
        <w:rPr>
          <w:rStyle w:val="RectitleChar"/>
          <w:b/>
          <w:bCs/>
          <w:lang w:eastAsia="zh-CN"/>
        </w:rPr>
      </w:pPr>
      <w:r w:rsidRPr="00AD5F26">
        <w:rPr>
          <w:rFonts w:hint="eastAsia"/>
          <w:lang w:eastAsia="zh-CN"/>
        </w:rPr>
        <w:t>无线电通信第</w:t>
      </w:r>
      <w:r w:rsidRPr="00AD5F26">
        <w:rPr>
          <w:lang w:eastAsia="zh-CN"/>
        </w:rPr>
        <w:t>3</w:t>
      </w:r>
      <w:r w:rsidRPr="00AD5F26">
        <w:rPr>
          <w:rFonts w:hint="eastAsia"/>
          <w:lang w:eastAsia="zh-CN"/>
        </w:rPr>
        <w:t>研究组传播方法应用指南</w:t>
      </w:r>
    </w:p>
    <w:p w:rsidR="00F8738F" w:rsidRPr="00D91C1E" w:rsidRDefault="00F8738F" w:rsidP="00F8738F">
      <w:pPr>
        <w:rPr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P.528-</w:t>
      </w:r>
      <w:r>
        <w:rPr>
          <w:u w:val="single"/>
          <w:lang w:eastAsia="zh-CN"/>
        </w:rPr>
        <w:t>3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3/74(Rev.1)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AD5F26" w:rsidRDefault="00AD5F26" w:rsidP="009814DE">
      <w:pPr>
        <w:pStyle w:val="Rectitle"/>
        <w:rPr>
          <w:rStyle w:val="RectitleChar"/>
          <w:b/>
          <w:bCs/>
          <w:szCs w:val="28"/>
          <w:lang w:eastAsia="zh-CN"/>
        </w:rPr>
      </w:pPr>
      <w:r w:rsidRPr="00AD5F26">
        <w:rPr>
          <w:rFonts w:hint="eastAsia"/>
          <w:lang w:eastAsia="zh-CN"/>
        </w:rPr>
        <w:t>使用</w:t>
      </w:r>
      <w:r w:rsidRPr="00AD5F26">
        <w:rPr>
          <w:lang w:eastAsia="zh-CN"/>
        </w:rPr>
        <w:t>VHF</w:t>
      </w:r>
      <w:r w:rsidRPr="00AD5F26">
        <w:rPr>
          <w:rFonts w:hint="eastAsia"/>
          <w:lang w:eastAsia="zh-CN"/>
        </w:rPr>
        <w:t>、</w:t>
      </w:r>
      <w:r w:rsidRPr="00AD5F26">
        <w:rPr>
          <w:lang w:eastAsia="zh-CN"/>
        </w:rPr>
        <w:t>UHF</w:t>
      </w:r>
      <w:r w:rsidRPr="00AD5F26">
        <w:rPr>
          <w:rFonts w:hint="eastAsia"/>
          <w:lang w:eastAsia="zh-CN"/>
        </w:rPr>
        <w:t>和</w:t>
      </w:r>
      <w:r w:rsidRPr="00AD5F26">
        <w:rPr>
          <w:lang w:eastAsia="zh-CN"/>
        </w:rPr>
        <w:t>SHF</w:t>
      </w:r>
      <w:r w:rsidRPr="00AD5F26">
        <w:rPr>
          <w:rFonts w:hint="eastAsia"/>
          <w:lang w:eastAsia="zh-CN"/>
        </w:rPr>
        <w:t>频段的航空移动和</w:t>
      </w:r>
      <w:r w:rsidRPr="00AD5F26">
        <w:rPr>
          <w:lang w:eastAsia="zh-CN"/>
        </w:rPr>
        <w:br/>
      </w:r>
      <w:r w:rsidRPr="00AD5F26">
        <w:rPr>
          <w:rFonts w:hint="eastAsia"/>
          <w:lang w:eastAsia="zh-CN"/>
        </w:rPr>
        <w:t>无线电导航业务的传播曲线</w:t>
      </w:r>
    </w:p>
    <w:p w:rsidR="00F8738F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ja-JP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</w:t>
      </w:r>
      <w:r w:rsidRPr="00D91C1E">
        <w:rPr>
          <w:u w:val="single"/>
          <w:lang w:eastAsia="ja-JP"/>
        </w:rPr>
        <w:t>1816</w:t>
      </w:r>
      <w:r>
        <w:rPr>
          <w:u w:val="single"/>
          <w:lang w:eastAsia="ja-JP"/>
        </w:rPr>
        <w:t>-1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ja-JP"/>
        </w:rPr>
        <w:tab/>
        <w:t>3/75(Rev.1)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使用</w:t>
      </w:r>
      <w:r w:rsidRPr="009814DE">
        <w:rPr>
          <w:lang w:eastAsia="zh-CN"/>
        </w:rPr>
        <w:t>UHF</w:t>
      </w:r>
      <w:r w:rsidRPr="009814DE">
        <w:rPr>
          <w:rFonts w:hint="eastAsia"/>
          <w:lang w:eastAsia="zh-CN"/>
        </w:rPr>
        <w:t>和</w:t>
      </w:r>
      <w:r w:rsidRPr="009814DE">
        <w:rPr>
          <w:lang w:eastAsia="zh-CN"/>
        </w:rPr>
        <w:t>SHF</w:t>
      </w:r>
      <w:r w:rsidRPr="009814DE">
        <w:rPr>
          <w:rFonts w:hint="eastAsia"/>
          <w:lang w:eastAsia="zh-CN"/>
        </w:rPr>
        <w:t>频段的宽带陆地移动业务</w:t>
      </w:r>
      <w:r w:rsidRPr="009814DE">
        <w:rPr>
          <w:lang w:eastAsia="zh-CN"/>
        </w:rPr>
        <w:br/>
      </w:r>
      <w:r w:rsidRPr="009814DE">
        <w:rPr>
          <w:rFonts w:hint="eastAsia"/>
          <w:lang w:eastAsia="zh-CN"/>
        </w:rPr>
        <w:t>的时间预测和空间轮廓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ja-JP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</w:t>
      </w:r>
      <w:r w:rsidRPr="00D91C1E">
        <w:rPr>
          <w:u w:val="single"/>
          <w:lang w:eastAsia="ja-JP"/>
        </w:rPr>
        <w:t>1238-</w:t>
      </w:r>
      <w:r>
        <w:rPr>
          <w:u w:val="single"/>
          <w:lang w:eastAsia="ja-JP"/>
        </w:rPr>
        <w:t>7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ja-JP"/>
        </w:rPr>
        <w:tab/>
        <w:t>3/76(Rev.1)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9814DE">
        <w:rPr>
          <w:lang w:eastAsia="zh-CN"/>
        </w:rPr>
        <w:t>900 MHz</w:t>
      </w:r>
      <w:r w:rsidRPr="009814DE">
        <w:rPr>
          <w:rFonts w:hint="eastAsia"/>
          <w:lang w:eastAsia="zh-CN"/>
        </w:rPr>
        <w:t>至</w:t>
      </w:r>
      <w:r w:rsidRPr="009814DE">
        <w:rPr>
          <w:lang w:eastAsia="zh-CN"/>
        </w:rPr>
        <w:t>100 GHz</w:t>
      </w:r>
      <w:r w:rsidRPr="009814DE">
        <w:rPr>
          <w:rFonts w:hint="eastAsia"/>
          <w:lang w:eastAsia="zh-CN"/>
        </w:rPr>
        <w:t>频率范围内室内无线电通信系统和</w:t>
      </w:r>
      <w:r w:rsidRPr="009814DE">
        <w:rPr>
          <w:lang w:eastAsia="zh-CN"/>
        </w:rPr>
        <w:br/>
      </w:r>
      <w:r w:rsidRPr="009814DE">
        <w:rPr>
          <w:rFonts w:hint="eastAsia"/>
          <w:lang w:eastAsia="zh-CN"/>
        </w:rPr>
        <w:t>无线电局域网规划所用的</w:t>
      </w:r>
      <w:r w:rsidRPr="009814DE">
        <w:rPr>
          <w:lang w:eastAsia="zh-CN"/>
        </w:rPr>
        <w:br/>
      </w:r>
      <w:r w:rsidRPr="009814DE">
        <w:rPr>
          <w:rFonts w:hint="eastAsia"/>
          <w:lang w:eastAsia="zh-CN"/>
        </w:rPr>
        <w:t>传播数据和预测方法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P.684-</w:t>
      </w:r>
      <w:r>
        <w:rPr>
          <w:u w:val="single"/>
          <w:lang w:eastAsia="zh-CN"/>
        </w:rPr>
        <w:t>6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3/78(Rev.1)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约</w:t>
      </w:r>
      <w:r w:rsidRPr="009814DE">
        <w:rPr>
          <w:lang w:eastAsia="zh-CN"/>
        </w:rPr>
        <w:t>150 kHz</w:t>
      </w:r>
      <w:r w:rsidRPr="009814DE">
        <w:rPr>
          <w:rFonts w:hint="eastAsia"/>
          <w:lang w:eastAsia="zh-CN"/>
        </w:rPr>
        <w:t>以下频率的场强预测</w:t>
      </w:r>
    </w:p>
    <w:p w:rsidR="00F8738F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lastRenderedPageBreak/>
        <w:t>ITU-R</w:t>
      </w:r>
      <w:r w:rsidRPr="00D91C1E">
        <w:rPr>
          <w:u w:val="single"/>
          <w:lang w:eastAsia="zh-CN"/>
        </w:rPr>
        <w:t xml:space="preserve"> P.534</w:t>
      </w:r>
      <w:r>
        <w:rPr>
          <w:u w:val="single"/>
          <w:lang w:eastAsia="zh-CN"/>
        </w:rPr>
        <w:t>-5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3/79(Rev.1)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F8738F">
      <w:pPr>
        <w:tabs>
          <w:tab w:val="right" w:pos="9639"/>
        </w:tabs>
        <w:spacing w:before="240"/>
        <w:jc w:val="center"/>
        <w:rPr>
          <w:rStyle w:val="RectitleChar"/>
          <w:lang w:eastAsia="zh-CN"/>
        </w:rPr>
      </w:pPr>
      <w:r w:rsidRPr="009814DE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计算偶发</w:t>
      </w:r>
      <w:r w:rsidRPr="009814DE">
        <w:rPr>
          <w:rFonts w:asciiTheme="majorBidi" w:hAnsiTheme="majorBidi" w:cstheme="majorBidi"/>
          <w:b/>
          <w:bCs/>
          <w:sz w:val="28"/>
          <w:szCs w:val="28"/>
          <w:lang w:eastAsia="zh-CN"/>
        </w:rPr>
        <w:t>-E</w:t>
      </w:r>
      <w:r w:rsidRPr="009814DE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场强的方法</w:t>
      </w:r>
    </w:p>
    <w:p w:rsidR="00F8738F" w:rsidRDefault="00F8738F" w:rsidP="00F873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P.832-</w:t>
      </w:r>
      <w:r>
        <w:rPr>
          <w:u w:val="single"/>
          <w:lang w:eastAsia="zh-CN"/>
        </w:rPr>
        <w:t>3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3/80(Rev.1)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大气导电率世界图册</w:t>
      </w:r>
    </w:p>
    <w:p w:rsidR="00F8738F" w:rsidRPr="00D91C1E" w:rsidRDefault="00F8738F" w:rsidP="00F8738F">
      <w:pPr>
        <w:tabs>
          <w:tab w:val="right" w:pos="9498"/>
        </w:tabs>
        <w:rPr>
          <w:szCs w:val="24"/>
          <w:u w:val="single"/>
          <w:lang w:eastAsia="zh-CN"/>
        </w:rPr>
      </w:pPr>
    </w:p>
    <w:p w:rsidR="00F8738F" w:rsidRPr="00D91C1E" w:rsidRDefault="00F8738F" w:rsidP="00674301">
      <w:pPr>
        <w:tabs>
          <w:tab w:val="right" w:pos="9356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P.533-</w:t>
      </w:r>
      <w:r>
        <w:rPr>
          <w:u w:val="single"/>
          <w:lang w:eastAsia="zh-CN"/>
        </w:rPr>
        <w:t>11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3/81(Rev.1)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高频（</w:t>
      </w:r>
      <w:r w:rsidRPr="009814DE">
        <w:rPr>
          <w:lang w:eastAsia="zh-CN"/>
        </w:rPr>
        <w:t>HF</w:t>
      </w:r>
      <w:r w:rsidRPr="009814DE">
        <w:rPr>
          <w:rFonts w:hint="eastAsia"/>
          <w:lang w:eastAsia="zh-CN"/>
        </w:rPr>
        <w:t>）电路性能的预测方法</w:t>
      </w:r>
    </w:p>
    <w:p w:rsidR="00F8738F" w:rsidRPr="008233F8" w:rsidRDefault="00F8738F" w:rsidP="00F8738F">
      <w:pPr>
        <w:rPr>
          <w:rStyle w:val="RectitleChar"/>
          <w:szCs w:val="24"/>
          <w:lang w:eastAsia="zh-CN"/>
        </w:rPr>
      </w:pPr>
    </w:p>
    <w:p w:rsidR="00F8738F" w:rsidRPr="00D91C1E" w:rsidRDefault="00F8738F" w:rsidP="00C97FF4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P.1239-</w:t>
      </w:r>
      <w:r>
        <w:rPr>
          <w:u w:val="single"/>
          <w:lang w:eastAsia="zh-CN"/>
        </w:rPr>
        <w:t>3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3/82(Rev.1)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9814DE">
        <w:rPr>
          <w:lang w:eastAsia="zh-CN"/>
        </w:rPr>
        <w:t>ITU-R</w:t>
      </w:r>
      <w:r w:rsidRPr="009814DE">
        <w:rPr>
          <w:rFonts w:hint="eastAsia"/>
          <w:lang w:eastAsia="zh-CN"/>
        </w:rPr>
        <w:t>参考电离层特性</w:t>
      </w:r>
    </w:p>
    <w:p w:rsidR="00F8738F" w:rsidRPr="008233F8" w:rsidRDefault="00F8738F" w:rsidP="00F8738F">
      <w:pPr>
        <w:rPr>
          <w:rStyle w:val="RectitleChar"/>
          <w:szCs w:val="24"/>
          <w:lang w:eastAsia="zh-CN"/>
        </w:rPr>
      </w:pPr>
    </w:p>
    <w:p w:rsidR="00F8738F" w:rsidRPr="00D91C1E" w:rsidRDefault="00F8738F" w:rsidP="00C97FF4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P.531-</w:t>
      </w:r>
      <w:r>
        <w:rPr>
          <w:u w:val="single"/>
          <w:lang w:eastAsia="zh-CN"/>
        </w:rPr>
        <w:t>11</w:t>
      </w:r>
      <w:r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3/92(Rev.1)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卫星业务和系统设计所需的电离传播数据</w:t>
      </w:r>
      <w:r w:rsidRPr="009814DE">
        <w:rPr>
          <w:lang w:eastAsia="zh-CN"/>
        </w:rPr>
        <w:br/>
      </w:r>
      <w:r w:rsidRPr="009814DE">
        <w:rPr>
          <w:rFonts w:hint="eastAsia"/>
          <w:lang w:eastAsia="zh-CN"/>
        </w:rPr>
        <w:t>和预测方法</w:t>
      </w:r>
    </w:p>
    <w:p w:rsidR="00F8738F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24142F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P.1812-</w:t>
      </w:r>
      <w:r>
        <w:rPr>
          <w:u w:val="single"/>
          <w:lang w:eastAsia="zh-CN"/>
        </w:rPr>
        <w:t>2</w:t>
      </w:r>
      <w:r w:rsidR="00C97FF4">
        <w:rPr>
          <w:rFonts w:hint="eastAsia"/>
          <w:u w:val="single"/>
          <w:lang w:eastAsia="zh-CN"/>
        </w:rPr>
        <w:tab/>
      </w:r>
      <w:r w:rsidR="00C97FF4"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3/94(Rev.</w:t>
      </w:r>
      <w:r w:rsidR="0024142F">
        <w:rPr>
          <w:lang w:eastAsia="zh-CN"/>
        </w:rPr>
        <w:t>2</w:t>
      </w:r>
      <w:r w:rsidRPr="00D91C1E">
        <w:rPr>
          <w:lang w:eastAsia="zh-CN"/>
        </w:rPr>
        <w:t>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AD5F26" w:rsidP="00F8738F">
      <w:pPr>
        <w:tabs>
          <w:tab w:val="right" w:pos="9639"/>
        </w:tabs>
        <w:spacing w:before="240"/>
        <w:jc w:val="center"/>
        <w:rPr>
          <w:rStyle w:val="RectitleChar"/>
          <w:lang w:eastAsia="zh-CN"/>
        </w:rPr>
      </w:pPr>
      <w:r w:rsidRPr="009814DE">
        <w:rPr>
          <w:rFonts w:asciiTheme="majorBidi" w:hAnsiTheme="majorBidi" w:cstheme="majorBidi"/>
          <w:b/>
          <w:bCs/>
          <w:sz w:val="28"/>
          <w:szCs w:val="28"/>
          <w:lang w:eastAsia="zh-CN"/>
        </w:rPr>
        <w:t>VHF</w:t>
      </w:r>
      <w:r w:rsidRPr="009814DE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和</w:t>
      </w:r>
      <w:r w:rsidRPr="009814DE">
        <w:rPr>
          <w:rFonts w:asciiTheme="majorBidi" w:hAnsiTheme="majorBidi" w:cstheme="majorBidi"/>
          <w:b/>
          <w:bCs/>
          <w:sz w:val="28"/>
          <w:szCs w:val="28"/>
          <w:lang w:eastAsia="zh-CN"/>
        </w:rPr>
        <w:t>UHF</w:t>
      </w:r>
      <w:r w:rsidRPr="009814DE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频段内点到面地面业务的、</w:t>
      </w:r>
      <w:r w:rsidRPr="009814DE">
        <w:rPr>
          <w:rFonts w:asciiTheme="majorBidi" w:hAnsiTheme="majorBidi" w:cstheme="majorBidi"/>
          <w:b/>
          <w:bCs/>
          <w:sz w:val="28"/>
          <w:szCs w:val="28"/>
          <w:lang w:eastAsia="zh-CN"/>
        </w:rPr>
        <w:br/>
      </w:r>
      <w:r w:rsidRPr="009814DE">
        <w:rPr>
          <w:rFonts w:asciiTheme="majorBidi" w:hAnsiTheme="majorBidi" w:cstheme="majorBidi" w:hint="eastAsia"/>
          <w:b/>
          <w:bCs/>
          <w:sz w:val="28"/>
          <w:szCs w:val="28"/>
          <w:lang w:eastAsia="zh-CN"/>
        </w:rPr>
        <w:t>针对路径的传播预测方法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C97FF4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P.682-</w:t>
      </w:r>
      <w:r>
        <w:rPr>
          <w:u w:val="single"/>
          <w:lang w:eastAsia="zh-CN"/>
        </w:rPr>
        <w:t>3</w:t>
      </w:r>
      <w:r w:rsidR="00C97FF4"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3/97(Rev.1)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9814DE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地对空航空移动通信系统设计</w:t>
      </w:r>
      <w:r w:rsidR="00A94C59">
        <w:rPr>
          <w:lang w:eastAsia="zh-CN"/>
        </w:rPr>
        <w:br/>
      </w:r>
      <w:r w:rsidRPr="009814DE">
        <w:rPr>
          <w:rFonts w:hint="eastAsia"/>
          <w:lang w:eastAsia="zh-CN"/>
        </w:rPr>
        <w:t>所需的传播数据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C97FF4">
      <w:pPr>
        <w:tabs>
          <w:tab w:val="right" w:pos="9356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P.1817</w:t>
      </w:r>
      <w:r>
        <w:rPr>
          <w:u w:val="single"/>
          <w:lang w:eastAsia="zh-CN"/>
        </w:rPr>
        <w:t>-1</w:t>
      </w:r>
      <w:r w:rsidR="00C97FF4"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3/98(Rev.1)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9814DE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地面自由空间光链路设计</w:t>
      </w:r>
      <w:r w:rsidR="00A94C59">
        <w:rPr>
          <w:lang w:eastAsia="zh-CN"/>
        </w:rPr>
        <w:br/>
      </w:r>
      <w:r w:rsidRPr="009814DE">
        <w:rPr>
          <w:rFonts w:hint="eastAsia"/>
          <w:lang w:eastAsia="zh-CN"/>
        </w:rPr>
        <w:t>所需的传播数据</w:t>
      </w:r>
    </w:p>
    <w:p w:rsidR="00F8738F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A94C59" w:rsidRDefault="00A94C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  <w:lang w:eastAsia="zh-CN"/>
        </w:rPr>
      </w:pPr>
      <w:r>
        <w:rPr>
          <w:szCs w:val="24"/>
          <w:u w:val="single"/>
          <w:lang w:eastAsia="zh-CN"/>
        </w:rPr>
        <w:br w:type="page"/>
      </w:r>
    </w:p>
    <w:p w:rsidR="00F8738F" w:rsidRPr="00D91C1E" w:rsidRDefault="00F8738F" w:rsidP="00D35ABD">
      <w:pPr>
        <w:tabs>
          <w:tab w:val="right" w:pos="9498"/>
        </w:tabs>
        <w:rPr>
          <w:szCs w:val="24"/>
          <w:lang w:eastAsia="zh-CN"/>
        </w:rPr>
      </w:pPr>
      <w:r w:rsidRPr="00D91C1E">
        <w:rPr>
          <w:szCs w:val="24"/>
          <w:u w:val="single"/>
          <w:lang w:eastAsia="zh-CN"/>
        </w:rPr>
        <w:lastRenderedPageBreak/>
        <w:t>ITU-R</w:t>
      </w:r>
      <w:r w:rsidRPr="00D91C1E">
        <w:rPr>
          <w:bCs/>
          <w:u w:val="single"/>
          <w:lang w:eastAsia="zh-CN"/>
        </w:rPr>
        <w:t xml:space="preserve"> P.530-</w:t>
      </w:r>
      <w:r>
        <w:rPr>
          <w:bCs/>
          <w:u w:val="single"/>
          <w:lang w:eastAsia="zh-CN"/>
        </w:rPr>
        <w:t>14</w:t>
      </w:r>
      <w:r w:rsidR="00D35ABD">
        <w:rPr>
          <w:rFonts w:hint="eastAsia"/>
          <w:bCs/>
          <w:u w:val="single"/>
          <w:lang w:eastAsia="zh-CN"/>
        </w:rPr>
        <w:t>建议书</w:t>
      </w:r>
      <w:r w:rsidR="00C97FF4" w:rsidRPr="00C97FF4">
        <w:rPr>
          <w:rFonts w:asciiTheme="majorBidi" w:hAnsiTheme="majorBidi" w:cstheme="majorBidi" w:hint="eastAsia"/>
          <w:lang w:eastAsia="zh-CN"/>
        </w:rPr>
        <w:tab/>
      </w:r>
      <w:r w:rsidRPr="00D91C1E">
        <w:rPr>
          <w:bCs/>
          <w:lang w:eastAsia="zh-CN"/>
        </w:rPr>
        <w:t>3/100(Rev.1)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9814DE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地面视距系统设计所需的传播数据</w:t>
      </w:r>
      <w:r w:rsidR="00A94C59">
        <w:rPr>
          <w:lang w:eastAsia="zh-CN"/>
        </w:rPr>
        <w:br/>
      </w:r>
      <w:r w:rsidRPr="009814DE">
        <w:rPr>
          <w:rFonts w:hint="eastAsia"/>
          <w:lang w:eastAsia="zh-CN"/>
        </w:rPr>
        <w:t>和预测方法</w:t>
      </w:r>
    </w:p>
    <w:p w:rsidR="00F8738F" w:rsidRPr="00263806" w:rsidRDefault="00F8738F" w:rsidP="00263806">
      <w:pPr>
        <w:rPr>
          <w:rStyle w:val="RectitleChar"/>
          <w:sz w:val="24"/>
          <w:szCs w:val="24"/>
          <w:lang w:eastAsia="zh-CN"/>
        </w:rPr>
      </w:pPr>
    </w:p>
    <w:p w:rsidR="00F8738F" w:rsidRPr="00D91C1E" w:rsidRDefault="00F8738F" w:rsidP="00C97FF4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P.1409</w:t>
      </w:r>
      <w:r>
        <w:rPr>
          <w:u w:val="single"/>
          <w:lang w:eastAsia="zh-CN"/>
        </w:rPr>
        <w:t>-1</w:t>
      </w:r>
      <w:r w:rsidR="00C97FF4">
        <w:rPr>
          <w:rFonts w:asciiTheme="majorBidi" w:hAnsiTheme="majorBidi" w:cstheme="majorBidi" w:hint="eastAsia"/>
          <w:u w:val="single"/>
          <w:lang w:eastAsia="zh-CN"/>
        </w:rPr>
        <w:t>建议书</w:t>
      </w:r>
      <w:r w:rsidR="00C97FF4" w:rsidRPr="00C97FF4">
        <w:rPr>
          <w:rFonts w:asciiTheme="majorBidi" w:hAnsiTheme="majorBidi" w:cstheme="majorBidi" w:hint="eastAsia"/>
          <w:lang w:eastAsia="zh-CN"/>
        </w:rPr>
        <w:tab/>
      </w:r>
      <w:r w:rsidRPr="00D91C1E">
        <w:rPr>
          <w:lang w:eastAsia="zh-CN"/>
        </w:rPr>
        <w:t>3/102(Rev.1)</w:t>
      </w:r>
      <w:r w:rsidRPr="00F8738F"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号文件</w:t>
      </w:r>
    </w:p>
    <w:p w:rsidR="00F8738F" w:rsidRPr="00D91C1E" w:rsidRDefault="009814DE" w:rsidP="00217520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在约</w:t>
      </w:r>
      <w:bookmarkStart w:id="5" w:name="_GoBack"/>
      <w:bookmarkEnd w:id="5"/>
      <w:r w:rsidR="00385D8C">
        <w:rPr>
          <w:rFonts w:hint="eastAsia"/>
          <w:lang w:eastAsia="zh-CN"/>
        </w:rPr>
        <w:t>1</w:t>
      </w:r>
      <w:r w:rsidRPr="009814DE">
        <w:rPr>
          <w:lang w:eastAsia="zh-CN"/>
        </w:rPr>
        <w:t xml:space="preserve"> GHz</w:t>
      </w:r>
      <w:r w:rsidR="00D35ABD">
        <w:rPr>
          <w:rFonts w:hint="eastAsia"/>
          <w:lang w:eastAsia="zh-CN"/>
        </w:rPr>
        <w:t>以上</w:t>
      </w:r>
      <w:r w:rsidRPr="009814DE">
        <w:rPr>
          <w:rFonts w:hint="eastAsia"/>
          <w:lang w:eastAsia="zh-CN"/>
        </w:rPr>
        <w:t>频率使用高空平台</w:t>
      </w:r>
      <w:r w:rsidR="00D35ABD">
        <w:rPr>
          <w:rFonts w:hint="eastAsia"/>
          <w:lang w:eastAsia="zh-CN"/>
        </w:rPr>
        <w:t>台站和</w:t>
      </w:r>
      <w:r w:rsidR="009A534F">
        <w:rPr>
          <w:lang w:eastAsia="zh-CN"/>
        </w:rPr>
        <w:br/>
      </w:r>
      <w:r w:rsidR="00D35ABD">
        <w:rPr>
          <w:rFonts w:hint="eastAsia"/>
          <w:lang w:eastAsia="zh-CN"/>
        </w:rPr>
        <w:t>平流层其它高空台站</w:t>
      </w:r>
      <w:r w:rsidRPr="009814DE">
        <w:rPr>
          <w:rFonts w:hint="eastAsia"/>
          <w:lang w:eastAsia="zh-CN"/>
        </w:rPr>
        <w:t>的系统</w:t>
      </w:r>
      <w:r w:rsidR="00D35ABD">
        <w:rPr>
          <w:rFonts w:hint="eastAsia"/>
          <w:lang w:eastAsia="zh-CN"/>
        </w:rPr>
        <w:t>的</w:t>
      </w:r>
      <w:r w:rsidR="009A534F">
        <w:rPr>
          <w:lang w:eastAsia="zh-CN"/>
        </w:rPr>
        <w:br/>
      </w:r>
      <w:r w:rsidRPr="009814DE">
        <w:rPr>
          <w:rFonts w:hint="eastAsia"/>
          <w:lang w:eastAsia="zh-CN"/>
        </w:rPr>
        <w:t>传播数据和预测方法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C97FF4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P.617-</w:t>
      </w:r>
      <w:r>
        <w:rPr>
          <w:u w:val="single"/>
          <w:lang w:eastAsia="zh-CN"/>
        </w:rPr>
        <w:t>2</w:t>
      </w:r>
      <w:r w:rsidR="00C97FF4"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3/103(Rev.1)</w:t>
      </w:r>
      <w:r w:rsidR="00C97FF4" w:rsidRPr="00C97FF4">
        <w:rPr>
          <w:rFonts w:hint="eastAsia"/>
          <w:szCs w:val="24"/>
          <w:lang w:eastAsia="zh-CN"/>
        </w:rPr>
        <w:t xml:space="preserve"> </w:t>
      </w:r>
      <w:r w:rsidR="00C97FF4">
        <w:rPr>
          <w:rFonts w:hint="eastAsia"/>
          <w:szCs w:val="24"/>
          <w:lang w:eastAsia="zh-CN"/>
        </w:rPr>
        <w:t>号文件</w:t>
      </w:r>
    </w:p>
    <w:p w:rsidR="00F8738F" w:rsidRPr="00D91C1E" w:rsidRDefault="009814DE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贯穿地平线的无线电接力系统设计所需的</w:t>
      </w:r>
      <w:r w:rsidRPr="009814DE">
        <w:rPr>
          <w:lang w:eastAsia="zh-CN"/>
        </w:rPr>
        <w:br/>
      </w:r>
      <w:r w:rsidRPr="009814DE">
        <w:rPr>
          <w:rFonts w:hint="eastAsia"/>
          <w:lang w:eastAsia="zh-CN"/>
        </w:rPr>
        <w:t>传播预测技术和数据</w:t>
      </w:r>
    </w:p>
    <w:p w:rsidR="00F8738F" w:rsidRPr="00D91C1E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C97FF4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 w:rsidRPr="00D91C1E">
        <w:rPr>
          <w:u w:val="single"/>
          <w:lang w:eastAsia="zh-CN"/>
        </w:rPr>
        <w:t xml:space="preserve"> P.1853</w:t>
      </w:r>
      <w:r>
        <w:rPr>
          <w:u w:val="single"/>
          <w:lang w:eastAsia="zh-CN"/>
        </w:rPr>
        <w:t>-1</w:t>
      </w:r>
      <w:r w:rsidR="00C97FF4"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3/104(Rev.1)</w:t>
      </w:r>
      <w:r w:rsidR="00C97FF4" w:rsidRPr="00C97FF4">
        <w:rPr>
          <w:rFonts w:hint="eastAsia"/>
          <w:szCs w:val="24"/>
          <w:lang w:eastAsia="zh-CN"/>
        </w:rPr>
        <w:t xml:space="preserve"> </w:t>
      </w:r>
      <w:r w:rsidR="00C97FF4">
        <w:rPr>
          <w:rFonts w:hint="eastAsia"/>
          <w:szCs w:val="24"/>
          <w:lang w:eastAsia="zh-CN"/>
        </w:rPr>
        <w:t>号文件</w:t>
      </w:r>
    </w:p>
    <w:p w:rsidR="00F8738F" w:rsidRPr="00D91C1E" w:rsidRDefault="009814DE" w:rsidP="009814DE">
      <w:pPr>
        <w:pStyle w:val="Rectitle"/>
        <w:rPr>
          <w:rStyle w:val="RectitleChar"/>
          <w:lang w:eastAsia="zh-CN"/>
        </w:rPr>
      </w:pPr>
      <w:r w:rsidRPr="009814DE">
        <w:rPr>
          <w:rFonts w:hint="eastAsia"/>
          <w:lang w:eastAsia="zh-CN"/>
        </w:rPr>
        <w:t>对流层衰减时间序列合成</w:t>
      </w:r>
    </w:p>
    <w:p w:rsidR="00F8738F" w:rsidRDefault="00F8738F" w:rsidP="00F8738F">
      <w:pPr>
        <w:tabs>
          <w:tab w:val="right" w:pos="9639"/>
        </w:tabs>
        <w:rPr>
          <w:szCs w:val="24"/>
          <w:u w:val="single"/>
          <w:lang w:eastAsia="zh-CN"/>
        </w:rPr>
      </w:pPr>
    </w:p>
    <w:p w:rsidR="00F8738F" w:rsidRPr="00D91C1E" w:rsidRDefault="00F8738F" w:rsidP="00C97FF4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  <w:lang w:eastAsia="zh-CN"/>
        </w:rPr>
        <w:t>ITU-R</w:t>
      </w:r>
      <w:r>
        <w:rPr>
          <w:u w:val="single"/>
          <w:lang w:eastAsia="zh-CN"/>
        </w:rPr>
        <w:t xml:space="preserve"> P.</w:t>
      </w:r>
      <w:r w:rsidRPr="00D91C1E">
        <w:rPr>
          <w:u w:val="single"/>
          <w:lang w:eastAsia="zh-CN"/>
        </w:rPr>
        <w:t>313-</w:t>
      </w:r>
      <w:r>
        <w:rPr>
          <w:u w:val="single"/>
          <w:lang w:eastAsia="zh-CN"/>
        </w:rPr>
        <w:t>11</w:t>
      </w:r>
      <w:r w:rsidR="00C97FF4">
        <w:rPr>
          <w:rFonts w:asciiTheme="majorBidi" w:hAnsiTheme="majorBidi" w:cstheme="majorBidi" w:hint="eastAsia"/>
          <w:u w:val="single"/>
          <w:lang w:eastAsia="zh-CN"/>
        </w:rPr>
        <w:t>建议书</w:t>
      </w:r>
      <w:r w:rsidRPr="00D91C1E">
        <w:rPr>
          <w:lang w:eastAsia="zh-CN"/>
        </w:rPr>
        <w:tab/>
        <w:t>3/107(Rev.1)</w:t>
      </w:r>
      <w:r w:rsidR="00C97FF4" w:rsidRPr="00C97FF4">
        <w:rPr>
          <w:rFonts w:hint="eastAsia"/>
          <w:szCs w:val="24"/>
          <w:lang w:eastAsia="zh-CN"/>
        </w:rPr>
        <w:t xml:space="preserve"> </w:t>
      </w:r>
      <w:r w:rsidR="00C97FF4">
        <w:rPr>
          <w:rFonts w:hint="eastAsia"/>
          <w:szCs w:val="24"/>
          <w:lang w:eastAsia="zh-CN"/>
        </w:rPr>
        <w:t>号文件</w:t>
      </w:r>
    </w:p>
    <w:p w:rsidR="006C14D8" w:rsidRPr="009814DE" w:rsidRDefault="009814DE" w:rsidP="009814DE">
      <w:pPr>
        <w:pStyle w:val="Rectitle"/>
        <w:rPr>
          <w:rFonts w:eastAsiaTheme="minorEastAsia"/>
          <w:lang w:eastAsia="zh-CN"/>
        </w:rPr>
      </w:pPr>
      <w:r w:rsidRPr="009814DE">
        <w:rPr>
          <w:rFonts w:hint="eastAsia"/>
          <w:lang w:eastAsia="zh-CN"/>
        </w:rPr>
        <w:t>短期预测的信息交换和电离层</w:t>
      </w:r>
      <w:r w:rsidR="00A94C59">
        <w:rPr>
          <w:lang w:eastAsia="zh-CN"/>
        </w:rPr>
        <w:br/>
      </w:r>
      <w:r w:rsidRPr="009814DE">
        <w:rPr>
          <w:rFonts w:hint="eastAsia"/>
          <w:lang w:eastAsia="zh-CN"/>
        </w:rPr>
        <w:t>干扰预警的传送</w:t>
      </w:r>
    </w:p>
    <w:p w:rsidR="007F284D" w:rsidRDefault="007F284D" w:rsidP="001D0684">
      <w:pPr>
        <w:pStyle w:val="Reasons"/>
        <w:rPr>
          <w:rFonts w:eastAsiaTheme="minorEastAsia"/>
          <w:lang w:eastAsia="zh-CN"/>
        </w:rPr>
      </w:pPr>
    </w:p>
    <w:p w:rsidR="007F284D" w:rsidRPr="007F284D" w:rsidRDefault="007F284D" w:rsidP="001D0684">
      <w:pPr>
        <w:pStyle w:val="Reasons"/>
        <w:rPr>
          <w:rFonts w:eastAsiaTheme="minorEastAsia"/>
          <w:lang w:eastAsia="zh-CN"/>
        </w:rPr>
      </w:pPr>
    </w:p>
    <w:p w:rsidR="006C14D8" w:rsidRPr="00F91ECF" w:rsidRDefault="006C14D8" w:rsidP="009814DE">
      <w:pPr>
        <w:pStyle w:val="Rectitle"/>
        <w:rPr>
          <w:lang w:eastAsia="zh-CN"/>
        </w:rPr>
      </w:pPr>
      <w:r>
        <w:t>______________</w:t>
      </w:r>
    </w:p>
    <w:sectPr w:rsidR="006C14D8" w:rsidRPr="00F91ECF" w:rsidSect="006E28BB">
      <w:headerReference w:type="default" r:id="rId10"/>
      <w:footerReference w:type="default" r:id="rId11"/>
      <w:footerReference w:type="first" r:id="rId12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DE" w:rsidRDefault="009814DE" w:rsidP="00C1315E">
      <w:pPr>
        <w:spacing w:before="0"/>
      </w:pPr>
      <w:r>
        <w:separator/>
      </w:r>
    </w:p>
  </w:endnote>
  <w:endnote w:type="continuationSeparator" w:id="0">
    <w:p w:rsidR="009814DE" w:rsidRDefault="009814DE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DE" w:rsidRPr="0024142F" w:rsidRDefault="0024142F" w:rsidP="0024142F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217520">
      <w:rPr>
        <w:noProof/>
        <w:sz w:val="16"/>
        <w:szCs w:val="16"/>
      </w:rPr>
      <w:t>Y:\APP\BR\CIRCS_DMS\CACE\500\563\563c.docx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814DE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814DE" w:rsidRDefault="009814DE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814DE" w:rsidRDefault="009814DE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814DE" w:rsidRDefault="009814DE" w:rsidP="001632A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814DE" w:rsidRDefault="009814DE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814DE" w:rsidTr="001632A6">
      <w:trPr>
        <w:cantSplit/>
      </w:trPr>
      <w:tc>
        <w:tcPr>
          <w:tcW w:w="1062" w:type="pct"/>
        </w:tcPr>
        <w:p w:rsidR="009814DE" w:rsidRDefault="009814DE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814DE" w:rsidRDefault="009814DE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814DE" w:rsidRDefault="009814DE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814DE" w:rsidRDefault="009814DE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814DE" w:rsidTr="001632A6">
      <w:trPr>
        <w:cantSplit/>
      </w:trPr>
      <w:tc>
        <w:tcPr>
          <w:tcW w:w="1062" w:type="pct"/>
        </w:tcPr>
        <w:p w:rsidR="009814DE" w:rsidRDefault="009814DE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814DE" w:rsidRDefault="009814DE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814DE" w:rsidRDefault="009814DE" w:rsidP="001632A6">
          <w:pPr>
            <w:pStyle w:val="itu"/>
          </w:pPr>
        </w:p>
      </w:tc>
      <w:tc>
        <w:tcPr>
          <w:tcW w:w="1131" w:type="pct"/>
        </w:tcPr>
        <w:p w:rsidR="009814DE" w:rsidRDefault="009814DE" w:rsidP="001632A6">
          <w:pPr>
            <w:pStyle w:val="itu"/>
          </w:pPr>
        </w:p>
      </w:tc>
    </w:tr>
  </w:tbl>
  <w:p w:rsidR="009814DE" w:rsidRPr="006E28BB" w:rsidRDefault="009814DE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DE" w:rsidRDefault="009814DE" w:rsidP="00C1315E">
      <w:pPr>
        <w:spacing w:before="0"/>
      </w:pPr>
      <w:r>
        <w:separator/>
      </w:r>
    </w:p>
  </w:footnote>
  <w:footnote w:type="continuationSeparator" w:id="0">
    <w:p w:rsidR="009814DE" w:rsidRDefault="009814DE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DE" w:rsidRPr="008D1EB1" w:rsidRDefault="009814DE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217520">
      <w:rPr>
        <w:noProof/>
        <w:sz w:val="18"/>
        <w:szCs w:val="18"/>
      </w:rPr>
      <w:t>5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0D54"/>
    <w:rsid w:val="00001646"/>
    <w:rsid w:val="00006ECE"/>
    <w:rsid w:val="0001176A"/>
    <w:rsid w:val="00037BFA"/>
    <w:rsid w:val="000405D9"/>
    <w:rsid w:val="00040CB7"/>
    <w:rsid w:val="00084A24"/>
    <w:rsid w:val="00097F15"/>
    <w:rsid w:val="000B3543"/>
    <w:rsid w:val="000D1290"/>
    <w:rsid w:val="000D12B0"/>
    <w:rsid w:val="000E1CB9"/>
    <w:rsid w:val="000E54F5"/>
    <w:rsid w:val="000E7247"/>
    <w:rsid w:val="000F11BE"/>
    <w:rsid w:val="000F7BD8"/>
    <w:rsid w:val="00103065"/>
    <w:rsid w:val="00105E51"/>
    <w:rsid w:val="0011041E"/>
    <w:rsid w:val="001245EA"/>
    <w:rsid w:val="00147E21"/>
    <w:rsid w:val="0015258D"/>
    <w:rsid w:val="00153E23"/>
    <w:rsid w:val="001579E0"/>
    <w:rsid w:val="001632A6"/>
    <w:rsid w:val="0017659C"/>
    <w:rsid w:val="001800FC"/>
    <w:rsid w:val="00181FBC"/>
    <w:rsid w:val="001A6C73"/>
    <w:rsid w:val="001C17A3"/>
    <w:rsid w:val="001D0684"/>
    <w:rsid w:val="001E20BD"/>
    <w:rsid w:val="001F08C6"/>
    <w:rsid w:val="001F323F"/>
    <w:rsid w:val="001F4E9F"/>
    <w:rsid w:val="00217520"/>
    <w:rsid w:val="0023062C"/>
    <w:rsid w:val="00240CE4"/>
    <w:rsid w:val="0024142F"/>
    <w:rsid w:val="002514A0"/>
    <w:rsid w:val="00255032"/>
    <w:rsid w:val="002615F3"/>
    <w:rsid w:val="00263806"/>
    <w:rsid w:val="00273328"/>
    <w:rsid w:val="002A23F5"/>
    <w:rsid w:val="002B7671"/>
    <w:rsid w:val="002C0BE4"/>
    <w:rsid w:val="002E419D"/>
    <w:rsid w:val="002F00FB"/>
    <w:rsid w:val="002F23B4"/>
    <w:rsid w:val="00322B64"/>
    <w:rsid w:val="00324FA5"/>
    <w:rsid w:val="003437F5"/>
    <w:rsid w:val="003533C6"/>
    <w:rsid w:val="00362CBD"/>
    <w:rsid w:val="00385D8C"/>
    <w:rsid w:val="0038774D"/>
    <w:rsid w:val="00396BAB"/>
    <w:rsid w:val="003C5A33"/>
    <w:rsid w:val="003C71DC"/>
    <w:rsid w:val="004308D0"/>
    <w:rsid w:val="00480760"/>
    <w:rsid w:val="004A1A52"/>
    <w:rsid w:val="004A5571"/>
    <w:rsid w:val="004D29AD"/>
    <w:rsid w:val="004E5B09"/>
    <w:rsid w:val="004F67E2"/>
    <w:rsid w:val="0051072C"/>
    <w:rsid w:val="005369A0"/>
    <w:rsid w:val="00546F8B"/>
    <w:rsid w:val="005631E9"/>
    <w:rsid w:val="00564241"/>
    <w:rsid w:val="00565559"/>
    <w:rsid w:val="00575F05"/>
    <w:rsid w:val="005764A6"/>
    <w:rsid w:val="00592957"/>
    <w:rsid w:val="00593F5A"/>
    <w:rsid w:val="005A75D9"/>
    <w:rsid w:val="005C08EC"/>
    <w:rsid w:val="005C0E7E"/>
    <w:rsid w:val="005F16F6"/>
    <w:rsid w:val="00657F6F"/>
    <w:rsid w:val="00674301"/>
    <w:rsid w:val="00681CC7"/>
    <w:rsid w:val="0068376F"/>
    <w:rsid w:val="00694F01"/>
    <w:rsid w:val="006A183F"/>
    <w:rsid w:val="006C0F42"/>
    <w:rsid w:val="006C14D8"/>
    <w:rsid w:val="006C392E"/>
    <w:rsid w:val="006C7086"/>
    <w:rsid w:val="006E28BB"/>
    <w:rsid w:val="006F4264"/>
    <w:rsid w:val="00722C6B"/>
    <w:rsid w:val="0075461A"/>
    <w:rsid w:val="00763E44"/>
    <w:rsid w:val="00765EF4"/>
    <w:rsid w:val="00770A15"/>
    <w:rsid w:val="007736A3"/>
    <w:rsid w:val="00775B4A"/>
    <w:rsid w:val="007820B4"/>
    <w:rsid w:val="007C5368"/>
    <w:rsid w:val="007F284D"/>
    <w:rsid w:val="00846DB6"/>
    <w:rsid w:val="008A4BE8"/>
    <w:rsid w:val="008A57EC"/>
    <w:rsid w:val="008B12E7"/>
    <w:rsid w:val="008D1EB1"/>
    <w:rsid w:val="008F0BF9"/>
    <w:rsid w:val="008F20A2"/>
    <w:rsid w:val="0090215F"/>
    <w:rsid w:val="00902C88"/>
    <w:rsid w:val="009071C5"/>
    <w:rsid w:val="00912040"/>
    <w:rsid w:val="00937F87"/>
    <w:rsid w:val="009417C0"/>
    <w:rsid w:val="00942775"/>
    <w:rsid w:val="009814DE"/>
    <w:rsid w:val="009828BD"/>
    <w:rsid w:val="009A534F"/>
    <w:rsid w:val="009E0ACD"/>
    <w:rsid w:val="00A100CE"/>
    <w:rsid w:val="00A56E42"/>
    <w:rsid w:val="00A57A69"/>
    <w:rsid w:val="00A63B27"/>
    <w:rsid w:val="00A66FD4"/>
    <w:rsid w:val="00A82B27"/>
    <w:rsid w:val="00A94C59"/>
    <w:rsid w:val="00A979BC"/>
    <w:rsid w:val="00A97F6F"/>
    <w:rsid w:val="00AA6817"/>
    <w:rsid w:val="00AD0930"/>
    <w:rsid w:val="00AD2D24"/>
    <w:rsid w:val="00AD5F26"/>
    <w:rsid w:val="00AE6011"/>
    <w:rsid w:val="00B225B4"/>
    <w:rsid w:val="00B321BC"/>
    <w:rsid w:val="00B34C2C"/>
    <w:rsid w:val="00B47A42"/>
    <w:rsid w:val="00B63556"/>
    <w:rsid w:val="00BC231B"/>
    <w:rsid w:val="00C1315E"/>
    <w:rsid w:val="00C247D9"/>
    <w:rsid w:val="00C725EC"/>
    <w:rsid w:val="00C950AA"/>
    <w:rsid w:val="00C97FF4"/>
    <w:rsid w:val="00CA1B63"/>
    <w:rsid w:val="00CC746B"/>
    <w:rsid w:val="00CE3212"/>
    <w:rsid w:val="00D2311F"/>
    <w:rsid w:val="00D35752"/>
    <w:rsid w:val="00D35ABD"/>
    <w:rsid w:val="00D65BE9"/>
    <w:rsid w:val="00D66262"/>
    <w:rsid w:val="00D67D2E"/>
    <w:rsid w:val="00D86B5B"/>
    <w:rsid w:val="00D95A8E"/>
    <w:rsid w:val="00DB251E"/>
    <w:rsid w:val="00E00E89"/>
    <w:rsid w:val="00E2347F"/>
    <w:rsid w:val="00E26164"/>
    <w:rsid w:val="00E36158"/>
    <w:rsid w:val="00E543EB"/>
    <w:rsid w:val="00E651C2"/>
    <w:rsid w:val="00E708D6"/>
    <w:rsid w:val="00E8312F"/>
    <w:rsid w:val="00E90353"/>
    <w:rsid w:val="00E90ACC"/>
    <w:rsid w:val="00EE1E7B"/>
    <w:rsid w:val="00EF40A9"/>
    <w:rsid w:val="00F40936"/>
    <w:rsid w:val="00F46C6F"/>
    <w:rsid w:val="00F664A6"/>
    <w:rsid w:val="00F75552"/>
    <w:rsid w:val="00F8679A"/>
    <w:rsid w:val="00F8738F"/>
    <w:rsid w:val="00F90081"/>
    <w:rsid w:val="00F91ECF"/>
    <w:rsid w:val="00FA0912"/>
    <w:rsid w:val="00FA0ABB"/>
    <w:rsid w:val="00FC1EFE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Reasons">
    <w:name w:val="Reasons"/>
    <w:basedOn w:val="Normal"/>
    <w:qFormat/>
    <w:rsid w:val="006C14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uiPriority w:val="99"/>
    <w:rsid w:val="00F8738F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873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Reasons">
    <w:name w:val="Reasons"/>
    <w:basedOn w:val="Normal"/>
    <w:qFormat/>
    <w:rsid w:val="006C14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uiPriority w:val="99"/>
    <w:rsid w:val="00F8738F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873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C968-00D4-4243-9252-95FD56C4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Fernandez Virginia</cp:lastModifiedBy>
  <cp:revision>4</cp:revision>
  <cp:lastPrinted>2012-03-02T13:45:00Z</cp:lastPrinted>
  <dcterms:created xsi:type="dcterms:W3CDTF">2012-03-02T13:35:00Z</dcterms:created>
  <dcterms:modified xsi:type="dcterms:W3CDTF">2012-03-02T13:45:00Z</dcterms:modified>
</cp:coreProperties>
</file>