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730758">
        <w:tc>
          <w:tcPr>
            <w:tcW w:w="9039" w:type="dxa"/>
            <w:vAlign w:val="center"/>
          </w:tcPr>
          <w:p w:rsidR="00F96264" w:rsidRPr="00730758" w:rsidRDefault="00BD5208" w:rsidP="00F96264">
            <w:pPr>
              <w:spacing w:before="0"/>
            </w:pPr>
            <w:r w:rsidRPr="00730758">
              <w:rPr>
                <w:rFonts w:asciiTheme="minorHAnsi" w:hAnsiTheme="minorHAnsi" w:cstheme="minorHAnsi"/>
                <w:spacing w:val="5"/>
                <w:sz w:val="52"/>
                <w:szCs w:val="24"/>
              </w:rPr>
              <w:t>U</w:t>
            </w:r>
            <w:r w:rsidRPr="00730758">
              <w:rPr>
                <w:rFonts w:asciiTheme="minorHAnsi" w:hAnsiTheme="minorHAnsi" w:cstheme="minorHAnsi"/>
                <w:spacing w:val="5"/>
                <w:sz w:val="40"/>
                <w:szCs w:val="40"/>
              </w:rPr>
              <w:t>NIÓN</w:t>
            </w:r>
            <w:r w:rsidRPr="00730758">
              <w:rPr>
                <w:rFonts w:asciiTheme="minorHAnsi" w:hAnsiTheme="minorHAnsi" w:cstheme="minorHAnsi"/>
                <w:spacing w:val="5"/>
                <w:sz w:val="44"/>
                <w:szCs w:val="24"/>
              </w:rPr>
              <w:t xml:space="preserve"> </w:t>
            </w:r>
            <w:r w:rsidRPr="00730758">
              <w:rPr>
                <w:rFonts w:asciiTheme="minorHAnsi" w:hAnsiTheme="minorHAnsi" w:cstheme="minorHAnsi"/>
                <w:spacing w:val="5"/>
                <w:sz w:val="52"/>
                <w:szCs w:val="24"/>
              </w:rPr>
              <w:t>I</w:t>
            </w:r>
            <w:r w:rsidRPr="00730758">
              <w:rPr>
                <w:rFonts w:asciiTheme="minorHAnsi" w:hAnsiTheme="minorHAnsi" w:cstheme="minorHAnsi"/>
                <w:spacing w:val="5"/>
                <w:sz w:val="40"/>
                <w:szCs w:val="40"/>
              </w:rPr>
              <w:t>NTERNACIONAL DE</w:t>
            </w:r>
            <w:r w:rsidRPr="00730758">
              <w:rPr>
                <w:rFonts w:asciiTheme="minorHAnsi" w:hAnsiTheme="minorHAnsi" w:cstheme="minorHAnsi"/>
                <w:spacing w:val="5"/>
                <w:sz w:val="44"/>
                <w:szCs w:val="24"/>
              </w:rPr>
              <w:t xml:space="preserve"> </w:t>
            </w:r>
            <w:r w:rsidRPr="00730758">
              <w:rPr>
                <w:rFonts w:asciiTheme="minorHAnsi" w:hAnsiTheme="minorHAnsi" w:cstheme="minorHAnsi"/>
                <w:spacing w:val="5"/>
                <w:sz w:val="52"/>
                <w:szCs w:val="24"/>
              </w:rPr>
              <w:t>T</w:t>
            </w:r>
            <w:r w:rsidRPr="00730758">
              <w:rPr>
                <w:rFonts w:asciiTheme="minorHAnsi" w:hAnsiTheme="minorHAnsi" w:cstheme="minorHAnsi"/>
                <w:spacing w:val="5"/>
                <w:sz w:val="40"/>
                <w:szCs w:val="40"/>
              </w:rPr>
              <w:t>ELECOMUNICACIONES</w:t>
            </w:r>
          </w:p>
        </w:tc>
        <w:tc>
          <w:tcPr>
            <w:tcW w:w="1559" w:type="dxa"/>
          </w:tcPr>
          <w:p w:rsidR="00F96264" w:rsidRPr="00730758" w:rsidRDefault="00BD0273" w:rsidP="00F96264">
            <w:pPr>
              <w:spacing w:before="0"/>
              <w:jc w:val="right"/>
            </w:pPr>
            <w:r w:rsidRPr="00730758">
              <w:rPr>
                <w:noProof/>
                <w:lang w:val="en-US" w:eastAsia="zh-CN"/>
              </w:rPr>
              <w:drawing>
                <wp:inline distT="0" distB="0" distL="0" distR="0" wp14:anchorId="70D57286" wp14:editId="479762B5">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730758">
        <w:trPr>
          <w:cantSplit/>
        </w:trPr>
        <w:tc>
          <w:tcPr>
            <w:tcW w:w="5075" w:type="dxa"/>
          </w:tcPr>
          <w:p w:rsidR="00F96264" w:rsidRPr="00730758" w:rsidRDefault="00F96264" w:rsidP="00F96264">
            <w:pPr>
              <w:spacing w:before="0"/>
              <w:rPr>
                <w:i/>
                <w:smallCaps/>
                <w:sz w:val="28"/>
                <w:szCs w:val="28"/>
              </w:rPr>
            </w:pPr>
            <w:r w:rsidRPr="00730758">
              <w:rPr>
                <w:i/>
                <w:sz w:val="28"/>
                <w:szCs w:val="28"/>
              </w:rPr>
              <w:t>Oficina de Radiocomunicaciones</w:t>
            </w:r>
          </w:p>
          <w:p w:rsidR="00F96264" w:rsidRPr="00730758" w:rsidRDefault="00F96264" w:rsidP="00F96264">
            <w:pPr>
              <w:tabs>
                <w:tab w:val="clear" w:pos="794"/>
                <w:tab w:val="clear" w:pos="1191"/>
                <w:tab w:val="clear" w:pos="1588"/>
                <w:tab w:val="clear" w:pos="1985"/>
                <w:tab w:val="center" w:pos="1701"/>
              </w:tabs>
              <w:spacing w:before="0"/>
              <w:rPr>
                <w:b/>
                <w:smallCaps/>
                <w:sz w:val="18"/>
                <w:szCs w:val="18"/>
              </w:rPr>
            </w:pPr>
            <w:r w:rsidRPr="00730758">
              <w:rPr>
                <w:i/>
                <w:sz w:val="18"/>
                <w:szCs w:val="18"/>
              </w:rPr>
              <w:tab/>
              <w:t>(N° de Fax directo +41 22 730 57 85)</w:t>
            </w:r>
          </w:p>
        </w:tc>
      </w:tr>
    </w:tbl>
    <w:p w:rsidR="00F96264" w:rsidRPr="00730758" w:rsidRDefault="00F96264" w:rsidP="00F96264">
      <w:pPr>
        <w:tabs>
          <w:tab w:val="left" w:pos="7513"/>
        </w:tabs>
      </w:pPr>
    </w:p>
    <w:p w:rsidR="00F96264" w:rsidRPr="00730758" w:rsidRDefault="00F96264" w:rsidP="00F96264">
      <w:pPr>
        <w:tabs>
          <w:tab w:val="left" w:pos="7513"/>
        </w:tabs>
      </w:pPr>
    </w:p>
    <w:tbl>
      <w:tblPr>
        <w:tblW w:w="10020" w:type="dxa"/>
        <w:tblLayout w:type="fixed"/>
        <w:tblLook w:val="0000" w:firstRow="0" w:lastRow="0" w:firstColumn="0" w:lastColumn="0" w:noHBand="0" w:noVBand="0"/>
      </w:tblPr>
      <w:tblGrid>
        <w:gridCol w:w="2768"/>
        <w:gridCol w:w="7252"/>
      </w:tblGrid>
      <w:tr w:rsidR="00F96264" w:rsidRPr="00730758" w:rsidTr="000B50CF">
        <w:trPr>
          <w:cantSplit/>
        </w:trPr>
        <w:tc>
          <w:tcPr>
            <w:tcW w:w="2768" w:type="dxa"/>
          </w:tcPr>
          <w:p w:rsidR="00F96264" w:rsidRPr="00730758" w:rsidRDefault="000B50CF" w:rsidP="00F96264">
            <w:pPr>
              <w:tabs>
                <w:tab w:val="left" w:pos="7513"/>
              </w:tabs>
              <w:jc w:val="center"/>
              <w:rPr>
                <w:b/>
                <w:bCs/>
              </w:rPr>
            </w:pPr>
            <w:bookmarkStart w:id="0" w:name="dletter"/>
            <w:bookmarkEnd w:id="0"/>
            <w:r w:rsidRPr="00730758">
              <w:rPr>
                <w:b/>
                <w:bCs/>
              </w:rPr>
              <w:t>Circular Administrativa</w:t>
            </w:r>
          </w:p>
          <w:p w:rsidR="00F96264" w:rsidRPr="00730758" w:rsidRDefault="000B50CF" w:rsidP="00F96264">
            <w:pPr>
              <w:tabs>
                <w:tab w:val="clear" w:pos="794"/>
                <w:tab w:val="clear" w:pos="1191"/>
              </w:tabs>
              <w:spacing w:before="0"/>
              <w:jc w:val="center"/>
              <w:rPr>
                <w:b/>
                <w:bCs/>
              </w:rPr>
            </w:pPr>
            <w:bookmarkStart w:id="1" w:name="dnum"/>
            <w:bookmarkEnd w:id="1"/>
            <w:r w:rsidRPr="00730758">
              <w:rPr>
                <w:b/>
                <w:bCs/>
              </w:rPr>
              <w:t>CACE/561</w:t>
            </w:r>
          </w:p>
        </w:tc>
        <w:tc>
          <w:tcPr>
            <w:tcW w:w="7252" w:type="dxa"/>
          </w:tcPr>
          <w:p w:rsidR="00F96264" w:rsidRPr="00730758" w:rsidRDefault="000B50CF" w:rsidP="00F96264">
            <w:pPr>
              <w:tabs>
                <w:tab w:val="left" w:pos="7513"/>
              </w:tabs>
              <w:jc w:val="right"/>
              <w:rPr>
                <w:bCs/>
              </w:rPr>
            </w:pPr>
            <w:bookmarkStart w:id="2" w:name="ddate"/>
            <w:bookmarkEnd w:id="2"/>
            <w:r w:rsidRPr="00730758">
              <w:rPr>
                <w:bCs/>
              </w:rPr>
              <w:t>29 de febrero de 2012</w:t>
            </w:r>
          </w:p>
        </w:tc>
      </w:tr>
    </w:tbl>
    <w:p w:rsidR="00EE3BD7" w:rsidRPr="00730758" w:rsidRDefault="00EE3BD7" w:rsidP="00EE3BD7">
      <w:pPr>
        <w:tabs>
          <w:tab w:val="left" w:pos="7513"/>
        </w:tabs>
        <w:spacing w:before="480"/>
        <w:jc w:val="center"/>
        <w:rPr>
          <w:b/>
          <w:bCs/>
        </w:rPr>
      </w:pPr>
      <w:r w:rsidRPr="00730758">
        <w:rPr>
          <w:b/>
        </w:rPr>
        <w:t xml:space="preserve">A las Administraciones de los Estados Miembros de la UIT, Miembros del Sector </w:t>
      </w:r>
      <w:r w:rsidRPr="00730758">
        <w:rPr>
          <w:b/>
        </w:rPr>
        <w:br/>
        <w:t xml:space="preserve">de Radiocomunicaciones y Asociados del UIT-R que participan en los trabajos de </w:t>
      </w:r>
      <w:r w:rsidRPr="00730758">
        <w:rPr>
          <w:b/>
        </w:rPr>
        <w:br/>
        <w:t>la Comisión de Estudio 1 de Radiocomunicaciones y a</w:t>
      </w:r>
      <w:r w:rsidRPr="00730758">
        <w:rPr>
          <w:b/>
        </w:rPr>
        <w:br/>
        <w:t>los Sectores académicos del UIT-R</w:t>
      </w:r>
    </w:p>
    <w:p w:rsidR="00EE3BD7" w:rsidRPr="00730758" w:rsidRDefault="00EE3BD7" w:rsidP="00EE3BD7">
      <w:pPr>
        <w:tabs>
          <w:tab w:val="clear" w:pos="794"/>
          <w:tab w:val="clear" w:pos="1191"/>
          <w:tab w:val="clear" w:pos="1588"/>
          <w:tab w:val="clear" w:pos="1985"/>
          <w:tab w:val="left" w:pos="709"/>
        </w:tabs>
        <w:spacing w:before="720"/>
        <w:ind w:left="1440" w:right="-567" w:hanging="1440"/>
        <w:rPr>
          <w:b/>
          <w:bCs/>
        </w:rPr>
      </w:pPr>
      <w:r w:rsidRPr="00730758">
        <w:rPr>
          <w:b/>
        </w:rPr>
        <w:t>Asunto</w:t>
      </w:r>
      <w:r w:rsidRPr="00730758">
        <w:t>:</w:t>
      </w:r>
      <w:r w:rsidRPr="00730758">
        <w:tab/>
      </w:r>
      <w:bookmarkStart w:id="3" w:name="dtitle1"/>
      <w:bookmarkEnd w:id="3"/>
      <w:r w:rsidRPr="00730758">
        <w:rPr>
          <w:b/>
          <w:bCs/>
        </w:rPr>
        <w:t>Reunión de la Comisión de Estudio 1 de Radiocomunicaciones (Gestión del espectro), Ginebra, 14-15 de junio de 2012</w:t>
      </w:r>
    </w:p>
    <w:p w:rsidR="00EE3BD7" w:rsidRPr="00730758" w:rsidRDefault="00EE3BD7" w:rsidP="00EE3BD7">
      <w:pPr>
        <w:pStyle w:val="Heading1"/>
      </w:pPr>
      <w:r w:rsidRPr="00730758">
        <w:t>1</w:t>
      </w:r>
      <w:r w:rsidRPr="00730758">
        <w:tab/>
        <w:t>Introducción</w:t>
      </w:r>
    </w:p>
    <w:p w:rsidR="00EE3BD7" w:rsidRPr="00730758" w:rsidRDefault="00EE3BD7" w:rsidP="00EE3BD7">
      <w:r w:rsidRPr="00730758">
        <w:t>Por la presente Circular Administrativa se anuncia que la Comisión de Estudio 1 del UIT</w:t>
      </w:r>
      <w:r w:rsidRPr="00730758">
        <w:noBreakHyphen/>
        <w:t xml:space="preserve">R se reunirá en Ginebra los días 14 y 15 de junio de 2012, tras las reuniones de los Grupos de Trabajo 1A, 1B y 1C (véase la Carta Circular </w:t>
      </w:r>
      <w:hyperlink r:id="rId9" w:history="1">
        <w:r w:rsidRPr="00730758">
          <w:rPr>
            <w:rStyle w:val="Hyperlink"/>
          </w:rPr>
          <w:t>1/LCCE/92</w:t>
        </w:r>
      </w:hyperlink>
      <w:r w:rsidRPr="00730758">
        <w:t>).</w:t>
      </w:r>
    </w:p>
    <w:p w:rsidR="00EE3BD7" w:rsidRPr="00730758" w:rsidRDefault="00EE3BD7" w:rsidP="00EE3BD7">
      <w:r w:rsidRPr="00730758">
        <w:t>La reunión de la Comisión de Estudio se celebrará en la Sede de la UIT, en Ginebra. La sesión de apertura será a las 09.30 horas.</w:t>
      </w:r>
    </w:p>
    <w:p w:rsidR="00EE3BD7" w:rsidRPr="00730758" w:rsidRDefault="00EE3BD7" w:rsidP="00EE3BD7"/>
    <w:tbl>
      <w:tblPr>
        <w:tblW w:w="9524"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329"/>
        <w:gridCol w:w="2693"/>
        <w:gridCol w:w="2943"/>
      </w:tblGrid>
      <w:tr w:rsidR="00EE3BD7" w:rsidRPr="00730758" w:rsidTr="00EE3BD7">
        <w:trPr>
          <w:jc w:val="center"/>
        </w:trPr>
        <w:tc>
          <w:tcPr>
            <w:tcW w:w="1559" w:type="dxa"/>
            <w:vAlign w:val="center"/>
          </w:tcPr>
          <w:p w:rsidR="00EE3BD7" w:rsidRPr="00730758" w:rsidRDefault="00EE3BD7" w:rsidP="00EE3BD7">
            <w:pPr>
              <w:pStyle w:val="Tablehead"/>
              <w:rPr>
                <w:szCs w:val="22"/>
              </w:rPr>
            </w:pPr>
            <w:r w:rsidRPr="00730758">
              <w:rPr>
                <w:szCs w:val="22"/>
              </w:rPr>
              <w:t>Grupo</w:t>
            </w:r>
          </w:p>
        </w:tc>
        <w:tc>
          <w:tcPr>
            <w:tcW w:w="2329" w:type="dxa"/>
            <w:vAlign w:val="center"/>
          </w:tcPr>
          <w:p w:rsidR="00EE3BD7" w:rsidRPr="00730758" w:rsidRDefault="00EE3BD7" w:rsidP="00EE3BD7">
            <w:pPr>
              <w:pStyle w:val="Tablehead"/>
              <w:rPr>
                <w:szCs w:val="22"/>
              </w:rPr>
            </w:pPr>
            <w:r w:rsidRPr="00730758">
              <w:t>Fecha de la reunión</w:t>
            </w:r>
          </w:p>
        </w:tc>
        <w:tc>
          <w:tcPr>
            <w:tcW w:w="2693" w:type="dxa"/>
            <w:vAlign w:val="center"/>
          </w:tcPr>
          <w:p w:rsidR="00EE3BD7" w:rsidRPr="00730758" w:rsidRDefault="00EE3BD7" w:rsidP="00EE3BD7">
            <w:pPr>
              <w:pStyle w:val="Tablehead"/>
              <w:rPr>
                <w:szCs w:val="22"/>
              </w:rPr>
            </w:pPr>
            <w:r w:rsidRPr="00730758">
              <w:t>Fecha límite de las contribuciones</w:t>
            </w:r>
          </w:p>
        </w:tc>
        <w:tc>
          <w:tcPr>
            <w:tcW w:w="2943" w:type="dxa"/>
            <w:vAlign w:val="center"/>
          </w:tcPr>
          <w:p w:rsidR="00EE3BD7" w:rsidRPr="00730758" w:rsidRDefault="00EE3BD7" w:rsidP="00EE3BD7">
            <w:pPr>
              <w:pStyle w:val="Tablehead"/>
              <w:rPr>
                <w:szCs w:val="22"/>
              </w:rPr>
            </w:pPr>
            <w:r w:rsidRPr="00730758">
              <w:t>Sesión de apertura</w:t>
            </w:r>
          </w:p>
        </w:tc>
      </w:tr>
      <w:tr w:rsidR="00EE3BD7" w:rsidRPr="00730758" w:rsidTr="00EE3BD7">
        <w:trPr>
          <w:jc w:val="center"/>
        </w:trPr>
        <w:tc>
          <w:tcPr>
            <w:tcW w:w="1559" w:type="dxa"/>
            <w:vAlign w:val="center"/>
          </w:tcPr>
          <w:p w:rsidR="00EE3BD7" w:rsidRPr="00730758" w:rsidRDefault="00EE3BD7" w:rsidP="00EE3BD7">
            <w:pPr>
              <w:pStyle w:val="Tabletext"/>
              <w:jc w:val="center"/>
              <w:rPr>
                <w:szCs w:val="22"/>
              </w:rPr>
            </w:pPr>
            <w:r w:rsidRPr="00730758">
              <w:rPr>
                <w:szCs w:val="22"/>
              </w:rPr>
              <w:t>Comisión de Estudio 1</w:t>
            </w:r>
          </w:p>
        </w:tc>
        <w:tc>
          <w:tcPr>
            <w:tcW w:w="2329" w:type="dxa"/>
            <w:vAlign w:val="center"/>
          </w:tcPr>
          <w:p w:rsidR="00EE3BD7" w:rsidRPr="00730758" w:rsidRDefault="00EE3BD7" w:rsidP="00EE3BD7">
            <w:pPr>
              <w:pStyle w:val="Tabletext"/>
              <w:jc w:val="center"/>
              <w:rPr>
                <w:szCs w:val="22"/>
              </w:rPr>
            </w:pPr>
            <w:r w:rsidRPr="00730758">
              <w:rPr>
                <w:szCs w:val="22"/>
              </w:rPr>
              <w:t>14-15 de junio de 2012</w:t>
            </w:r>
          </w:p>
        </w:tc>
        <w:tc>
          <w:tcPr>
            <w:tcW w:w="2693" w:type="dxa"/>
            <w:vAlign w:val="center"/>
          </w:tcPr>
          <w:p w:rsidR="00EE3BD7" w:rsidRPr="00730758" w:rsidRDefault="00EE3BD7" w:rsidP="00EE3BD7">
            <w:pPr>
              <w:pStyle w:val="Tabletext"/>
              <w:jc w:val="center"/>
              <w:rPr>
                <w:szCs w:val="22"/>
              </w:rPr>
            </w:pPr>
            <w:r w:rsidRPr="00730758">
              <w:rPr>
                <w:szCs w:val="22"/>
              </w:rPr>
              <w:t xml:space="preserve">Jueves 7 de junio de 2012 </w:t>
            </w:r>
            <w:r w:rsidRPr="00730758">
              <w:rPr>
                <w:szCs w:val="22"/>
              </w:rPr>
              <w:br/>
              <w:t xml:space="preserve">a las 16.00 horas UTC </w:t>
            </w:r>
          </w:p>
        </w:tc>
        <w:tc>
          <w:tcPr>
            <w:tcW w:w="2943" w:type="dxa"/>
            <w:vAlign w:val="center"/>
          </w:tcPr>
          <w:p w:rsidR="00EE3BD7" w:rsidRPr="00730758" w:rsidRDefault="00EE3BD7" w:rsidP="00EE3BD7">
            <w:pPr>
              <w:pStyle w:val="Tabletext"/>
              <w:jc w:val="center"/>
              <w:rPr>
                <w:szCs w:val="22"/>
              </w:rPr>
            </w:pPr>
            <w:r w:rsidRPr="00730758">
              <w:rPr>
                <w:szCs w:val="22"/>
              </w:rPr>
              <w:t>Jueves 14 de junio de 2012</w:t>
            </w:r>
            <w:r w:rsidRPr="00730758">
              <w:rPr>
                <w:szCs w:val="22"/>
              </w:rPr>
              <w:br/>
            </w:r>
            <w:r w:rsidRPr="00730758">
              <w:t>a las 09.30 horas (hora local)</w:t>
            </w:r>
          </w:p>
        </w:tc>
      </w:tr>
    </w:tbl>
    <w:p w:rsidR="00EE3BD7" w:rsidRPr="00730758" w:rsidRDefault="00EE3BD7" w:rsidP="00EE3BD7">
      <w:pPr>
        <w:pStyle w:val="Heading1"/>
      </w:pPr>
      <w:r w:rsidRPr="00730758">
        <w:t>2</w:t>
      </w:r>
      <w:r w:rsidRPr="00730758">
        <w:tab/>
        <w:t>Programa de la reunión</w:t>
      </w:r>
    </w:p>
    <w:p w:rsidR="00EE3BD7" w:rsidRPr="00730758" w:rsidRDefault="00EE3BD7" w:rsidP="00EE3BD7">
      <w:r w:rsidRPr="00730758">
        <w:t>En el Anexo 1 se reproduce el proyecto de orden del día de la reunión de la Comisión de Estudio 1.</w:t>
      </w:r>
    </w:p>
    <w:p w:rsidR="00EE3BD7" w:rsidRPr="00730758" w:rsidRDefault="00EE3BD7" w:rsidP="00EE3BD7">
      <w:pPr>
        <w:spacing w:after="240"/>
      </w:pPr>
      <w:r w:rsidRPr="00730758">
        <w:t xml:space="preserve">Las Cuestiones asignadas a la Comisión de Estudio 1 pueden consultarse en: </w:t>
      </w:r>
    </w:p>
    <w:p w:rsidR="00EE3BD7" w:rsidRPr="00730758" w:rsidRDefault="00EE3BD7" w:rsidP="00EE3BD7">
      <w:pPr>
        <w:jc w:val="center"/>
      </w:pPr>
      <w:r w:rsidRPr="00730758">
        <w:rPr>
          <w:bCs/>
        </w:rPr>
        <w:fldChar w:fldCharType="begin"/>
      </w:r>
      <w:r w:rsidRPr="00730758">
        <w:rPr>
          <w:bCs/>
        </w:rPr>
        <w:instrText xml:space="preserve"> HYPERLINK "http://www.itu.int/ITU-R/go/que-rsg1/es</w:instrText>
      </w:r>
    </w:p>
    <w:p w:rsidR="00EE3BD7" w:rsidRPr="00730758" w:rsidRDefault="00EE3BD7" w:rsidP="00EE3BD7">
      <w:pPr>
        <w:jc w:val="center"/>
        <w:rPr>
          <w:rStyle w:val="Hyperlink"/>
        </w:rPr>
      </w:pPr>
      <w:r w:rsidRPr="00730758">
        <w:instrText xml:space="preserve">" </w:instrText>
      </w:r>
      <w:r w:rsidRPr="00730758">
        <w:fldChar w:fldCharType="separate"/>
      </w:r>
      <w:r w:rsidRPr="00730758">
        <w:rPr>
          <w:rStyle w:val="Hyperlink"/>
          <w:bCs/>
        </w:rPr>
        <w:t>http://www.itu.int/publ/R-QUE-SG01/es</w:t>
      </w:r>
    </w:p>
    <w:p w:rsidR="00EE3BD7" w:rsidRPr="00730758" w:rsidRDefault="00EE3BD7" w:rsidP="00EE3BD7">
      <w:pPr>
        <w:pStyle w:val="Heading2"/>
      </w:pPr>
      <w:r w:rsidRPr="00730758">
        <w:rPr>
          <w:bCs/>
        </w:rPr>
        <w:fldChar w:fldCharType="end"/>
      </w:r>
      <w:r w:rsidRPr="00730758">
        <w:t>2.1</w:t>
      </w:r>
      <w:r w:rsidRPr="00730758">
        <w:tab/>
        <w:t>Adopción de proyectos de Recomendaciones durante la reunión de la Comisión de Estudio (§ 10.2.2 de la Resolución UIT</w:t>
      </w:r>
      <w:r w:rsidRPr="00730758">
        <w:noBreakHyphen/>
        <w:t>R 1</w:t>
      </w:r>
      <w:r w:rsidRPr="00730758">
        <w:noBreakHyphen/>
        <w:t>6)</w:t>
      </w:r>
    </w:p>
    <w:p w:rsidR="00EE3BD7" w:rsidRPr="00730758" w:rsidRDefault="00EE3BD7" w:rsidP="00EE3BD7">
      <w:r w:rsidRPr="00730758">
        <w:t xml:space="preserve">No se ha propuesto ningún proyecto de Recomendación para su adopción durante la reunión </w:t>
      </w:r>
      <w:r w:rsidRPr="00730758">
        <w:br/>
        <w:t>de la Comisión de Estudio, de conformidad con el § 10.2.2 de la Resolución UIT</w:t>
      </w:r>
      <w:r w:rsidRPr="00730758">
        <w:noBreakHyphen/>
        <w:t>R 1</w:t>
      </w:r>
      <w:r w:rsidRPr="00730758">
        <w:noBreakHyphen/>
        <w:t>6.</w:t>
      </w:r>
    </w:p>
    <w:p w:rsidR="00EE3BD7" w:rsidRPr="00730758" w:rsidRDefault="00EE3BD7" w:rsidP="00EE3BD7">
      <w:pPr>
        <w:pStyle w:val="Heading2"/>
        <w:spacing w:before="120"/>
      </w:pPr>
      <w:r w:rsidRPr="00730758">
        <w:lastRenderedPageBreak/>
        <w:t>2.2</w:t>
      </w:r>
      <w:r w:rsidRPr="00730758">
        <w:tab/>
        <w:t>Adopción de proyectos de Recomendaciones por la Comisión de Estudio por correspondencia (§ 1</w:t>
      </w:r>
      <w:r w:rsidR="004F44F1">
        <w:t>0.2.3 de la Resolución UIT</w:t>
      </w:r>
      <w:r w:rsidR="004F44F1">
        <w:noBreakHyphen/>
        <w:t>R 1</w:t>
      </w:r>
      <w:r w:rsidR="004F44F1">
        <w:noBreakHyphen/>
        <w:t>6</w:t>
      </w:r>
      <w:r w:rsidRPr="00730758">
        <w:t>)</w:t>
      </w:r>
    </w:p>
    <w:p w:rsidR="00EE3BD7" w:rsidRPr="00730758" w:rsidRDefault="00EE3BD7" w:rsidP="004F44F1">
      <w:pPr>
        <w:spacing w:before="80"/>
        <w:ind w:right="-284"/>
      </w:pPr>
      <w:r w:rsidRPr="00730758">
        <w:t>El procedimiento descrito en el § 10.2.3 de la Resolución UIT</w:t>
      </w:r>
      <w:r w:rsidRPr="00730758">
        <w:noBreakHyphen/>
        <w:t>R 1-</w:t>
      </w:r>
      <w:r w:rsidR="004F44F1">
        <w:t>6</w:t>
      </w:r>
      <w:r w:rsidRPr="00730758">
        <w:t xml:space="preserve"> se refiere a proyectos de Recomendaciones nuevas o revisadas que no están específicamente incluidos en el orden del día de la reunión de una Comisión de Estudio.</w:t>
      </w:r>
    </w:p>
    <w:p w:rsidR="00246E67" w:rsidRPr="006762D0" w:rsidRDefault="00246E67" w:rsidP="00246E67">
      <w:r w:rsidRPr="006762D0">
        <w:t xml:space="preserve">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w:t>
      </w:r>
      <w:r>
        <w:t>utilizará el</w:t>
      </w:r>
      <w:r w:rsidRPr="006762D0">
        <w:t xml:space="preserve"> procedimiento de adopción y aprobación simultáneas (PAAS) </w:t>
      </w:r>
      <w:r>
        <w:t xml:space="preserve">por correspondencia </w:t>
      </w:r>
      <w:r w:rsidRPr="006762D0">
        <w:t>de</w:t>
      </w:r>
      <w:r>
        <w:t>l</w:t>
      </w:r>
      <w:r w:rsidRPr="006762D0">
        <w:t xml:space="preserve"> proyecto de Recomendación, tal como se indica en el § 10.3 de la Resolución UIT</w:t>
      </w:r>
      <w:r w:rsidRPr="006762D0">
        <w:noBreakHyphen/>
        <w:t>R 1</w:t>
      </w:r>
      <w:r w:rsidRPr="006762D0">
        <w:noBreakHyphen/>
      </w:r>
      <w:r>
        <w:t>6</w:t>
      </w:r>
      <w:r w:rsidRPr="006762D0">
        <w:t xml:space="preserve"> (véase también § 2.3 siguiente)</w:t>
      </w:r>
      <w:r>
        <w:t>, siempre que ningún Estado Miembro que asista a la reunión presente una objeción</w:t>
      </w:r>
      <w:r w:rsidRPr="006762D0">
        <w:t>.</w:t>
      </w:r>
    </w:p>
    <w:p w:rsidR="00EE3BD7" w:rsidRPr="00730758" w:rsidRDefault="00EE3BD7" w:rsidP="004F44F1">
      <w:pPr>
        <w:spacing w:before="60"/>
      </w:pPr>
      <w:bookmarkStart w:id="4" w:name="_GoBack"/>
      <w:bookmarkEnd w:id="4"/>
      <w:r w:rsidRPr="00730758">
        <w:t>De conformidad con el § 2.25 de la Resolución UIT</w:t>
      </w:r>
      <w:r w:rsidRPr="00730758">
        <w:noBreakHyphen/>
        <w:t>R 1-</w:t>
      </w:r>
      <w:r w:rsidR="004F44F1">
        <w:t>6</w:t>
      </w:r>
      <w:r w:rsidRPr="00730758">
        <w:t>,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EE3BD7" w:rsidRPr="00730758" w:rsidRDefault="00EE3BD7" w:rsidP="00EE3BD7">
      <w:pPr>
        <w:pStyle w:val="Heading2"/>
        <w:spacing w:before="360"/>
      </w:pPr>
      <w:r w:rsidRPr="00730758">
        <w:t>2.3</w:t>
      </w:r>
      <w:r w:rsidRPr="00730758">
        <w:tab/>
        <w:t>Decisión sobre el procedimiento de aprobación</w:t>
      </w:r>
    </w:p>
    <w:p w:rsidR="00EE3BD7" w:rsidRPr="00730758" w:rsidRDefault="00EE3BD7" w:rsidP="00BB73E3">
      <w:r w:rsidRPr="00730758">
        <w:t>Durante la reunión, la Comisión de Estudio podrá asimismo decidir el procedimiento que deberá seguirse para la aprobación de cada proyecto de Recomendación, de conformidad con el § 10.4.3 de la Resolución UIT</w:t>
      </w:r>
      <w:r w:rsidRPr="00730758">
        <w:noBreakHyphen/>
        <w:t>R 1</w:t>
      </w:r>
      <w:r w:rsidRPr="00730758">
        <w:noBreakHyphen/>
      </w:r>
      <w:r w:rsidR="00BB73E3">
        <w:t>6</w:t>
      </w:r>
      <w:r w:rsidRPr="00730758">
        <w:t xml:space="preserve">. </w:t>
      </w:r>
    </w:p>
    <w:p w:rsidR="00EE3BD7" w:rsidRPr="00730758" w:rsidRDefault="00EE3BD7" w:rsidP="00EE3BD7">
      <w:pPr>
        <w:pStyle w:val="Heading1"/>
      </w:pPr>
      <w:r w:rsidRPr="00730758">
        <w:t>3</w:t>
      </w:r>
      <w:r w:rsidRPr="00730758">
        <w:tab/>
        <w:t>Contribuciones</w:t>
      </w:r>
    </w:p>
    <w:p w:rsidR="00F174B4" w:rsidRPr="007009D4" w:rsidRDefault="00F174B4" w:rsidP="00F174B4">
      <w:r w:rsidRPr="007009D4">
        <w:t>Las contribuciones sobre los trabajos de la Comisión de Estudio </w:t>
      </w:r>
      <w:r>
        <w:t>1</w:t>
      </w:r>
      <w:r w:rsidRPr="007009D4">
        <w:t xml:space="preserve"> se tramitarán con arreglo a lo dispuesto en la Resolución UIT</w:t>
      </w:r>
      <w:r w:rsidRPr="007009D4">
        <w:noBreakHyphen/>
        <w:t>R 1</w:t>
      </w:r>
      <w:r w:rsidRPr="007009D4">
        <w:noBreakHyphen/>
        <w:t>6.</w:t>
      </w:r>
    </w:p>
    <w:p w:rsidR="00F174B4" w:rsidRPr="007009D4" w:rsidRDefault="00F174B4" w:rsidP="00F174B4">
      <w:r w:rsidRPr="007009D4">
        <w:t xml:space="preserve">Se invita a los Miembros a presentar las contribuciones (incluidas sus revisiones, </w:t>
      </w:r>
      <w:proofErr w:type="spellStart"/>
      <w:r w:rsidRPr="007009D4">
        <w:t>addenda</w:t>
      </w:r>
      <w:proofErr w:type="spellEnd"/>
      <w:r w:rsidRPr="007009D4">
        <w:t xml:space="preserve"> y corrigenda) a tiempo para que se reciban </w:t>
      </w:r>
      <w:r>
        <w:t>12</w:t>
      </w:r>
      <w:r w:rsidRPr="007009D4">
        <w:t xml:space="preserve"> días naturales antes del comienzo de la reunión. Las contribuciones se han de recibir a más tardar siete días naturales (16.00 horas (UTC)) antes del comienzo de la reunión. </w:t>
      </w:r>
      <w:r w:rsidRPr="007009D4">
        <w:rPr>
          <w:b/>
          <w:bCs/>
        </w:rPr>
        <w:t xml:space="preserve">El plazo para la recepción de contribuciones para esta reunión se especifica en el cuadro </w:t>
      </w:r>
      <w:r w:rsidRPr="007009D4">
        <w:rPr>
          <w:b/>
          <w:bCs/>
          <w:i/>
          <w:iCs/>
        </w:rPr>
        <w:t>supra</w:t>
      </w:r>
      <w:r w:rsidRPr="007009D4">
        <w:t>. Las contribuciones que se reciban después de esa fecha no se aceptarán. En la Resolución UIT</w:t>
      </w:r>
      <w:r w:rsidRPr="007009D4">
        <w:noBreakHyphen/>
        <w:t>R 1</w:t>
      </w:r>
      <w:r w:rsidRPr="007009D4">
        <w:noBreakHyphen/>
        <w:t xml:space="preserve">6 se estipula que no se examinarán las contribuciones que no hayan podido ponerse a disposición de los participantes durante la apertura de la reunión. </w:t>
      </w:r>
    </w:p>
    <w:p w:rsidR="00F174B4" w:rsidRPr="007009D4" w:rsidRDefault="00F174B4" w:rsidP="00F174B4">
      <w:r w:rsidRPr="007009D4">
        <w:t xml:space="preserve">Se solicita a los participantes que comuniquen sus contribuciones por correo electrónico a: </w:t>
      </w:r>
    </w:p>
    <w:p w:rsidR="00EE3BD7" w:rsidRPr="00730758" w:rsidRDefault="00246E67" w:rsidP="00EE3BD7">
      <w:pPr>
        <w:spacing w:before="240"/>
        <w:jc w:val="center"/>
        <w:rPr>
          <w:rStyle w:val="Hyperlink"/>
        </w:rPr>
      </w:pPr>
      <w:hyperlink r:id="rId10" w:history="1">
        <w:r w:rsidR="00EE3BD7" w:rsidRPr="00730758">
          <w:rPr>
            <w:rStyle w:val="Hyperlink"/>
          </w:rPr>
          <w:t>rsg1@itu.int</w:t>
        </w:r>
      </w:hyperlink>
    </w:p>
    <w:p w:rsidR="00BB73E3" w:rsidRPr="007009D4" w:rsidRDefault="00BB73E3" w:rsidP="004F44F1">
      <w:r w:rsidRPr="007009D4">
        <w:t>Con copia al Presidente y Vicepresidentes de la Comisión de Estudio </w:t>
      </w:r>
      <w:r w:rsidR="004F44F1">
        <w:t>1</w:t>
      </w:r>
      <w:r w:rsidRPr="007009D4">
        <w:t>, cuyas direcciones pueden consultarse en:</w:t>
      </w:r>
    </w:p>
    <w:p w:rsidR="00BB73E3" w:rsidRDefault="00246E67" w:rsidP="00BB73E3">
      <w:pPr>
        <w:spacing w:before="240"/>
        <w:jc w:val="center"/>
      </w:pPr>
      <w:hyperlink r:id="rId11" w:tgtFrame="_blank" w:history="1">
        <w:r w:rsidR="00BB73E3" w:rsidRPr="00D34667">
          <w:rPr>
            <w:color w:val="00008B"/>
            <w:szCs w:val="24"/>
            <w:u w:val="single"/>
          </w:rPr>
          <w:t>http://run.as/itu.int/b6udzm</w:t>
        </w:r>
      </w:hyperlink>
    </w:p>
    <w:p w:rsidR="00F174B4" w:rsidRDefault="00EE3BD7" w:rsidP="00EE3BD7">
      <w:pPr>
        <w:pStyle w:val="Heading1"/>
      </w:pPr>
      <w:r w:rsidRPr="00730758">
        <w:t>4</w:t>
      </w:r>
      <w:r w:rsidR="00F174B4">
        <w:tab/>
        <w:t>Documentos</w:t>
      </w:r>
    </w:p>
    <w:p w:rsidR="00364227" w:rsidRPr="007009D4" w:rsidRDefault="00364227" w:rsidP="00364227">
      <w:pPr>
        <w:tabs>
          <w:tab w:val="left" w:pos="720"/>
        </w:tabs>
        <w:rPr>
          <w:rFonts w:eastAsia="MS PGothic"/>
          <w:szCs w:val="24"/>
          <w:lang w:eastAsia="zh-CN"/>
        </w:rPr>
      </w:pPr>
      <w:r w:rsidRPr="007009D4">
        <w:rPr>
          <w:rFonts w:eastAsia="MS PGothic"/>
          <w:szCs w:val="24"/>
          <w:lang w:eastAsia="zh-CN"/>
        </w:rPr>
        <w:t>Las contribuciones se publicarán tal y como se reciban en el plazo de un día laborable en una página web de la CE</w:t>
      </w:r>
      <w:r>
        <w:rPr>
          <w:rFonts w:eastAsia="MS PGothic"/>
          <w:szCs w:val="24"/>
          <w:lang w:eastAsia="zh-CN"/>
        </w:rPr>
        <w:t xml:space="preserve"> 1</w:t>
      </w:r>
      <w:r w:rsidRPr="007009D4">
        <w:rPr>
          <w:rFonts w:eastAsia="MS PGothic"/>
          <w:szCs w:val="24"/>
          <w:lang w:eastAsia="zh-CN"/>
        </w:rPr>
        <w:t xml:space="preserve"> creada para tal fin. Las versiones oficiales se publicarán en la página</w:t>
      </w:r>
      <w:r w:rsidRPr="007009D4">
        <w:t xml:space="preserve"> </w:t>
      </w:r>
      <w:hyperlink r:id="rId12" w:history="1">
        <w:r>
          <w:rPr>
            <w:color w:val="0000FF"/>
            <w:u w:val="single"/>
          </w:rPr>
          <w:t>http://www.itu.int/md/R12-SG01-C/es</w:t>
        </w:r>
      </w:hyperlink>
      <w:r w:rsidRPr="007009D4">
        <w:t xml:space="preserve"> en el plazo de tres días laborables.</w:t>
      </w:r>
      <w:r w:rsidRPr="007009D4">
        <w:rPr>
          <w:rFonts w:eastAsia="MS PGothic"/>
          <w:szCs w:val="24"/>
          <w:lang w:eastAsia="zh-CN"/>
        </w:rPr>
        <w:t xml:space="preserve"> </w:t>
      </w:r>
    </w:p>
    <w:p w:rsidR="00024FA1" w:rsidRDefault="00024FA1">
      <w:pPr>
        <w:tabs>
          <w:tab w:val="clear" w:pos="794"/>
          <w:tab w:val="clear" w:pos="1191"/>
          <w:tab w:val="clear" w:pos="1588"/>
          <w:tab w:val="clear" w:pos="1985"/>
        </w:tabs>
        <w:overflowPunct/>
        <w:autoSpaceDE/>
        <w:autoSpaceDN/>
        <w:adjustRightInd/>
        <w:spacing w:before="0"/>
        <w:textAlignment w:val="auto"/>
        <w:rPr>
          <w:rFonts w:eastAsia="MS PGothic"/>
          <w:szCs w:val="24"/>
          <w:lang w:eastAsia="zh-CN"/>
        </w:rPr>
      </w:pPr>
      <w:r>
        <w:rPr>
          <w:rFonts w:eastAsia="MS PGothic"/>
          <w:szCs w:val="24"/>
          <w:lang w:eastAsia="zh-CN"/>
        </w:rPr>
        <w:br w:type="page"/>
      </w:r>
    </w:p>
    <w:p w:rsidR="007A11FC" w:rsidRDefault="00364227" w:rsidP="00024FA1">
      <w:pPr>
        <w:tabs>
          <w:tab w:val="left" w:pos="720"/>
        </w:tabs>
        <w:spacing w:before="0"/>
        <w:rPr>
          <w:rFonts w:eastAsia="MS PGothic"/>
          <w:szCs w:val="24"/>
          <w:lang w:eastAsia="zh-CN"/>
        </w:rPr>
      </w:pPr>
      <w:r w:rsidRPr="007009D4">
        <w:rPr>
          <w:rFonts w:eastAsia="MS PGothic"/>
          <w:szCs w:val="24"/>
          <w:lang w:eastAsia="zh-CN"/>
        </w:rPr>
        <w:t xml:space="preserve">En la próxima reunión de la Comisión de Estudio se tomarán medidas para facilitar los trabajos en un entorno totalmente electrónico. </w:t>
      </w:r>
      <w:r w:rsidRPr="007009D4">
        <w:rPr>
          <w:rFonts w:eastAsia="MS PGothic"/>
          <w:b/>
          <w:bCs/>
          <w:szCs w:val="24"/>
          <w:lang w:eastAsia="zh-CN"/>
        </w:rPr>
        <w:t>Se pondrá a disposición un número limitado de copias en papel de los documentos antes y durante las reuniones</w:t>
      </w:r>
      <w:r w:rsidRPr="007009D4">
        <w:rPr>
          <w:rFonts w:eastAsia="MS PGothic"/>
          <w:szCs w:val="24"/>
          <w:lang w:eastAsia="zh-CN"/>
        </w:rPr>
        <w:t xml:space="preserve">. En las salas de reunión habrá instalaciones de LAN inalámbrica a disposición de los delegados. En el cibercafé del segundo subsuelo del edificio de la Torre y en el primer y segundo pisos del edificio de </w:t>
      </w:r>
      <w:proofErr w:type="spellStart"/>
      <w:r w:rsidRPr="007009D4">
        <w:rPr>
          <w:rFonts w:eastAsia="MS PGothic"/>
          <w:szCs w:val="24"/>
          <w:lang w:eastAsia="zh-CN"/>
        </w:rPr>
        <w:t>Montbrillant</w:t>
      </w:r>
      <w:proofErr w:type="spellEnd"/>
      <w:r w:rsidRPr="007009D4">
        <w:rPr>
          <w:rFonts w:eastAsia="MS PGothic"/>
          <w:szCs w:val="24"/>
          <w:lang w:eastAsia="zh-CN"/>
        </w:rPr>
        <w:t xml:space="preserve"> se pondrán a disposición impresoras para los delegados que deseen imprimir los documentos. Además, el servicio de asistencia técnica (</w:t>
      </w:r>
      <w:hyperlink r:id="rId13" w:history="1">
        <w:r w:rsidRPr="007009D4">
          <w:rPr>
            <w:rStyle w:val="Hyperlink"/>
            <w:rFonts w:eastAsia="MS PGothic"/>
            <w:szCs w:val="24"/>
            <w:lang w:eastAsia="zh-CN"/>
          </w:rPr>
          <w:t>helpdesk@itu.int</w:t>
        </w:r>
      </w:hyperlink>
      <w:r w:rsidRPr="007009D4">
        <w:rPr>
          <w:rFonts w:eastAsia="MS PGothic"/>
          <w:szCs w:val="24"/>
          <w:lang w:eastAsia="zh-CN"/>
        </w:rPr>
        <w:t>) ha preparado un número limitado de computadores portátiles para las personas que carezcan de ellos.</w:t>
      </w:r>
    </w:p>
    <w:p w:rsidR="007A11FC" w:rsidRPr="007009D4" w:rsidRDefault="007A11FC" w:rsidP="007A11FC">
      <w:pPr>
        <w:pStyle w:val="Heading1"/>
      </w:pPr>
      <w:r w:rsidRPr="007009D4">
        <w:t>5</w:t>
      </w:r>
      <w:r w:rsidRPr="007009D4">
        <w:tab/>
        <w:t>Interpretación</w:t>
      </w:r>
    </w:p>
    <w:p w:rsidR="007A11FC" w:rsidRPr="007009D4" w:rsidRDefault="007A11FC" w:rsidP="00E23649">
      <w:r w:rsidRPr="007009D4">
        <w:t xml:space="preserve">Dado que se prevé celebrar la reunión con servicios de interpretación, tenga a bien tomar nota de que dichos servicios sólo se ofrecerán cuando así lo soliciten los Estados Miembros. Las solicitudes de interpretación deben enviarse a </w:t>
      </w:r>
      <w:hyperlink r:id="rId14" w:history="1">
        <w:r>
          <w:rPr>
            <w:rStyle w:val="Hyperlink"/>
          </w:rPr>
          <w:t>rsg1@itu.int</w:t>
        </w:r>
      </w:hyperlink>
      <w:r w:rsidRPr="007009D4">
        <w:t xml:space="preserve"> por lo menos un mes antes del comienzo de la reunión, es decir a más tardar el </w:t>
      </w:r>
      <w:r w:rsidR="00E23649">
        <w:t xml:space="preserve">14 </w:t>
      </w:r>
      <w:r w:rsidRPr="007009D4">
        <w:t xml:space="preserve">de </w:t>
      </w:r>
      <w:r w:rsidR="00E23649">
        <w:t xml:space="preserve">mayo </w:t>
      </w:r>
      <w:r w:rsidRPr="007009D4">
        <w:t>de 2012. Este plazo es necesario para que la Secretaría tome las disposiciones pertinentes para la interpretación.</w:t>
      </w:r>
    </w:p>
    <w:p w:rsidR="00EE3BD7" w:rsidRPr="00901C56" w:rsidRDefault="007A11FC" w:rsidP="00901C56">
      <w:pPr>
        <w:tabs>
          <w:tab w:val="left" w:pos="720"/>
        </w:tabs>
        <w:spacing w:before="360"/>
        <w:rPr>
          <w:b/>
          <w:bCs/>
        </w:rPr>
      </w:pPr>
      <w:r w:rsidRPr="00901C56">
        <w:rPr>
          <w:rFonts w:eastAsia="MS PGothic"/>
          <w:b/>
          <w:bCs/>
          <w:szCs w:val="24"/>
          <w:lang w:eastAsia="zh-CN"/>
        </w:rPr>
        <w:t>6</w:t>
      </w:r>
      <w:r w:rsidR="00EE3BD7" w:rsidRPr="00901C56">
        <w:rPr>
          <w:b/>
          <w:bCs/>
        </w:rPr>
        <w:tab/>
        <w:t>Participación/Requisitos para el visado</w:t>
      </w:r>
    </w:p>
    <w:p w:rsidR="00EE3BD7" w:rsidRPr="00730758" w:rsidRDefault="00EE3BD7" w:rsidP="00D04C0A">
      <w:r w:rsidRPr="00730758">
        <w:t>La inscripción de delegados/participantes para la reunión se llevará a cabo en línea a través de la dirección web del UIT</w:t>
      </w:r>
      <w:r w:rsidRPr="00730758">
        <w:noBreakHyphen/>
        <w:t xml:space="preserve">R. </w:t>
      </w:r>
      <w:r w:rsidR="00D04C0A">
        <w:t xml:space="preserve">Los </w:t>
      </w:r>
      <w:r w:rsidRPr="00730758">
        <w:t>Estado</w:t>
      </w:r>
      <w:r w:rsidR="00E23649">
        <w:t>s</w:t>
      </w:r>
      <w:r w:rsidRPr="00730758">
        <w:t xml:space="preserve"> Miembro</w:t>
      </w:r>
      <w:r w:rsidR="00E23649">
        <w:t>s</w:t>
      </w:r>
      <w:r w:rsidRPr="00730758">
        <w:t>/Miembro</w:t>
      </w:r>
      <w:r w:rsidR="00D04C0A">
        <w:t xml:space="preserve">s de Sector, </w:t>
      </w:r>
      <w:r w:rsidRPr="00730758">
        <w:t>Asociado</w:t>
      </w:r>
      <w:r w:rsidR="00E23649">
        <w:t>s</w:t>
      </w:r>
      <w:r w:rsidRPr="00730758">
        <w:t xml:space="preserve"> </w:t>
      </w:r>
      <w:r w:rsidR="00E23649">
        <w:t xml:space="preserve">y Sectores académicos </w:t>
      </w:r>
      <w:r w:rsidRPr="00730758">
        <w:t>debe</w:t>
      </w:r>
      <w:r w:rsidR="00E23649">
        <w:t>n</w:t>
      </w:r>
      <w:r w:rsidRPr="00730758">
        <w:t xml:space="preserve"> designar un coordinador que sea responsable de la tramitación de todas las solicitudes de inscripción de su administración/organización. Las personas que deseen asistir a la reunión deben ponerse en contacto directamente con el coordinador designado por su entidad para las actividades de todas las Comisiones de Estudio. La lista de coordinadores </w:t>
      </w:r>
      <w:r w:rsidR="00E23649">
        <w:t>está disponible</w:t>
      </w:r>
      <w:r w:rsidRPr="00730758">
        <w:t xml:space="preserve"> en la página web </w:t>
      </w:r>
      <w:r w:rsidRPr="00730758">
        <w:rPr>
          <w:b/>
          <w:bCs/>
        </w:rPr>
        <w:t>Información</w:t>
      </w:r>
      <w:r w:rsidRPr="00730758">
        <w:t xml:space="preserve"> </w:t>
      </w:r>
      <w:r w:rsidRPr="00730758">
        <w:rPr>
          <w:b/>
          <w:bCs/>
        </w:rPr>
        <w:t>para los Miembros e inscripción de delegados del UIT-R</w:t>
      </w:r>
      <w:r w:rsidRPr="00730758">
        <w:t xml:space="preserve"> en:</w:t>
      </w:r>
    </w:p>
    <w:p w:rsidR="00EE3BD7" w:rsidRPr="00901C56" w:rsidRDefault="00901C56" w:rsidP="00EE3BD7">
      <w:pPr>
        <w:jc w:val="center"/>
        <w:rPr>
          <w:rStyle w:val="Hyperlink"/>
          <w:szCs w:val="24"/>
        </w:rPr>
      </w:pPr>
      <w:r>
        <w:rPr>
          <w:szCs w:val="24"/>
        </w:rPr>
        <w:fldChar w:fldCharType="begin"/>
      </w:r>
      <w:r>
        <w:rPr>
          <w:szCs w:val="24"/>
        </w:rPr>
        <w:instrText xml:space="preserve"> HYPERLINK "http://www.itu.int/ITU-R/go/delegate-reg-info/es" </w:instrText>
      </w:r>
      <w:r>
        <w:rPr>
          <w:szCs w:val="24"/>
        </w:rPr>
        <w:fldChar w:fldCharType="separate"/>
      </w:r>
      <w:r w:rsidR="00EE3BD7" w:rsidRPr="00901C56">
        <w:rPr>
          <w:rStyle w:val="Hyperlink"/>
          <w:szCs w:val="24"/>
        </w:rPr>
        <w:t>http://www.itu.int/ITU-R/go/delegate-reg-info/en</w:t>
      </w:r>
    </w:p>
    <w:p w:rsidR="00EE3BD7" w:rsidRPr="00730758" w:rsidRDefault="00901C56" w:rsidP="00024FA1">
      <w:pPr>
        <w:spacing w:before="200"/>
      </w:pPr>
      <w:r>
        <w:rPr>
          <w:szCs w:val="24"/>
        </w:rPr>
        <w:fldChar w:fldCharType="end"/>
      </w:r>
      <w:r w:rsidR="00EE3BD7" w:rsidRPr="00730758">
        <w:t xml:space="preserve">El mostrador de inscripción de delegados abrirá a las 08.30 horas del primer día de la reunión y estará situado a la entrada del edificio de </w:t>
      </w:r>
      <w:proofErr w:type="spellStart"/>
      <w:r w:rsidR="00EE3BD7" w:rsidRPr="00730758">
        <w:t>Montbrillant</w:t>
      </w:r>
      <w:proofErr w:type="spellEnd"/>
      <w:r w:rsidR="00EE3BD7" w:rsidRPr="00730758">
        <w:t>. Tenga en cuenta que para recibir la tarjeta identificativa debe presentarse la confirmación de inscripción enviada a cada delegado/participante por correo</w:t>
      </w:r>
      <w:r w:rsidR="00EE3BD7" w:rsidRPr="00730758">
        <w:noBreakHyphen/>
        <w:t>e, junto con una foto de identificación.</w:t>
      </w:r>
    </w:p>
    <w:p w:rsidR="00EE3BD7" w:rsidRPr="00730758" w:rsidRDefault="00EE3BD7" w:rsidP="00EE3BD7">
      <w:pPr>
        <w:rPr>
          <w:szCs w:val="24"/>
        </w:rPr>
      </w:pPr>
      <w:r w:rsidRPr="00730758">
        <w:t xml:space="preserve">La información relativa a hoteles para las reuniones celebradas en Ginebra aparece en la siguiente dirección web: </w:t>
      </w:r>
      <w:hyperlink r:id="rId15" w:history="1">
        <w:r w:rsidRPr="00730758">
          <w:rPr>
            <w:rStyle w:val="Hyperlink"/>
            <w:szCs w:val="24"/>
          </w:rPr>
          <w:t>http://www.itu.int/travel/index.html</w:t>
        </w:r>
      </w:hyperlink>
      <w:r w:rsidRPr="00730758">
        <w:rPr>
          <w:szCs w:val="24"/>
        </w:rPr>
        <w:t>.</w:t>
      </w:r>
    </w:p>
    <w:p w:rsidR="00EE3BD7" w:rsidRPr="00730758" w:rsidRDefault="00EE3BD7" w:rsidP="00024FA1">
      <w:pPr>
        <w:tabs>
          <w:tab w:val="clear" w:pos="794"/>
          <w:tab w:val="clear" w:pos="1191"/>
          <w:tab w:val="clear" w:pos="1588"/>
          <w:tab w:val="clear" w:pos="1985"/>
          <w:tab w:val="center" w:pos="7088"/>
        </w:tabs>
        <w:spacing w:before="1200"/>
      </w:pPr>
      <w:r w:rsidRPr="00730758">
        <w:tab/>
        <w:t xml:space="preserve">François </w:t>
      </w:r>
      <w:proofErr w:type="spellStart"/>
      <w:r w:rsidRPr="00730758">
        <w:t>Rancy</w:t>
      </w:r>
      <w:proofErr w:type="spellEnd"/>
      <w:r w:rsidRPr="00730758">
        <w:br/>
      </w:r>
      <w:r w:rsidRPr="00730758">
        <w:tab/>
        <w:t>Director de la Oficina de Radiocomunicaciones</w:t>
      </w:r>
    </w:p>
    <w:p w:rsidR="00EE3BD7" w:rsidRPr="00730758" w:rsidRDefault="00EE3BD7" w:rsidP="00024FA1">
      <w:pPr>
        <w:tabs>
          <w:tab w:val="center" w:pos="7939"/>
          <w:tab w:val="right" w:pos="8505"/>
        </w:tabs>
        <w:spacing w:before="0"/>
      </w:pPr>
      <w:r w:rsidRPr="00730758">
        <w:rPr>
          <w:b/>
          <w:bCs/>
        </w:rPr>
        <w:t>Anexos:</w:t>
      </w:r>
      <w:r w:rsidRPr="00730758">
        <w:rPr>
          <w:b/>
          <w:bCs/>
        </w:rPr>
        <w:tab/>
      </w:r>
      <w:r w:rsidRPr="00730758">
        <w:t>2</w:t>
      </w:r>
    </w:p>
    <w:p w:rsidR="00EE3BD7" w:rsidRPr="00730758" w:rsidRDefault="00EE3BD7" w:rsidP="00024FA1">
      <w:pPr>
        <w:tabs>
          <w:tab w:val="left" w:pos="284"/>
          <w:tab w:val="left" w:pos="568"/>
        </w:tabs>
        <w:spacing w:after="120"/>
        <w:rPr>
          <w:sz w:val="18"/>
          <w:szCs w:val="18"/>
          <w:u w:val="single"/>
        </w:rPr>
      </w:pPr>
      <w:r w:rsidRPr="00730758">
        <w:rPr>
          <w:bCs/>
          <w:sz w:val="18"/>
          <w:szCs w:val="18"/>
          <w:u w:val="single"/>
        </w:rPr>
        <w:t>Distribución</w:t>
      </w:r>
      <w:r w:rsidRPr="00730758">
        <w:rPr>
          <w:sz w:val="18"/>
          <w:szCs w:val="18"/>
          <w:u w:val="single"/>
        </w:rPr>
        <w:t>:</w:t>
      </w:r>
    </w:p>
    <w:p w:rsidR="00EE3BD7" w:rsidRPr="00730758" w:rsidRDefault="00EE3BD7" w:rsidP="00EE3BD7">
      <w:pPr>
        <w:tabs>
          <w:tab w:val="left" w:pos="284"/>
        </w:tabs>
        <w:spacing w:before="0"/>
        <w:ind w:left="284" w:hanging="284"/>
        <w:rPr>
          <w:sz w:val="18"/>
          <w:szCs w:val="18"/>
        </w:rPr>
      </w:pPr>
      <w:r w:rsidRPr="00730758">
        <w:rPr>
          <w:sz w:val="18"/>
          <w:szCs w:val="18"/>
        </w:rPr>
        <w:t>–</w:t>
      </w:r>
      <w:r w:rsidRPr="00730758">
        <w:rPr>
          <w:sz w:val="18"/>
          <w:szCs w:val="18"/>
        </w:rPr>
        <w:tab/>
        <w:t xml:space="preserve">Administraciones de los Estados Miembros </w:t>
      </w:r>
      <w:r w:rsidR="00901C56">
        <w:rPr>
          <w:sz w:val="18"/>
          <w:szCs w:val="18"/>
        </w:rPr>
        <w:t xml:space="preserve">de la UIT </w:t>
      </w:r>
      <w:r w:rsidRPr="00730758">
        <w:rPr>
          <w:sz w:val="18"/>
          <w:szCs w:val="18"/>
        </w:rPr>
        <w:t>y Miembros del Sector de Radiocomunicaciones</w:t>
      </w:r>
      <w:r w:rsidR="00901C56">
        <w:rPr>
          <w:sz w:val="18"/>
          <w:szCs w:val="18"/>
        </w:rPr>
        <w:t xml:space="preserve"> que participan en los trabajos de la Comisión de Estudio 1 de </w:t>
      </w:r>
      <w:r w:rsidR="00901C56" w:rsidRPr="00730758">
        <w:rPr>
          <w:sz w:val="18"/>
          <w:szCs w:val="18"/>
        </w:rPr>
        <w:t>Radiocomunicaciones</w:t>
      </w:r>
    </w:p>
    <w:p w:rsidR="00EE3BD7" w:rsidRDefault="00EE3BD7" w:rsidP="00EE3BD7">
      <w:pPr>
        <w:tabs>
          <w:tab w:val="left" w:pos="284"/>
        </w:tabs>
        <w:spacing w:before="0"/>
        <w:ind w:left="284" w:hanging="284"/>
        <w:rPr>
          <w:sz w:val="18"/>
          <w:szCs w:val="18"/>
        </w:rPr>
      </w:pPr>
      <w:r w:rsidRPr="00730758">
        <w:rPr>
          <w:sz w:val="18"/>
          <w:szCs w:val="18"/>
        </w:rPr>
        <w:t>–</w:t>
      </w:r>
      <w:r w:rsidRPr="00730758">
        <w:rPr>
          <w:sz w:val="18"/>
          <w:szCs w:val="18"/>
        </w:rPr>
        <w:tab/>
        <w:t>Asociados del UIT-R que participan en los trabajos de la Comisión de Estudio 1 de Radiocomunicaciones</w:t>
      </w:r>
    </w:p>
    <w:p w:rsidR="00901C56" w:rsidRPr="00730758" w:rsidRDefault="00901C56" w:rsidP="00EE3BD7">
      <w:pPr>
        <w:tabs>
          <w:tab w:val="left" w:pos="284"/>
        </w:tabs>
        <w:spacing w:before="0"/>
        <w:ind w:left="284" w:hanging="284"/>
        <w:rPr>
          <w:sz w:val="18"/>
          <w:szCs w:val="18"/>
        </w:rPr>
      </w:pPr>
      <w:r w:rsidRPr="00730758">
        <w:rPr>
          <w:sz w:val="18"/>
          <w:szCs w:val="18"/>
        </w:rPr>
        <w:t>–</w:t>
      </w:r>
      <w:r>
        <w:rPr>
          <w:sz w:val="18"/>
          <w:szCs w:val="18"/>
        </w:rPr>
        <w:tab/>
        <w:t>Sectores académicos del UIT-R</w:t>
      </w:r>
    </w:p>
    <w:p w:rsidR="00EE3BD7" w:rsidRPr="00730758" w:rsidRDefault="00EE3BD7" w:rsidP="00EE3BD7">
      <w:pPr>
        <w:tabs>
          <w:tab w:val="left" w:pos="284"/>
        </w:tabs>
        <w:spacing w:before="0"/>
        <w:ind w:left="284" w:hanging="284"/>
        <w:rPr>
          <w:sz w:val="18"/>
          <w:szCs w:val="18"/>
        </w:rPr>
      </w:pPr>
      <w:r w:rsidRPr="00730758">
        <w:rPr>
          <w:sz w:val="18"/>
          <w:szCs w:val="18"/>
        </w:rPr>
        <w:t>–</w:t>
      </w:r>
      <w:r w:rsidRPr="00730758">
        <w:rPr>
          <w:sz w:val="18"/>
          <w:szCs w:val="18"/>
        </w:rPr>
        <w:tab/>
        <w:t>Presidentes y Vicepresidentes de las Comisiones de Estudio de Radiocomunicaciones y Comisión Especial para asuntos reglamentarios y de procedimiento</w:t>
      </w:r>
    </w:p>
    <w:p w:rsidR="00EE3BD7" w:rsidRPr="00730758" w:rsidRDefault="00EE3BD7" w:rsidP="00EE3BD7">
      <w:pPr>
        <w:tabs>
          <w:tab w:val="left" w:pos="284"/>
        </w:tabs>
        <w:spacing w:before="0"/>
        <w:ind w:left="284" w:hanging="284"/>
        <w:rPr>
          <w:sz w:val="18"/>
          <w:szCs w:val="18"/>
        </w:rPr>
      </w:pPr>
      <w:r w:rsidRPr="00730758">
        <w:rPr>
          <w:sz w:val="18"/>
          <w:szCs w:val="18"/>
        </w:rPr>
        <w:t>–</w:t>
      </w:r>
      <w:r w:rsidRPr="00730758">
        <w:rPr>
          <w:sz w:val="18"/>
          <w:szCs w:val="18"/>
        </w:rPr>
        <w:tab/>
        <w:t xml:space="preserve">Presidente y Vicepresidentes de la Reunión Preparatoria de la Conferencia </w:t>
      </w:r>
    </w:p>
    <w:p w:rsidR="00EE3BD7" w:rsidRPr="00730758" w:rsidRDefault="00EE3BD7" w:rsidP="00EE3BD7">
      <w:pPr>
        <w:tabs>
          <w:tab w:val="left" w:pos="284"/>
        </w:tabs>
        <w:spacing w:before="0"/>
        <w:ind w:left="284" w:hanging="284"/>
        <w:rPr>
          <w:sz w:val="18"/>
          <w:szCs w:val="18"/>
        </w:rPr>
      </w:pPr>
      <w:r w:rsidRPr="00730758">
        <w:rPr>
          <w:sz w:val="18"/>
          <w:szCs w:val="18"/>
        </w:rPr>
        <w:t>–</w:t>
      </w:r>
      <w:r w:rsidRPr="00730758">
        <w:rPr>
          <w:sz w:val="18"/>
          <w:szCs w:val="18"/>
        </w:rPr>
        <w:tab/>
        <w:t>Miembros de la Junta del Reglamento de Radiocomunicaciones</w:t>
      </w:r>
    </w:p>
    <w:p w:rsidR="00EE3BD7" w:rsidRPr="00730758" w:rsidRDefault="00EE3BD7" w:rsidP="00EE3BD7">
      <w:pPr>
        <w:pStyle w:val="BodyTextIndent"/>
        <w:rPr>
          <w:sz w:val="18"/>
          <w:szCs w:val="18"/>
        </w:rPr>
      </w:pPr>
      <w:r w:rsidRPr="00730758">
        <w:rPr>
          <w:sz w:val="18"/>
          <w:szCs w:val="18"/>
        </w:rPr>
        <w:t>–</w:t>
      </w:r>
      <w:r w:rsidRPr="00730758">
        <w:rPr>
          <w:sz w:val="18"/>
          <w:szCs w:val="18"/>
        </w:rPr>
        <w:tab/>
        <w:t>Secretario General de la UIT, Director de la Oficina de Normalización de las Telecomunicaciones, Director de la Oficina de Desarrollo de Telecomunicaciones</w:t>
      </w:r>
    </w:p>
    <w:p w:rsidR="000B50CF" w:rsidRPr="00730758" w:rsidRDefault="000B50CF" w:rsidP="007F1E4E">
      <w:pPr>
        <w:pStyle w:val="AnnexNotitle"/>
      </w:pPr>
      <w:r w:rsidRPr="00730758">
        <w:t>Anexo 1</w:t>
      </w:r>
      <w:r w:rsidR="00537708" w:rsidRPr="00730758">
        <w:br/>
      </w:r>
      <w:r w:rsidR="00537708" w:rsidRPr="00730758">
        <w:br/>
      </w:r>
      <w:r w:rsidRPr="00730758">
        <w:t xml:space="preserve">Proyecto de orden del </w:t>
      </w:r>
      <w:r w:rsidR="00F921CC" w:rsidRPr="00730758">
        <w:t>día</w:t>
      </w:r>
      <w:r w:rsidRPr="00730758">
        <w:t xml:space="preserve"> de la </w:t>
      </w:r>
      <w:r w:rsidR="00F921CC" w:rsidRPr="00730758">
        <w:t>reunión</w:t>
      </w:r>
      <w:r w:rsidRPr="00730758">
        <w:t xml:space="preserve"> de la </w:t>
      </w:r>
      <w:r w:rsidR="007F1E4E" w:rsidRPr="00730758">
        <w:t>C</w:t>
      </w:r>
      <w:r w:rsidR="00F921CC" w:rsidRPr="00730758">
        <w:t>omisión</w:t>
      </w:r>
      <w:r w:rsidR="007F1E4E" w:rsidRPr="00730758">
        <w:t xml:space="preserve"> </w:t>
      </w:r>
      <w:r w:rsidR="007F1E4E" w:rsidRPr="00730758">
        <w:br/>
        <w:t>de Estudio 1 de R</w:t>
      </w:r>
      <w:r w:rsidRPr="00730758">
        <w:t>adiocomunicaciones</w:t>
      </w:r>
    </w:p>
    <w:p w:rsidR="000B50CF" w:rsidRPr="00730758" w:rsidRDefault="00537708" w:rsidP="00537708">
      <w:pPr>
        <w:jc w:val="center"/>
      </w:pPr>
      <w:r w:rsidRPr="00730758">
        <w:t>(Gi</w:t>
      </w:r>
      <w:r w:rsidR="000B50CF" w:rsidRPr="00730758">
        <w:t>n</w:t>
      </w:r>
      <w:r w:rsidRPr="00730758">
        <w:t>e</w:t>
      </w:r>
      <w:r w:rsidR="000B50CF" w:rsidRPr="00730758">
        <w:t>bra, 14-15 de junio de 2012)</w:t>
      </w:r>
    </w:p>
    <w:p w:rsidR="00537708" w:rsidRPr="00730758" w:rsidRDefault="00537708" w:rsidP="000B50CF"/>
    <w:p w:rsidR="000B50CF" w:rsidRPr="00730758" w:rsidRDefault="000B50CF" w:rsidP="00D87A40">
      <w:pPr>
        <w:pStyle w:val="enumlev1"/>
      </w:pPr>
      <w:r w:rsidRPr="00730758">
        <w:rPr>
          <w:b/>
          <w:bCs/>
        </w:rPr>
        <w:t>1</w:t>
      </w:r>
      <w:r w:rsidRPr="00730758">
        <w:tab/>
      </w:r>
      <w:r w:rsidR="00D87A40" w:rsidRPr="00730758">
        <w:t>Observaciones iniciales</w:t>
      </w:r>
    </w:p>
    <w:p w:rsidR="000B50CF" w:rsidRPr="00730758" w:rsidRDefault="00EE3BD7" w:rsidP="00EE3BD7">
      <w:pPr>
        <w:pStyle w:val="enumlev1"/>
      </w:pPr>
      <w:r w:rsidRPr="00730758">
        <w:rPr>
          <w:b/>
          <w:bCs/>
        </w:rPr>
        <w:tab/>
      </w:r>
      <w:r w:rsidR="000B50CF" w:rsidRPr="00730758">
        <w:rPr>
          <w:b/>
          <w:bCs/>
        </w:rPr>
        <w:t>1.1</w:t>
      </w:r>
      <w:r w:rsidR="000B50CF" w:rsidRPr="00730758">
        <w:tab/>
        <w:t>Director de la BR</w:t>
      </w:r>
    </w:p>
    <w:p w:rsidR="000B50CF" w:rsidRPr="00730758" w:rsidRDefault="00EE3BD7" w:rsidP="00EE3BD7">
      <w:pPr>
        <w:pStyle w:val="enumlev1"/>
      </w:pPr>
      <w:r w:rsidRPr="00730758">
        <w:rPr>
          <w:b/>
          <w:bCs/>
        </w:rPr>
        <w:tab/>
      </w:r>
      <w:r w:rsidR="000B50CF" w:rsidRPr="00730758">
        <w:rPr>
          <w:b/>
          <w:bCs/>
        </w:rPr>
        <w:t>1.2</w:t>
      </w:r>
      <w:r w:rsidR="000B50CF" w:rsidRPr="00730758">
        <w:tab/>
        <w:t>Presidente</w:t>
      </w:r>
    </w:p>
    <w:p w:rsidR="000B50CF" w:rsidRPr="00730758" w:rsidRDefault="000B50CF" w:rsidP="00537708">
      <w:pPr>
        <w:pStyle w:val="enumlev1"/>
      </w:pPr>
      <w:r w:rsidRPr="00730758">
        <w:rPr>
          <w:b/>
          <w:bCs/>
        </w:rPr>
        <w:t>2</w:t>
      </w:r>
      <w:r w:rsidRPr="00730758">
        <w:tab/>
      </w:r>
      <w:r w:rsidR="00F921CC" w:rsidRPr="00730758">
        <w:t>Aprobación</w:t>
      </w:r>
      <w:r w:rsidRPr="00730758">
        <w:t xml:space="preserve"> del orden del </w:t>
      </w:r>
      <w:r w:rsidR="00F921CC" w:rsidRPr="00730758">
        <w:t>día</w:t>
      </w:r>
    </w:p>
    <w:p w:rsidR="000B50CF" w:rsidRPr="00730758" w:rsidRDefault="000B50CF" w:rsidP="00D87A40">
      <w:pPr>
        <w:pStyle w:val="enumlev1"/>
      </w:pPr>
      <w:r w:rsidRPr="00730758">
        <w:rPr>
          <w:b/>
          <w:bCs/>
        </w:rPr>
        <w:t>3</w:t>
      </w:r>
      <w:r w:rsidRPr="00730758">
        <w:tab/>
        <w:t>Nombrami</w:t>
      </w:r>
      <w:r w:rsidR="00D87A40" w:rsidRPr="00730758">
        <w:t>e</w:t>
      </w:r>
      <w:r w:rsidRPr="00730758">
        <w:t>n</w:t>
      </w:r>
      <w:r w:rsidR="00D87A40" w:rsidRPr="00730758">
        <w:t>t</w:t>
      </w:r>
      <w:r w:rsidRPr="00730758">
        <w:t xml:space="preserve">o del </w:t>
      </w:r>
      <w:r w:rsidR="00D87A40" w:rsidRPr="00730758">
        <w:t>R</w:t>
      </w:r>
      <w:r w:rsidRPr="00730758">
        <w:t>elator</w:t>
      </w:r>
    </w:p>
    <w:p w:rsidR="000B50CF" w:rsidRPr="00730758" w:rsidRDefault="000B50CF" w:rsidP="00D87A40">
      <w:pPr>
        <w:pStyle w:val="enumlev1"/>
      </w:pPr>
      <w:r w:rsidRPr="00730758">
        <w:rPr>
          <w:b/>
          <w:bCs/>
        </w:rPr>
        <w:t>4</w:t>
      </w:r>
      <w:r w:rsidRPr="00730758">
        <w:tab/>
        <w:t xml:space="preserve">Resumen de </w:t>
      </w:r>
      <w:r w:rsidR="00D87A40" w:rsidRPr="00730758">
        <w:t>c</w:t>
      </w:r>
      <w:r w:rsidRPr="00730758">
        <w:t xml:space="preserve">onclusiones de la </w:t>
      </w:r>
      <w:r w:rsidR="00F921CC" w:rsidRPr="00730758">
        <w:t>reunión</w:t>
      </w:r>
      <w:r w:rsidRPr="00730758">
        <w:t xml:space="preserve"> de junio de 2011 (</w:t>
      </w:r>
      <w:hyperlink r:id="rId16" w:history="1">
        <w:r w:rsidR="00D87A40" w:rsidRPr="00F965AE">
          <w:rPr>
            <w:rStyle w:val="Hyperlink"/>
          </w:rPr>
          <w:t>D</w:t>
        </w:r>
        <w:r w:rsidRPr="00F965AE">
          <w:rPr>
            <w:rStyle w:val="Hyperlink"/>
          </w:rPr>
          <w:t>ocumento 1/181</w:t>
        </w:r>
      </w:hyperlink>
      <w:r w:rsidRPr="00730758">
        <w:t>)</w:t>
      </w:r>
    </w:p>
    <w:p w:rsidR="000B50CF" w:rsidRPr="00730758" w:rsidRDefault="000B50CF" w:rsidP="00D87A40">
      <w:pPr>
        <w:pStyle w:val="enumlev1"/>
      </w:pPr>
      <w:r w:rsidRPr="00730758">
        <w:rPr>
          <w:b/>
          <w:bCs/>
        </w:rPr>
        <w:t>5</w:t>
      </w:r>
      <w:r w:rsidRPr="00730758">
        <w:tab/>
        <w:t xml:space="preserve">Resultados de la Asamblea de Radiocomunicaciones 2012 (AR-12) y de la </w:t>
      </w:r>
      <w:r w:rsidR="00D87A40" w:rsidRPr="00730758">
        <w:t>Conferencia Mundial de R</w:t>
      </w:r>
      <w:r w:rsidRPr="00730758">
        <w:t>adiocomunicaciones 2012 (CMR-12)</w:t>
      </w:r>
    </w:p>
    <w:p w:rsidR="000B50CF" w:rsidRPr="00730758" w:rsidRDefault="000B50CF" w:rsidP="00537708">
      <w:pPr>
        <w:pStyle w:val="enumlev1"/>
      </w:pPr>
      <w:r w:rsidRPr="00730758">
        <w:rPr>
          <w:b/>
          <w:bCs/>
        </w:rPr>
        <w:t>6</w:t>
      </w:r>
      <w:r w:rsidRPr="00730758">
        <w:tab/>
        <w:t xml:space="preserve">Resultados de la primera </w:t>
      </w:r>
      <w:r w:rsidR="00F921CC" w:rsidRPr="00730758">
        <w:t>sesión</w:t>
      </w:r>
      <w:r w:rsidR="00D87A40" w:rsidRPr="00730758">
        <w:t xml:space="preserve"> </w:t>
      </w:r>
      <w:r w:rsidRPr="00730758">
        <w:t>de la RPC-15 (RPC15-1)</w:t>
      </w:r>
    </w:p>
    <w:p w:rsidR="000B50CF" w:rsidRPr="00730758" w:rsidRDefault="000B50CF" w:rsidP="00537708">
      <w:pPr>
        <w:pStyle w:val="enumlev1"/>
      </w:pPr>
      <w:r w:rsidRPr="00730758">
        <w:rPr>
          <w:b/>
          <w:bCs/>
        </w:rPr>
        <w:t>7</w:t>
      </w:r>
      <w:r w:rsidRPr="00730758">
        <w:tab/>
      </w:r>
      <w:r w:rsidR="00F921CC" w:rsidRPr="00730758">
        <w:t>Nombramiento</w:t>
      </w:r>
      <w:r w:rsidRPr="00730758">
        <w:t xml:space="preserve"> de Presidentes de los Grupos de Trabajo</w:t>
      </w:r>
    </w:p>
    <w:p w:rsidR="000B50CF" w:rsidRPr="00730758" w:rsidRDefault="000B50CF" w:rsidP="00537708">
      <w:pPr>
        <w:pStyle w:val="enumlev1"/>
      </w:pPr>
      <w:r w:rsidRPr="00730758">
        <w:rPr>
          <w:b/>
          <w:bCs/>
        </w:rPr>
        <w:t>8</w:t>
      </w:r>
      <w:r w:rsidRPr="00730758">
        <w:tab/>
        <w:t xml:space="preserve">Informes de conclusiones de los </w:t>
      </w:r>
      <w:r w:rsidR="00D87A40" w:rsidRPr="00730758">
        <w:t>Presidentes de los G</w:t>
      </w:r>
      <w:r w:rsidRPr="00730758">
        <w:t>rupos de Trabajo</w:t>
      </w:r>
    </w:p>
    <w:p w:rsidR="000B50CF" w:rsidRPr="00730758" w:rsidRDefault="00EE3BD7" w:rsidP="00EE3BD7">
      <w:pPr>
        <w:pStyle w:val="enumlev1"/>
      </w:pPr>
      <w:r w:rsidRPr="00730758">
        <w:rPr>
          <w:b/>
          <w:bCs/>
        </w:rPr>
        <w:tab/>
      </w:r>
      <w:r w:rsidR="000B50CF" w:rsidRPr="00730758">
        <w:rPr>
          <w:b/>
          <w:bCs/>
        </w:rPr>
        <w:t>8.1</w:t>
      </w:r>
      <w:r w:rsidR="00D87A40" w:rsidRPr="00730758">
        <w:tab/>
        <w:t>Grupo de T</w:t>
      </w:r>
      <w:r w:rsidR="000B50CF" w:rsidRPr="00730758">
        <w:t>rabajo 1</w:t>
      </w:r>
      <w:r w:rsidR="00D87A40" w:rsidRPr="00730758">
        <w:t>A</w:t>
      </w:r>
    </w:p>
    <w:p w:rsidR="000B50CF" w:rsidRPr="00730758" w:rsidRDefault="00EE3BD7" w:rsidP="00EE3BD7">
      <w:pPr>
        <w:pStyle w:val="enumlev1"/>
      </w:pPr>
      <w:r w:rsidRPr="00730758">
        <w:rPr>
          <w:b/>
          <w:bCs/>
        </w:rPr>
        <w:tab/>
      </w:r>
      <w:r w:rsidR="000B50CF" w:rsidRPr="00730758">
        <w:rPr>
          <w:b/>
          <w:bCs/>
        </w:rPr>
        <w:t>8.2</w:t>
      </w:r>
      <w:r w:rsidR="000B50CF" w:rsidRPr="00730758">
        <w:tab/>
        <w:t>Grupo de Trabajo 1B</w:t>
      </w:r>
    </w:p>
    <w:p w:rsidR="000B50CF" w:rsidRPr="00730758" w:rsidRDefault="00EE3BD7" w:rsidP="00EE3BD7">
      <w:pPr>
        <w:pStyle w:val="enumlev1"/>
      </w:pPr>
      <w:r w:rsidRPr="00730758">
        <w:rPr>
          <w:b/>
          <w:bCs/>
        </w:rPr>
        <w:tab/>
      </w:r>
      <w:r w:rsidR="000B50CF" w:rsidRPr="00730758">
        <w:rPr>
          <w:b/>
          <w:bCs/>
        </w:rPr>
        <w:t>8.3</w:t>
      </w:r>
      <w:r w:rsidR="000B50CF" w:rsidRPr="00730758">
        <w:tab/>
        <w:t>Grupo de Trabajo 1C</w:t>
      </w:r>
    </w:p>
    <w:p w:rsidR="000B50CF" w:rsidRPr="00730758" w:rsidRDefault="000B50CF" w:rsidP="00DB5328">
      <w:pPr>
        <w:pStyle w:val="enumlev1"/>
      </w:pPr>
      <w:r w:rsidRPr="00730758">
        <w:rPr>
          <w:b/>
          <w:bCs/>
        </w:rPr>
        <w:t>9</w:t>
      </w:r>
      <w:r w:rsidR="00D87A40" w:rsidRPr="00730758">
        <w:tab/>
        <w:t>R</w:t>
      </w:r>
      <w:r w:rsidRPr="00730758">
        <w:t>ec</w:t>
      </w:r>
      <w:r w:rsidR="00D87A40" w:rsidRPr="00730758">
        <w:t>omendaciones nuevas y revisadas</w:t>
      </w:r>
      <w:r w:rsidRPr="00730758">
        <w:t xml:space="preserve"> sobre las que no se ha anunciado la </w:t>
      </w:r>
      <w:r w:rsidR="00F921CC" w:rsidRPr="00730758">
        <w:t>intención</w:t>
      </w:r>
      <w:r w:rsidRPr="00730758">
        <w:t xml:space="preserve"> de recabar la adopción (</w:t>
      </w:r>
      <w:r w:rsidR="00F921CC" w:rsidRPr="00730758">
        <w:t>véase</w:t>
      </w:r>
      <w:r w:rsidRPr="00730758">
        <w:t xml:space="preserve"> la </w:t>
      </w:r>
      <w:r w:rsidR="00F921CC" w:rsidRPr="00730758">
        <w:t>Resolución</w:t>
      </w:r>
      <w:r w:rsidRPr="00730758">
        <w:t xml:space="preserve"> UIT-R 1-6,</w:t>
      </w:r>
      <w:r w:rsidR="00D87A40" w:rsidRPr="00730758">
        <w:t xml:space="preserve"> §</w:t>
      </w:r>
      <w:r w:rsidR="00DB5328" w:rsidRPr="00730758">
        <w:t> </w:t>
      </w:r>
      <w:r w:rsidRPr="00730758">
        <w:t>10.2.3,</w:t>
      </w:r>
      <w:r w:rsidR="00D87A40" w:rsidRPr="00730758">
        <w:t xml:space="preserve"> §</w:t>
      </w:r>
      <w:r w:rsidR="00DB5328" w:rsidRPr="00730758">
        <w:t> </w:t>
      </w:r>
      <w:r w:rsidRPr="00730758">
        <w:t>10.3 y</w:t>
      </w:r>
      <w:r w:rsidR="00D87A40" w:rsidRPr="00730758">
        <w:t xml:space="preserve"> §</w:t>
      </w:r>
      <w:r w:rsidR="00DB5328" w:rsidRPr="00730758">
        <w:t> </w:t>
      </w:r>
      <w:r w:rsidRPr="00730758">
        <w:t>10.4)</w:t>
      </w:r>
    </w:p>
    <w:p w:rsidR="000B50CF" w:rsidRPr="00730758" w:rsidRDefault="007F1E4E" w:rsidP="007F1E4E">
      <w:pPr>
        <w:pStyle w:val="enumlev1"/>
        <w:ind w:left="1588" w:hanging="1588"/>
      </w:pPr>
      <w:r w:rsidRPr="00730758">
        <w:tab/>
      </w:r>
      <w:r w:rsidR="00024FA1">
        <w:t>−</w:t>
      </w:r>
      <w:r w:rsidR="00024FA1">
        <w:tab/>
      </w:r>
      <w:r w:rsidR="00F921CC" w:rsidRPr="00730758">
        <w:t>Decisión</w:t>
      </w:r>
      <w:r w:rsidR="000B50CF" w:rsidRPr="00730758">
        <w:t xml:space="preserve"> de solicitar la adopción</w:t>
      </w:r>
    </w:p>
    <w:p w:rsidR="000B50CF" w:rsidRPr="00730758" w:rsidRDefault="007F1E4E" w:rsidP="007F1E4E">
      <w:pPr>
        <w:pStyle w:val="enumlev1"/>
      </w:pPr>
      <w:r w:rsidRPr="00730758">
        <w:tab/>
      </w:r>
      <w:r w:rsidR="00024FA1">
        <w:t>−</w:t>
      </w:r>
      <w:r w:rsidR="00024FA1">
        <w:tab/>
      </w:r>
      <w:r w:rsidR="00F921CC" w:rsidRPr="00730758">
        <w:t>Decisión</w:t>
      </w:r>
      <w:r w:rsidR="000B50CF" w:rsidRPr="00730758">
        <w:t xml:space="preserve"> sobre el</w:t>
      </w:r>
      <w:r w:rsidR="00D87A40" w:rsidRPr="00730758">
        <w:t xml:space="preserve"> </w:t>
      </w:r>
      <w:r w:rsidR="000B50CF" w:rsidRPr="00730758">
        <w:t>procedimiento de aprobación que debe seguirse</w:t>
      </w:r>
    </w:p>
    <w:p w:rsidR="000B50CF" w:rsidRPr="00730758" w:rsidRDefault="00EE3BD7" w:rsidP="00EE3BD7">
      <w:pPr>
        <w:pStyle w:val="enumlev1"/>
      </w:pPr>
      <w:r w:rsidRPr="00730758">
        <w:rPr>
          <w:b/>
          <w:bCs/>
        </w:rPr>
        <w:tab/>
      </w:r>
      <w:r w:rsidR="000B50CF" w:rsidRPr="00730758">
        <w:rPr>
          <w:b/>
          <w:bCs/>
        </w:rPr>
        <w:t>9.1</w:t>
      </w:r>
      <w:r w:rsidR="00D87A40" w:rsidRPr="00730758">
        <w:tab/>
      </w:r>
      <w:r w:rsidR="000B50CF" w:rsidRPr="00730758">
        <w:t>Grupo de Trabajo 1</w:t>
      </w:r>
      <w:r w:rsidR="00D87A40" w:rsidRPr="00730758">
        <w:t>A</w:t>
      </w:r>
    </w:p>
    <w:p w:rsidR="000B50CF" w:rsidRPr="00730758" w:rsidRDefault="00EE3BD7" w:rsidP="00EE3BD7">
      <w:pPr>
        <w:pStyle w:val="enumlev1"/>
      </w:pPr>
      <w:r w:rsidRPr="00730758">
        <w:rPr>
          <w:b/>
          <w:bCs/>
        </w:rPr>
        <w:tab/>
      </w:r>
      <w:r w:rsidR="000B50CF" w:rsidRPr="00730758">
        <w:rPr>
          <w:b/>
          <w:bCs/>
        </w:rPr>
        <w:t>9.2</w:t>
      </w:r>
      <w:r w:rsidR="00D87A40" w:rsidRPr="00730758">
        <w:tab/>
      </w:r>
      <w:r w:rsidR="000B50CF" w:rsidRPr="00730758">
        <w:t>Grupo de Trabajo 1B</w:t>
      </w:r>
    </w:p>
    <w:p w:rsidR="000B50CF" w:rsidRPr="00730758" w:rsidRDefault="00EE3BD7" w:rsidP="00EE3BD7">
      <w:pPr>
        <w:pStyle w:val="enumlev1"/>
      </w:pPr>
      <w:r w:rsidRPr="00730758">
        <w:rPr>
          <w:b/>
          <w:bCs/>
        </w:rPr>
        <w:tab/>
      </w:r>
      <w:r w:rsidR="000B50CF" w:rsidRPr="00730758">
        <w:rPr>
          <w:b/>
          <w:bCs/>
        </w:rPr>
        <w:t>9.3</w:t>
      </w:r>
      <w:r w:rsidR="00D87A40" w:rsidRPr="00730758">
        <w:tab/>
      </w:r>
      <w:r w:rsidR="000B50CF" w:rsidRPr="00730758">
        <w:t>Grupo de Trabajo 1C</w:t>
      </w:r>
    </w:p>
    <w:p w:rsidR="000B50CF" w:rsidRPr="00730758" w:rsidRDefault="00D87A40" w:rsidP="00D87A40">
      <w:pPr>
        <w:pStyle w:val="enumlev1"/>
      </w:pPr>
      <w:r w:rsidRPr="00730758">
        <w:rPr>
          <w:b/>
          <w:bCs/>
        </w:rPr>
        <w:t>10</w:t>
      </w:r>
      <w:r w:rsidR="000B50CF" w:rsidRPr="00730758">
        <w:tab/>
      </w:r>
      <w:r w:rsidR="00F921CC" w:rsidRPr="00730758">
        <w:t>Consideración</w:t>
      </w:r>
      <w:r w:rsidR="000B50CF" w:rsidRPr="00730758">
        <w:t xml:space="preserve"> de Informes nue</w:t>
      </w:r>
      <w:r w:rsidRPr="00730758">
        <w:t>v</w:t>
      </w:r>
      <w:r w:rsidR="000B50CF" w:rsidRPr="00730758">
        <w:t>os y revisados</w:t>
      </w:r>
    </w:p>
    <w:p w:rsidR="000B50CF" w:rsidRPr="00730758" w:rsidRDefault="00D87A40" w:rsidP="00D87A40">
      <w:pPr>
        <w:pStyle w:val="enumlev1"/>
      </w:pPr>
      <w:r w:rsidRPr="00730758">
        <w:rPr>
          <w:b/>
          <w:bCs/>
        </w:rPr>
        <w:t>11</w:t>
      </w:r>
      <w:r w:rsidR="000B50CF" w:rsidRPr="00730758">
        <w:tab/>
      </w:r>
      <w:r w:rsidR="00F921CC" w:rsidRPr="00730758">
        <w:t>Consideración</w:t>
      </w:r>
      <w:r w:rsidR="000B50CF" w:rsidRPr="00730758">
        <w:t xml:space="preserve"> de </w:t>
      </w:r>
      <w:r w:rsidRPr="00730758">
        <w:t>C</w:t>
      </w:r>
      <w:r w:rsidR="000B50CF" w:rsidRPr="00730758">
        <w:t>uestiones nuevas y revisadas</w:t>
      </w:r>
    </w:p>
    <w:p w:rsidR="000B50CF" w:rsidRPr="00730758" w:rsidRDefault="00D87A40" w:rsidP="00D87A40">
      <w:pPr>
        <w:pStyle w:val="enumlev1"/>
      </w:pPr>
      <w:r w:rsidRPr="00730758">
        <w:rPr>
          <w:b/>
          <w:bCs/>
        </w:rPr>
        <w:t>12</w:t>
      </w:r>
      <w:r w:rsidR="000B50CF" w:rsidRPr="00730758">
        <w:tab/>
      </w:r>
      <w:r w:rsidR="00F921CC" w:rsidRPr="00730758">
        <w:t>Supresión</w:t>
      </w:r>
      <w:r w:rsidR="000B50CF" w:rsidRPr="00730758">
        <w:t xml:space="preserve"> de Recomendaciones, Informes y </w:t>
      </w:r>
      <w:r w:rsidRPr="00730758">
        <w:t>C</w:t>
      </w:r>
      <w:r w:rsidR="000B50CF" w:rsidRPr="00730758">
        <w:t>uestiones</w:t>
      </w:r>
    </w:p>
    <w:p w:rsidR="000B50CF" w:rsidRPr="00730758" w:rsidRDefault="00D87A40" w:rsidP="00537708">
      <w:pPr>
        <w:pStyle w:val="enumlev1"/>
      </w:pPr>
      <w:r w:rsidRPr="00730758">
        <w:rPr>
          <w:b/>
          <w:bCs/>
        </w:rPr>
        <w:t>13</w:t>
      </w:r>
      <w:r w:rsidRPr="00730758">
        <w:tab/>
      </w:r>
      <w:r w:rsidR="00F921CC" w:rsidRPr="00730758">
        <w:t>Situación</w:t>
      </w:r>
      <w:r w:rsidRPr="00730758">
        <w:t xml:space="preserve"> de Recomendaciones, Informes, Manuales, Cuestiones, Opiniones, R</w:t>
      </w:r>
      <w:r w:rsidR="000B50CF" w:rsidRPr="00730758">
        <w:t>esoluciones y Decisiones</w:t>
      </w:r>
    </w:p>
    <w:p w:rsidR="000B50CF" w:rsidRPr="00730758" w:rsidRDefault="00D87A40" w:rsidP="00D87A40">
      <w:pPr>
        <w:pStyle w:val="enumlev1"/>
      </w:pPr>
      <w:r w:rsidRPr="00730758">
        <w:rPr>
          <w:b/>
          <w:bCs/>
        </w:rPr>
        <w:t>14</w:t>
      </w:r>
      <w:r w:rsidR="000B50CF" w:rsidRPr="00730758">
        <w:tab/>
        <w:t xml:space="preserve">Nombramiento y organización de la </w:t>
      </w:r>
      <w:r w:rsidR="00F921CC" w:rsidRPr="00730758">
        <w:t>Comisión</w:t>
      </w:r>
      <w:r w:rsidR="000B50CF" w:rsidRPr="00730758">
        <w:t xml:space="preserve"> de </w:t>
      </w:r>
      <w:r w:rsidR="00F921CC" w:rsidRPr="00730758">
        <w:t>Redacción</w:t>
      </w:r>
    </w:p>
    <w:p w:rsidR="00F965AE" w:rsidRDefault="00F965AE">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0B50CF" w:rsidRPr="00730758" w:rsidRDefault="00D87A40" w:rsidP="00D87A40">
      <w:pPr>
        <w:pStyle w:val="enumlev1"/>
      </w:pPr>
      <w:r w:rsidRPr="00730758">
        <w:rPr>
          <w:b/>
          <w:bCs/>
        </w:rPr>
        <w:t>15</w:t>
      </w:r>
      <w:r w:rsidR="000B50CF" w:rsidRPr="00730758">
        <w:tab/>
      </w:r>
      <w:r w:rsidR="00F921CC" w:rsidRPr="00730758">
        <w:t>Coordinación</w:t>
      </w:r>
      <w:r w:rsidR="000B50CF" w:rsidRPr="00730758">
        <w:t xml:space="preserve"> con otras </w:t>
      </w:r>
      <w:r w:rsidRPr="00730758">
        <w:t>C</w:t>
      </w:r>
      <w:r w:rsidR="000B50CF" w:rsidRPr="00730758">
        <w:t>omisiones de estudio y organizaciones internacionales</w:t>
      </w:r>
    </w:p>
    <w:p w:rsidR="000B50CF" w:rsidRPr="00730758" w:rsidRDefault="00EE3BD7" w:rsidP="00F965AE">
      <w:pPr>
        <w:pStyle w:val="enumlev1"/>
      </w:pPr>
      <w:r w:rsidRPr="00730758">
        <w:rPr>
          <w:b/>
          <w:bCs/>
        </w:rPr>
        <w:tab/>
      </w:r>
      <w:r w:rsidR="000B50CF" w:rsidRPr="00730758">
        <w:rPr>
          <w:b/>
          <w:bCs/>
        </w:rPr>
        <w:t>15.1</w:t>
      </w:r>
      <w:r w:rsidR="000B50CF" w:rsidRPr="00730758">
        <w:tab/>
        <w:t xml:space="preserve">Sector de </w:t>
      </w:r>
      <w:r w:rsidR="00F921CC" w:rsidRPr="00730758">
        <w:t>Normalización</w:t>
      </w:r>
      <w:r w:rsidR="00F965AE">
        <w:t xml:space="preserve"> de la UIT-T</w:t>
      </w:r>
    </w:p>
    <w:p w:rsidR="000B50CF" w:rsidRPr="00730758" w:rsidRDefault="00EE3BD7" w:rsidP="00895EC6">
      <w:pPr>
        <w:pStyle w:val="enumlev1"/>
      </w:pPr>
      <w:r w:rsidRPr="00730758">
        <w:rPr>
          <w:b/>
          <w:bCs/>
        </w:rPr>
        <w:tab/>
      </w:r>
      <w:r w:rsidR="000B50CF" w:rsidRPr="00730758">
        <w:rPr>
          <w:b/>
          <w:bCs/>
        </w:rPr>
        <w:t>15.2</w:t>
      </w:r>
      <w:r w:rsidR="000B50CF" w:rsidRPr="00730758">
        <w:tab/>
        <w:t xml:space="preserve">Sector de </w:t>
      </w:r>
      <w:r w:rsidR="00895EC6">
        <w:t>la UIT-D</w:t>
      </w:r>
    </w:p>
    <w:p w:rsidR="000B50CF" w:rsidRPr="00730758" w:rsidRDefault="00EE3BD7" w:rsidP="00EE3BD7">
      <w:pPr>
        <w:pStyle w:val="enumlev1"/>
      </w:pPr>
      <w:r w:rsidRPr="00730758">
        <w:rPr>
          <w:b/>
          <w:bCs/>
        </w:rPr>
        <w:tab/>
      </w:r>
      <w:r w:rsidR="000B50CF" w:rsidRPr="00730758">
        <w:rPr>
          <w:b/>
          <w:bCs/>
        </w:rPr>
        <w:t>15.3</w:t>
      </w:r>
      <w:r w:rsidR="000B50CF" w:rsidRPr="00730758">
        <w:tab/>
        <w:t xml:space="preserve">Comité Internacional </w:t>
      </w:r>
      <w:r w:rsidR="00587D10" w:rsidRPr="00730758">
        <w:t>E</w:t>
      </w:r>
      <w:r w:rsidR="000B50CF" w:rsidRPr="00730758">
        <w:t>special de Per</w:t>
      </w:r>
      <w:r w:rsidR="00587D10" w:rsidRPr="00730758">
        <w:t>t</w:t>
      </w:r>
      <w:r w:rsidR="000B50CF" w:rsidRPr="00730758">
        <w:t xml:space="preserve">urbaciones </w:t>
      </w:r>
      <w:r w:rsidR="00F921CC" w:rsidRPr="00730758">
        <w:t>Radioeléctricas</w:t>
      </w:r>
      <w:r w:rsidR="000B50CF" w:rsidRPr="00730758">
        <w:t xml:space="preserve"> (CISPR)</w:t>
      </w:r>
    </w:p>
    <w:p w:rsidR="000B50CF" w:rsidRPr="00730758" w:rsidRDefault="000B50CF" w:rsidP="00537708">
      <w:pPr>
        <w:pStyle w:val="enumlev1"/>
      </w:pPr>
      <w:r w:rsidRPr="00730758">
        <w:rPr>
          <w:b/>
          <w:bCs/>
        </w:rPr>
        <w:t>16</w:t>
      </w:r>
      <w:r w:rsidRPr="00730758">
        <w:tab/>
        <w:t>Examen de otras contribuciones</w:t>
      </w:r>
    </w:p>
    <w:p w:rsidR="000B50CF" w:rsidRPr="00730758" w:rsidRDefault="000B50CF" w:rsidP="00537708">
      <w:pPr>
        <w:pStyle w:val="enumlev1"/>
      </w:pPr>
      <w:r w:rsidRPr="00730758">
        <w:rPr>
          <w:b/>
          <w:bCs/>
        </w:rPr>
        <w:t>17</w:t>
      </w:r>
      <w:r w:rsidRPr="00730758">
        <w:tab/>
        <w:t>Examen del futuro programa de trabajo y calendario de reuniones</w:t>
      </w:r>
    </w:p>
    <w:p w:rsidR="000B50CF" w:rsidRPr="00730758" w:rsidRDefault="000B50CF" w:rsidP="00537708">
      <w:pPr>
        <w:pStyle w:val="enumlev1"/>
      </w:pPr>
      <w:r w:rsidRPr="00730758">
        <w:rPr>
          <w:b/>
          <w:bCs/>
        </w:rPr>
        <w:t>18</w:t>
      </w:r>
      <w:r w:rsidRPr="00730758">
        <w:tab/>
        <w:t>Otros asuntos</w:t>
      </w:r>
    </w:p>
    <w:p w:rsidR="000B50CF" w:rsidRPr="00730758" w:rsidRDefault="000B50CF" w:rsidP="00537708">
      <w:pPr>
        <w:pStyle w:val="enumlev1"/>
      </w:pPr>
      <w:r w:rsidRPr="00730758">
        <w:rPr>
          <w:b/>
          <w:bCs/>
        </w:rPr>
        <w:t>19</w:t>
      </w:r>
      <w:r w:rsidRPr="00730758">
        <w:tab/>
        <w:t xml:space="preserve">Clausura de la </w:t>
      </w:r>
      <w:r w:rsidR="00F921CC" w:rsidRPr="00730758">
        <w:t>reunión</w:t>
      </w:r>
    </w:p>
    <w:p w:rsidR="00E66913" w:rsidRPr="00730758" w:rsidRDefault="00E66913" w:rsidP="00E66913"/>
    <w:p w:rsidR="00E66913" w:rsidRPr="00730758" w:rsidRDefault="00E66913" w:rsidP="00E66913"/>
    <w:p w:rsidR="00E66913" w:rsidRPr="00730758" w:rsidRDefault="00E66913" w:rsidP="00E66913">
      <w:pPr>
        <w:tabs>
          <w:tab w:val="clear" w:pos="794"/>
          <w:tab w:val="clear" w:pos="1191"/>
          <w:tab w:val="clear" w:pos="1588"/>
          <w:tab w:val="clear" w:pos="1985"/>
          <w:tab w:val="center" w:pos="7088"/>
        </w:tabs>
      </w:pPr>
      <w:r w:rsidRPr="00730758">
        <w:tab/>
        <w:t>S. PASTUKH</w:t>
      </w:r>
      <w:r w:rsidRPr="00730758">
        <w:br/>
      </w:r>
      <w:r w:rsidRPr="00730758">
        <w:tab/>
        <w:t>Presidente de la Comisión de Estudio 1</w:t>
      </w:r>
      <w:r w:rsidRPr="00730758">
        <w:br/>
      </w:r>
      <w:r w:rsidRPr="00730758">
        <w:tab/>
        <w:t>de Radiocomunicaciones</w:t>
      </w:r>
    </w:p>
    <w:p w:rsidR="000B50CF" w:rsidRPr="00730758" w:rsidRDefault="000B50CF" w:rsidP="000B50CF"/>
    <w:p w:rsidR="00587D10" w:rsidRPr="00730758" w:rsidRDefault="00587D10">
      <w:pPr>
        <w:tabs>
          <w:tab w:val="clear" w:pos="794"/>
          <w:tab w:val="clear" w:pos="1191"/>
          <w:tab w:val="clear" w:pos="1588"/>
          <w:tab w:val="clear" w:pos="1985"/>
        </w:tabs>
        <w:overflowPunct/>
        <w:autoSpaceDE/>
        <w:autoSpaceDN/>
        <w:adjustRightInd/>
        <w:spacing w:before="0"/>
        <w:textAlignment w:val="auto"/>
      </w:pPr>
      <w:r w:rsidRPr="00730758">
        <w:br w:type="page"/>
      </w:r>
    </w:p>
    <w:p w:rsidR="00587D10" w:rsidRPr="00730758" w:rsidRDefault="00587D10" w:rsidP="00677940">
      <w:pPr>
        <w:pStyle w:val="AnnexNotitle"/>
        <w:spacing w:before="320"/>
      </w:pPr>
      <w:r w:rsidRPr="00730758">
        <w:t>Anexo 2</w:t>
      </w:r>
      <w:r w:rsidRPr="00730758">
        <w:br/>
      </w:r>
      <w:r w:rsidRPr="00730758">
        <w:br/>
        <w:t>Temas que deben considerarse en las reuniones de los Grupos de Trabajo 1A,</w:t>
      </w:r>
      <w:r w:rsidRPr="00730758">
        <w:br/>
        <w:t>1B y 1C que se celebrarán inmediatamente antes de la reunión de la</w:t>
      </w:r>
      <w:r w:rsidRPr="00730758">
        <w:br/>
        <w:t>Comisión de Estudio 1 y sobre los cuales pueden elaborarse</w:t>
      </w:r>
      <w:r w:rsidRPr="00730758">
        <w:br/>
        <w:t>proyectos de Recomendaciones</w:t>
      </w:r>
    </w:p>
    <w:p w:rsidR="00587D10" w:rsidRPr="00730758" w:rsidRDefault="00587D10" w:rsidP="00677940">
      <w:pPr>
        <w:pStyle w:val="Source"/>
        <w:spacing w:before="600"/>
      </w:pPr>
      <w:r w:rsidRPr="00730758">
        <w:t>Grupo de Trabajo 1A</w:t>
      </w:r>
    </w:p>
    <w:p w:rsidR="000B50CF" w:rsidRPr="00730758" w:rsidRDefault="00587D10" w:rsidP="00E66913">
      <w:r w:rsidRPr="00730758">
        <w:rPr>
          <w:b/>
          <w:bCs/>
        </w:rPr>
        <w:t>1</w:t>
      </w:r>
      <w:r w:rsidRPr="00730758">
        <w:tab/>
        <w:t>C</w:t>
      </w:r>
      <w:r w:rsidR="00E66913" w:rsidRPr="00730758">
        <w:t>á</w:t>
      </w:r>
      <w:r w:rsidRPr="00730758">
        <w:t xml:space="preserve">lculo de la gama de </w:t>
      </w:r>
      <w:r w:rsidR="00F921CC" w:rsidRPr="00730758">
        <w:t>protección</w:t>
      </w:r>
      <w:r w:rsidRPr="00730758">
        <w:t xml:space="preserve"> entre sistemas inductivos y servicios de radiocomunicaciones </w:t>
      </w:r>
      <w:r w:rsidR="00F921CC" w:rsidRPr="00730758">
        <w:t>que</w:t>
      </w:r>
      <w:r w:rsidRPr="00730758">
        <w:t xml:space="preserve"> utilizan frecuencias por debajo de 30</w:t>
      </w:r>
      <w:r w:rsidR="00E66913" w:rsidRPr="00730758">
        <w:t> </w:t>
      </w:r>
      <w:r w:rsidRPr="00730758">
        <w:t xml:space="preserve">MHz (documento </w:t>
      </w:r>
      <w:r w:rsidR="00F921CC" w:rsidRPr="00730758">
        <w:t>de</w:t>
      </w:r>
      <w:r w:rsidRPr="00730758">
        <w:t xml:space="preserve"> trabajo sobre un anteproyecto </w:t>
      </w:r>
      <w:r w:rsidR="00024FA1">
        <w:t>de nueva Recomendación UIT-R SM.</w:t>
      </w:r>
      <w:r w:rsidRPr="00730758">
        <w:t xml:space="preserve">[ISM] </w:t>
      </w:r>
      <w:r w:rsidR="00E66913" w:rsidRPr="00730758">
        <w:t>–</w:t>
      </w:r>
      <w:r w:rsidRPr="00730758">
        <w:t xml:space="preserve"> </w:t>
      </w:r>
      <w:r w:rsidR="00F921CC" w:rsidRPr="00730758">
        <w:t>véase</w:t>
      </w:r>
      <w:r w:rsidR="00E66913" w:rsidRPr="00730758">
        <w:t xml:space="preserve"> el Anexo 1 al </w:t>
      </w:r>
      <w:hyperlink r:id="rId17" w:history="1">
        <w:r w:rsidR="00E66913" w:rsidRPr="003931BB">
          <w:rPr>
            <w:rStyle w:val="Hyperlink"/>
          </w:rPr>
          <w:t>Documento </w:t>
        </w:r>
        <w:r w:rsidRPr="003931BB">
          <w:rPr>
            <w:rStyle w:val="Hyperlink"/>
          </w:rPr>
          <w:t>1A/379</w:t>
        </w:r>
      </w:hyperlink>
      <w:r w:rsidRPr="00730758">
        <w:t xml:space="preserve"> de 10 de junio de 2011)</w:t>
      </w:r>
    </w:p>
    <w:p w:rsidR="000B50CF" w:rsidRPr="00730758" w:rsidRDefault="000B50CF" w:rsidP="00677940">
      <w:pPr>
        <w:pStyle w:val="Source"/>
        <w:spacing w:before="600"/>
      </w:pPr>
      <w:r w:rsidRPr="00730758">
        <w:t>Grupo de Trabajo 1B</w:t>
      </w:r>
    </w:p>
    <w:p w:rsidR="000B50CF" w:rsidRPr="00730758" w:rsidRDefault="000B50CF" w:rsidP="00A01CC2">
      <w:r w:rsidRPr="00730758">
        <w:rPr>
          <w:b/>
          <w:bCs/>
        </w:rPr>
        <w:t>1</w:t>
      </w:r>
      <w:r w:rsidR="00A01CC2" w:rsidRPr="00730758">
        <w:tab/>
      </w:r>
      <w:r w:rsidR="00F921CC" w:rsidRPr="00730758">
        <w:t>Gestión</w:t>
      </w:r>
      <w:r w:rsidRPr="00730758">
        <w:t xml:space="preserve"> nacional del </w:t>
      </w:r>
      <w:r w:rsidR="00F921CC" w:rsidRPr="00730758">
        <w:t>espectro</w:t>
      </w:r>
      <w:r w:rsidRPr="00730758">
        <w:t xml:space="preserve"> (anteproyecto de </w:t>
      </w:r>
      <w:r w:rsidR="00F921CC" w:rsidRPr="00730758">
        <w:t>revisión</w:t>
      </w:r>
      <w:r w:rsidRPr="00730758">
        <w:t xml:space="preserve"> de la Recomendación</w:t>
      </w:r>
      <w:r w:rsidR="00A01CC2" w:rsidRPr="00730758">
        <w:t xml:space="preserve"> UIT</w:t>
      </w:r>
      <w:r w:rsidR="00A01CC2" w:rsidRPr="00730758">
        <w:noBreakHyphen/>
        <w:t>R SM.1047</w:t>
      </w:r>
      <w:r w:rsidR="00A01CC2" w:rsidRPr="00730758">
        <w:noBreakHyphen/>
        <w:t>1</w:t>
      </w:r>
      <w:r w:rsidR="000E41F8" w:rsidRPr="00730758">
        <w:t>,</w:t>
      </w:r>
      <w:r w:rsidR="00A01CC2" w:rsidRPr="00730758">
        <w:t xml:space="preserve"> </w:t>
      </w:r>
      <w:r w:rsidR="00F921CC" w:rsidRPr="00730758">
        <w:t>véase</w:t>
      </w:r>
      <w:r w:rsidRPr="00730758">
        <w:t xml:space="preserve"> el </w:t>
      </w:r>
      <w:r w:rsidR="00A01CC2" w:rsidRPr="00730758">
        <w:t xml:space="preserve">Anexo 1 al </w:t>
      </w:r>
      <w:hyperlink r:id="rId18" w:history="1">
        <w:r w:rsidR="00A01CC2" w:rsidRPr="00CB6F1A">
          <w:rPr>
            <w:rStyle w:val="Hyperlink"/>
          </w:rPr>
          <w:t>D</w:t>
        </w:r>
        <w:r w:rsidRPr="00CB6F1A">
          <w:rPr>
            <w:rStyle w:val="Hyperlink"/>
          </w:rPr>
          <w:t>ocumento 1B/307</w:t>
        </w:r>
      </w:hyperlink>
      <w:r w:rsidRPr="00730758">
        <w:t xml:space="preserve"> de 3 de junio de 2011)</w:t>
      </w:r>
    </w:p>
    <w:p w:rsidR="000B50CF" w:rsidRPr="00730758" w:rsidRDefault="000B50CF" w:rsidP="004B22F2">
      <w:r w:rsidRPr="00730758">
        <w:rPr>
          <w:b/>
          <w:bCs/>
        </w:rPr>
        <w:t>2</w:t>
      </w:r>
      <w:r w:rsidR="00A01CC2" w:rsidRPr="00730758">
        <w:tab/>
      </w:r>
      <w:r w:rsidRPr="00730758">
        <w:t>Re</w:t>
      </w:r>
      <w:r w:rsidR="00A01CC2" w:rsidRPr="00730758">
        <w:t>organización</w:t>
      </w:r>
      <w:r w:rsidRPr="00730758">
        <w:t xml:space="preserve"> del espectro como </w:t>
      </w:r>
      <w:r w:rsidR="00F921CC" w:rsidRPr="00730758">
        <w:t>método</w:t>
      </w:r>
      <w:r w:rsidRPr="00730758">
        <w:t xml:space="preserve"> de </w:t>
      </w:r>
      <w:r w:rsidR="00F921CC" w:rsidRPr="00730758">
        <w:t>gestión</w:t>
      </w:r>
      <w:r w:rsidRPr="00730758">
        <w:t xml:space="preserve"> nacional del </w:t>
      </w:r>
      <w:r w:rsidR="00F921CC" w:rsidRPr="00730758">
        <w:t>espectro</w:t>
      </w:r>
      <w:r w:rsidRPr="00730758">
        <w:t xml:space="preserve"> (</w:t>
      </w:r>
      <w:r w:rsidR="00A01CC2" w:rsidRPr="00730758">
        <w:t xml:space="preserve">anteproyecto de </w:t>
      </w:r>
      <w:r w:rsidR="00F921CC" w:rsidRPr="00730758">
        <w:t>revisión</w:t>
      </w:r>
      <w:r w:rsidR="00A01CC2" w:rsidRPr="00730758">
        <w:t xml:space="preserve"> de la R</w:t>
      </w:r>
      <w:r w:rsidRPr="00730758">
        <w:t xml:space="preserve">ecomendación </w:t>
      </w:r>
      <w:r w:rsidR="00A01CC2" w:rsidRPr="00730758">
        <w:t>UIT</w:t>
      </w:r>
      <w:r w:rsidR="00A01CC2" w:rsidRPr="00730758">
        <w:noBreakHyphen/>
        <w:t xml:space="preserve">R SM.1603, </w:t>
      </w:r>
      <w:r w:rsidR="00F921CC" w:rsidRPr="00730758">
        <w:t>véase</w:t>
      </w:r>
      <w:r w:rsidR="00A01CC2" w:rsidRPr="00730758">
        <w:t xml:space="preserve"> el A</w:t>
      </w:r>
      <w:r w:rsidRPr="00730758">
        <w:t xml:space="preserve">nexo 2 </w:t>
      </w:r>
      <w:r w:rsidR="00A01CC2" w:rsidRPr="00730758">
        <w:t xml:space="preserve">al </w:t>
      </w:r>
      <w:hyperlink r:id="rId19" w:history="1">
        <w:r w:rsidR="004B22F2" w:rsidRPr="00CB6F1A">
          <w:rPr>
            <w:rStyle w:val="Hyperlink"/>
          </w:rPr>
          <w:t>Documento 1B/307</w:t>
        </w:r>
      </w:hyperlink>
      <w:r w:rsidR="004B22F2">
        <w:t xml:space="preserve"> </w:t>
      </w:r>
      <w:r w:rsidR="00B6629E" w:rsidRPr="00730758">
        <w:t>de 10 </w:t>
      </w:r>
      <w:r w:rsidRPr="00730758">
        <w:t>de junio de 2011)</w:t>
      </w:r>
    </w:p>
    <w:p w:rsidR="000B50CF" w:rsidRPr="00730758" w:rsidRDefault="000B50CF" w:rsidP="004B22F2">
      <w:r w:rsidRPr="00730758">
        <w:rPr>
          <w:b/>
          <w:bCs/>
        </w:rPr>
        <w:t>3</w:t>
      </w:r>
      <w:r w:rsidR="00A01CC2" w:rsidRPr="00730758">
        <w:tab/>
      </w:r>
      <w:r w:rsidRPr="00730758">
        <w:t xml:space="preserve">Directrices de diseño para </w:t>
      </w:r>
      <w:r w:rsidR="00A01CC2" w:rsidRPr="00730758">
        <w:t>la elaboración de</w:t>
      </w:r>
      <w:r w:rsidRPr="00730758">
        <w:t xml:space="preserve"> sistemas avanzados de </w:t>
      </w:r>
      <w:r w:rsidR="00F921CC" w:rsidRPr="00730758">
        <w:t>gestión</w:t>
      </w:r>
      <w:r w:rsidRPr="00730758">
        <w:t xml:space="preserve"> </w:t>
      </w:r>
      <w:r w:rsidR="00F921CC" w:rsidRPr="00730758">
        <w:t>automática</w:t>
      </w:r>
      <w:r w:rsidRPr="00730758">
        <w:t xml:space="preserve"> del espectro (anteproyecto de </w:t>
      </w:r>
      <w:r w:rsidR="00F921CC" w:rsidRPr="00730758">
        <w:t>revisión</w:t>
      </w:r>
      <w:r w:rsidRPr="00730758">
        <w:t xml:space="preserve"> de la Recomendación </w:t>
      </w:r>
      <w:r w:rsidR="00A01CC2" w:rsidRPr="00730758">
        <w:t>UIT</w:t>
      </w:r>
      <w:r w:rsidR="00A01CC2" w:rsidRPr="00730758">
        <w:noBreakHyphen/>
        <w:t>R SM.1370</w:t>
      </w:r>
      <w:r w:rsidR="00A01CC2" w:rsidRPr="00730758">
        <w:noBreakHyphen/>
        <w:t>1</w:t>
      </w:r>
      <w:r w:rsidRPr="00730758">
        <w:t xml:space="preserve">, </w:t>
      </w:r>
      <w:r w:rsidR="00F921CC" w:rsidRPr="00730758">
        <w:t>véase</w:t>
      </w:r>
      <w:r w:rsidRPr="00730758">
        <w:t xml:space="preserve"> el Anexo 3 al </w:t>
      </w:r>
      <w:hyperlink r:id="rId20" w:history="1">
        <w:r w:rsidR="004B22F2" w:rsidRPr="00CB6F1A">
          <w:rPr>
            <w:rStyle w:val="Hyperlink"/>
          </w:rPr>
          <w:t>Documento 1B/307</w:t>
        </w:r>
      </w:hyperlink>
      <w:r w:rsidR="004B22F2">
        <w:t xml:space="preserve"> </w:t>
      </w:r>
      <w:r w:rsidRPr="00730758">
        <w:t>de 8 de junio de 2011)</w:t>
      </w:r>
    </w:p>
    <w:p w:rsidR="000B50CF" w:rsidRPr="00730758" w:rsidRDefault="000B50CF" w:rsidP="00F41AD1">
      <w:r w:rsidRPr="00730758">
        <w:rPr>
          <w:b/>
          <w:bCs/>
        </w:rPr>
        <w:t>4</w:t>
      </w:r>
      <w:r w:rsidR="00A01CC2" w:rsidRPr="00730758">
        <w:tab/>
      </w:r>
      <w:r w:rsidRPr="00730758">
        <w:t>Diccionario</w:t>
      </w:r>
      <w:r w:rsidR="00A01CC2" w:rsidRPr="00730758">
        <w:t xml:space="preserve"> de D</w:t>
      </w:r>
      <w:r w:rsidRPr="00730758">
        <w:t>atos de Radiocomunicaciones (DDR) (</w:t>
      </w:r>
      <w:r w:rsidR="00A01CC2" w:rsidRPr="00730758">
        <w:t xml:space="preserve">anteproyecto de </w:t>
      </w:r>
      <w:r w:rsidR="00F921CC" w:rsidRPr="00730758">
        <w:t>revisión</w:t>
      </w:r>
      <w:r w:rsidR="00A01CC2" w:rsidRPr="00730758">
        <w:t xml:space="preserve"> de la R</w:t>
      </w:r>
      <w:r w:rsidRPr="00730758">
        <w:t xml:space="preserve">ecomendación </w:t>
      </w:r>
      <w:r w:rsidR="00A01CC2" w:rsidRPr="00730758">
        <w:t>UIT</w:t>
      </w:r>
      <w:r w:rsidR="00A01CC2" w:rsidRPr="00730758">
        <w:noBreakHyphen/>
        <w:t>R SM.1413</w:t>
      </w:r>
      <w:r w:rsidR="00A01CC2" w:rsidRPr="00730758">
        <w:noBreakHyphen/>
        <w:t xml:space="preserve">2, </w:t>
      </w:r>
      <w:r w:rsidR="00F921CC" w:rsidRPr="00730758">
        <w:t>véase</w:t>
      </w:r>
      <w:r w:rsidR="00A01CC2" w:rsidRPr="00730758">
        <w:t xml:space="preserve"> el Anexo 13 al </w:t>
      </w:r>
      <w:hyperlink r:id="rId21" w:history="1">
        <w:r w:rsidR="00F41AD1" w:rsidRPr="00CB6F1A">
          <w:rPr>
            <w:rStyle w:val="Hyperlink"/>
          </w:rPr>
          <w:t>D</w:t>
        </w:r>
        <w:r w:rsidR="00F41AD1">
          <w:rPr>
            <w:rStyle w:val="Hyperlink"/>
          </w:rPr>
          <w:t>ocumento </w:t>
        </w:r>
        <w:r w:rsidR="00F41AD1" w:rsidRPr="00CB6F1A">
          <w:rPr>
            <w:rStyle w:val="Hyperlink"/>
          </w:rPr>
          <w:t>1B/307</w:t>
        </w:r>
      </w:hyperlink>
      <w:r w:rsidR="00F41AD1">
        <w:rPr>
          <w:rStyle w:val="Hyperlink"/>
        </w:rPr>
        <w:t xml:space="preserve"> </w:t>
      </w:r>
      <w:r w:rsidR="00B6629E" w:rsidRPr="00730758">
        <w:t>de 22 de junio </w:t>
      </w:r>
      <w:r w:rsidR="00E66913" w:rsidRPr="00730758">
        <w:t>de </w:t>
      </w:r>
      <w:r w:rsidRPr="00730758">
        <w:t>2011)</w:t>
      </w:r>
    </w:p>
    <w:p w:rsidR="000B50CF" w:rsidRPr="00730758" w:rsidRDefault="000B50CF" w:rsidP="00677940">
      <w:pPr>
        <w:pStyle w:val="Source"/>
        <w:spacing w:before="560"/>
      </w:pPr>
      <w:r w:rsidRPr="00730758">
        <w:t>Grupo de Trabajo 1C</w:t>
      </w:r>
    </w:p>
    <w:p w:rsidR="000B50CF" w:rsidRPr="00730758" w:rsidRDefault="000B50CF" w:rsidP="00AE4A9C">
      <w:r w:rsidRPr="00730758">
        <w:rPr>
          <w:b/>
          <w:bCs/>
        </w:rPr>
        <w:t>1</w:t>
      </w:r>
      <w:r w:rsidR="00A01CC2" w:rsidRPr="00730758">
        <w:tab/>
      </w:r>
      <w:r w:rsidR="00F921CC" w:rsidRPr="00730758">
        <w:t>Métodos</w:t>
      </w:r>
      <w:r w:rsidRPr="00730758">
        <w:t xml:space="preserve"> para medir el ruido </w:t>
      </w:r>
      <w:r w:rsidR="00F921CC" w:rsidRPr="00730758">
        <w:t>radioeléctrico</w:t>
      </w:r>
      <w:r w:rsidRPr="00730758">
        <w:t xml:space="preserve"> (documento de </w:t>
      </w:r>
      <w:r w:rsidR="00F921CC" w:rsidRPr="00730758">
        <w:t>trabajo</w:t>
      </w:r>
      <w:r w:rsidRPr="00730758">
        <w:t xml:space="preserve"> sobre un anteproyecto de </w:t>
      </w:r>
      <w:r w:rsidR="00F921CC" w:rsidRPr="00730758">
        <w:t>revisión</w:t>
      </w:r>
      <w:r w:rsidRPr="00730758">
        <w:t xml:space="preserve"> de la Recomendación</w:t>
      </w:r>
      <w:r w:rsidR="00AE4A9C" w:rsidRPr="00730758">
        <w:t xml:space="preserve"> UIT</w:t>
      </w:r>
      <w:r w:rsidR="00AE4A9C" w:rsidRPr="00730758">
        <w:noBreakHyphen/>
        <w:t>R SM.1753</w:t>
      </w:r>
      <w:r w:rsidR="00AE4A9C" w:rsidRPr="00730758">
        <w:noBreakHyphen/>
        <w:t xml:space="preserve">1, </w:t>
      </w:r>
      <w:r w:rsidR="00F921CC" w:rsidRPr="00730758">
        <w:t>véase</w:t>
      </w:r>
      <w:r w:rsidR="00AE4A9C" w:rsidRPr="00730758">
        <w:t xml:space="preserve"> el A</w:t>
      </w:r>
      <w:r w:rsidRPr="00730758">
        <w:t>nexo</w:t>
      </w:r>
      <w:r w:rsidR="00B6629E" w:rsidRPr="00730758">
        <w:t xml:space="preserve"> 1 al </w:t>
      </w:r>
      <w:hyperlink r:id="rId22" w:history="1">
        <w:r w:rsidR="00B6629E" w:rsidRPr="00CB6F1A">
          <w:rPr>
            <w:rStyle w:val="Hyperlink"/>
          </w:rPr>
          <w:t>Documento 1C/159</w:t>
        </w:r>
      </w:hyperlink>
      <w:r w:rsidR="00B6629E" w:rsidRPr="00730758">
        <w:t xml:space="preserve"> de 14 de </w:t>
      </w:r>
      <w:r w:rsidRPr="00730758">
        <w:t>junio de 2011)</w:t>
      </w:r>
    </w:p>
    <w:p w:rsidR="000B50CF" w:rsidRPr="00730758" w:rsidRDefault="000B50CF" w:rsidP="00CB6F1A">
      <w:r w:rsidRPr="00730758">
        <w:rPr>
          <w:b/>
          <w:bCs/>
        </w:rPr>
        <w:t>2</w:t>
      </w:r>
      <w:r w:rsidR="00A01CC2" w:rsidRPr="00730758">
        <w:tab/>
      </w:r>
      <w:r w:rsidR="00F921CC" w:rsidRPr="00730758">
        <w:t>Métodos</w:t>
      </w:r>
      <w:r w:rsidRPr="00730758">
        <w:t xml:space="preserve"> d</w:t>
      </w:r>
      <w:r w:rsidR="00AE4A9C" w:rsidRPr="00730758">
        <w:t>e</w:t>
      </w:r>
      <w:r w:rsidRPr="00730758">
        <w:t xml:space="preserve"> </w:t>
      </w:r>
      <w:r w:rsidR="00F921CC" w:rsidRPr="00730758">
        <w:t>radiogoniometría</w:t>
      </w:r>
      <w:r w:rsidRPr="00730758">
        <w:t xml:space="preserve"> y </w:t>
      </w:r>
      <w:r w:rsidR="00F921CC" w:rsidRPr="00730758">
        <w:t>localización</w:t>
      </w:r>
      <w:r w:rsidRPr="00730758">
        <w:t xml:space="preserve"> en seña</w:t>
      </w:r>
      <w:r w:rsidR="00AE4A9C" w:rsidRPr="00730758">
        <w:t>l</w:t>
      </w:r>
      <w:r w:rsidRPr="00730758">
        <w:t xml:space="preserve">es de acceso </w:t>
      </w:r>
      <w:r w:rsidR="00F921CC" w:rsidRPr="00730758">
        <w:t>múltiple</w:t>
      </w:r>
      <w:r w:rsidRPr="00730758">
        <w:t xml:space="preserve"> por </w:t>
      </w:r>
      <w:r w:rsidR="00F921CC" w:rsidRPr="00730758">
        <w:t>división</w:t>
      </w:r>
      <w:r w:rsidRPr="00730758">
        <w:t xml:space="preserve"> en el tiemp</w:t>
      </w:r>
      <w:r w:rsidR="00AE4A9C" w:rsidRPr="00730758">
        <w:t>o</w:t>
      </w:r>
      <w:r w:rsidR="00252549" w:rsidRPr="00730758">
        <w:t xml:space="preserve"> y</w:t>
      </w:r>
      <w:r w:rsidRPr="00730758">
        <w:t xml:space="preserve"> acceso </w:t>
      </w:r>
      <w:r w:rsidR="00F921CC" w:rsidRPr="00730758">
        <w:t>múltiple</w:t>
      </w:r>
      <w:r w:rsidRPr="00730758">
        <w:t xml:space="preserve"> por </w:t>
      </w:r>
      <w:r w:rsidR="00F921CC" w:rsidRPr="00730758">
        <w:t>división</w:t>
      </w:r>
      <w:r w:rsidRPr="00730758">
        <w:t xml:space="preserve"> de </w:t>
      </w:r>
      <w:r w:rsidR="00F921CC" w:rsidRPr="00730758">
        <w:t>código</w:t>
      </w:r>
      <w:r w:rsidR="00AE4A9C" w:rsidRPr="00730758">
        <w:t xml:space="preserve"> (documento de trabajo sobre un</w:t>
      </w:r>
      <w:r w:rsidRPr="00730758">
        <w:t xml:space="preserve"> </w:t>
      </w:r>
      <w:r w:rsidR="00AE4A9C" w:rsidRPr="00730758">
        <w:t xml:space="preserve">anteproyecto de </w:t>
      </w:r>
      <w:r w:rsidR="00F921CC" w:rsidRPr="00730758">
        <w:t>revisión</w:t>
      </w:r>
      <w:r w:rsidR="00AE4A9C" w:rsidRPr="00730758">
        <w:t xml:space="preserve"> de la R</w:t>
      </w:r>
      <w:r w:rsidRPr="00730758">
        <w:t xml:space="preserve">ecomendación </w:t>
      </w:r>
      <w:r w:rsidR="00AE4A9C" w:rsidRPr="00730758">
        <w:t>UIT</w:t>
      </w:r>
      <w:r w:rsidR="00AE4A9C" w:rsidRPr="00730758">
        <w:noBreakHyphen/>
        <w:t xml:space="preserve">R SM.1598, </w:t>
      </w:r>
      <w:r w:rsidR="00F921CC" w:rsidRPr="00730758">
        <w:t>véase</w:t>
      </w:r>
      <w:r w:rsidR="00AE4A9C" w:rsidRPr="00730758">
        <w:t xml:space="preserve"> el Anexo 2 al </w:t>
      </w:r>
      <w:hyperlink r:id="rId23" w:history="1">
        <w:r w:rsidR="00AE4A9C" w:rsidRPr="00CB6F1A">
          <w:rPr>
            <w:rStyle w:val="Hyperlink"/>
          </w:rPr>
          <w:t>D</w:t>
        </w:r>
        <w:r w:rsidR="00B6629E" w:rsidRPr="00CB6F1A">
          <w:rPr>
            <w:rStyle w:val="Hyperlink"/>
          </w:rPr>
          <w:t>ocumento 1C/159</w:t>
        </w:r>
      </w:hyperlink>
      <w:r w:rsidR="00B6629E" w:rsidRPr="00730758">
        <w:t xml:space="preserve"> de 16 de </w:t>
      </w:r>
      <w:r w:rsidR="00F921CC" w:rsidRPr="00730758">
        <w:t>junio</w:t>
      </w:r>
      <w:r w:rsidRPr="00730758">
        <w:t xml:space="preserve"> de 2011)</w:t>
      </w:r>
    </w:p>
    <w:p w:rsidR="000B50CF" w:rsidRPr="00730758" w:rsidRDefault="000B50CF" w:rsidP="00141ED7">
      <w:r w:rsidRPr="00730758">
        <w:rPr>
          <w:b/>
          <w:bCs/>
        </w:rPr>
        <w:t>3</w:t>
      </w:r>
      <w:r w:rsidR="00A01CC2" w:rsidRPr="00730758">
        <w:tab/>
      </w:r>
      <w:r w:rsidR="00F921CC" w:rsidRPr="00730758">
        <w:t>Identificación</w:t>
      </w:r>
      <w:r w:rsidRPr="00730758">
        <w:t xml:space="preserve"> </w:t>
      </w:r>
      <w:r w:rsidR="00F921CC" w:rsidRPr="00730758">
        <w:t>técnica</w:t>
      </w:r>
      <w:r w:rsidRPr="00730758">
        <w:t xml:space="preserve"> de las señales digitales (documento de trabajo sobre un </w:t>
      </w:r>
      <w:r w:rsidR="00F921CC" w:rsidRPr="00730758">
        <w:t>anteproyecto</w:t>
      </w:r>
      <w:r w:rsidRPr="00730758">
        <w:t xml:space="preserve"> de </w:t>
      </w:r>
      <w:r w:rsidR="00F921CC" w:rsidRPr="00730758">
        <w:t>revisión</w:t>
      </w:r>
      <w:r w:rsidRPr="00730758">
        <w:t xml:space="preserve"> de la Recomendación </w:t>
      </w:r>
      <w:r w:rsidR="00AE4A9C" w:rsidRPr="00730758">
        <w:t>UIT</w:t>
      </w:r>
      <w:r w:rsidR="00AE4A9C" w:rsidRPr="00730758">
        <w:noBreakHyphen/>
        <w:t>R SM.1600</w:t>
      </w:r>
      <w:r w:rsidRPr="00730758">
        <w:t xml:space="preserve">, </w:t>
      </w:r>
      <w:r w:rsidR="00F921CC" w:rsidRPr="00730758">
        <w:t>véase</w:t>
      </w:r>
      <w:r w:rsidRPr="00730758">
        <w:t xml:space="preserve"> el </w:t>
      </w:r>
      <w:r w:rsidR="00AE4A9C" w:rsidRPr="00730758">
        <w:t>A</w:t>
      </w:r>
      <w:r w:rsidRPr="00730758">
        <w:t xml:space="preserve">nexo 3 al </w:t>
      </w:r>
      <w:hyperlink r:id="rId24" w:history="1">
        <w:r w:rsidR="00141ED7" w:rsidRPr="00CB6F1A">
          <w:rPr>
            <w:rStyle w:val="Hyperlink"/>
          </w:rPr>
          <w:t>Documento 1C/159</w:t>
        </w:r>
      </w:hyperlink>
      <w:r w:rsidR="00141ED7">
        <w:t xml:space="preserve"> </w:t>
      </w:r>
      <w:r w:rsidR="00B6629E" w:rsidRPr="00730758">
        <w:t>de 17 </w:t>
      </w:r>
      <w:r w:rsidRPr="00730758">
        <w:t>de junio de 2011)</w:t>
      </w:r>
    </w:p>
    <w:p w:rsidR="000B50CF" w:rsidRPr="00730758" w:rsidRDefault="000B50CF" w:rsidP="00677940">
      <w:pPr>
        <w:spacing w:before="100"/>
      </w:pPr>
      <w:r w:rsidRPr="00730758">
        <w:rPr>
          <w:b/>
          <w:bCs/>
        </w:rPr>
        <w:t>4</w:t>
      </w:r>
      <w:r w:rsidR="00A01CC2" w:rsidRPr="00730758">
        <w:tab/>
      </w:r>
      <w:r w:rsidR="00F921CC" w:rsidRPr="00730758">
        <w:t>Evolución</w:t>
      </w:r>
      <w:r w:rsidRPr="00730758">
        <w:t xml:space="preserve"> de los sistemas de comprobación </w:t>
      </w:r>
      <w:r w:rsidR="00AE4A9C" w:rsidRPr="00730758">
        <w:t>téc</w:t>
      </w:r>
      <w:r w:rsidRPr="00730758">
        <w:t>nica del espectro (documento de trabajo sobre un anteproyecto de nueva Recomendación</w:t>
      </w:r>
      <w:r w:rsidR="00AE4A9C" w:rsidRPr="00730758">
        <w:t xml:space="preserve"> UIT</w:t>
      </w:r>
      <w:r w:rsidR="00AE4A9C" w:rsidRPr="00730758">
        <w:noBreakHyphen/>
        <w:t>R SM.[EVOLUTION_MONITORING_SYSTEM]</w:t>
      </w:r>
      <w:r w:rsidRPr="00730758">
        <w:t xml:space="preserve">, </w:t>
      </w:r>
      <w:r w:rsidR="00F921CC" w:rsidRPr="00730758">
        <w:t>véase</w:t>
      </w:r>
      <w:r w:rsidRPr="00730758">
        <w:t xml:space="preserve"> el </w:t>
      </w:r>
      <w:r w:rsidR="00AE4A9C" w:rsidRPr="00730758">
        <w:t>A</w:t>
      </w:r>
      <w:r w:rsidR="00E66913" w:rsidRPr="00730758">
        <w:t xml:space="preserve">nexo 9 al </w:t>
      </w:r>
      <w:hyperlink r:id="rId25" w:history="1">
        <w:r w:rsidR="00141ED7" w:rsidRPr="00CB6F1A">
          <w:rPr>
            <w:rStyle w:val="Hyperlink"/>
          </w:rPr>
          <w:t>Documento 1C/159</w:t>
        </w:r>
      </w:hyperlink>
      <w:r w:rsidR="00141ED7">
        <w:t xml:space="preserve"> </w:t>
      </w:r>
      <w:r w:rsidR="00E66913" w:rsidRPr="00730758">
        <w:t>de </w:t>
      </w:r>
      <w:r w:rsidRPr="00730758">
        <w:t>14 de junio de 2011)</w:t>
      </w:r>
      <w:r w:rsidR="00024FA1">
        <w:t>.</w:t>
      </w:r>
    </w:p>
    <w:sectPr w:rsidR="000B50CF" w:rsidRPr="00730758">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56" w:rsidRDefault="00901C56">
      <w:r>
        <w:separator/>
      </w:r>
    </w:p>
  </w:endnote>
  <w:endnote w:type="continuationSeparator" w:id="0">
    <w:p w:rsidR="00901C56" w:rsidRDefault="0090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Segoe UI"/>
    <w:charset w:val="00"/>
    <w:family w:val="swiss"/>
    <w:pitch w:val="variable"/>
    <w:sig w:usb0="00000001"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56" w:rsidRPr="00BB73E3" w:rsidRDefault="00246E67" w:rsidP="00BB73E3">
    <w:pPr>
      <w:pStyle w:val="Footer"/>
    </w:pPr>
    <w:r>
      <w:fldChar w:fldCharType="begin"/>
    </w:r>
    <w:r>
      <w:instrText xml:space="preserve"> FILENAME  \p  \* MERGEFORMAT </w:instrText>
    </w:r>
    <w:r>
      <w:fldChar w:fldCharType="separate"/>
    </w:r>
    <w:r>
      <w:t>Y:\APP\BR\CIRCS_DMS\CACE\500\561\561s.docx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9"/>
      <w:gridCol w:w="2359"/>
      <w:gridCol w:w="2384"/>
    </w:tblGrid>
    <w:tr w:rsidR="00901C56">
      <w:trPr>
        <w:cantSplit/>
      </w:trPr>
      <w:tc>
        <w:tcPr>
          <w:tcW w:w="1062" w:type="pct"/>
          <w:tcBorders>
            <w:top w:val="single" w:sz="6" w:space="0" w:color="auto"/>
          </w:tcBorders>
          <w:tcMar>
            <w:top w:w="57" w:type="dxa"/>
          </w:tcMar>
        </w:tcPr>
        <w:p w:rsidR="00901C56" w:rsidRDefault="00901C56">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901C56" w:rsidRDefault="00901C56">
          <w:pPr>
            <w:pStyle w:val="itu"/>
            <w:rPr>
              <w:lang w:val="es-ES_tradnl"/>
            </w:rPr>
          </w:pPr>
          <w:r>
            <w:rPr>
              <w:lang w:val="es-ES_tradnl"/>
            </w:rPr>
            <w:t xml:space="preserve">Teléfono </w:t>
          </w:r>
          <w:r>
            <w:rPr>
              <w:lang w:val="es-ES_tradnl"/>
            </w:rPr>
            <w:tab/>
            <w:t>+41 22 730 51 11</w:t>
          </w:r>
        </w:p>
      </w:tc>
      <w:tc>
        <w:tcPr>
          <w:tcW w:w="1223" w:type="pct"/>
          <w:tcBorders>
            <w:top w:val="single" w:sz="6" w:space="0" w:color="auto"/>
          </w:tcBorders>
          <w:tcMar>
            <w:top w:w="57" w:type="dxa"/>
          </w:tcMar>
        </w:tcPr>
        <w:p w:rsidR="00901C56" w:rsidRDefault="00901C56">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901C56" w:rsidRDefault="00901C56">
          <w:pPr>
            <w:pStyle w:val="itu"/>
            <w:rPr>
              <w:lang w:val="es-ES_tradnl"/>
            </w:rPr>
          </w:pPr>
          <w:r>
            <w:rPr>
              <w:lang w:val="es-ES_tradnl"/>
            </w:rPr>
            <w:t>E-mail:</w:t>
          </w:r>
          <w:r>
            <w:rPr>
              <w:lang w:val="es-ES_tradnl"/>
            </w:rPr>
            <w:tab/>
            <w:t>itumail@itu.int</w:t>
          </w:r>
        </w:p>
      </w:tc>
    </w:tr>
    <w:tr w:rsidR="00901C56">
      <w:trPr>
        <w:cantSplit/>
      </w:trPr>
      <w:tc>
        <w:tcPr>
          <w:tcW w:w="1062" w:type="pct"/>
        </w:tcPr>
        <w:p w:rsidR="00901C56" w:rsidRDefault="00901C56">
          <w:pPr>
            <w:pStyle w:val="itu"/>
            <w:rPr>
              <w:lang w:val="es-ES_tradnl"/>
            </w:rPr>
          </w:pPr>
          <w:r>
            <w:rPr>
              <w:lang w:val="es-ES_tradnl"/>
            </w:rPr>
            <w:t>CH-1211 Ginebra 20</w:t>
          </w:r>
        </w:p>
      </w:tc>
      <w:tc>
        <w:tcPr>
          <w:tcW w:w="1584" w:type="pct"/>
        </w:tcPr>
        <w:p w:rsidR="00901C56" w:rsidRDefault="00901C56">
          <w:pPr>
            <w:pStyle w:val="itu"/>
            <w:rPr>
              <w:lang w:val="es-ES_tradnl"/>
            </w:rPr>
          </w:pPr>
          <w:r>
            <w:rPr>
              <w:lang w:val="es-ES_tradnl"/>
            </w:rPr>
            <w:t>Telefax</w:t>
          </w:r>
          <w:r>
            <w:rPr>
              <w:lang w:val="es-ES_tradnl"/>
            </w:rPr>
            <w:tab/>
            <w:t>Gr3:</w:t>
          </w:r>
          <w:r>
            <w:rPr>
              <w:lang w:val="es-ES_tradnl"/>
            </w:rPr>
            <w:tab/>
            <w:t>+41 22 733 72 56</w:t>
          </w:r>
        </w:p>
      </w:tc>
      <w:tc>
        <w:tcPr>
          <w:tcW w:w="1223" w:type="pct"/>
        </w:tcPr>
        <w:p w:rsidR="00901C56" w:rsidRDefault="00901C56">
          <w:pPr>
            <w:pStyle w:val="itu"/>
            <w:rPr>
              <w:lang w:val="es-ES_tradnl"/>
            </w:rPr>
          </w:pPr>
          <w:r>
            <w:rPr>
              <w:lang w:val="es-ES_tradnl"/>
            </w:rPr>
            <w:t>Telegrama ITU GENEVE</w:t>
          </w:r>
        </w:p>
      </w:tc>
      <w:tc>
        <w:tcPr>
          <w:tcW w:w="1131" w:type="pct"/>
        </w:tcPr>
        <w:p w:rsidR="00901C56" w:rsidRDefault="00901C56">
          <w:pPr>
            <w:pStyle w:val="itu"/>
            <w:rPr>
              <w:lang w:val="es-ES_tradnl"/>
            </w:rPr>
          </w:pPr>
          <w:r>
            <w:rPr>
              <w:lang w:val="es-ES_tradnl"/>
            </w:rPr>
            <w:tab/>
          </w:r>
          <w:hyperlink r:id="rId1" w:history="1">
            <w:r>
              <w:rPr>
                <w:rStyle w:val="Hyperlink"/>
                <w:lang w:val="es-ES_tradnl"/>
              </w:rPr>
              <w:t>http://www.itu.int/</w:t>
            </w:r>
          </w:hyperlink>
        </w:p>
      </w:tc>
    </w:tr>
    <w:tr w:rsidR="00901C56">
      <w:trPr>
        <w:cantSplit/>
      </w:trPr>
      <w:tc>
        <w:tcPr>
          <w:tcW w:w="1062" w:type="pct"/>
        </w:tcPr>
        <w:p w:rsidR="00901C56" w:rsidRDefault="00901C56">
          <w:pPr>
            <w:pStyle w:val="itu"/>
            <w:rPr>
              <w:lang w:val="es-ES_tradnl"/>
            </w:rPr>
          </w:pPr>
          <w:r>
            <w:rPr>
              <w:lang w:val="es-ES_tradnl"/>
            </w:rPr>
            <w:t>Suiza</w:t>
          </w:r>
        </w:p>
      </w:tc>
      <w:tc>
        <w:tcPr>
          <w:tcW w:w="1584" w:type="pct"/>
        </w:tcPr>
        <w:p w:rsidR="00901C56" w:rsidRDefault="00901C56">
          <w:pPr>
            <w:pStyle w:val="itu"/>
            <w:rPr>
              <w:lang w:val="es-ES_tradnl"/>
            </w:rPr>
          </w:pPr>
          <w:r>
            <w:rPr>
              <w:lang w:val="es-ES_tradnl"/>
            </w:rPr>
            <w:tab/>
            <w:t>Gr4:</w:t>
          </w:r>
          <w:r>
            <w:rPr>
              <w:lang w:val="es-ES_tradnl"/>
            </w:rPr>
            <w:tab/>
            <w:t>+41 22 730 65 00</w:t>
          </w:r>
        </w:p>
      </w:tc>
      <w:tc>
        <w:tcPr>
          <w:tcW w:w="1223" w:type="pct"/>
        </w:tcPr>
        <w:p w:rsidR="00901C56" w:rsidRDefault="00901C56">
          <w:pPr>
            <w:pStyle w:val="itu"/>
            <w:rPr>
              <w:lang w:val="es-ES_tradnl"/>
            </w:rPr>
          </w:pPr>
        </w:p>
      </w:tc>
      <w:tc>
        <w:tcPr>
          <w:tcW w:w="1131" w:type="pct"/>
        </w:tcPr>
        <w:p w:rsidR="00901C56" w:rsidRDefault="00901C56">
          <w:pPr>
            <w:pStyle w:val="itu"/>
            <w:rPr>
              <w:lang w:val="es-ES_tradnl"/>
            </w:rPr>
          </w:pPr>
        </w:p>
      </w:tc>
    </w:tr>
  </w:tbl>
  <w:p w:rsidR="00901C56" w:rsidRPr="007F1E4E" w:rsidRDefault="00901C56" w:rsidP="00F96264">
    <w:pPr>
      <w:pStyle w:val="Footer"/>
      <w:rPr>
        <w:sz w:val="12"/>
        <w:szCs w:val="12"/>
      </w:rPr>
    </w:pPr>
  </w:p>
  <w:p w:rsidR="00901C56" w:rsidRDefault="00246E67" w:rsidP="007F1E4E">
    <w:pPr>
      <w:pStyle w:val="Footer"/>
    </w:pPr>
    <w:r>
      <w:fldChar w:fldCharType="begin"/>
    </w:r>
    <w:r>
      <w:instrText xml:space="preserve"> FILENAME \p  \* MERGEFORMAT </w:instrText>
    </w:r>
    <w:r>
      <w:fldChar w:fldCharType="separate"/>
    </w:r>
    <w:r>
      <w:t>Y:\APP\BR\CIRCS_DMS\CACE\500\561\561s.docx</w:t>
    </w:r>
    <w:r>
      <w:fldChar w:fldCharType="end"/>
    </w:r>
    <w:r w:rsidR="00901C56">
      <w:t xml:space="preserve"> (321702)</w:t>
    </w:r>
    <w:r w:rsidR="00901C56">
      <w:tab/>
    </w:r>
    <w:r w:rsidR="00901C56">
      <w:fldChar w:fldCharType="begin"/>
    </w:r>
    <w:r w:rsidR="00901C56">
      <w:instrText xml:space="preserve"> SAVEDATE \@ DD.MM.YY </w:instrText>
    </w:r>
    <w:r w:rsidR="00901C56">
      <w:fldChar w:fldCharType="separate"/>
    </w:r>
    <w:r>
      <w:t>29.02.12</w:t>
    </w:r>
    <w:r w:rsidR="00901C56">
      <w:fldChar w:fldCharType="end"/>
    </w:r>
    <w:r w:rsidR="00901C56">
      <w:tab/>
    </w:r>
    <w:r w:rsidR="00901C56">
      <w:fldChar w:fldCharType="begin"/>
    </w:r>
    <w:r w:rsidR="00901C56">
      <w:instrText xml:space="preserve"> PRINTDATE \@ DD.MM.YY </w:instrText>
    </w:r>
    <w:r w:rsidR="00901C56">
      <w:fldChar w:fldCharType="separate"/>
    </w:r>
    <w:r>
      <w:t>29.02.12</w:t>
    </w:r>
    <w:r w:rsidR="00901C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56" w:rsidRDefault="00901C56">
      <w:r>
        <w:t>____________________</w:t>
      </w:r>
    </w:p>
  </w:footnote>
  <w:footnote w:type="continuationSeparator" w:id="0">
    <w:p w:rsidR="00901C56" w:rsidRDefault="00901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56" w:rsidRDefault="00901C5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46E67">
      <w:rPr>
        <w:rStyle w:val="PageNumber"/>
        <w:noProof/>
      </w:rPr>
      <w:t>2</w:t>
    </w:r>
    <w:r>
      <w:rPr>
        <w:rStyle w:val="PageNumber"/>
      </w:rPr>
      <w:fldChar w:fldCharType="end"/>
    </w:r>
    <w:r>
      <w:rPr>
        <w:rStyle w:val="PageNumber"/>
      </w:rPr>
      <w:t xml:space="preserve"> -</w:t>
    </w:r>
  </w:p>
  <w:p w:rsidR="00901C56" w:rsidRPr="00F96264" w:rsidRDefault="00901C56">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CF"/>
    <w:rsid w:val="0000222D"/>
    <w:rsid w:val="00024FA1"/>
    <w:rsid w:val="000B50CF"/>
    <w:rsid w:val="000E41F8"/>
    <w:rsid w:val="0012279D"/>
    <w:rsid w:val="00131358"/>
    <w:rsid w:val="00141ED7"/>
    <w:rsid w:val="00240010"/>
    <w:rsid w:val="00246E67"/>
    <w:rsid w:val="00252549"/>
    <w:rsid w:val="00255D8F"/>
    <w:rsid w:val="00307180"/>
    <w:rsid w:val="00364227"/>
    <w:rsid w:val="003931BB"/>
    <w:rsid w:val="004B22F2"/>
    <w:rsid w:val="004B40F5"/>
    <w:rsid w:val="004F44F1"/>
    <w:rsid w:val="00537708"/>
    <w:rsid w:val="00587D10"/>
    <w:rsid w:val="005B5FE0"/>
    <w:rsid w:val="005C68B5"/>
    <w:rsid w:val="00677940"/>
    <w:rsid w:val="00730758"/>
    <w:rsid w:val="007A11FC"/>
    <w:rsid w:val="007F1E4E"/>
    <w:rsid w:val="00895EC6"/>
    <w:rsid w:val="00901C56"/>
    <w:rsid w:val="00A01CC2"/>
    <w:rsid w:val="00A83D2B"/>
    <w:rsid w:val="00AE07DC"/>
    <w:rsid w:val="00AE4A9C"/>
    <w:rsid w:val="00B547C5"/>
    <w:rsid w:val="00B6629E"/>
    <w:rsid w:val="00BB73E3"/>
    <w:rsid w:val="00BD0273"/>
    <w:rsid w:val="00BD5208"/>
    <w:rsid w:val="00CB6F1A"/>
    <w:rsid w:val="00D04A11"/>
    <w:rsid w:val="00D04C0A"/>
    <w:rsid w:val="00D87A40"/>
    <w:rsid w:val="00DA7A95"/>
    <w:rsid w:val="00DB5328"/>
    <w:rsid w:val="00DF0EBE"/>
    <w:rsid w:val="00E23649"/>
    <w:rsid w:val="00E66913"/>
    <w:rsid w:val="00EE3BD7"/>
    <w:rsid w:val="00F174B4"/>
    <w:rsid w:val="00F41AD1"/>
    <w:rsid w:val="00F921CC"/>
    <w:rsid w:val="00F96264"/>
    <w:rsid w:val="00F965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AnnexNo">
    <w:name w:val="Annex_No"/>
    <w:basedOn w:val="Normal"/>
    <w:rsid w:val="00537708"/>
  </w:style>
  <w:style w:type="character" w:customStyle="1" w:styleId="AnnexNotitleChar">
    <w:name w:val="Annex_No &amp; title Char"/>
    <w:basedOn w:val="DefaultParagraphFont"/>
    <w:link w:val="AnnexNotitle"/>
    <w:rsid w:val="00587D10"/>
    <w:rPr>
      <w:rFonts w:ascii="Times New Roman" w:hAnsi="Times New Roman"/>
      <w:b/>
      <w:sz w:val="28"/>
      <w:lang w:val="es-ES_tradnl" w:eastAsia="en-US"/>
    </w:rPr>
  </w:style>
  <w:style w:type="paragraph" w:customStyle="1" w:styleId="Reasons">
    <w:name w:val="Reasons"/>
    <w:basedOn w:val="Normal"/>
    <w:qFormat/>
    <w:rsid w:val="000E41F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rsid w:val="00EE3BD7"/>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EE3BD7"/>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EE3BD7"/>
    <w:rPr>
      <w:rFonts w:ascii="Times New Roman" w:hAnsi="Times New Roman"/>
      <w:sz w:val="16"/>
      <w:lang w:val="es-ES_tradnl" w:eastAsia="en-US"/>
    </w:rPr>
  </w:style>
  <w:style w:type="character" w:customStyle="1" w:styleId="Heading1Char">
    <w:name w:val="Heading 1 Char"/>
    <w:aliases w:val="Section of paper Char"/>
    <w:basedOn w:val="DefaultParagraphFont"/>
    <w:link w:val="Heading1"/>
    <w:locked/>
    <w:rsid w:val="00EE3BD7"/>
    <w:rPr>
      <w:rFonts w:ascii="Times New Roman" w:hAnsi="Times New Roman"/>
      <w:b/>
      <w:sz w:val="24"/>
      <w:lang w:val="es-ES_tradnl" w:eastAsia="en-US"/>
    </w:rPr>
  </w:style>
  <w:style w:type="character" w:styleId="FollowedHyperlink">
    <w:name w:val="FollowedHyperlink"/>
    <w:basedOn w:val="DefaultParagraphFont"/>
    <w:rsid w:val="00F965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AnnexNo">
    <w:name w:val="Annex_No"/>
    <w:basedOn w:val="Normal"/>
    <w:rsid w:val="00537708"/>
  </w:style>
  <w:style w:type="character" w:customStyle="1" w:styleId="AnnexNotitleChar">
    <w:name w:val="Annex_No &amp; title Char"/>
    <w:basedOn w:val="DefaultParagraphFont"/>
    <w:link w:val="AnnexNotitle"/>
    <w:rsid w:val="00587D10"/>
    <w:rPr>
      <w:rFonts w:ascii="Times New Roman" w:hAnsi="Times New Roman"/>
      <w:b/>
      <w:sz w:val="28"/>
      <w:lang w:val="es-ES_tradnl" w:eastAsia="en-US"/>
    </w:rPr>
  </w:style>
  <w:style w:type="paragraph" w:customStyle="1" w:styleId="Reasons">
    <w:name w:val="Reasons"/>
    <w:basedOn w:val="Normal"/>
    <w:qFormat/>
    <w:rsid w:val="000E41F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rsid w:val="00EE3BD7"/>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EE3BD7"/>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EE3BD7"/>
    <w:rPr>
      <w:rFonts w:ascii="Times New Roman" w:hAnsi="Times New Roman"/>
      <w:sz w:val="16"/>
      <w:lang w:val="es-ES_tradnl" w:eastAsia="en-US"/>
    </w:rPr>
  </w:style>
  <w:style w:type="character" w:customStyle="1" w:styleId="Heading1Char">
    <w:name w:val="Heading 1 Char"/>
    <w:aliases w:val="Section of paper Char"/>
    <w:basedOn w:val="DefaultParagraphFont"/>
    <w:link w:val="Heading1"/>
    <w:locked/>
    <w:rsid w:val="00EE3BD7"/>
    <w:rPr>
      <w:rFonts w:ascii="Times New Roman" w:hAnsi="Times New Roman"/>
      <w:b/>
      <w:sz w:val="24"/>
      <w:lang w:val="es-ES_tradnl" w:eastAsia="en-US"/>
    </w:rPr>
  </w:style>
  <w:style w:type="character" w:styleId="FollowedHyperlink">
    <w:name w:val="FollowedHyperlink"/>
    <w:basedOn w:val="DefaultParagraphFont"/>
    <w:rsid w:val="00F96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helpdesk@itu.int" TargetMode="External"/><Relationship Id="rId18" Type="http://schemas.openxmlformats.org/officeDocument/2006/relationships/hyperlink" Target="http://www.itu.int/md/R07-WP1B-C-0307/en"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itu.int/md/R07-WP1B-C-0307/en" TargetMode="External"/><Relationship Id="rId7" Type="http://schemas.openxmlformats.org/officeDocument/2006/relationships/endnotes" Target="endnotes.xml"/><Relationship Id="rId12" Type="http://schemas.openxmlformats.org/officeDocument/2006/relationships/hyperlink" Target="http://www.itu.int/md/R12-SG01-C/en" TargetMode="External"/><Relationship Id="rId17" Type="http://schemas.openxmlformats.org/officeDocument/2006/relationships/hyperlink" Target="http://www.itu.int/md/R07-WP1A-C-0379/en" TargetMode="External"/><Relationship Id="rId25" Type="http://schemas.openxmlformats.org/officeDocument/2006/relationships/hyperlink" Target="http://www.itu.int/md/R07-WP1C-C-0159/en" TargetMode="External"/><Relationship Id="rId2" Type="http://schemas.openxmlformats.org/officeDocument/2006/relationships/styles" Target="styles.xml"/><Relationship Id="rId16" Type="http://schemas.openxmlformats.org/officeDocument/2006/relationships/hyperlink" Target="http://www.itu.int/md/R07-SG01-C-0181/en" TargetMode="External"/><Relationship Id="rId20" Type="http://schemas.openxmlformats.org/officeDocument/2006/relationships/hyperlink" Target="http://www.itu.int/md/R07-WP1B-C-0307/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n.as/itu.int/b6udzm" TargetMode="External"/><Relationship Id="rId24" Type="http://schemas.openxmlformats.org/officeDocument/2006/relationships/hyperlink" Target="http://www.itu.int/md/R07-WP1C-C-0159/en" TargetMode="External"/><Relationship Id="rId5" Type="http://schemas.openxmlformats.org/officeDocument/2006/relationships/webSettings" Target="webSettings.xml"/><Relationship Id="rId15" Type="http://schemas.openxmlformats.org/officeDocument/2006/relationships/hyperlink" Target="http://www.itu.int/travel/index.html" TargetMode="External"/><Relationship Id="rId23" Type="http://schemas.openxmlformats.org/officeDocument/2006/relationships/hyperlink" Target="http://www.itu.int/md/R07-WP1C-C-0159/en" TargetMode="External"/><Relationship Id="rId28" Type="http://schemas.openxmlformats.org/officeDocument/2006/relationships/footer" Target="footer2.xml"/><Relationship Id="rId10" Type="http://schemas.openxmlformats.org/officeDocument/2006/relationships/hyperlink" Target="mailto:rsg1@itu.int" TargetMode="External"/><Relationship Id="rId19" Type="http://schemas.openxmlformats.org/officeDocument/2006/relationships/hyperlink" Target="http://www.itu.int/md/R07-WP1B-C-0307/en" TargetMode="External"/><Relationship Id="rId4" Type="http://schemas.openxmlformats.org/officeDocument/2006/relationships/settings" Target="settings.xml"/><Relationship Id="rId9" Type="http://schemas.openxmlformats.org/officeDocument/2006/relationships/hyperlink" Target="http://www.itu.int/md/R00-SG01-CIR-0092/en" TargetMode="External"/><Relationship Id="rId14" Type="http://schemas.openxmlformats.org/officeDocument/2006/relationships/hyperlink" Target="mailto:rsg1@itu.int" TargetMode="External"/><Relationship Id="rId22" Type="http://schemas.openxmlformats.org/officeDocument/2006/relationships/hyperlink" Target="http://www.itu.int/md/R07-WP1C-C-0159/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8BA2-E333-4116-B35F-3AD75C8F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42</TotalTime>
  <Pages>6</Pages>
  <Words>1912</Words>
  <Characters>11216</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UNIÓN INTERNACIONAL DE TELECOMUNICACIONES</vt:lpstr>
      <vt:lpstr>1	Introducción</vt:lpstr>
      <vt:lpstr>2	Programa de la reunión</vt:lpstr>
      <vt:lpstr>    2.1	Adopción de proyectos de Recomendaciones durante la reunión de la Comisión d</vt:lpstr>
      <vt:lpstr>    2.2	Adopción de proyectos de Recomendaciones por la Comisión de Estudio por corr</vt:lpstr>
      <vt:lpstr>    2.3	Decisión sobre el procedimiento de aprobación</vt:lpstr>
      <vt:lpstr>3	Contribuciones</vt:lpstr>
      <vt:lpstr>4	Documentos</vt:lpstr>
      <vt:lpstr>5	Interpretación</vt:lpstr>
    </vt:vector>
  </TitlesOfParts>
  <Company>ITU</Company>
  <LinksUpToDate>false</LinksUpToDate>
  <CharactersWithSpaces>13102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Hernandez, Felipe</dc:creator>
  <cp:keywords/>
  <dc:description/>
  <cp:lastModifiedBy>detraz</cp:lastModifiedBy>
  <cp:revision>20</cp:revision>
  <cp:lastPrinted>2012-02-29T15:55:00Z</cp:lastPrinted>
  <dcterms:created xsi:type="dcterms:W3CDTF">2012-02-27T13:01:00Z</dcterms:created>
  <dcterms:modified xsi:type="dcterms:W3CDTF">2012-02-29T15:59:00Z</dcterms:modified>
</cp:coreProperties>
</file>