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6A7D1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  <w:lang w:val="fr-FR"/>
              </w:rPr>
              <w:t>CACE</w:t>
            </w:r>
            <w:proofErr w:type="spellEnd"/>
            <w:r>
              <w:rPr>
                <w:b/>
                <w:bCs/>
                <w:lang w:val="fr-FR"/>
              </w:rPr>
              <w:t>/</w:t>
            </w:r>
            <w:r w:rsidR="00837745">
              <w:rPr>
                <w:b/>
                <w:bCs/>
                <w:lang w:val="fr-FR"/>
              </w:rPr>
              <w:t>5</w:t>
            </w:r>
            <w:r w:rsidR="00487C58">
              <w:rPr>
                <w:b/>
                <w:bCs/>
                <w:lang w:val="fr-FR"/>
              </w:rPr>
              <w:t>55</w:t>
            </w:r>
          </w:p>
        </w:tc>
        <w:tc>
          <w:tcPr>
            <w:tcW w:w="7077" w:type="dxa"/>
          </w:tcPr>
          <w:p w:rsidR="00920474" w:rsidRPr="00D06B36" w:rsidRDefault="0090584A" w:rsidP="00487C58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 w:rsidRPr="0090584A">
              <w:rPr>
                <w:bCs/>
                <w:lang w:val="fr-FR"/>
              </w:rPr>
              <w:t>1</w:t>
            </w:r>
            <w:r w:rsidR="00487C58">
              <w:rPr>
                <w:bCs/>
                <w:lang w:val="fr-FR"/>
              </w:rPr>
              <w:t>3</w:t>
            </w:r>
            <w:r w:rsidRPr="0090584A">
              <w:rPr>
                <w:bCs/>
                <w:lang w:val="fr-FR"/>
              </w:rPr>
              <w:t xml:space="preserve"> </w:t>
            </w:r>
            <w:proofErr w:type="gramStart"/>
            <w:r w:rsidRPr="0090584A">
              <w:rPr>
                <w:bCs/>
                <w:lang w:val="fr-FR"/>
              </w:rPr>
              <w:t xml:space="preserve">de </w:t>
            </w:r>
            <w:proofErr w:type="spellStart"/>
            <w:r w:rsidR="00487C58">
              <w:rPr>
                <w:bCs/>
                <w:lang w:val="fr-FR"/>
              </w:rPr>
              <w:t>ener</w:t>
            </w:r>
            <w:r w:rsidRPr="0090584A">
              <w:rPr>
                <w:bCs/>
                <w:lang w:val="fr-FR"/>
              </w:rPr>
              <w:t>o</w:t>
            </w:r>
            <w:proofErr w:type="spellEnd"/>
            <w:proofErr w:type="gramEnd"/>
            <w:r w:rsidRPr="0090584A">
              <w:rPr>
                <w:bCs/>
                <w:lang w:val="fr-FR"/>
              </w:rPr>
              <w:t xml:space="preserve"> de 201</w:t>
            </w:r>
            <w:r w:rsidR="00487C58">
              <w:rPr>
                <w:bCs/>
                <w:lang w:val="fr-FR"/>
              </w:rPr>
              <w:t>2</w:t>
            </w:r>
          </w:p>
        </w:tc>
      </w:tr>
    </w:tbl>
    <w:p w:rsidR="00920474" w:rsidRPr="00F96264" w:rsidRDefault="00920474" w:rsidP="00EF1954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487C58">
        <w:rPr>
          <w:b/>
        </w:rPr>
        <w:t>articipan en los trabajos de la </w:t>
      </w:r>
      <w:r>
        <w:rPr>
          <w:b/>
        </w:rPr>
        <w:t xml:space="preserve">Comisión </w:t>
      </w:r>
      <w:r w:rsidRPr="00525056">
        <w:rPr>
          <w:b/>
        </w:rPr>
        <w:t xml:space="preserve">de Estudio </w:t>
      </w:r>
      <w:r w:rsidR="00487C58">
        <w:rPr>
          <w:b/>
        </w:rPr>
        <w:t>4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 xml:space="preserve">caciones y </w:t>
      </w:r>
      <w:r w:rsidR="00EF1954">
        <w:rPr>
          <w:b/>
        </w:rPr>
        <w:t xml:space="preserve">a </w:t>
      </w:r>
      <w:r w:rsidR="00EF1954">
        <w:rPr>
          <w:b/>
        </w:rPr>
        <w:br/>
        <w:t>los Sectores académicos</w:t>
      </w:r>
      <w:r w:rsidR="006A7D1D">
        <w:rPr>
          <w:b/>
        </w:rPr>
        <w:t xml:space="preserve"> del UIT-R</w:t>
      </w:r>
    </w:p>
    <w:p w:rsidR="00920474" w:rsidRPr="00EF1954" w:rsidRDefault="00920474" w:rsidP="00487C5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EF1954">
        <w:rPr>
          <w:b/>
          <w:bCs/>
        </w:rPr>
        <w:t xml:space="preserve">Comisión de Estudio </w:t>
      </w:r>
      <w:r w:rsidR="00487C58" w:rsidRPr="00EF1954">
        <w:rPr>
          <w:b/>
          <w:bCs/>
        </w:rPr>
        <w:t>4</w:t>
      </w:r>
      <w:r w:rsidRPr="00EF1954">
        <w:rPr>
          <w:b/>
          <w:bCs/>
        </w:rPr>
        <w:t xml:space="preserve"> de Radiocomunicaciones</w:t>
      </w:r>
      <w:r w:rsidR="006A7D1D" w:rsidRPr="00EF1954">
        <w:rPr>
          <w:b/>
          <w:bCs/>
        </w:rPr>
        <w:t xml:space="preserve"> (</w:t>
      </w:r>
      <w:r w:rsidR="00487C58" w:rsidRPr="00EF1954">
        <w:rPr>
          <w:b/>
          <w:bCs/>
          <w:szCs w:val="24"/>
        </w:rPr>
        <w:t>Servicios por satélite</w:t>
      </w:r>
      <w:r w:rsidR="006A7D1D" w:rsidRPr="00EF1954">
        <w:rPr>
          <w:b/>
          <w:bCs/>
        </w:rPr>
        <w:t>)</w:t>
      </w:r>
    </w:p>
    <w:p w:rsidR="00920474" w:rsidRPr="00EF1954" w:rsidRDefault="00920474" w:rsidP="00487C5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EF1954">
        <w:rPr>
          <w:b/>
          <w:bCs/>
        </w:rPr>
        <w:tab/>
        <w:t>–</w:t>
      </w:r>
      <w:r w:rsidRPr="00EF1954">
        <w:rPr>
          <w:b/>
          <w:bCs/>
        </w:rPr>
        <w:tab/>
        <w:t xml:space="preserve">Aprobación </w:t>
      </w:r>
      <w:r w:rsidR="006700E2" w:rsidRPr="00EF1954">
        <w:rPr>
          <w:b/>
          <w:bCs/>
        </w:rPr>
        <w:t xml:space="preserve">de </w:t>
      </w:r>
      <w:r w:rsidR="00487C58" w:rsidRPr="00EF1954">
        <w:rPr>
          <w:b/>
          <w:bCs/>
        </w:rPr>
        <w:t>6</w:t>
      </w:r>
      <w:r w:rsidR="006A7D1D" w:rsidRPr="00EF1954">
        <w:rPr>
          <w:b/>
          <w:bCs/>
        </w:rPr>
        <w:t xml:space="preserve"> </w:t>
      </w:r>
      <w:r w:rsidR="00F80858" w:rsidRPr="00EF1954">
        <w:rPr>
          <w:b/>
          <w:bCs/>
        </w:rPr>
        <w:t>Recomendacio</w:t>
      </w:r>
      <w:r w:rsidR="00215B67" w:rsidRPr="00EF1954">
        <w:rPr>
          <w:b/>
          <w:bCs/>
        </w:rPr>
        <w:t xml:space="preserve">nes </w:t>
      </w:r>
      <w:r w:rsidR="006A7D1D" w:rsidRPr="00EF1954">
        <w:rPr>
          <w:b/>
          <w:bCs/>
        </w:rPr>
        <w:t xml:space="preserve">nuevas y </w:t>
      </w:r>
      <w:r w:rsidR="00487C58" w:rsidRPr="00EF1954">
        <w:rPr>
          <w:b/>
          <w:bCs/>
        </w:rPr>
        <w:t>6</w:t>
      </w:r>
      <w:r w:rsidR="006A7D1D" w:rsidRPr="00EF1954">
        <w:rPr>
          <w:b/>
          <w:bCs/>
        </w:rPr>
        <w:t xml:space="preserve"> Recomendaciones </w:t>
      </w:r>
      <w:r w:rsidR="007F1851" w:rsidRPr="00EF1954">
        <w:rPr>
          <w:b/>
          <w:bCs/>
        </w:rPr>
        <w:t>revisadas</w:t>
      </w:r>
    </w:p>
    <w:p w:rsidR="00920474" w:rsidRPr="004D1D7C" w:rsidRDefault="00920474" w:rsidP="00487C58">
      <w:pPr>
        <w:pStyle w:val="Normalaftertitle0"/>
        <w:spacing w:before="480"/>
      </w:pPr>
      <w:r w:rsidRPr="004D1D7C">
        <w:t>Mediante la Circular Administrativa CAR/</w:t>
      </w:r>
      <w:r w:rsidR="00487C58">
        <w:t>322</w:t>
      </w:r>
      <w:r w:rsidRPr="004D1D7C">
        <w:t xml:space="preserve">, de fecha </w:t>
      </w:r>
      <w:r w:rsidR="00487C58">
        <w:t>12</w:t>
      </w:r>
      <w:r w:rsidR="006700E2">
        <w:t xml:space="preserve"> </w:t>
      </w:r>
      <w:r w:rsidR="00B8402D">
        <w:t xml:space="preserve">de </w:t>
      </w:r>
      <w:r w:rsidR="00487C58">
        <w:t>octubre</w:t>
      </w:r>
      <w:r w:rsidR="006A7D1D">
        <w:t xml:space="preserve"> </w:t>
      </w:r>
      <w:r w:rsidR="00837745">
        <w:t>de 201</w:t>
      </w:r>
      <w:r w:rsidR="006A7D1D">
        <w:t>1</w:t>
      </w:r>
      <w:r w:rsidR="006700E2">
        <w:t xml:space="preserve">, </w:t>
      </w:r>
      <w:r w:rsidR="00487C58">
        <w:t>6</w:t>
      </w:r>
      <w:r w:rsidR="00F80858">
        <w:t xml:space="preserve"> proyectos de </w:t>
      </w:r>
      <w:r w:rsidR="006A7D1D">
        <w:t xml:space="preserve">nuevas </w:t>
      </w:r>
      <w:r w:rsidR="00F80858">
        <w:t>Recomendaci</w:t>
      </w:r>
      <w:r w:rsidR="006A7D1D">
        <w:t>ones</w:t>
      </w:r>
      <w:r w:rsidR="00215B67">
        <w:t xml:space="preserve"> </w:t>
      </w:r>
      <w:r w:rsidR="006A7D1D">
        <w:t xml:space="preserve">y </w:t>
      </w:r>
      <w:r w:rsidR="00487C58">
        <w:t>6</w:t>
      </w:r>
      <w:r w:rsidR="006A7D1D">
        <w:t xml:space="preserve"> proyectos de Recomendaciones revisadas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  <w:r w:rsidR="006700E2" w:rsidRPr="006700E2">
        <w:t xml:space="preserve"> </w:t>
      </w:r>
    </w:p>
    <w:p w:rsidR="00920474" w:rsidRPr="004D1D7C" w:rsidRDefault="00920474" w:rsidP="00487C58">
      <w:pPr>
        <w:spacing w:before="136" w:line="240" w:lineRule="atLeast"/>
        <w:ind w:right="-51"/>
      </w:pPr>
      <w:r w:rsidRPr="004D1D7C">
        <w:t xml:space="preserve">El </w:t>
      </w:r>
      <w:r w:rsidR="00487C58">
        <w:t>12</w:t>
      </w:r>
      <w:r w:rsidR="006700E2">
        <w:t xml:space="preserve"> de </w:t>
      </w:r>
      <w:r w:rsidR="00487C58">
        <w:t>ener</w:t>
      </w:r>
      <w:r w:rsidR="00B4583A">
        <w:t>o</w:t>
      </w:r>
      <w:r w:rsidR="00487C58">
        <w:t xml:space="preserve"> de 2012</w:t>
      </w:r>
      <w:r w:rsidRPr="004D1D7C">
        <w:t xml:space="preserve"> quedaron satisfechas las condiciones de dicho procedimiento. </w:t>
      </w:r>
    </w:p>
    <w:p w:rsidR="00920474" w:rsidRPr="004D1D7C" w:rsidRDefault="00920474" w:rsidP="006A7D1D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  <w:r w:rsidR="007312BA" w:rsidRPr="007312BA">
        <w:t xml:space="preserve"> </w:t>
      </w:r>
    </w:p>
    <w:p w:rsidR="00920474" w:rsidRPr="00CD1F0D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D1F0D">
        <w:tab/>
      </w:r>
      <w:r w:rsidR="00837745">
        <w:t xml:space="preserve">François </w:t>
      </w:r>
      <w:proofErr w:type="spellStart"/>
      <w:r w:rsidR="00837745">
        <w:t>Rancy</w:t>
      </w:r>
      <w:proofErr w:type="spellEnd"/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272F0B" w:rsidRDefault="00272F0B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272F0B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</w:t>
      </w:r>
      <w:r w:rsidR="007312BA">
        <w:rPr>
          <w:b/>
        </w:rPr>
        <w:t>s</w:t>
      </w:r>
      <w:r>
        <w:rPr>
          <w:b/>
        </w:rPr>
        <w:t>:</w:t>
      </w:r>
      <w:r w:rsidR="007312BA">
        <w:t xml:space="preserve"> </w:t>
      </w:r>
      <w:r w:rsidR="007312BA">
        <w:tab/>
      </w:r>
      <w:r w:rsidR="00272F0B">
        <w:t>1</w:t>
      </w: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920474" w:rsidRPr="00EF1954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EF1954">
        <w:rPr>
          <w:sz w:val="18"/>
          <w:szCs w:val="18"/>
          <w:u w:val="single"/>
        </w:rPr>
        <w:t>Distribución: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Administraciones de los Estados Miembros y Miembros del Sector de Radiocomunicaciones</w:t>
      </w:r>
      <w:r w:rsidR="006A7D1D">
        <w:rPr>
          <w:sz w:val="18"/>
          <w:szCs w:val="18"/>
        </w:rPr>
        <w:t xml:space="preserve"> que participan en los trab</w:t>
      </w:r>
      <w:r w:rsidR="00487C58">
        <w:rPr>
          <w:sz w:val="18"/>
          <w:szCs w:val="18"/>
        </w:rPr>
        <w:t>ajos de la Comisión de Estudio 4</w:t>
      </w:r>
      <w:r w:rsidR="006A7D1D">
        <w:rPr>
          <w:sz w:val="18"/>
          <w:szCs w:val="18"/>
        </w:rPr>
        <w:t xml:space="preserve"> de Radiocomunicaciones</w:t>
      </w:r>
    </w:p>
    <w:p w:rsidR="00920474" w:rsidRDefault="00920474" w:rsidP="006454D3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Asociados del UIT-R que participan en los trab</w:t>
      </w:r>
      <w:r w:rsidR="007312BA" w:rsidRPr="00B4583A">
        <w:rPr>
          <w:sz w:val="18"/>
          <w:szCs w:val="18"/>
        </w:rPr>
        <w:t xml:space="preserve">ajos de la Comisión de Estudio </w:t>
      </w:r>
      <w:r w:rsidR="00487C58">
        <w:rPr>
          <w:sz w:val="18"/>
          <w:szCs w:val="18"/>
        </w:rPr>
        <w:t>4</w:t>
      </w:r>
      <w:r w:rsidRPr="00B4583A">
        <w:rPr>
          <w:sz w:val="18"/>
          <w:szCs w:val="18"/>
        </w:rPr>
        <w:t xml:space="preserve"> de </w:t>
      </w:r>
      <w:r w:rsidRPr="00B4583A">
        <w:rPr>
          <w:bCs/>
          <w:sz w:val="18"/>
          <w:szCs w:val="18"/>
        </w:rPr>
        <w:t>Radiocomunicaciones</w:t>
      </w:r>
    </w:p>
    <w:p w:rsidR="006A7D1D" w:rsidRPr="00B4583A" w:rsidRDefault="006A7D1D" w:rsidP="00EF195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 w:rsidR="00EF1954">
        <w:rPr>
          <w:sz w:val="18"/>
          <w:szCs w:val="18"/>
        </w:rPr>
        <w:t>Sectores académicos</w:t>
      </w:r>
      <w:r>
        <w:rPr>
          <w:sz w:val="18"/>
          <w:szCs w:val="18"/>
        </w:rPr>
        <w:t xml:space="preserve"> del UIT-R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 y Vicepresidentes de la Reunión Preparatoria de la Conferencia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Miembros de la Junta del Reglamento de 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5F2C6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 w:rsidP="00B4583A"/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3104C5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UIT-R M.1901</w:t>
      </w:r>
      <w:r w:rsidRPr="007C6DFA">
        <w:rPr>
          <w:lang w:val="es-ES"/>
        </w:rPr>
        <w:tab/>
        <w:t>Doc. 4/</w:t>
      </w:r>
      <w:proofErr w:type="spellStart"/>
      <w:r w:rsidRPr="007C6DFA">
        <w:rPr>
          <w:lang w:val="es-ES"/>
        </w:rPr>
        <w:t>BL</w:t>
      </w:r>
      <w:proofErr w:type="spellEnd"/>
      <w:r w:rsidRPr="007C6DFA">
        <w:rPr>
          <w:lang w:val="es-ES"/>
        </w:rPr>
        <w:t>/14</w:t>
      </w:r>
    </w:p>
    <w:p w:rsidR="009E459E" w:rsidRDefault="009E459E" w:rsidP="009E459E">
      <w:pPr>
        <w:pStyle w:val="Rectitle"/>
        <w:spacing w:before="240"/>
        <w:rPr>
          <w:lang w:val="es-ES"/>
        </w:rPr>
      </w:pPr>
      <w:r w:rsidRPr="003B68F3">
        <w:rPr>
          <w:lang w:val="es-ES"/>
        </w:rPr>
        <w:t>Directrices sobre Recomendaciones del UIT-R relativas a sistemas y redes del servicio de radionavegación por satélite que funcionan en las bandas de frecuencias 1 164</w:t>
      </w:r>
      <w:r>
        <w:rPr>
          <w:lang w:val="es-ES"/>
        </w:rPr>
        <w:noBreakHyphen/>
      </w:r>
      <w:r w:rsidRPr="003B68F3">
        <w:rPr>
          <w:lang w:val="es-ES"/>
        </w:rPr>
        <w:t>1 215 MHz, 1 215</w:t>
      </w:r>
      <w:r>
        <w:rPr>
          <w:lang w:val="es-ES"/>
        </w:rPr>
        <w:noBreakHyphen/>
      </w:r>
      <w:r w:rsidRPr="003B68F3">
        <w:rPr>
          <w:lang w:val="es-ES"/>
        </w:rPr>
        <w:t>1 300 MHz, 1 559</w:t>
      </w:r>
      <w:r>
        <w:rPr>
          <w:lang w:val="es-ES"/>
        </w:rPr>
        <w:noBreakHyphen/>
      </w:r>
      <w:r w:rsidRPr="003B68F3">
        <w:rPr>
          <w:lang w:val="es-ES"/>
        </w:rPr>
        <w:t>1 610 MHz, 5</w:t>
      </w:r>
      <w:r>
        <w:rPr>
          <w:lang w:val="es-ES"/>
        </w:rPr>
        <w:t> </w:t>
      </w:r>
      <w:r w:rsidRPr="003B68F3">
        <w:rPr>
          <w:lang w:val="es-ES"/>
        </w:rPr>
        <w:t>000</w:t>
      </w:r>
      <w:r>
        <w:rPr>
          <w:lang w:val="es-ES"/>
        </w:rPr>
        <w:noBreakHyphen/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010</w:t>
      </w:r>
      <w:r>
        <w:rPr>
          <w:lang w:val="es-ES"/>
        </w:rPr>
        <w:t> </w:t>
      </w:r>
      <w:r w:rsidRPr="003B68F3">
        <w:rPr>
          <w:lang w:val="es-ES"/>
        </w:rPr>
        <w:t>MHz</w:t>
      </w:r>
      <w:r>
        <w:rPr>
          <w:lang w:val="es-ES"/>
        </w:rPr>
        <w:t xml:space="preserve"> y </w:t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</w:t>
      </w:r>
      <w:r>
        <w:rPr>
          <w:lang w:val="es-ES"/>
        </w:rPr>
        <w:t>1</w:t>
      </w:r>
      <w:r w:rsidRPr="003B68F3">
        <w:rPr>
          <w:lang w:val="es-ES"/>
        </w:rPr>
        <w:t>0</w:t>
      </w:r>
      <w:r>
        <w:rPr>
          <w:lang w:val="es-ES"/>
        </w:rPr>
        <w:noBreakHyphen/>
      </w:r>
      <w:r w:rsidRPr="003B68F3">
        <w:rPr>
          <w:lang w:val="es-ES"/>
        </w:rPr>
        <w:t>5</w:t>
      </w:r>
      <w:r>
        <w:rPr>
          <w:lang w:val="es-ES"/>
        </w:rPr>
        <w:t> </w:t>
      </w:r>
      <w:r w:rsidRPr="003B68F3">
        <w:rPr>
          <w:lang w:val="es-ES"/>
        </w:rPr>
        <w:t>0</w:t>
      </w:r>
      <w:r>
        <w:rPr>
          <w:lang w:val="es-ES"/>
        </w:rPr>
        <w:t>3</w:t>
      </w:r>
      <w:r w:rsidRPr="003B68F3">
        <w:rPr>
          <w:lang w:val="es-ES"/>
        </w:rPr>
        <w:t>0</w:t>
      </w:r>
      <w:r>
        <w:rPr>
          <w:lang w:val="es-ES"/>
        </w:rPr>
        <w:t> </w:t>
      </w:r>
      <w:r w:rsidRPr="003B68F3">
        <w:rPr>
          <w:lang w:val="es-ES"/>
        </w:rPr>
        <w:t>MHz</w:t>
      </w:r>
    </w:p>
    <w:p w:rsidR="009E459E" w:rsidRPr="008F33D7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8F33D7">
        <w:rPr>
          <w:u w:val="single"/>
          <w:lang w:val="es-ES"/>
        </w:rPr>
        <w:t>Recomendación UIT-R M.</w:t>
      </w:r>
      <w:r>
        <w:rPr>
          <w:u w:val="single"/>
          <w:lang w:val="es-ES"/>
        </w:rPr>
        <w:t>1902</w:t>
      </w:r>
      <w:r>
        <w:rPr>
          <w:lang w:val="es-ES"/>
        </w:rPr>
        <w:tab/>
      </w:r>
      <w:r w:rsidRPr="008F33D7">
        <w:rPr>
          <w:lang w:val="es-ES"/>
        </w:rPr>
        <w:t>Doc. 4/</w:t>
      </w:r>
      <w:proofErr w:type="spellStart"/>
      <w:r w:rsidRPr="008F33D7">
        <w:rPr>
          <w:lang w:val="es-ES"/>
        </w:rPr>
        <w:t>BL</w:t>
      </w:r>
      <w:proofErr w:type="spellEnd"/>
      <w:r w:rsidRPr="008F33D7">
        <w:rPr>
          <w:lang w:val="es-ES"/>
        </w:rPr>
        <w:t>/15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que funcionan </w:t>
      </w:r>
      <w:r>
        <w:rPr>
          <w:lang w:val="es-ES"/>
        </w:rPr>
        <w:br/>
      </w:r>
      <w:r w:rsidRPr="008F33D7">
        <w:rPr>
          <w:lang w:val="es-ES"/>
        </w:rPr>
        <w:t>en la banda de 1 215</w:t>
      </w:r>
      <w:r>
        <w:rPr>
          <w:lang w:val="es-ES"/>
        </w:rPr>
        <w:noBreakHyphen/>
      </w:r>
      <w:r w:rsidRPr="008F33D7">
        <w:rPr>
          <w:lang w:val="es-ES"/>
        </w:rPr>
        <w:t>1 300 MHz</w:t>
      </w:r>
    </w:p>
    <w:p w:rsidR="009E459E" w:rsidRPr="008F33D7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8F33D7">
        <w:rPr>
          <w:u w:val="single"/>
          <w:lang w:val="es-ES"/>
        </w:rPr>
        <w:t>Recomendación UIT-R M.</w:t>
      </w:r>
      <w:r>
        <w:rPr>
          <w:u w:val="single"/>
          <w:lang w:val="es-ES"/>
        </w:rPr>
        <w:t>1903</w:t>
      </w:r>
      <w:r w:rsidRPr="008F33D7">
        <w:rPr>
          <w:lang w:val="es-ES"/>
        </w:rPr>
        <w:tab/>
        <w:t>Doc. 4/</w:t>
      </w:r>
      <w:proofErr w:type="spellStart"/>
      <w:r w:rsidRPr="008F33D7">
        <w:rPr>
          <w:lang w:val="es-ES"/>
        </w:rPr>
        <w:t>BL</w:t>
      </w:r>
      <w:proofErr w:type="spellEnd"/>
      <w:r w:rsidRPr="008F33D7">
        <w:rPr>
          <w:lang w:val="es-ES"/>
        </w:rPr>
        <w:t>/16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</w:t>
      </w:r>
      <w:r>
        <w:rPr>
          <w:lang w:val="es-ES"/>
        </w:rPr>
        <w:t>de las</w:t>
      </w:r>
      <w:r w:rsidRPr="008F33D7">
        <w:rPr>
          <w:lang w:val="es-ES"/>
        </w:rPr>
        <w:t xml:space="preserve">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y </w:t>
      </w:r>
      <w:r>
        <w:rPr>
          <w:lang w:val="es-ES"/>
        </w:rPr>
        <w:t xml:space="preserve">de los </w:t>
      </w:r>
      <w:r>
        <w:rPr>
          <w:lang w:val="es-ES"/>
        </w:rPr>
        <w:br/>
      </w:r>
      <w:r w:rsidRPr="008F33D7">
        <w:rPr>
          <w:lang w:val="es-ES"/>
        </w:rPr>
        <w:t>receptores</w:t>
      </w:r>
      <w:r>
        <w:rPr>
          <w:lang w:val="es-ES"/>
        </w:rPr>
        <w:t xml:space="preserve"> del servicio de</w:t>
      </w:r>
      <w:r w:rsidRPr="008F33D7">
        <w:rPr>
          <w:lang w:val="es-ES"/>
        </w:rPr>
        <w:t xml:space="preserve"> radionavegación aeronáutica </w:t>
      </w:r>
      <w:r>
        <w:rPr>
          <w:lang w:val="es-ES"/>
        </w:rPr>
        <w:br/>
      </w:r>
      <w:r w:rsidRPr="008F33D7">
        <w:rPr>
          <w:lang w:val="es-ES"/>
        </w:rPr>
        <w:t xml:space="preserve">que funcionan en la banda 1 559-1 610 MHz </w:t>
      </w:r>
    </w:p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5C345A">
        <w:rPr>
          <w:u w:val="single"/>
          <w:lang w:val="es-ES"/>
        </w:rPr>
        <w:t>Recomendación UIT-R M.</w:t>
      </w:r>
      <w:r>
        <w:rPr>
          <w:u w:val="single"/>
          <w:lang w:val="es-ES"/>
        </w:rPr>
        <w:t>1904</w:t>
      </w:r>
      <w:r w:rsidRPr="007C6DFA">
        <w:rPr>
          <w:lang w:val="es-ES"/>
        </w:rPr>
        <w:tab/>
        <w:t>Doc. 4/</w:t>
      </w:r>
      <w:proofErr w:type="spellStart"/>
      <w:r w:rsidRPr="007C6DFA">
        <w:rPr>
          <w:lang w:val="es-ES"/>
        </w:rPr>
        <w:t>BL</w:t>
      </w:r>
      <w:proofErr w:type="spellEnd"/>
      <w:r w:rsidRPr="007C6DFA">
        <w:rPr>
          <w:lang w:val="es-ES"/>
        </w:rPr>
        <w:t>/17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Características, requisitos de calidad de funcionamiento y criterios de protección </w:t>
      </w:r>
      <w:r>
        <w:rPr>
          <w:lang w:val="es-ES"/>
        </w:rPr>
        <w:t>de</w:t>
      </w:r>
      <w:r w:rsidRPr="008F33D7">
        <w:rPr>
          <w:lang w:val="es-ES"/>
        </w:rPr>
        <w:t xml:space="preserve"> las estaciones receptoras del servicio de radionavegación</w:t>
      </w:r>
      <w:r>
        <w:rPr>
          <w:lang w:val="es-ES"/>
        </w:rPr>
        <w:br/>
      </w:r>
      <w:r w:rsidRPr="008F33D7">
        <w:rPr>
          <w:lang w:val="es-ES"/>
        </w:rPr>
        <w:t>por satélite (espacio-espacio) que funcionan en las bandas</w:t>
      </w:r>
      <w:r>
        <w:rPr>
          <w:lang w:val="es-ES"/>
        </w:rPr>
        <w:br/>
      </w:r>
      <w:r w:rsidRPr="008F33D7">
        <w:rPr>
          <w:lang w:val="es-ES"/>
        </w:rPr>
        <w:t>de frecuencias 1</w:t>
      </w:r>
      <w:r>
        <w:rPr>
          <w:lang w:val="es-ES"/>
        </w:rPr>
        <w:t> </w:t>
      </w:r>
      <w:r w:rsidRPr="008F33D7">
        <w:rPr>
          <w:lang w:val="es-ES"/>
        </w:rPr>
        <w:t>164</w:t>
      </w:r>
      <w:r>
        <w:rPr>
          <w:lang w:val="es-ES"/>
        </w:rPr>
        <w:noBreakHyphen/>
      </w:r>
      <w:r w:rsidRPr="008F33D7">
        <w:rPr>
          <w:lang w:val="es-ES"/>
        </w:rPr>
        <w:t>1</w:t>
      </w:r>
      <w:r>
        <w:rPr>
          <w:lang w:val="es-ES"/>
        </w:rPr>
        <w:t> </w:t>
      </w:r>
      <w:r w:rsidRPr="008F33D7">
        <w:rPr>
          <w:lang w:val="es-ES"/>
        </w:rPr>
        <w:t>215 MHz, 1 215</w:t>
      </w:r>
      <w:r>
        <w:rPr>
          <w:lang w:val="es-ES"/>
        </w:rPr>
        <w:noBreakHyphen/>
      </w:r>
      <w:r w:rsidRPr="008F33D7">
        <w:rPr>
          <w:lang w:val="es-ES"/>
        </w:rPr>
        <w:t>1 300 MHz</w:t>
      </w:r>
      <w:r>
        <w:rPr>
          <w:lang w:val="es-ES"/>
        </w:rPr>
        <w:br/>
      </w:r>
      <w:r w:rsidRPr="008F33D7">
        <w:rPr>
          <w:lang w:val="es-ES"/>
        </w:rPr>
        <w:t>y 1 559</w:t>
      </w:r>
      <w:r>
        <w:rPr>
          <w:lang w:val="es-ES"/>
        </w:rPr>
        <w:noBreakHyphen/>
      </w:r>
      <w:r w:rsidRPr="008F33D7">
        <w:rPr>
          <w:lang w:val="es-ES"/>
        </w:rPr>
        <w:t xml:space="preserve">1 610 MHz </w:t>
      </w:r>
    </w:p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645B4E">
        <w:rPr>
          <w:u w:val="single"/>
          <w:lang w:val="es-ES"/>
        </w:rPr>
        <w:t>Recomendación</w:t>
      </w:r>
      <w:r w:rsidRPr="00020E8A">
        <w:rPr>
          <w:u w:val="single"/>
          <w:lang w:val="es-ES"/>
        </w:rPr>
        <w:t xml:space="preserve"> </w:t>
      </w:r>
      <w:r w:rsidRPr="00645B4E">
        <w:rPr>
          <w:u w:val="single"/>
          <w:lang w:val="es-ES"/>
        </w:rPr>
        <w:t>UIT-R M.</w:t>
      </w:r>
      <w:r>
        <w:rPr>
          <w:u w:val="single"/>
          <w:lang w:val="es-ES"/>
        </w:rPr>
        <w:t>1905</w:t>
      </w:r>
      <w:r w:rsidRPr="00020E8A">
        <w:rPr>
          <w:lang w:val="es-ES"/>
        </w:rPr>
        <w:tab/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/18</w:t>
      </w:r>
    </w:p>
    <w:p w:rsidR="009E459E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terrenas receptoras </w:t>
      </w:r>
      <w:r>
        <w:rPr>
          <w:lang w:val="es-ES"/>
        </w:rPr>
        <w:br/>
      </w:r>
      <w:r w:rsidRPr="008F33D7">
        <w:rPr>
          <w:lang w:val="es-ES"/>
        </w:rPr>
        <w:t xml:space="preserve">del servicio de radionavegación por satélite (espacio-Tierra) que funcionan </w:t>
      </w:r>
      <w:r>
        <w:rPr>
          <w:lang w:val="es-ES"/>
        </w:rPr>
        <w:br/>
      </w:r>
      <w:r w:rsidRPr="008F33D7">
        <w:rPr>
          <w:lang w:val="es-ES"/>
        </w:rPr>
        <w:t xml:space="preserve">en la banda </w:t>
      </w:r>
      <w:r>
        <w:rPr>
          <w:lang w:val="es-ES"/>
        </w:rPr>
        <w:t>1</w:t>
      </w:r>
      <w:r w:rsidRPr="008F33D7">
        <w:rPr>
          <w:lang w:val="es-ES"/>
        </w:rPr>
        <w:t xml:space="preserve"> 164</w:t>
      </w:r>
      <w:r>
        <w:rPr>
          <w:lang w:val="es-ES"/>
        </w:rPr>
        <w:noBreakHyphen/>
      </w:r>
      <w:r w:rsidRPr="008F33D7">
        <w:rPr>
          <w:lang w:val="es-ES"/>
        </w:rPr>
        <w:t>1 215 MHz</w:t>
      </w:r>
    </w:p>
    <w:p w:rsidR="009E459E" w:rsidRPr="009E459E" w:rsidRDefault="009E459E" w:rsidP="009E459E">
      <w:pPr>
        <w:pStyle w:val="Normalaftertitle"/>
        <w:rPr>
          <w:lang w:val="es-ES"/>
        </w:rPr>
      </w:pPr>
    </w:p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D85295">
        <w:rPr>
          <w:u w:val="single"/>
          <w:lang w:val="es-ES"/>
        </w:rPr>
        <w:t>Recomendación</w:t>
      </w:r>
      <w:r>
        <w:rPr>
          <w:u w:val="single"/>
          <w:lang w:val="es-ES"/>
        </w:rPr>
        <w:t xml:space="preserve"> UIT-R M.1906</w:t>
      </w:r>
      <w:r w:rsidRPr="00020E8A">
        <w:rPr>
          <w:lang w:val="es-ES"/>
        </w:rPr>
        <w:tab/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/19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Características y criterios de protección de las estaciones </w:t>
      </w:r>
      <w:r>
        <w:rPr>
          <w:lang w:val="es-ES"/>
        </w:rPr>
        <w:t>espaciales</w:t>
      </w:r>
      <w:r w:rsidRPr="008F33D7">
        <w:rPr>
          <w:lang w:val="es-ES"/>
        </w:rPr>
        <w:t xml:space="preserve"> receptoras</w:t>
      </w:r>
      <w:r>
        <w:rPr>
          <w:lang w:val="es-ES"/>
        </w:rPr>
        <w:br/>
      </w:r>
      <w:r w:rsidRPr="008F33D7">
        <w:rPr>
          <w:lang w:val="es-ES"/>
        </w:rPr>
        <w:t xml:space="preserve">y características de las estaciones terrenas transmisoras del servicio de radionavegación por satélite (Tierra-espacio) que </w:t>
      </w:r>
      <w:r>
        <w:rPr>
          <w:lang w:val="es-ES"/>
        </w:rPr>
        <w:br/>
      </w:r>
      <w:r w:rsidRPr="008F33D7">
        <w:rPr>
          <w:lang w:val="es-ES"/>
        </w:rPr>
        <w:t>funcionan en la banda 5</w:t>
      </w:r>
      <w:r>
        <w:rPr>
          <w:lang w:val="es-ES"/>
        </w:rPr>
        <w:t> </w:t>
      </w:r>
      <w:r w:rsidRPr="008F33D7">
        <w:rPr>
          <w:lang w:val="es-ES"/>
        </w:rPr>
        <w:t>000</w:t>
      </w:r>
      <w:r>
        <w:rPr>
          <w:lang w:val="es-ES"/>
        </w:rPr>
        <w:noBreakHyphen/>
      </w:r>
      <w:r w:rsidRPr="008F33D7">
        <w:rPr>
          <w:lang w:val="es-ES"/>
        </w:rPr>
        <w:t>5</w:t>
      </w:r>
      <w:r>
        <w:rPr>
          <w:lang w:val="es-ES"/>
        </w:rPr>
        <w:t> </w:t>
      </w:r>
      <w:r w:rsidRPr="008F33D7">
        <w:rPr>
          <w:lang w:val="es-ES"/>
        </w:rPr>
        <w:t>010 MHz</w:t>
      </w:r>
    </w:p>
    <w:p w:rsidR="009E459E" w:rsidRPr="00020E8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BA71F4">
        <w:rPr>
          <w:u w:val="single"/>
          <w:lang w:val="es-ES"/>
        </w:rPr>
        <w:t>Recomendación UIT-R M.1854</w:t>
      </w:r>
      <w:r>
        <w:rPr>
          <w:u w:val="single"/>
          <w:lang w:val="es-ES"/>
        </w:rPr>
        <w:t>-1</w:t>
      </w:r>
      <w:r w:rsidRPr="00020E8A">
        <w:rPr>
          <w:lang w:val="es-ES"/>
        </w:rPr>
        <w:tab/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/20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Utilización del servicio móvil por satélite para respuesta </w:t>
      </w:r>
      <w:r>
        <w:rPr>
          <w:lang w:val="es-ES"/>
        </w:rPr>
        <w:br/>
      </w:r>
      <w:r w:rsidRPr="008F33D7">
        <w:rPr>
          <w:lang w:val="es-ES"/>
        </w:rPr>
        <w:t>y socorro en caso de catástrofe</w:t>
      </w:r>
    </w:p>
    <w:p w:rsidR="009E459E" w:rsidRPr="00020E8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904030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>-R BO.1516</w:t>
      </w:r>
      <w:r>
        <w:rPr>
          <w:u w:val="single"/>
          <w:lang w:val="es-ES"/>
        </w:rPr>
        <w:t>-1</w:t>
      </w:r>
      <w:r w:rsidRPr="00020E8A">
        <w:rPr>
          <w:lang w:val="es-ES"/>
        </w:rPr>
        <w:tab/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/21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bookmarkStart w:id="4" w:name="Pre_title"/>
      <w:r w:rsidRPr="008F33D7">
        <w:rPr>
          <w:lang w:val="es-ES"/>
        </w:rPr>
        <w:t xml:space="preserve">Sistemas de televisión digital </w:t>
      </w:r>
      <w:proofErr w:type="spellStart"/>
      <w:r w:rsidRPr="008F33D7">
        <w:rPr>
          <w:lang w:val="es-ES"/>
        </w:rPr>
        <w:t>multiprograma</w:t>
      </w:r>
      <w:proofErr w:type="spellEnd"/>
      <w:r w:rsidRPr="008F33D7">
        <w:rPr>
          <w:lang w:val="es-ES"/>
        </w:rPr>
        <w:t xml:space="preserve"> para utilización por</w:t>
      </w:r>
      <w:r>
        <w:rPr>
          <w:lang w:val="es-ES"/>
        </w:rPr>
        <w:br/>
      </w:r>
      <w:r w:rsidRPr="008F33D7">
        <w:rPr>
          <w:lang w:val="es-ES"/>
        </w:rPr>
        <w:t>satélites que funcionan en la gama de frecuencias 11/12 GHz</w:t>
      </w:r>
    </w:p>
    <w:bookmarkEnd w:id="4"/>
    <w:p w:rsidR="009E459E" w:rsidRPr="00020E8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E34329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 xml:space="preserve">-R </w:t>
      </w:r>
      <w:r w:rsidRPr="00020E8A">
        <w:rPr>
          <w:u w:val="single"/>
        </w:rPr>
        <w:t>SNG.770-</w:t>
      </w:r>
      <w:r>
        <w:rPr>
          <w:u w:val="single"/>
        </w:rPr>
        <w:t>2</w:t>
      </w:r>
      <w:r w:rsidRPr="00020E8A">
        <w:tab/>
      </w:r>
      <w:r w:rsidRPr="00020E8A">
        <w:rPr>
          <w:lang w:val="es-ES"/>
        </w:rPr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/22</w:t>
      </w:r>
    </w:p>
    <w:p w:rsidR="00192EB9" w:rsidRDefault="00192EB9" w:rsidP="00192EB9">
      <w:pPr>
        <w:pStyle w:val="Rectitle"/>
      </w:pPr>
      <w:r>
        <w:t>Procedimientos operativos uniformes para el periodismo</w:t>
      </w:r>
      <w:r>
        <w:br/>
        <w:t>electrónico digital por satélite</w:t>
      </w:r>
    </w:p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 w:rsidRPr="0009401B">
        <w:rPr>
          <w:u w:val="single"/>
          <w:lang w:val="es-ES"/>
        </w:rPr>
        <w:t xml:space="preserve">Recomendación </w:t>
      </w:r>
      <w:r>
        <w:rPr>
          <w:u w:val="single"/>
          <w:lang w:val="es-ES"/>
        </w:rPr>
        <w:t>UIT</w:t>
      </w:r>
      <w:r w:rsidRPr="007C6DFA">
        <w:rPr>
          <w:u w:val="single"/>
          <w:lang w:val="es-ES"/>
        </w:rPr>
        <w:t xml:space="preserve">-R </w:t>
      </w:r>
      <w:r w:rsidRPr="00020E8A">
        <w:rPr>
          <w:u w:val="single"/>
        </w:rPr>
        <w:t>BO.1659</w:t>
      </w:r>
      <w:r>
        <w:rPr>
          <w:u w:val="single"/>
        </w:rPr>
        <w:t>-1</w:t>
      </w:r>
      <w:r w:rsidRPr="00020E8A">
        <w:tab/>
      </w:r>
      <w:r w:rsidRPr="00020E8A">
        <w:rPr>
          <w:lang w:val="es-ES"/>
        </w:rPr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/23</w:t>
      </w:r>
    </w:p>
    <w:p w:rsidR="009E459E" w:rsidRPr="008F33D7" w:rsidRDefault="009E459E" w:rsidP="009E459E">
      <w:pPr>
        <w:pStyle w:val="Rectitle"/>
        <w:spacing w:before="240"/>
        <w:rPr>
          <w:lang w:val="es-ES"/>
        </w:rPr>
      </w:pPr>
      <w:r w:rsidRPr="008F33D7">
        <w:rPr>
          <w:lang w:val="es-ES"/>
        </w:rPr>
        <w:t xml:space="preserve">Técnicas de reducción de la atenuación debida a la lluvia aplicables a </w:t>
      </w:r>
      <w:r>
        <w:rPr>
          <w:lang w:val="es-ES"/>
        </w:rPr>
        <w:br/>
      </w:r>
      <w:r w:rsidRPr="008F33D7">
        <w:rPr>
          <w:lang w:val="es-ES"/>
        </w:rPr>
        <w:t xml:space="preserve">sistemas del servicio de radiodifusión por satélite en las bandas </w:t>
      </w:r>
      <w:r>
        <w:rPr>
          <w:lang w:val="es-ES"/>
        </w:rPr>
        <w:br/>
      </w:r>
      <w:r w:rsidRPr="008F33D7">
        <w:rPr>
          <w:lang w:val="es-ES"/>
        </w:rPr>
        <w:t>de frecuencias entre 17,3 GHz y 42,5 GHz</w:t>
      </w:r>
    </w:p>
    <w:p w:rsidR="009E459E" w:rsidRPr="007C6DF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r>
        <w:rPr>
          <w:u w:val="single"/>
          <w:lang w:val="es-ES"/>
        </w:rPr>
        <w:t xml:space="preserve">Recomendación </w:t>
      </w:r>
      <w:r w:rsidRPr="007C6DFA">
        <w:rPr>
          <w:u w:val="single"/>
          <w:lang w:val="es-ES"/>
        </w:rPr>
        <w:t xml:space="preserve">ITU-R </w:t>
      </w:r>
      <w:r w:rsidRPr="00020E8A">
        <w:rPr>
          <w:u w:val="single"/>
        </w:rPr>
        <w:t>SF.675-</w:t>
      </w:r>
      <w:r>
        <w:rPr>
          <w:u w:val="single"/>
        </w:rPr>
        <w:t>4</w:t>
      </w:r>
      <w:r w:rsidRPr="00020E8A">
        <w:tab/>
      </w:r>
      <w:r w:rsidRPr="00020E8A">
        <w:rPr>
          <w:lang w:val="es-ES"/>
        </w:rPr>
        <w:t>Doc. 4/</w:t>
      </w:r>
      <w:proofErr w:type="spellStart"/>
      <w:r w:rsidRPr="00020E8A">
        <w:rPr>
          <w:lang w:val="es-ES"/>
        </w:rPr>
        <w:t>BL</w:t>
      </w:r>
      <w:proofErr w:type="spellEnd"/>
      <w:r w:rsidRPr="00020E8A">
        <w:rPr>
          <w:lang w:val="es-ES"/>
        </w:rPr>
        <w:t>/24</w:t>
      </w:r>
    </w:p>
    <w:p w:rsidR="00192EB9" w:rsidRDefault="00192EB9" w:rsidP="00192EB9">
      <w:pPr>
        <w:pStyle w:val="Rectitle"/>
      </w:pPr>
      <w:r>
        <w:t>Cálculo de la máxima densidad de potencia (valor promediado en una banda</w:t>
      </w:r>
      <w:r>
        <w:br/>
        <w:t>de 4 KHz ó 1 MHz) de portadoras con modulación angular y digitales</w:t>
      </w:r>
    </w:p>
    <w:p w:rsidR="009E459E" w:rsidRPr="00020E8A" w:rsidRDefault="009E459E" w:rsidP="009E459E">
      <w:pPr>
        <w:pStyle w:val="Normalaftertitle0"/>
        <w:tabs>
          <w:tab w:val="right" w:pos="9639"/>
        </w:tabs>
        <w:spacing w:before="480"/>
        <w:rPr>
          <w:u w:val="single"/>
          <w:lang w:val="es-ES"/>
        </w:rPr>
      </w:pPr>
      <w:bookmarkStart w:id="5" w:name="_GoBack"/>
      <w:bookmarkEnd w:id="5"/>
      <w:r w:rsidRPr="00B552EB">
        <w:rPr>
          <w:u w:val="single"/>
          <w:lang w:val="es-ES"/>
        </w:rPr>
        <w:t xml:space="preserve">Recomendación </w:t>
      </w:r>
      <w:r w:rsidRPr="007C6DFA">
        <w:rPr>
          <w:u w:val="single"/>
          <w:lang w:val="es-ES"/>
        </w:rPr>
        <w:t xml:space="preserve">ITU-R </w:t>
      </w:r>
      <w:r w:rsidRPr="00AE28A0">
        <w:rPr>
          <w:u w:val="single"/>
        </w:rPr>
        <w:t>BO.1776</w:t>
      </w:r>
      <w:r>
        <w:rPr>
          <w:u w:val="single"/>
        </w:rPr>
        <w:t>-1</w:t>
      </w:r>
      <w:r w:rsidRPr="00AE28A0">
        <w:tab/>
      </w:r>
      <w:r w:rsidRPr="00AE28A0">
        <w:rPr>
          <w:lang w:val="es-ES"/>
        </w:rPr>
        <w:t>Doc. 4/</w:t>
      </w:r>
      <w:proofErr w:type="spellStart"/>
      <w:r w:rsidRPr="00AE28A0">
        <w:rPr>
          <w:lang w:val="es-ES"/>
        </w:rPr>
        <w:t>BL</w:t>
      </w:r>
      <w:proofErr w:type="spellEnd"/>
      <w:r w:rsidRPr="00AE28A0">
        <w:rPr>
          <w:lang w:val="es-ES"/>
        </w:rPr>
        <w:t>/25</w:t>
      </w:r>
    </w:p>
    <w:p w:rsidR="00192EB9" w:rsidRDefault="00192EB9" w:rsidP="00192EB9">
      <w:pPr>
        <w:pStyle w:val="Rectitle"/>
      </w:pPr>
      <w:r>
        <w:t>Máxima densidad de flujo de potencia para el servicio de radiodifusión</w:t>
      </w:r>
      <w:r>
        <w:br/>
        <w:t>por satélite en la banda 21,4</w:t>
      </w:r>
      <w:r>
        <w:noBreakHyphen/>
        <w:t>22,0 GHz en las Regiones 1 y 3</w:t>
      </w:r>
    </w:p>
    <w:p w:rsidR="009E459E" w:rsidRPr="008B5E56" w:rsidRDefault="009E459E" w:rsidP="009E459E">
      <w:pPr>
        <w:rPr>
          <w:lang w:val="es-ES"/>
        </w:rPr>
      </w:pPr>
    </w:p>
    <w:p w:rsidR="009E459E" w:rsidRDefault="009E459E" w:rsidP="009E459E"/>
    <w:p w:rsidR="009E459E" w:rsidRDefault="009E459E" w:rsidP="009E459E">
      <w:pPr>
        <w:jc w:val="center"/>
      </w:pPr>
      <w:r>
        <w:t>______________</w:t>
      </w:r>
    </w:p>
    <w:sectPr w:rsidR="009E459E" w:rsidSect="002C65D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89" w:rsidRDefault="00623689">
      <w:r>
        <w:separator/>
      </w:r>
    </w:p>
  </w:endnote>
  <w:endnote w:type="continuationSeparator" w:id="0">
    <w:p w:rsidR="00623689" w:rsidRDefault="006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89" w:rsidRPr="00C57C0F" w:rsidRDefault="00EF1954" w:rsidP="00C57C0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23689">
      <w:t>Y:\APP\BR\CIRCS_DMS\CACE\500\542\542s.docx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62368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623689">
      <w:trPr>
        <w:cantSplit/>
      </w:trPr>
      <w:tc>
        <w:tcPr>
          <w:tcW w:w="1062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623689">
      <w:trPr>
        <w:cantSplit/>
      </w:trPr>
      <w:tc>
        <w:tcPr>
          <w:tcW w:w="1062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623689" w:rsidRDefault="00623689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623689" w:rsidRDefault="00623689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623689" w:rsidRDefault="00623689">
          <w:pPr>
            <w:pStyle w:val="itu"/>
            <w:rPr>
              <w:lang w:val="es-ES_tradnl"/>
            </w:rPr>
          </w:pPr>
        </w:p>
      </w:tc>
    </w:tr>
  </w:tbl>
  <w:p w:rsidR="00623689" w:rsidRDefault="00623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89" w:rsidRDefault="00623689">
      <w:r>
        <w:t>____________________</w:t>
      </w:r>
    </w:p>
  </w:footnote>
  <w:footnote w:type="continuationSeparator" w:id="0">
    <w:p w:rsidR="00623689" w:rsidRDefault="0062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89" w:rsidRDefault="0062368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195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23689" w:rsidRPr="00F96264" w:rsidRDefault="0062368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5DDC44-902E-4E7D-99A4-94F52F17F789}"/>
    <w:docVar w:name="dgnword-eventsink" w:val="138203800"/>
  </w:docVars>
  <w:rsids>
    <w:rsidRoot w:val="004E506A"/>
    <w:rsid w:val="00094032"/>
    <w:rsid w:val="000E266E"/>
    <w:rsid w:val="00106119"/>
    <w:rsid w:val="00122E78"/>
    <w:rsid w:val="001744A2"/>
    <w:rsid w:val="00192EB9"/>
    <w:rsid w:val="001A51CC"/>
    <w:rsid w:val="001C41B0"/>
    <w:rsid w:val="00200CCD"/>
    <w:rsid w:val="00215B67"/>
    <w:rsid w:val="00272F0B"/>
    <w:rsid w:val="00273C60"/>
    <w:rsid w:val="002C65DC"/>
    <w:rsid w:val="002E0FBB"/>
    <w:rsid w:val="00335F8A"/>
    <w:rsid w:val="00345BE3"/>
    <w:rsid w:val="00450DE7"/>
    <w:rsid w:val="0048344F"/>
    <w:rsid w:val="00487C58"/>
    <w:rsid w:val="004E506A"/>
    <w:rsid w:val="00502015"/>
    <w:rsid w:val="00567DB5"/>
    <w:rsid w:val="005F2C61"/>
    <w:rsid w:val="00623689"/>
    <w:rsid w:val="006328F7"/>
    <w:rsid w:val="006454D3"/>
    <w:rsid w:val="006700E2"/>
    <w:rsid w:val="006A7D1D"/>
    <w:rsid w:val="00705416"/>
    <w:rsid w:val="007261BA"/>
    <w:rsid w:val="007312BA"/>
    <w:rsid w:val="00777849"/>
    <w:rsid w:val="007F1851"/>
    <w:rsid w:val="00837745"/>
    <w:rsid w:val="00893165"/>
    <w:rsid w:val="0090584A"/>
    <w:rsid w:val="00914645"/>
    <w:rsid w:val="00920474"/>
    <w:rsid w:val="00936F84"/>
    <w:rsid w:val="009E459E"/>
    <w:rsid w:val="00A93942"/>
    <w:rsid w:val="00AC124D"/>
    <w:rsid w:val="00B14F61"/>
    <w:rsid w:val="00B2262F"/>
    <w:rsid w:val="00B4583A"/>
    <w:rsid w:val="00B8402D"/>
    <w:rsid w:val="00B91701"/>
    <w:rsid w:val="00BA2F01"/>
    <w:rsid w:val="00BC0CB6"/>
    <w:rsid w:val="00C57C0F"/>
    <w:rsid w:val="00C844B4"/>
    <w:rsid w:val="00D3751C"/>
    <w:rsid w:val="00D92265"/>
    <w:rsid w:val="00DE38E6"/>
    <w:rsid w:val="00E7214A"/>
    <w:rsid w:val="00E919F6"/>
    <w:rsid w:val="00EF1954"/>
    <w:rsid w:val="00EF3115"/>
    <w:rsid w:val="00F76E3D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DC3E-8B36-446C-B9B8-A65BCF77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42</TotalTime>
  <Pages>3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4633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bonnici</cp:lastModifiedBy>
  <cp:revision>7</cp:revision>
  <cp:lastPrinted>2011-05-30T09:41:00Z</cp:lastPrinted>
  <dcterms:created xsi:type="dcterms:W3CDTF">2011-12-20T13:32:00Z</dcterms:created>
  <dcterms:modified xsi:type="dcterms:W3CDTF">2012-01-10T10:48:00Z</dcterms:modified>
</cp:coreProperties>
</file>