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E20B3" w:rsidRPr="00D35752" w:rsidTr="0076319E">
        <w:tc>
          <w:tcPr>
            <w:tcW w:w="8188" w:type="dxa"/>
            <w:vAlign w:val="center"/>
          </w:tcPr>
          <w:p w:rsidR="008E20B3" w:rsidRPr="0076319E" w:rsidRDefault="008E20B3" w:rsidP="0076319E">
            <w:pPr>
              <w:tabs>
                <w:tab w:val="right" w:pos="8647"/>
              </w:tabs>
              <w:spacing w:before="240"/>
              <w:rPr>
                <w:rFonts w:ascii="SimSun" w:hAnsi="CG Times"/>
                <w:sz w:val="36"/>
                <w:szCs w:val="36"/>
              </w:rPr>
            </w:pPr>
            <w:bookmarkStart w:id="0" w:name="_GoBack"/>
            <w:bookmarkEnd w:id="0"/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8E20B3" w:rsidRPr="0076319E" w:rsidRDefault="008E20B3" w:rsidP="0076319E">
            <w:pPr>
              <w:spacing w:before="0"/>
              <w:rPr>
                <w:rFonts w:ascii="CG Times" w:hAnsi="CG Times"/>
              </w:rPr>
            </w:pPr>
          </w:p>
        </w:tc>
        <w:tc>
          <w:tcPr>
            <w:tcW w:w="1667" w:type="dxa"/>
          </w:tcPr>
          <w:p w:rsidR="008E20B3" w:rsidRPr="0076319E" w:rsidRDefault="00A72D28" w:rsidP="0076319E">
            <w:pPr>
              <w:spacing w:before="0"/>
              <w:jc w:val="right"/>
              <w:rPr>
                <w:rFonts w:ascii="CG Times" w:hAnsi="CG Time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EA7F056" wp14:editId="3BBBFFD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E20B3" w:rsidTr="00780E9E">
        <w:trPr>
          <w:cantSplit/>
        </w:trPr>
        <w:tc>
          <w:tcPr>
            <w:tcW w:w="5075" w:type="dxa"/>
          </w:tcPr>
          <w:p w:rsidR="008E20B3" w:rsidRDefault="008E20B3" w:rsidP="0076319E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8E20B3" w:rsidRDefault="008E20B3" w:rsidP="007631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8E20B3" w:rsidRDefault="008E20B3" w:rsidP="0076319E">
      <w:pPr>
        <w:tabs>
          <w:tab w:val="left" w:pos="7513"/>
        </w:tabs>
        <w:rPr>
          <w:lang w:eastAsia="zh-CN"/>
        </w:rPr>
      </w:pPr>
    </w:p>
    <w:p w:rsidR="008E20B3" w:rsidRDefault="008E20B3" w:rsidP="0006765B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8E20B3" w:rsidTr="00780E9E">
        <w:trPr>
          <w:cantSplit/>
        </w:trPr>
        <w:tc>
          <w:tcPr>
            <w:tcW w:w="2518" w:type="dxa"/>
          </w:tcPr>
          <w:p w:rsidR="008E20B3" w:rsidRPr="00F40936" w:rsidRDefault="008E20B3" w:rsidP="0076319E">
            <w:pPr>
              <w:tabs>
                <w:tab w:val="left" w:pos="7513"/>
              </w:tabs>
              <w:jc w:val="center"/>
              <w:rPr>
                <w:rFonts w:ascii="SimSun" w:hAnsi="SimSun"/>
                <w:b/>
                <w:lang w:val="fr-FR" w:eastAsia="zh-CN"/>
              </w:rPr>
            </w:pPr>
            <w:bookmarkStart w:id="1" w:name="dletter"/>
            <w:bookmarkEnd w:id="1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8E20B3" w:rsidRPr="0068376F" w:rsidRDefault="008E20B3" w:rsidP="009053A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2" w:name="dnum"/>
            <w:bookmarkEnd w:id="2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rFonts w:hint="eastAsia"/>
                <w:b/>
                <w:bCs/>
                <w:lang w:val="fr-FR" w:eastAsia="zh-CN"/>
              </w:rPr>
              <w:t>5</w:t>
            </w:r>
            <w:r w:rsidR="009053AE">
              <w:rPr>
                <w:rFonts w:hint="eastAsia"/>
                <w:b/>
                <w:bCs/>
                <w:lang w:val="fr-FR" w:eastAsia="zh-CN"/>
              </w:rPr>
              <w:t>29</w:t>
            </w:r>
          </w:p>
        </w:tc>
        <w:tc>
          <w:tcPr>
            <w:tcW w:w="7502" w:type="dxa"/>
          </w:tcPr>
          <w:p w:rsidR="008E20B3" w:rsidRPr="0068376F" w:rsidRDefault="008E20B3" w:rsidP="00F667DD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3" w:name="ddate"/>
            <w:bookmarkEnd w:id="3"/>
            <w:r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</w:t>
            </w:r>
            <w:r w:rsidR="00F667DD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 w:rsidR="009053AE"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06765B" w:rsidRDefault="0006765B" w:rsidP="0006765B">
      <w:pPr>
        <w:pStyle w:val="Head"/>
        <w:tabs>
          <w:tab w:val="left" w:pos="7513"/>
        </w:tabs>
        <w:spacing w:before="480"/>
        <w:jc w:val="center"/>
        <w:rPr>
          <w:b/>
          <w:lang w:eastAsia="zh-CN"/>
        </w:rPr>
      </w:pPr>
      <w:r>
        <w:rPr>
          <w:rFonts w:ascii="SimSun" w:hAnsi="SimSun" w:hint="eastAsia"/>
          <w:b/>
          <w:lang w:eastAsia="zh-CN"/>
        </w:rPr>
        <w:t>致国际电联各成员国主管部门、无线电通信部门成员和</w:t>
      </w:r>
      <w:r>
        <w:rPr>
          <w:rFonts w:ascii="SimSun" w:hAnsi="SimSun" w:hint="eastAsia"/>
          <w:b/>
          <w:lang w:eastAsia="zh-CN"/>
        </w:rPr>
        <w:br/>
        <w:t>参加无线电通信</w:t>
      </w:r>
      <w:r>
        <w:rPr>
          <w:rFonts w:hAnsi="SimSun" w:hint="eastAsia"/>
          <w:b/>
          <w:lang w:eastAsia="zh-CN"/>
        </w:rPr>
        <w:t>第</w:t>
      </w:r>
      <w:r>
        <w:rPr>
          <w:b/>
          <w:lang w:eastAsia="zh-CN"/>
        </w:rPr>
        <w:t>1</w:t>
      </w:r>
      <w:r>
        <w:rPr>
          <w:rFonts w:hAnsi="SimSun" w:hint="eastAsia"/>
          <w:b/>
          <w:lang w:eastAsia="zh-CN"/>
        </w:rPr>
        <w:t>研究组及规则</w:t>
      </w:r>
      <w:r>
        <w:rPr>
          <w:b/>
          <w:lang w:eastAsia="zh-CN"/>
        </w:rPr>
        <w:t>/</w:t>
      </w:r>
      <w:r>
        <w:rPr>
          <w:rFonts w:hAnsi="SimSun" w:hint="eastAsia"/>
          <w:b/>
          <w:lang w:eastAsia="zh-CN"/>
        </w:rPr>
        <w:t>程序问题</w:t>
      </w:r>
      <w:r>
        <w:rPr>
          <w:b/>
          <w:lang w:eastAsia="zh-CN"/>
        </w:rPr>
        <w:br/>
      </w:r>
      <w:r>
        <w:rPr>
          <w:rFonts w:hAnsi="SimSun" w:hint="eastAsia"/>
          <w:b/>
          <w:lang w:eastAsia="zh-CN"/>
        </w:rPr>
        <w:t>特别委员会工作的</w:t>
      </w:r>
      <w:r>
        <w:rPr>
          <w:b/>
          <w:lang w:eastAsia="zh-CN"/>
        </w:rPr>
        <w:t>ITU-R</w:t>
      </w:r>
      <w:r>
        <w:rPr>
          <w:rFonts w:hAnsi="SimSun" w:hint="eastAsia"/>
          <w:b/>
          <w:lang w:eastAsia="zh-CN"/>
        </w:rPr>
        <w:t>部</w:t>
      </w:r>
      <w:r>
        <w:rPr>
          <w:rFonts w:ascii="SimSun" w:hAnsi="SimSun" w:hint="eastAsia"/>
          <w:b/>
          <w:lang w:eastAsia="zh-CN"/>
        </w:rPr>
        <w:t>门准成员</w:t>
      </w:r>
    </w:p>
    <w:p w:rsidR="0006765B" w:rsidRDefault="0006765B" w:rsidP="0006765B">
      <w:pPr>
        <w:tabs>
          <w:tab w:val="left" w:pos="709"/>
        </w:tabs>
        <w:spacing w:before="720"/>
        <w:ind w:left="1440" w:hanging="1440"/>
        <w:rPr>
          <w:lang w:eastAsia="zh-CN"/>
        </w:rPr>
      </w:pPr>
      <w:r>
        <w:rPr>
          <w:rFonts w:hint="eastAsia"/>
          <w:b/>
          <w:lang w:eastAsia="zh-CN"/>
        </w:rPr>
        <w:t>事由</w:t>
      </w:r>
      <w:r>
        <w:rPr>
          <w:rFonts w:hint="eastAsia"/>
          <w:b/>
          <w:lang w:val="en-US" w:eastAsia="zh-CN"/>
        </w:rPr>
        <w:t>：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无线电通信第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研究组</w:t>
      </w:r>
    </w:p>
    <w:p w:rsidR="0006765B" w:rsidRDefault="0006765B" w:rsidP="0006765B">
      <w:pPr>
        <w:tabs>
          <w:tab w:val="clear" w:pos="794"/>
          <w:tab w:val="clear" w:pos="1191"/>
          <w:tab w:val="clear" w:pos="1588"/>
          <w:tab w:val="left" w:pos="1946"/>
        </w:tabs>
        <w:ind w:left="1440" w:hanging="1440"/>
        <w:rPr>
          <w:lang w:eastAsia="zh-CN"/>
        </w:rPr>
      </w:pPr>
      <w:r>
        <w:rPr>
          <w:bCs/>
          <w:lang w:val="en-US" w:eastAsia="zh-CN"/>
        </w:rPr>
        <w:tab/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批准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份新建议书和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份经修订的建议书</w:t>
      </w:r>
    </w:p>
    <w:p w:rsidR="0006765B" w:rsidRDefault="0006765B" w:rsidP="0006765B">
      <w:pPr>
        <w:tabs>
          <w:tab w:val="clear" w:pos="794"/>
          <w:tab w:val="clear" w:pos="1191"/>
          <w:tab w:val="clear" w:pos="1588"/>
          <w:tab w:val="left" w:pos="1946"/>
        </w:tabs>
        <w:ind w:left="1440" w:hanging="1440"/>
        <w:rPr>
          <w:lang w:eastAsia="zh-CN"/>
        </w:rPr>
      </w:pPr>
      <w:r>
        <w:rPr>
          <w:rFonts w:hint="eastAsia"/>
          <w:lang w:eastAsia="zh-CN"/>
        </w:rPr>
        <w:tab/>
      </w:r>
      <w:r w:rsidRPr="00081385">
        <w:rPr>
          <w:lang w:eastAsia="zh-CN"/>
        </w:rPr>
        <w:t>–</w:t>
      </w:r>
      <w:r w:rsidRPr="00081385">
        <w:rPr>
          <w:lang w:eastAsia="zh-CN"/>
        </w:rPr>
        <w:tab/>
      </w:r>
      <w:r>
        <w:rPr>
          <w:rFonts w:hint="eastAsia"/>
          <w:lang w:eastAsia="zh-CN"/>
        </w:rPr>
        <w:t>废除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份建议书</w:t>
      </w:r>
    </w:p>
    <w:p w:rsidR="0006765B" w:rsidRDefault="0006765B" w:rsidP="0006765B">
      <w:pPr>
        <w:tabs>
          <w:tab w:val="left" w:pos="709"/>
        </w:tabs>
        <w:spacing w:before="600"/>
        <w:ind w:left="1440" w:hanging="1440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科学业务</w:t>
      </w:r>
      <w:r>
        <w:rPr>
          <w:b/>
          <w:bCs/>
          <w:lang w:eastAsia="zh-CN"/>
        </w:rPr>
        <w:br/>
      </w:r>
    </w:p>
    <w:p w:rsidR="0006765B" w:rsidRDefault="0006765B" w:rsidP="0006765B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>
        <w:rPr>
          <w:rFonts w:hint="eastAsia"/>
          <w:lang w:val="fr-FR" w:eastAsia="zh-CN"/>
        </w:rPr>
        <w:t>0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CAR/30</w:t>
      </w:r>
      <w:r>
        <w:rPr>
          <w:rFonts w:hint="eastAsia"/>
          <w:lang w:val="fr-FR" w:eastAsia="zh-CN"/>
        </w:rPr>
        <w:t>4</w:t>
      </w:r>
      <w:r>
        <w:rPr>
          <w:rFonts w:hint="eastAsia"/>
          <w:lang w:eastAsia="zh-CN"/>
        </w:rPr>
        <w:t>号行政通函，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份新建议书草案和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份经修订的建议书草案已按照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批准。此外，研究组还提议废除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份建议书。</w:t>
      </w:r>
    </w:p>
    <w:p w:rsidR="0006765B" w:rsidRDefault="0006765B" w:rsidP="0006765B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有关批准这些建议书的条件已于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06765B" w:rsidRDefault="0006765B" w:rsidP="0006765B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列出了这些建议书的标题及分配的编号。附件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中提供了废除的建议书清单。</w:t>
      </w:r>
    </w:p>
    <w:p w:rsidR="0006765B" w:rsidRDefault="0006765B" w:rsidP="0006765B">
      <w:pPr>
        <w:tabs>
          <w:tab w:val="left" w:pos="4820"/>
        </w:tabs>
        <w:spacing w:before="960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06765B" w:rsidRDefault="0006765B" w:rsidP="0006765B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>
        <w:rPr>
          <w:rFonts w:hint="eastAsia"/>
          <w:lang w:val="fr-FR" w:eastAsia="zh-CN"/>
        </w:rPr>
        <w:t>2</w:t>
      </w:r>
      <w:r>
        <w:rPr>
          <w:rFonts w:hint="eastAsia"/>
          <w:lang w:val="fr-FR" w:eastAsia="zh-CN"/>
        </w:rPr>
        <w:t>件</w:t>
      </w:r>
    </w:p>
    <w:p w:rsidR="0006765B" w:rsidRDefault="0006765B" w:rsidP="0006765B">
      <w:pPr>
        <w:tabs>
          <w:tab w:val="left" w:pos="6237"/>
        </w:tabs>
        <w:rPr>
          <w:sz w:val="16"/>
          <w:lang w:eastAsia="zh-CN"/>
        </w:rPr>
      </w:pPr>
      <w:r>
        <w:rPr>
          <w:rFonts w:hint="eastAsia"/>
          <w:sz w:val="16"/>
          <w:u w:val="single"/>
          <w:lang w:eastAsia="zh-CN"/>
        </w:rPr>
        <w:t>分发：</w:t>
      </w:r>
    </w:p>
    <w:p w:rsidR="0006765B" w:rsidRDefault="0006765B" w:rsidP="0006765B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各成员国主管部门和无线电通信部门成员</w:t>
      </w:r>
    </w:p>
    <w:p w:rsidR="0006765B" w:rsidRDefault="0006765B" w:rsidP="0006765B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>
        <w:rPr>
          <w:rFonts w:hint="eastAsia"/>
          <w:sz w:val="16"/>
          <w:lang w:eastAsia="zh-CN"/>
        </w:rPr>
        <w:t>7</w:t>
      </w:r>
      <w:r>
        <w:rPr>
          <w:rFonts w:hint="eastAsia"/>
          <w:sz w:val="16"/>
          <w:lang w:eastAsia="zh-CN"/>
        </w:rPr>
        <w:t>研究组工作的</w:t>
      </w:r>
      <w:r>
        <w:rPr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06765B" w:rsidRDefault="0006765B" w:rsidP="0006765B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06765B" w:rsidRDefault="0006765B" w:rsidP="0006765B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06765B" w:rsidRDefault="0006765B" w:rsidP="0006765B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06765B" w:rsidRDefault="0006765B" w:rsidP="0006765B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  <w:r>
        <w:rPr>
          <w:sz w:val="16"/>
          <w:lang w:eastAsia="zh-CN"/>
        </w:rPr>
        <w:tab/>
      </w:r>
    </w:p>
    <w:p w:rsidR="0006765B" w:rsidRPr="0006765B" w:rsidRDefault="0006765B" w:rsidP="0006765B">
      <w:pPr>
        <w:pStyle w:val="AnnexNotitle"/>
        <w:spacing w:before="0"/>
        <w:rPr>
          <w:lang w:eastAsia="zh-CN"/>
        </w:rPr>
      </w:pPr>
      <w:r>
        <w:rPr>
          <w:caps/>
          <w:lang w:eastAsia="zh-CN"/>
        </w:rPr>
        <w:br w:type="page"/>
      </w:r>
      <w:r w:rsidRPr="0006765B">
        <w:rPr>
          <w:rFonts w:hint="eastAsia"/>
          <w:lang w:eastAsia="zh-CN"/>
        </w:rPr>
        <w:lastRenderedPageBreak/>
        <w:t>附件</w:t>
      </w:r>
      <w:r w:rsidRPr="0006765B"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br/>
      </w:r>
      <w:r>
        <w:rPr>
          <w:lang w:eastAsia="zh-CN"/>
        </w:rPr>
        <w:br/>
      </w:r>
      <w:r w:rsidRPr="0006765B">
        <w:rPr>
          <w:rFonts w:hint="eastAsia"/>
          <w:lang w:eastAsia="zh-CN"/>
        </w:rPr>
        <w:t>批准的建议书的标题</w:t>
      </w:r>
    </w:p>
    <w:p w:rsidR="0006765B" w:rsidRPr="00743F86" w:rsidRDefault="0006765B" w:rsidP="0006765B">
      <w:pPr>
        <w:tabs>
          <w:tab w:val="right" w:pos="9639"/>
        </w:tabs>
        <w:rPr>
          <w:lang w:val="fr-CH" w:eastAsia="zh-CN"/>
        </w:rPr>
      </w:pPr>
      <w:r w:rsidRPr="00743F86">
        <w:rPr>
          <w:u w:val="single"/>
          <w:lang w:val="fr-CH" w:eastAsia="zh-CN"/>
        </w:rPr>
        <w:t>ITU-R RS.1881</w:t>
      </w:r>
      <w:r>
        <w:rPr>
          <w:rFonts w:hint="eastAsia"/>
          <w:u w:val="single"/>
          <w:lang w:val="fr-CH" w:eastAsia="zh-CN"/>
        </w:rPr>
        <w:t>建议书</w:t>
      </w:r>
      <w:r w:rsidRPr="00743F86">
        <w:rPr>
          <w:lang w:val="fr-CH" w:eastAsia="zh-CN"/>
        </w:rPr>
        <w:tab/>
        <w:t>7/BL/6</w:t>
      </w:r>
      <w:r>
        <w:rPr>
          <w:rFonts w:hint="eastAsia"/>
          <w:lang w:val="fr-CH" w:eastAsia="zh-CN"/>
        </w:rPr>
        <w:t>号文件</w:t>
      </w:r>
    </w:p>
    <w:p w:rsidR="0006765B" w:rsidRPr="00154B3F" w:rsidRDefault="0006765B" w:rsidP="0006765B">
      <w:pPr>
        <w:pStyle w:val="Rectitle"/>
        <w:rPr>
          <w:lang w:eastAsia="zh-CN"/>
        </w:rPr>
      </w:pPr>
      <w:r>
        <w:rPr>
          <w:rFonts w:hint="eastAsia"/>
          <w:lang w:eastAsia="zh-CN"/>
        </w:rPr>
        <w:t>工作在</w:t>
      </w:r>
      <w:r>
        <w:rPr>
          <w:lang w:eastAsia="zh-CN"/>
        </w:rPr>
        <w:t xml:space="preserve">9-11.3 kHz </w:t>
      </w:r>
      <w:r>
        <w:rPr>
          <w:rFonts w:hint="eastAsia"/>
          <w:lang w:eastAsia="zh-CN"/>
        </w:rPr>
        <w:t>频段内气象辅助业务中的</w:t>
      </w:r>
      <w:r>
        <w:rPr>
          <w:lang w:eastAsia="zh-CN"/>
        </w:rPr>
        <w:br/>
      </w:r>
      <w:r>
        <w:rPr>
          <w:rFonts w:hint="eastAsia"/>
          <w:lang w:eastAsia="zh-CN"/>
        </w:rPr>
        <w:t>到达时间差（</w:t>
      </w:r>
      <w:r>
        <w:rPr>
          <w:lang w:eastAsia="zh-CN"/>
        </w:rPr>
        <w:t>ATD</w:t>
      </w:r>
      <w:r>
        <w:rPr>
          <w:rFonts w:hint="eastAsia"/>
          <w:lang w:eastAsia="zh-CN"/>
        </w:rPr>
        <w:t>）接收机的保护标准</w:t>
      </w:r>
    </w:p>
    <w:p w:rsidR="0006765B" w:rsidRPr="00743F86" w:rsidRDefault="0006765B" w:rsidP="0006765B">
      <w:pPr>
        <w:tabs>
          <w:tab w:val="right" w:pos="9639"/>
        </w:tabs>
        <w:spacing w:before="360"/>
        <w:rPr>
          <w:lang w:val="fr-CH" w:eastAsia="zh-CN"/>
        </w:rPr>
      </w:pPr>
      <w:r w:rsidRPr="00743F86">
        <w:rPr>
          <w:u w:val="single"/>
          <w:lang w:val="fr-CH" w:eastAsia="zh-CN"/>
        </w:rPr>
        <w:t>ITU-R SA.1882</w:t>
      </w:r>
      <w:r>
        <w:rPr>
          <w:rFonts w:hint="eastAsia"/>
          <w:u w:val="single"/>
          <w:lang w:val="fr-CH" w:eastAsia="zh-CN"/>
        </w:rPr>
        <w:t>建议书</w:t>
      </w:r>
      <w:r w:rsidRPr="00743F86">
        <w:rPr>
          <w:lang w:val="fr-CH" w:eastAsia="zh-CN"/>
        </w:rPr>
        <w:tab/>
        <w:t>7/BL/7</w:t>
      </w:r>
      <w:r>
        <w:rPr>
          <w:rFonts w:hint="eastAsia"/>
          <w:lang w:val="fr-CH" w:eastAsia="zh-CN"/>
        </w:rPr>
        <w:t>号文件</w:t>
      </w:r>
    </w:p>
    <w:p w:rsidR="0006765B" w:rsidRPr="00154B3F" w:rsidRDefault="0006765B" w:rsidP="0006765B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22.55-23.15 GHz</w:t>
      </w:r>
      <w:r>
        <w:rPr>
          <w:rFonts w:hint="eastAsia"/>
          <w:lang w:eastAsia="zh-CN"/>
        </w:rPr>
        <w:t>频段内使用的空间研究业务（地对空）</w:t>
      </w:r>
      <w:r>
        <w:rPr>
          <w:lang w:eastAsia="zh-CN"/>
        </w:rPr>
        <w:br/>
      </w:r>
      <w:r>
        <w:rPr>
          <w:rFonts w:hint="eastAsia"/>
          <w:lang w:eastAsia="zh-CN"/>
        </w:rPr>
        <w:t>系统的技术和操作特性</w:t>
      </w:r>
    </w:p>
    <w:p w:rsidR="0006765B" w:rsidRPr="00743F86" w:rsidRDefault="0006765B" w:rsidP="0006765B">
      <w:pPr>
        <w:tabs>
          <w:tab w:val="right" w:pos="9639"/>
        </w:tabs>
        <w:spacing w:before="360"/>
        <w:rPr>
          <w:lang w:val="fr-CH" w:eastAsia="zh-CN"/>
        </w:rPr>
      </w:pPr>
      <w:r w:rsidRPr="00743F86">
        <w:rPr>
          <w:u w:val="single"/>
          <w:lang w:val="fr-CH" w:eastAsia="zh-CN"/>
        </w:rPr>
        <w:t>ITU-R RS.1883</w:t>
      </w:r>
      <w:r>
        <w:rPr>
          <w:rFonts w:hint="eastAsia"/>
          <w:u w:val="single"/>
          <w:lang w:val="fr-CH" w:eastAsia="zh-CN"/>
        </w:rPr>
        <w:t>建议书</w:t>
      </w:r>
      <w:r w:rsidRPr="00743F86">
        <w:rPr>
          <w:lang w:val="fr-CH" w:eastAsia="zh-CN"/>
        </w:rPr>
        <w:tab/>
        <w:t>7/BL/8</w:t>
      </w:r>
      <w:r>
        <w:rPr>
          <w:rFonts w:hint="eastAsia"/>
          <w:lang w:val="fr-CH" w:eastAsia="zh-CN"/>
        </w:rPr>
        <w:t>号文件</w:t>
      </w:r>
    </w:p>
    <w:p w:rsidR="0006765B" w:rsidRPr="00154B3F" w:rsidRDefault="0006765B" w:rsidP="0006765B">
      <w:pPr>
        <w:pStyle w:val="Rectitle"/>
        <w:rPr>
          <w:lang w:eastAsia="zh-CN"/>
        </w:rPr>
      </w:pPr>
      <w:r>
        <w:rPr>
          <w:rFonts w:hint="eastAsia"/>
          <w:lang w:val="en-US" w:eastAsia="zh-CN"/>
        </w:rPr>
        <w:t>遥感系统在气候变化及其影响研究中的使用</w:t>
      </w:r>
    </w:p>
    <w:p w:rsidR="0006765B" w:rsidRPr="00743F86" w:rsidRDefault="0006765B" w:rsidP="0006765B">
      <w:pPr>
        <w:tabs>
          <w:tab w:val="right" w:pos="9639"/>
        </w:tabs>
        <w:spacing w:before="360"/>
        <w:rPr>
          <w:u w:val="single"/>
          <w:lang w:val="fr-CH" w:eastAsia="zh-CN"/>
        </w:rPr>
      </w:pPr>
      <w:r w:rsidRPr="00743F86">
        <w:rPr>
          <w:u w:val="single"/>
          <w:lang w:val="fr-CH" w:eastAsia="zh-CN"/>
        </w:rPr>
        <w:t>ITU-R SA.1276-3</w:t>
      </w:r>
      <w:r>
        <w:rPr>
          <w:rFonts w:hint="eastAsia"/>
          <w:u w:val="single"/>
          <w:lang w:val="fr-CH" w:eastAsia="zh-CN"/>
        </w:rPr>
        <w:t>建议书</w:t>
      </w:r>
      <w:r w:rsidRPr="00743F86">
        <w:rPr>
          <w:lang w:val="fr-CH" w:eastAsia="zh-CN"/>
        </w:rPr>
        <w:tab/>
        <w:t>7/BL/9</w:t>
      </w:r>
      <w:r>
        <w:rPr>
          <w:rFonts w:hint="eastAsia"/>
          <w:lang w:val="fr-CH" w:eastAsia="zh-CN"/>
        </w:rPr>
        <w:t>号文件</w:t>
      </w:r>
    </w:p>
    <w:p w:rsidR="0006765B" w:rsidRPr="00154B3F" w:rsidRDefault="0006765B" w:rsidP="0006765B">
      <w:pPr>
        <w:pStyle w:val="Rectitle"/>
        <w:rPr>
          <w:lang w:eastAsia="zh-CN"/>
        </w:rPr>
      </w:pPr>
      <w:r>
        <w:rPr>
          <w:rFonts w:hint="eastAsia"/>
          <w:bCs/>
          <w:szCs w:val="28"/>
          <w:lang w:val="fr-FR" w:eastAsia="zh-CN"/>
        </w:rPr>
        <w:t>需保护免受</w:t>
      </w:r>
      <w:r>
        <w:rPr>
          <w:bCs/>
          <w:szCs w:val="28"/>
          <w:lang w:eastAsia="zh-CN"/>
        </w:rPr>
        <w:t>25.25-27.5 GHz</w:t>
      </w:r>
      <w:r>
        <w:rPr>
          <w:rFonts w:hint="eastAsia"/>
          <w:bCs/>
          <w:szCs w:val="28"/>
          <w:lang w:val="fr-FR" w:eastAsia="zh-CN"/>
        </w:rPr>
        <w:t>频段固定业务系统</w:t>
      </w:r>
      <w:r>
        <w:rPr>
          <w:bCs/>
          <w:szCs w:val="28"/>
          <w:lang w:eastAsia="zh-CN"/>
        </w:rPr>
        <w:br/>
      </w:r>
      <w:r>
        <w:rPr>
          <w:rFonts w:hint="eastAsia"/>
          <w:bCs/>
          <w:szCs w:val="28"/>
          <w:lang w:val="fr-FR" w:eastAsia="zh-CN"/>
        </w:rPr>
        <w:t>发射影响的数据中继卫星轨道位置</w:t>
      </w:r>
    </w:p>
    <w:p w:rsidR="0006765B" w:rsidRPr="00743F86" w:rsidRDefault="0006765B" w:rsidP="0006765B">
      <w:pPr>
        <w:tabs>
          <w:tab w:val="right" w:pos="9639"/>
        </w:tabs>
        <w:spacing w:before="360"/>
        <w:rPr>
          <w:lang w:val="fr-CH" w:eastAsia="zh-CN"/>
        </w:rPr>
      </w:pPr>
      <w:r w:rsidRPr="00743F86">
        <w:rPr>
          <w:u w:val="single"/>
          <w:lang w:val="fr-CH" w:eastAsia="zh-CN"/>
        </w:rPr>
        <w:t>ITU-R SA.1275-3</w:t>
      </w:r>
      <w:r>
        <w:rPr>
          <w:rFonts w:hint="eastAsia"/>
          <w:u w:val="single"/>
          <w:lang w:val="fr-CH" w:eastAsia="zh-CN"/>
        </w:rPr>
        <w:t>建议书</w:t>
      </w:r>
      <w:r w:rsidRPr="00743F86">
        <w:rPr>
          <w:lang w:val="fr-CH" w:eastAsia="zh-CN"/>
        </w:rPr>
        <w:tab/>
        <w:t>7/BL/10</w:t>
      </w:r>
      <w:r>
        <w:rPr>
          <w:rFonts w:hint="eastAsia"/>
          <w:lang w:val="fr-CH" w:eastAsia="zh-CN"/>
        </w:rPr>
        <w:t>号文件</w:t>
      </w:r>
    </w:p>
    <w:p w:rsidR="0006765B" w:rsidRPr="00154B3F" w:rsidRDefault="0006765B" w:rsidP="0006765B">
      <w:pPr>
        <w:pStyle w:val="Rectitle"/>
        <w:rPr>
          <w:lang w:eastAsia="zh-CN"/>
        </w:rPr>
      </w:pPr>
      <w:r>
        <w:rPr>
          <w:rFonts w:hint="eastAsia"/>
          <w:bCs/>
          <w:szCs w:val="28"/>
          <w:lang w:val="fr-FR" w:eastAsia="zh-CN"/>
        </w:rPr>
        <w:t>需保护免受</w:t>
      </w:r>
      <w:r>
        <w:rPr>
          <w:bCs/>
          <w:szCs w:val="28"/>
          <w:lang w:val="fr-FR" w:eastAsia="zh-CN"/>
        </w:rPr>
        <w:t>2 200-2 290 MHz</w:t>
      </w:r>
      <w:r>
        <w:rPr>
          <w:rFonts w:hint="eastAsia"/>
          <w:bCs/>
          <w:szCs w:val="28"/>
          <w:lang w:val="fr-FR" w:eastAsia="zh-CN"/>
        </w:rPr>
        <w:t>频段固定业务系统</w:t>
      </w:r>
      <w:r>
        <w:rPr>
          <w:bCs/>
          <w:szCs w:val="28"/>
          <w:lang w:val="fr-FR" w:eastAsia="zh-CN"/>
        </w:rPr>
        <w:br/>
      </w:r>
      <w:r>
        <w:rPr>
          <w:rFonts w:hint="eastAsia"/>
          <w:bCs/>
          <w:szCs w:val="28"/>
          <w:lang w:val="fr-FR" w:eastAsia="zh-CN"/>
        </w:rPr>
        <w:t>发射影响的数据中继卫星轨道位置</w:t>
      </w:r>
    </w:p>
    <w:p w:rsidR="0006765B" w:rsidRPr="00743F86" w:rsidRDefault="0006765B" w:rsidP="0006765B">
      <w:pPr>
        <w:tabs>
          <w:tab w:val="right" w:pos="9639"/>
        </w:tabs>
        <w:spacing w:before="360"/>
        <w:rPr>
          <w:lang w:val="fr-CH" w:eastAsia="zh-CN"/>
        </w:rPr>
      </w:pPr>
      <w:r w:rsidRPr="00743F86">
        <w:rPr>
          <w:u w:val="single"/>
          <w:lang w:val="fr-CH" w:eastAsia="zh-CN"/>
        </w:rPr>
        <w:t>ITU-R RS.1813</w:t>
      </w:r>
      <w:r>
        <w:rPr>
          <w:u w:val="single"/>
          <w:lang w:val="fr-CH" w:eastAsia="zh-CN"/>
        </w:rPr>
        <w:t>-1</w:t>
      </w:r>
      <w:r>
        <w:rPr>
          <w:rFonts w:hint="eastAsia"/>
          <w:u w:val="single"/>
          <w:lang w:val="fr-CH" w:eastAsia="zh-CN"/>
        </w:rPr>
        <w:t>建议书</w:t>
      </w:r>
      <w:r w:rsidRPr="00743F86">
        <w:rPr>
          <w:lang w:val="fr-CH" w:eastAsia="zh-CN"/>
        </w:rPr>
        <w:tab/>
        <w:t>7/BL/11</w:t>
      </w:r>
      <w:r>
        <w:rPr>
          <w:rFonts w:hint="eastAsia"/>
          <w:lang w:val="fr-CH" w:eastAsia="zh-CN"/>
        </w:rPr>
        <w:t>号文件</w:t>
      </w:r>
    </w:p>
    <w:p w:rsidR="0006765B" w:rsidRPr="00154B3F" w:rsidRDefault="0006765B" w:rsidP="0006765B">
      <w:pPr>
        <w:pStyle w:val="Rectitle"/>
        <w:rPr>
          <w:lang w:eastAsia="zh-CN"/>
        </w:rPr>
      </w:pPr>
      <w:r>
        <w:rPr>
          <w:rFonts w:hint="eastAsia"/>
          <w:bCs/>
          <w:szCs w:val="28"/>
          <w:lang w:eastAsia="zh-CN"/>
        </w:rPr>
        <w:t>用于</w:t>
      </w:r>
      <w:r>
        <w:rPr>
          <w:bCs/>
          <w:szCs w:val="28"/>
          <w:lang w:eastAsia="zh-CN"/>
        </w:rPr>
        <w:t>1.4-100 GHz</w:t>
      </w:r>
      <w:r>
        <w:rPr>
          <w:rFonts w:hint="eastAsia"/>
          <w:bCs/>
          <w:szCs w:val="28"/>
          <w:lang w:eastAsia="zh-CN"/>
        </w:rPr>
        <w:t>频率范围内兼容性分析的卫星地球探测业务（无源）</w:t>
      </w:r>
      <w:r>
        <w:rPr>
          <w:bCs/>
          <w:szCs w:val="28"/>
          <w:lang w:eastAsia="zh-CN"/>
        </w:rPr>
        <w:br/>
      </w:r>
      <w:r>
        <w:rPr>
          <w:rFonts w:hint="eastAsia"/>
          <w:bCs/>
          <w:szCs w:val="28"/>
          <w:lang w:eastAsia="zh-CN"/>
        </w:rPr>
        <w:t>中的无源传感器的参考天线方向图</w:t>
      </w:r>
    </w:p>
    <w:p w:rsidR="0006765B" w:rsidRPr="00BB3E99" w:rsidRDefault="0006765B" w:rsidP="0006765B">
      <w:pPr>
        <w:tabs>
          <w:tab w:val="right" w:pos="9639"/>
        </w:tabs>
        <w:spacing w:before="360"/>
        <w:rPr>
          <w:lang w:val="fr-CH" w:eastAsia="zh-CN"/>
        </w:rPr>
      </w:pPr>
      <w:r w:rsidRPr="00BB3E99">
        <w:rPr>
          <w:u w:val="single"/>
          <w:lang w:val="fr-CH" w:eastAsia="zh-CN"/>
        </w:rPr>
        <w:t>ITU-R SA.1014-2</w:t>
      </w:r>
      <w:r>
        <w:rPr>
          <w:rFonts w:hint="eastAsia"/>
          <w:u w:val="single"/>
          <w:lang w:val="fr-CH" w:eastAsia="zh-CN"/>
        </w:rPr>
        <w:t>建议书</w:t>
      </w:r>
      <w:r w:rsidRPr="00BB3E99">
        <w:rPr>
          <w:lang w:val="fr-CH" w:eastAsia="zh-CN"/>
        </w:rPr>
        <w:tab/>
        <w:t>7/BL/12</w:t>
      </w:r>
    </w:p>
    <w:p w:rsidR="0006765B" w:rsidRPr="00154B3F" w:rsidRDefault="0006765B" w:rsidP="0006765B">
      <w:pPr>
        <w:pStyle w:val="Rectitle"/>
        <w:rPr>
          <w:lang w:eastAsia="zh-CN"/>
        </w:rPr>
      </w:pPr>
      <w:r>
        <w:rPr>
          <w:rFonts w:hint="eastAsia"/>
          <w:bCs/>
          <w:szCs w:val="28"/>
          <w:lang w:val="en-US" w:eastAsia="zh-CN"/>
        </w:rPr>
        <w:t>载人和无人深空研究的通信要求</w:t>
      </w:r>
    </w:p>
    <w:p w:rsidR="0006765B" w:rsidRDefault="0006765B" w:rsidP="0006765B">
      <w:pPr>
        <w:rPr>
          <w:lang w:eastAsia="zh-CN"/>
        </w:rPr>
      </w:pPr>
    </w:p>
    <w:p w:rsidR="0006765B" w:rsidRDefault="0006765B" w:rsidP="0006765B">
      <w:pPr>
        <w:pStyle w:val="AnnexNotitle"/>
        <w:rPr>
          <w:rFonts w:ascii="SimSun" w:hAnsi="SimSun" w:cs="SimSun"/>
          <w:lang w:eastAsia="zh-CN"/>
        </w:rPr>
      </w:pPr>
      <w:r w:rsidRPr="0006765B">
        <w:rPr>
          <w:rFonts w:hint="eastAsia"/>
          <w:lang w:eastAsia="zh-CN"/>
        </w:rPr>
        <w:lastRenderedPageBreak/>
        <w:t>附件</w:t>
      </w:r>
      <w:r w:rsidRPr="00743F86">
        <w:rPr>
          <w:lang w:eastAsia="zh-CN"/>
        </w:rPr>
        <w:t xml:space="preserve"> 2</w:t>
      </w:r>
      <w:r w:rsidRPr="00270BF9">
        <w:rPr>
          <w:lang w:eastAsia="zh-CN"/>
        </w:rPr>
        <w:br/>
      </w:r>
      <w:r>
        <w:rPr>
          <w:bCs/>
          <w:szCs w:val="28"/>
          <w:lang w:eastAsia="zh-CN"/>
        </w:rPr>
        <w:br/>
      </w:r>
      <w:r>
        <w:rPr>
          <w:rFonts w:ascii="SimSun" w:hAnsi="SimSun" w:cs="SimSun" w:hint="eastAsia"/>
          <w:lang w:eastAsia="zh-CN"/>
        </w:rPr>
        <w:t>废止的建议书的清单</w:t>
      </w:r>
    </w:p>
    <w:p w:rsidR="0006765B" w:rsidRPr="00BB3E99" w:rsidRDefault="0006765B" w:rsidP="0006765B">
      <w:pPr>
        <w:rPr>
          <w:lang w:eastAsia="zh-CN"/>
        </w:rPr>
      </w:pPr>
    </w:p>
    <w:tbl>
      <w:tblPr>
        <w:tblW w:w="0" w:type="auto"/>
        <w:jc w:val="center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6826"/>
      </w:tblGrid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head"/>
              <w:rPr>
                <w:shd w:val="pct15" w:color="auto" w:fill="FFFFFF"/>
                <w:lang w:eastAsia="zh-CN"/>
              </w:rPr>
            </w:pPr>
            <w:r>
              <w:t>ITU</w:t>
            </w:r>
            <w:r>
              <w:noBreakHyphen/>
              <w:t>R</w:t>
            </w:r>
            <w:r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head"/>
              <w:rPr>
                <w:shd w:val="pct15" w:color="auto" w:fill="FFFFFF"/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</w:tr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text"/>
              <w:jc w:val="center"/>
            </w:pPr>
            <w:r>
              <w:t>SA.1012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1-40 GHz</w:t>
            </w:r>
            <w:r>
              <w:rPr>
                <w:rFonts w:hint="eastAsia"/>
                <w:lang w:eastAsia="zh-CN"/>
              </w:rPr>
              <w:t>频率范围内太空研究的优选频段</w:t>
            </w:r>
          </w:p>
        </w:tc>
      </w:tr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text"/>
              <w:jc w:val="center"/>
            </w:pPr>
            <w:r>
              <w:t>SA.1013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40-120 GHz</w:t>
            </w:r>
            <w:r>
              <w:rPr>
                <w:rFonts w:hint="eastAsia"/>
                <w:lang w:eastAsia="zh-CN"/>
              </w:rPr>
              <w:t>频率范围内太空研究的优选频段</w:t>
            </w:r>
          </w:p>
        </w:tc>
      </w:tr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text"/>
              <w:jc w:val="center"/>
            </w:pPr>
            <w:r>
              <w:t>SA.1017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计算空间研究业务链路性能的优选方法</w:t>
            </w:r>
          </w:p>
        </w:tc>
      </w:tr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text"/>
              <w:jc w:val="center"/>
            </w:pPr>
            <w:r>
              <w:t>SA.1278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卫星地球探测业务（空对地）、固定业务、卫星间业务和移动业务在</w:t>
            </w:r>
            <w:r>
              <w:rPr>
                <w:lang w:eastAsia="zh-CN"/>
              </w:rPr>
              <w:t>25.5</w:t>
            </w:r>
            <w:r>
              <w:rPr>
                <w:lang w:eastAsia="zh-CN"/>
              </w:rPr>
              <w:noBreakHyphen/>
              <w:t>27.0 GHz</w:t>
            </w:r>
            <w:r>
              <w:rPr>
                <w:rFonts w:hint="eastAsia"/>
                <w:lang w:eastAsia="zh-CN"/>
              </w:rPr>
              <w:t>频段共用的可行性</w:t>
            </w:r>
          </w:p>
        </w:tc>
      </w:tr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text"/>
              <w:jc w:val="center"/>
            </w:pPr>
            <w:r>
              <w:t>SA.1625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空间研究业务（空对地）与固定业务、卫星间业务和移动业务在</w:t>
            </w:r>
            <w:r>
              <w:rPr>
                <w:lang w:eastAsia="zh-CN"/>
              </w:rPr>
              <w:t>25.5-27.0 GHz</w:t>
            </w:r>
            <w:r>
              <w:rPr>
                <w:rFonts w:hint="eastAsia"/>
                <w:lang w:eastAsia="zh-CN"/>
              </w:rPr>
              <w:t>频段共用的可行性</w:t>
            </w:r>
          </w:p>
        </w:tc>
      </w:tr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text"/>
              <w:jc w:val="center"/>
            </w:pPr>
            <w:r>
              <w:t>RS.1262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 xml:space="preserve">400.15-406 MHz 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1 668.4-1 700 MHz</w:t>
            </w:r>
            <w:r>
              <w:rPr>
                <w:rFonts w:hint="eastAsia"/>
                <w:lang w:eastAsia="zh-CN"/>
              </w:rPr>
              <w:t>频段内气象辅助的共用与协调标准</w:t>
            </w:r>
          </w:p>
        </w:tc>
      </w:tr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text"/>
              <w:jc w:val="center"/>
            </w:pPr>
            <w:r>
              <w:t>SA.1236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text"/>
              <w:rPr>
                <w:lang w:val="en-US" w:eastAsia="zh-CN"/>
              </w:rPr>
            </w:pPr>
            <w:r>
              <w:rPr>
                <w:lang w:eastAsia="zh-CN"/>
              </w:rPr>
              <w:t xml:space="preserve">410-420 MHz </w:t>
            </w:r>
            <w:r>
              <w:rPr>
                <w:rFonts w:hint="eastAsia"/>
                <w:lang w:eastAsia="zh-CN"/>
              </w:rPr>
              <w:t>频段空间研究的舱外活动（</w:t>
            </w:r>
            <w:r>
              <w:rPr>
                <w:lang w:eastAsia="zh-CN"/>
              </w:rPr>
              <w:t>EVA</w:t>
            </w:r>
            <w:r>
              <w:rPr>
                <w:rFonts w:hint="eastAsia"/>
                <w:lang w:eastAsia="zh-CN"/>
              </w:rPr>
              <w:t>）链路和固定及移动业务链路之间的频率共用</w:t>
            </w:r>
          </w:p>
        </w:tc>
      </w:tr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text"/>
              <w:jc w:val="center"/>
            </w:pPr>
            <w:r>
              <w:t>TF.458-3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text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国际原子时标的对比</w:t>
            </w:r>
          </w:p>
        </w:tc>
      </w:tr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text"/>
              <w:jc w:val="center"/>
            </w:pPr>
            <w:r>
              <w:t>TF.536-2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text"/>
            </w:pPr>
            <w:r>
              <w:rPr>
                <w:rFonts w:ascii="SimSun" w:hAnsi="SimSun" w:cs="SimSun" w:hint="eastAsia"/>
                <w:lang w:eastAsia="zh-CN"/>
              </w:rPr>
              <w:t>时标符号</w:t>
            </w:r>
          </w:p>
        </w:tc>
      </w:tr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text"/>
              <w:jc w:val="center"/>
            </w:pPr>
            <w:r>
              <w:t>TF.582-2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text"/>
              <w:rPr>
                <w:lang w:val="en-US"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使用卫星方式传播和协调时间与频率信号</w:t>
            </w:r>
          </w:p>
        </w:tc>
      </w:tr>
      <w:tr w:rsidR="0006765B" w:rsidRPr="00F66978" w:rsidTr="007213F7">
        <w:trPr>
          <w:jc w:val="center"/>
        </w:trPr>
        <w:tc>
          <w:tcPr>
            <w:tcW w:w="2091" w:type="dxa"/>
            <w:vAlign w:val="center"/>
          </w:tcPr>
          <w:p w:rsidR="0006765B" w:rsidRDefault="0006765B" w:rsidP="007213F7">
            <w:pPr>
              <w:pStyle w:val="Tabletext"/>
              <w:jc w:val="center"/>
            </w:pPr>
            <w:r>
              <w:t>TF.1552</w:t>
            </w:r>
          </w:p>
        </w:tc>
        <w:tc>
          <w:tcPr>
            <w:tcW w:w="6826" w:type="dxa"/>
            <w:vAlign w:val="center"/>
          </w:tcPr>
          <w:p w:rsidR="0006765B" w:rsidRDefault="0006765B" w:rsidP="007213F7">
            <w:pPr>
              <w:pStyle w:val="Tabletext"/>
              <w:rPr>
                <w:lang w:val="en-US"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标准频率和时间信号业务使用的时标</w:t>
            </w:r>
          </w:p>
        </w:tc>
      </w:tr>
    </w:tbl>
    <w:p w:rsidR="0006765B" w:rsidRDefault="0006765B" w:rsidP="0006765B">
      <w:pPr>
        <w:tabs>
          <w:tab w:val="right" w:pos="9639"/>
        </w:tabs>
        <w:rPr>
          <w:lang w:eastAsia="zh-CN"/>
        </w:rPr>
      </w:pPr>
    </w:p>
    <w:p w:rsidR="0006765B" w:rsidRDefault="0006765B" w:rsidP="0006765B">
      <w:pPr>
        <w:pStyle w:val="Annex"/>
      </w:pPr>
      <w:r>
        <w:rPr>
          <w:lang w:val="en-US"/>
        </w:rPr>
        <w:t>______________</w:t>
      </w:r>
    </w:p>
    <w:p w:rsidR="00780E9E" w:rsidRPr="00780E9E" w:rsidRDefault="00780E9E" w:rsidP="0006765B">
      <w:pPr>
        <w:tabs>
          <w:tab w:val="left" w:pos="7513"/>
        </w:tabs>
        <w:spacing w:before="480"/>
        <w:jc w:val="center"/>
        <w:rPr>
          <w:szCs w:val="24"/>
          <w:lang w:val="en-US" w:eastAsia="zh-CN"/>
        </w:rPr>
      </w:pPr>
    </w:p>
    <w:sectPr w:rsidR="00780E9E" w:rsidRPr="00780E9E" w:rsidSect="0076319E"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83" w:rsidRDefault="002F2183" w:rsidP="0076319E">
      <w:pPr>
        <w:spacing w:before="0"/>
      </w:pPr>
      <w:r>
        <w:separator/>
      </w:r>
    </w:p>
  </w:endnote>
  <w:endnote w:type="continuationSeparator" w:id="0">
    <w:p w:rsidR="002F2183" w:rsidRDefault="002F2183" w:rsidP="007631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9E" w:rsidRPr="00164539" w:rsidRDefault="00164539" w:rsidP="00164539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Y:\APP\BR\CIRCS_DMS\CACE\500\529\529C.docx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76319E" w:rsidTr="002F218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6319E" w:rsidRDefault="0076319E" w:rsidP="002F218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6319E" w:rsidRDefault="0076319E" w:rsidP="002F218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6319E" w:rsidRDefault="0076319E" w:rsidP="002F218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6319E" w:rsidRDefault="0076319E" w:rsidP="002F218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6319E" w:rsidTr="002F2183">
      <w:trPr>
        <w:cantSplit/>
      </w:trPr>
      <w:tc>
        <w:tcPr>
          <w:tcW w:w="1062" w:type="pct"/>
        </w:tcPr>
        <w:p w:rsidR="0076319E" w:rsidRDefault="0076319E" w:rsidP="002F2183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6319E" w:rsidRDefault="0076319E" w:rsidP="002F218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6319E" w:rsidRDefault="0076319E" w:rsidP="002F218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6319E" w:rsidRDefault="0076319E" w:rsidP="002F218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6319E" w:rsidTr="002F2183">
      <w:trPr>
        <w:cantSplit/>
      </w:trPr>
      <w:tc>
        <w:tcPr>
          <w:tcW w:w="1062" w:type="pct"/>
        </w:tcPr>
        <w:p w:rsidR="0076319E" w:rsidRDefault="0076319E" w:rsidP="002F2183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76319E" w:rsidRDefault="0076319E" w:rsidP="002F218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6319E" w:rsidRDefault="0076319E" w:rsidP="002F2183">
          <w:pPr>
            <w:pStyle w:val="itu"/>
          </w:pPr>
        </w:p>
      </w:tc>
      <w:tc>
        <w:tcPr>
          <w:tcW w:w="1131" w:type="pct"/>
        </w:tcPr>
        <w:p w:rsidR="0076319E" w:rsidRDefault="0076319E" w:rsidP="002F2183">
          <w:pPr>
            <w:pStyle w:val="itu"/>
          </w:pPr>
        </w:p>
      </w:tc>
    </w:tr>
  </w:tbl>
  <w:p w:rsidR="0076319E" w:rsidRPr="003802A7" w:rsidRDefault="0076319E" w:rsidP="003802A7">
    <w:pPr>
      <w:pStyle w:val="Footer"/>
      <w:spacing w:before="0"/>
      <w:rPr>
        <w:sz w:val="2"/>
        <w:szCs w:val="2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83" w:rsidRDefault="002F2183" w:rsidP="0076319E">
      <w:pPr>
        <w:spacing w:before="0"/>
      </w:pPr>
      <w:r>
        <w:separator/>
      </w:r>
    </w:p>
  </w:footnote>
  <w:footnote w:type="continuationSeparator" w:id="0">
    <w:p w:rsidR="002F2183" w:rsidRDefault="002F2183" w:rsidP="0076319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9E" w:rsidRPr="0076319E" w:rsidRDefault="0076319E" w:rsidP="0076319E">
    <w:pPr>
      <w:pStyle w:val="Header"/>
      <w:jc w:val="center"/>
      <w:rPr>
        <w:sz w:val="18"/>
        <w:szCs w:val="18"/>
        <w:lang w:eastAsia="zh-CN"/>
      </w:rPr>
    </w:pPr>
    <w:r w:rsidRPr="00C1315E">
      <w:rPr>
        <w:rFonts w:hint="eastAsia"/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 w:rsidR="00164539">
      <w:rPr>
        <w:noProof/>
        <w:sz w:val="18"/>
        <w:szCs w:val="18"/>
      </w:rPr>
      <w:t>3</w:t>
    </w:r>
    <w:r w:rsidRPr="00C1315E">
      <w:rPr>
        <w:sz w:val="18"/>
        <w:szCs w:val="18"/>
      </w:rPr>
      <w:fldChar w:fldCharType="end"/>
    </w:r>
    <w:r w:rsidRPr="00C1315E">
      <w:rPr>
        <w:rFonts w:hint="eastAsia"/>
        <w:sz w:val="18"/>
        <w:szCs w:val="18"/>
        <w:lang w:eastAsia="zh-CN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B3"/>
    <w:rsid w:val="00015B64"/>
    <w:rsid w:val="0006765B"/>
    <w:rsid w:val="00164539"/>
    <w:rsid w:val="001753B6"/>
    <w:rsid w:val="002C22A2"/>
    <w:rsid w:val="002F2183"/>
    <w:rsid w:val="00350AED"/>
    <w:rsid w:val="003802A7"/>
    <w:rsid w:val="00757F15"/>
    <w:rsid w:val="0076319E"/>
    <w:rsid w:val="00780E9E"/>
    <w:rsid w:val="008E20B3"/>
    <w:rsid w:val="009053AE"/>
    <w:rsid w:val="00920CEB"/>
    <w:rsid w:val="009B202E"/>
    <w:rsid w:val="00A72D28"/>
    <w:rsid w:val="00B82279"/>
    <w:rsid w:val="00E073F0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0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0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8E20B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styleId="BodyTextIndent2">
    <w:name w:val="Body Text Indent 2"/>
    <w:basedOn w:val="Normal"/>
    <w:rsid w:val="008E20B3"/>
    <w:pPr>
      <w:spacing w:after="120" w:line="480" w:lineRule="auto"/>
      <w:ind w:left="283"/>
    </w:pPr>
  </w:style>
  <w:style w:type="paragraph" w:customStyle="1" w:styleId="AnnexNotitle">
    <w:name w:val="Annex_No &amp; title"/>
    <w:basedOn w:val="Normal"/>
    <w:next w:val="Normalaftertitle"/>
    <w:rsid w:val="00780E9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80E9E"/>
    <w:pPr>
      <w:spacing w:before="360"/>
    </w:pPr>
  </w:style>
  <w:style w:type="paragraph" w:customStyle="1" w:styleId="Rectitle">
    <w:name w:val="Rec_title"/>
    <w:basedOn w:val="Normal"/>
    <w:next w:val="Normalaftertitle"/>
    <w:link w:val="RectitleChar"/>
    <w:rsid w:val="00780E9E"/>
    <w:pPr>
      <w:keepNext/>
      <w:keepLines/>
      <w:spacing w:before="360"/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76319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E"/>
    <w:rPr>
      <w:sz w:val="24"/>
      <w:lang w:val="en-GB" w:eastAsia="en-US"/>
    </w:rPr>
  </w:style>
  <w:style w:type="paragraph" w:styleId="Footer">
    <w:name w:val="footer"/>
    <w:basedOn w:val="Normal"/>
    <w:link w:val="FooterChar"/>
    <w:rsid w:val="0076319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319E"/>
    <w:rPr>
      <w:sz w:val="24"/>
      <w:lang w:val="en-GB" w:eastAsia="en-US"/>
    </w:rPr>
  </w:style>
  <w:style w:type="paragraph" w:customStyle="1" w:styleId="itu">
    <w:name w:val="itu"/>
    <w:basedOn w:val="Normal"/>
    <w:rsid w:val="0076319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RectitleChar">
    <w:name w:val="Rec_title Char"/>
    <w:link w:val="Rectitle"/>
    <w:locked/>
    <w:rsid w:val="0006765B"/>
    <w:rPr>
      <w:b/>
      <w:sz w:val="28"/>
      <w:lang w:val="en-GB" w:eastAsia="en-US"/>
    </w:rPr>
  </w:style>
  <w:style w:type="paragraph" w:customStyle="1" w:styleId="Head">
    <w:name w:val="Head"/>
    <w:basedOn w:val="Normal"/>
    <w:rsid w:val="0006765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06765B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Tablehead">
    <w:name w:val="Table_head"/>
    <w:basedOn w:val="Normal"/>
    <w:next w:val="Normal"/>
    <w:uiPriority w:val="99"/>
    <w:rsid w:val="000676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</w:rPr>
  </w:style>
  <w:style w:type="paragraph" w:customStyle="1" w:styleId="Tabletext">
    <w:name w:val="Table_text"/>
    <w:basedOn w:val="Normal"/>
    <w:rsid w:val="000676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0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0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8E20B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styleId="BodyTextIndent2">
    <w:name w:val="Body Text Indent 2"/>
    <w:basedOn w:val="Normal"/>
    <w:rsid w:val="008E20B3"/>
    <w:pPr>
      <w:spacing w:after="120" w:line="480" w:lineRule="auto"/>
      <w:ind w:left="283"/>
    </w:pPr>
  </w:style>
  <w:style w:type="paragraph" w:customStyle="1" w:styleId="AnnexNotitle">
    <w:name w:val="Annex_No &amp; title"/>
    <w:basedOn w:val="Normal"/>
    <w:next w:val="Normalaftertitle"/>
    <w:rsid w:val="00780E9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80E9E"/>
    <w:pPr>
      <w:spacing w:before="360"/>
    </w:pPr>
  </w:style>
  <w:style w:type="paragraph" w:customStyle="1" w:styleId="Rectitle">
    <w:name w:val="Rec_title"/>
    <w:basedOn w:val="Normal"/>
    <w:next w:val="Normalaftertitle"/>
    <w:link w:val="RectitleChar"/>
    <w:rsid w:val="00780E9E"/>
    <w:pPr>
      <w:keepNext/>
      <w:keepLines/>
      <w:spacing w:before="360"/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76319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E"/>
    <w:rPr>
      <w:sz w:val="24"/>
      <w:lang w:val="en-GB" w:eastAsia="en-US"/>
    </w:rPr>
  </w:style>
  <w:style w:type="paragraph" w:styleId="Footer">
    <w:name w:val="footer"/>
    <w:basedOn w:val="Normal"/>
    <w:link w:val="FooterChar"/>
    <w:rsid w:val="0076319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319E"/>
    <w:rPr>
      <w:sz w:val="24"/>
      <w:lang w:val="en-GB" w:eastAsia="en-US"/>
    </w:rPr>
  </w:style>
  <w:style w:type="paragraph" w:customStyle="1" w:styleId="itu">
    <w:name w:val="itu"/>
    <w:basedOn w:val="Normal"/>
    <w:rsid w:val="0076319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RectitleChar">
    <w:name w:val="Rec_title Char"/>
    <w:link w:val="Rectitle"/>
    <w:locked/>
    <w:rsid w:val="0006765B"/>
    <w:rPr>
      <w:b/>
      <w:sz w:val="28"/>
      <w:lang w:val="en-GB" w:eastAsia="en-US"/>
    </w:rPr>
  </w:style>
  <w:style w:type="paragraph" w:customStyle="1" w:styleId="Head">
    <w:name w:val="Head"/>
    <w:basedOn w:val="Normal"/>
    <w:rsid w:val="0006765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06765B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Tablehead">
    <w:name w:val="Table_head"/>
    <w:basedOn w:val="Normal"/>
    <w:next w:val="Normal"/>
    <w:uiPriority w:val="99"/>
    <w:rsid w:val="000676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</w:rPr>
  </w:style>
  <w:style w:type="paragraph" w:customStyle="1" w:styleId="Tabletext">
    <w:name w:val="Table_text"/>
    <w:basedOn w:val="Normal"/>
    <w:rsid w:val="000676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6D0E-992C-4DF5-A4EF-DFF8D1E8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1484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chi</dc:creator>
  <cp:keywords/>
  <dc:description/>
  <cp:lastModifiedBy>Fernandez Virginia</cp:lastModifiedBy>
  <cp:revision>3</cp:revision>
  <cp:lastPrinted>2011-02-18T09:10:00Z</cp:lastPrinted>
  <dcterms:created xsi:type="dcterms:W3CDTF">2011-02-18T09:09:00Z</dcterms:created>
  <dcterms:modified xsi:type="dcterms:W3CDTF">2011-02-18T09:10:00Z</dcterms:modified>
</cp:coreProperties>
</file>