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FE1623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943"/>
        <w:gridCol w:w="7077"/>
      </w:tblGrid>
      <w:tr w:rsidR="00FA7B4D" w:rsidTr="00274925">
        <w:trPr>
          <w:cantSplit/>
        </w:trPr>
        <w:tc>
          <w:tcPr>
            <w:tcW w:w="2943" w:type="dxa"/>
          </w:tcPr>
          <w:p w:rsidR="00FA7B4D" w:rsidRPr="004F6C69" w:rsidRDefault="00274925" w:rsidP="00E2507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3C3CA6">
              <w:rPr>
                <w:b/>
                <w:bCs/>
              </w:rPr>
              <w:t>Circulaire administrative</w:t>
            </w:r>
          </w:p>
          <w:p w:rsidR="00FA7B4D" w:rsidRPr="004F6C69" w:rsidRDefault="00274925" w:rsidP="00E25073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</w:t>
            </w:r>
            <w:r w:rsidR="004F6C69">
              <w:rPr>
                <w:b/>
                <w:bCs/>
              </w:rPr>
              <w:t>/</w:t>
            </w:r>
            <w:r>
              <w:rPr>
                <w:b/>
                <w:bCs/>
              </w:rPr>
              <w:t>528</w:t>
            </w:r>
          </w:p>
        </w:tc>
        <w:tc>
          <w:tcPr>
            <w:tcW w:w="7077" w:type="dxa"/>
          </w:tcPr>
          <w:p w:rsidR="00FA7B4D" w:rsidRPr="004F6C69" w:rsidRDefault="00274925" w:rsidP="00274925">
            <w:pPr>
              <w:tabs>
                <w:tab w:val="left" w:pos="7513"/>
              </w:tabs>
              <w:jc w:val="right"/>
            </w:pPr>
            <w:r>
              <w:t>L</w:t>
            </w:r>
            <w:r w:rsidR="00CB743B" w:rsidRPr="00FF764B">
              <w:t>e</w:t>
            </w:r>
            <w:r>
              <w:t xml:space="preserve"> 16</w:t>
            </w:r>
            <w:r w:rsidR="00CB743B" w:rsidRPr="00FF764B">
              <w:t xml:space="preserve"> </w:t>
            </w:r>
            <w:bookmarkStart w:id="2" w:name="ddate"/>
            <w:bookmarkEnd w:id="2"/>
            <w:r>
              <w:t>février</w:t>
            </w:r>
            <w:r w:rsidR="004F6C69">
              <w:t xml:space="preserve"> 2011</w:t>
            </w:r>
          </w:p>
        </w:tc>
      </w:tr>
    </w:tbl>
    <w:p w:rsidR="00FA7B4D" w:rsidRPr="00FE1623" w:rsidRDefault="00274925" w:rsidP="00274925">
      <w:pPr>
        <w:tabs>
          <w:tab w:val="left" w:pos="7513"/>
        </w:tabs>
        <w:spacing w:before="480"/>
        <w:jc w:val="center"/>
        <w:rPr>
          <w:b/>
          <w:bCs/>
        </w:rPr>
      </w:pPr>
      <w:r w:rsidRPr="00544F7F">
        <w:rPr>
          <w:b/>
        </w:rPr>
        <w:t xml:space="preserve">Aux Administrations des Etats Membres de l'UIT, aux Membres du Secteur des radiocommunications et </w:t>
      </w:r>
      <w:r w:rsidRPr="00544F7F">
        <w:rPr>
          <w:b/>
          <w:bCs/>
        </w:rPr>
        <w:t>aux</w:t>
      </w:r>
      <w:r w:rsidRPr="00544F7F">
        <w:rPr>
          <w:b/>
        </w:rPr>
        <w:t xml:space="preserve"> </w:t>
      </w:r>
      <w:r w:rsidRPr="00544F7F">
        <w:rPr>
          <w:b/>
          <w:bCs/>
        </w:rPr>
        <w:t>Associés de l'UIT</w:t>
      </w:r>
      <w:r w:rsidRPr="00544F7F">
        <w:rPr>
          <w:b/>
          <w:bCs/>
        </w:rPr>
        <w:noBreakHyphen/>
        <w:t>R</w:t>
      </w:r>
      <w:r w:rsidRPr="00544F7F">
        <w:rPr>
          <w:b/>
        </w:rPr>
        <w:t xml:space="preserve"> participant aux travaux de la </w:t>
      </w:r>
      <w:r w:rsidRPr="00544F7F">
        <w:rPr>
          <w:b/>
        </w:rPr>
        <w:br/>
        <w:t>Commission d'études </w:t>
      </w:r>
      <w:r>
        <w:rPr>
          <w:b/>
        </w:rPr>
        <w:t>1</w:t>
      </w:r>
      <w:r w:rsidRPr="00544F7F">
        <w:rPr>
          <w:b/>
        </w:rPr>
        <w:t xml:space="preserve"> des radiocommunications et de la Commission spéciale </w:t>
      </w:r>
      <w:r w:rsidRPr="00544F7F">
        <w:rPr>
          <w:b/>
        </w:rPr>
        <w:br/>
        <w:t>chargée d'examiner les questions réglementaires et de procédure</w:t>
      </w:r>
    </w:p>
    <w:p w:rsidR="00274925" w:rsidRPr="00D7368B" w:rsidRDefault="00FE1623" w:rsidP="002E59E3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360"/>
        <w:ind w:left="709" w:hanging="709"/>
        <w:rPr>
          <w:b/>
          <w:bCs/>
        </w:rPr>
      </w:pPr>
      <w:r>
        <w:rPr>
          <w:b/>
        </w:rPr>
        <w:t>Objet</w:t>
      </w:r>
      <w:r>
        <w:t>:</w:t>
      </w:r>
      <w:r>
        <w:tab/>
      </w:r>
      <w:r>
        <w:tab/>
      </w:r>
      <w:bookmarkStart w:id="3" w:name="dtitle1"/>
      <w:bookmarkEnd w:id="3"/>
      <w:r w:rsidR="00274925" w:rsidRPr="00D7368B">
        <w:rPr>
          <w:b/>
          <w:bCs/>
        </w:rPr>
        <w:t xml:space="preserve">Commission d'études </w:t>
      </w:r>
      <w:r w:rsidR="00274925">
        <w:rPr>
          <w:b/>
          <w:bCs/>
        </w:rPr>
        <w:t>1</w:t>
      </w:r>
      <w:r w:rsidR="00274925" w:rsidRPr="00D7368B">
        <w:rPr>
          <w:b/>
          <w:bCs/>
        </w:rPr>
        <w:t xml:space="preserve"> des radiocommunications</w:t>
      </w:r>
    </w:p>
    <w:p w:rsidR="00274925" w:rsidRDefault="00274925" w:rsidP="002E59E3">
      <w:pPr>
        <w:pStyle w:val="enumlev1"/>
        <w:tabs>
          <w:tab w:val="clear" w:pos="1191"/>
          <w:tab w:val="clear" w:pos="1588"/>
          <w:tab w:val="left" w:pos="1418"/>
        </w:tabs>
        <w:spacing w:before="120"/>
        <w:ind w:left="1418" w:hanging="425"/>
        <w:rPr>
          <w:b/>
          <w:bCs/>
        </w:rPr>
      </w:pPr>
      <w:r w:rsidRPr="00D7368B">
        <w:rPr>
          <w:b/>
          <w:bCs/>
        </w:rPr>
        <w:t>–</w:t>
      </w:r>
      <w:r w:rsidRPr="00D7368B">
        <w:rPr>
          <w:b/>
          <w:bCs/>
        </w:rPr>
        <w:tab/>
        <w:t>Adoption d</w:t>
      </w:r>
      <w:r>
        <w:rPr>
          <w:b/>
          <w:bCs/>
        </w:rPr>
        <w:t>'une nouvelle Recommandation et de deux</w:t>
      </w:r>
      <w:r w:rsidRPr="00D7368B">
        <w:rPr>
          <w:b/>
          <w:bCs/>
        </w:rPr>
        <w:t xml:space="preserve"> Recommandations révisées par correspondance et leur approbat</w:t>
      </w:r>
      <w:r w:rsidR="002E59E3">
        <w:rPr>
          <w:b/>
          <w:bCs/>
        </w:rPr>
        <w:t>ion simultanée, conformément au </w:t>
      </w:r>
      <w:r w:rsidRPr="00D7368B">
        <w:rPr>
          <w:b/>
          <w:bCs/>
        </w:rPr>
        <w:t>§ 10.3 de la </w:t>
      </w:r>
      <w:r w:rsidR="002E59E3">
        <w:rPr>
          <w:b/>
          <w:bCs/>
        </w:rPr>
        <w:t>Résolution UIT</w:t>
      </w:r>
      <w:r w:rsidR="002E59E3">
        <w:rPr>
          <w:b/>
          <w:bCs/>
        </w:rPr>
        <w:noBreakHyphen/>
        <w:t>R 1</w:t>
      </w:r>
      <w:r w:rsidR="002E59E3">
        <w:rPr>
          <w:b/>
          <w:bCs/>
        </w:rPr>
        <w:noBreakHyphen/>
        <w:t xml:space="preserve">5 (Procédure </w:t>
      </w:r>
      <w:r w:rsidRPr="00D7368B">
        <w:rPr>
          <w:b/>
          <w:bCs/>
        </w:rPr>
        <w:t>d'adoption et d'approbation simultanées par correspondance)</w:t>
      </w:r>
    </w:p>
    <w:p w:rsidR="00274925" w:rsidRPr="00D7368B" w:rsidRDefault="00274925" w:rsidP="002E59E3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spacing w:before="120"/>
        <w:ind w:left="1418" w:hanging="425"/>
        <w:rPr>
          <w:b/>
          <w:bCs/>
        </w:rPr>
      </w:pPr>
      <w:r w:rsidRPr="00D7368B">
        <w:rPr>
          <w:b/>
          <w:bCs/>
        </w:rPr>
        <w:t>–</w:t>
      </w:r>
      <w:r w:rsidRPr="00D7368B">
        <w:rPr>
          <w:b/>
          <w:bCs/>
        </w:rPr>
        <w:tab/>
        <w:t>Suppression d</w:t>
      </w:r>
      <w:r>
        <w:rPr>
          <w:b/>
          <w:bCs/>
        </w:rPr>
        <w:t>e trois</w:t>
      </w:r>
      <w:r w:rsidRPr="00D7368B">
        <w:rPr>
          <w:b/>
          <w:bCs/>
        </w:rPr>
        <w:t xml:space="preserve"> Recommandation</w:t>
      </w:r>
      <w:r>
        <w:rPr>
          <w:b/>
          <w:bCs/>
        </w:rPr>
        <w:t>s</w:t>
      </w:r>
    </w:p>
    <w:p w:rsidR="00274925" w:rsidRPr="000A47E1" w:rsidRDefault="00274925" w:rsidP="00274925">
      <w:pPr>
        <w:pStyle w:val="Headingb"/>
        <w:spacing w:before="360"/>
        <w:jc w:val="center"/>
      </w:pPr>
      <w:r>
        <w:t>Gestion du spectre</w:t>
      </w:r>
    </w:p>
    <w:p w:rsidR="00274925" w:rsidRPr="00C460E3" w:rsidRDefault="00274925" w:rsidP="009B0A4F">
      <w:pPr>
        <w:spacing w:before="240"/>
      </w:pPr>
      <w:r>
        <w:t>Dans la Circulaire administrative</w:t>
      </w:r>
      <w:r w:rsidRPr="000A47E1">
        <w:t xml:space="preserve"> CAR/</w:t>
      </w:r>
      <w:r w:rsidR="00166BFF">
        <w:t>302</w:t>
      </w:r>
      <w:r w:rsidRPr="000A47E1">
        <w:t xml:space="preserve"> dat</w:t>
      </w:r>
      <w:r>
        <w:t>é</w:t>
      </w:r>
      <w:r w:rsidRPr="000A47E1">
        <w:t xml:space="preserve">e du </w:t>
      </w:r>
      <w:r>
        <w:t>1</w:t>
      </w:r>
      <w:r w:rsidR="009B0A4F" w:rsidRPr="009B0A4F">
        <w:rPr>
          <w:vertAlign w:val="superscript"/>
        </w:rPr>
        <w:t>er</w:t>
      </w:r>
      <w:r w:rsidR="009B0A4F">
        <w:t xml:space="preserve"> </w:t>
      </w:r>
      <w:r w:rsidR="00166BFF">
        <w:t>novembre</w:t>
      </w:r>
      <w:r>
        <w:t xml:space="preserve"> 2010</w:t>
      </w:r>
      <w:r w:rsidRPr="000A47E1">
        <w:t xml:space="preserve">, </w:t>
      </w:r>
      <w:r>
        <w:t xml:space="preserve">un projet de nouvelle Recommandation et deux projets de Recommandation révisée ont </w:t>
      </w:r>
      <w:r w:rsidRPr="000A47E1">
        <w:t xml:space="preserve">été </w:t>
      </w:r>
      <w:r w:rsidRPr="00C460E3">
        <w:t>soumis</w:t>
      </w:r>
      <w:r w:rsidRPr="000A47E1">
        <w:t xml:space="preserve"> pour adoption et approbation simultanée</w:t>
      </w:r>
      <w:r>
        <w:t>s</w:t>
      </w:r>
      <w:r w:rsidRPr="000A47E1">
        <w:t xml:space="preserve"> par correspondance (PAAS)</w:t>
      </w:r>
      <w:r>
        <w:t>,</w:t>
      </w:r>
      <w:r w:rsidRPr="000A47E1">
        <w:t xml:space="preserve"> conformément à la Résolution UIT</w:t>
      </w:r>
      <w:r w:rsidRPr="000A47E1">
        <w:noBreakHyphen/>
        <w:t>R 1-</w:t>
      </w:r>
      <w:r>
        <w:t>5</w:t>
      </w:r>
      <w:r w:rsidRPr="000A47E1">
        <w:t xml:space="preserve"> (§ 10.3). </w:t>
      </w:r>
      <w:r>
        <w:t xml:space="preserve">De plus, la Commission d'études a proposé la suppression de </w:t>
      </w:r>
      <w:r w:rsidR="00166BFF">
        <w:t>trois</w:t>
      </w:r>
      <w:r>
        <w:t xml:space="preserve"> Recommandations.</w:t>
      </w:r>
    </w:p>
    <w:p w:rsidR="00274925" w:rsidRDefault="00274925" w:rsidP="009B0A4F">
      <w:r w:rsidRPr="000A47E1">
        <w:t>Les conditions régissant cette procédure ont été satisfaites</w:t>
      </w:r>
      <w:r>
        <w:t xml:space="preserve"> le 1</w:t>
      </w:r>
      <w:r w:rsidR="009B0A4F" w:rsidRPr="009B0A4F">
        <w:rPr>
          <w:vertAlign w:val="superscript"/>
        </w:rPr>
        <w:t>er</w:t>
      </w:r>
      <w:r w:rsidR="009B0A4F">
        <w:t xml:space="preserve"> </w:t>
      </w:r>
      <w:r w:rsidR="00166BFF">
        <w:t>février</w:t>
      </w:r>
      <w:r>
        <w:t xml:space="preserve"> 201</w:t>
      </w:r>
      <w:r w:rsidR="00166BFF">
        <w:t>1</w:t>
      </w:r>
      <w:r>
        <w:t>.</w:t>
      </w:r>
    </w:p>
    <w:p w:rsidR="00274925" w:rsidRPr="000A47E1" w:rsidRDefault="00274925" w:rsidP="00166BFF">
      <w:pPr>
        <w:ind w:right="-142"/>
      </w:pPr>
      <w:r>
        <w:t>Les</w:t>
      </w:r>
      <w:r w:rsidRPr="000A47E1">
        <w:t xml:space="preserve"> Recommandation</w:t>
      </w:r>
      <w:r>
        <w:t>s</w:t>
      </w:r>
      <w:r w:rsidRPr="000A47E1">
        <w:t xml:space="preserve"> approuvée</w:t>
      </w:r>
      <w:r>
        <w:t>s</w:t>
      </w:r>
      <w:r w:rsidRPr="000A47E1">
        <w:t xml:space="preserve"> ser</w:t>
      </w:r>
      <w:r>
        <w:t>ont publiées</w:t>
      </w:r>
      <w:r w:rsidRPr="000A47E1">
        <w:t xml:space="preserve"> par l'UIT et vous trouverez dans l'A</w:t>
      </w:r>
      <w:r>
        <w:t>nnexe 1 de la </w:t>
      </w:r>
      <w:r w:rsidRPr="000A47E1">
        <w:t xml:space="preserve">présente </w:t>
      </w:r>
      <w:r>
        <w:t>C</w:t>
      </w:r>
      <w:r w:rsidRPr="000A47E1">
        <w:t xml:space="preserve">irculaire </w:t>
      </w:r>
      <w:r>
        <w:t>leurs</w:t>
      </w:r>
      <w:r w:rsidRPr="000A47E1">
        <w:t xml:space="preserve"> titre</w:t>
      </w:r>
      <w:r>
        <w:t>s</w:t>
      </w:r>
      <w:r w:rsidRPr="000A47E1">
        <w:t xml:space="preserve"> </w:t>
      </w:r>
      <w:r>
        <w:t>ainsi que les numéros qui leur</w:t>
      </w:r>
      <w:r w:rsidRPr="000A47E1">
        <w:t xml:space="preserve"> </w:t>
      </w:r>
      <w:r>
        <w:t>ont été</w:t>
      </w:r>
      <w:r w:rsidRPr="000A47E1">
        <w:t xml:space="preserve"> attribué</w:t>
      </w:r>
      <w:r>
        <w:t>s</w:t>
      </w:r>
      <w:r w:rsidRPr="000A47E1">
        <w:t>.</w:t>
      </w:r>
      <w:r w:rsidR="00166BFF" w:rsidRPr="00166BFF">
        <w:t xml:space="preserve"> </w:t>
      </w:r>
      <w:r w:rsidR="00166BFF">
        <w:t>L</w:t>
      </w:r>
      <w:r w:rsidR="00166BFF" w:rsidRPr="000A47E1">
        <w:t>'</w:t>
      </w:r>
      <w:r w:rsidR="002E59E3">
        <w:t>approbation de la </w:t>
      </w:r>
      <w:r w:rsidR="00166BFF">
        <w:t>nouvelle Recommandation s</w:t>
      </w:r>
      <w:r w:rsidR="00166BFF" w:rsidRPr="000A47E1">
        <w:t>'</w:t>
      </w:r>
      <w:r w:rsidR="00166BFF">
        <w:t>est traduite par la suppression de Recommandations connexes en vigueur, lesquelles sont énumérées dans l</w:t>
      </w:r>
      <w:r w:rsidR="00166BFF" w:rsidRPr="000A47E1">
        <w:t>'</w:t>
      </w:r>
      <w:r w:rsidR="00166BFF">
        <w:t>Annexe 2.</w:t>
      </w:r>
    </w:p>
    <w:p w:rsidR="00274925" w:rsidRPr="000A47E1" w:rsidRDefault="00274925" w:rsidP="00274925">
      <w:pPr>
        <w:pStyle w:val="BodyTextIndent"/>
        <w:spacing w:before="840"/>
        <w:ind w:left="4321"/>
      </w:pPr>
      <w:r w:rsidRPr="00292C3E">
        <w:rPr>
          <w:lang w:val="fr-CH"/>
        </w:rPr>
        <w:t>François Rancy</w:t>
      </w:r>
      <w:r w:rsidRPr="000A47E1">
        <w:br/>
        <w:t>Directeur du Bureau des radiocommunications</w:t>
      </w:r>
    </w:p>
    <w:p w:rsidR="00274925" w:rsidRPr="000A47E1" w:rsidRDefault="00274925" w:rsidP="00274925">
      <w:pPr>
        <w:keepNext/>
        <w:keepLines/>
        <w:tabs>
          <w:tab w:val="center" w:pos="7939"/>
          <w:tab w:val="right" w:pos="8505"/>
        </w:tabs>
      </w:pPr>
      <w:r w:rsidRPr="000A47E1">
        <w:rPr>
          <w:b/>
        </w:rPr>
        <w:t>Annexe</w:t>
      </w:r>
      <w:r>
        <w:rPr>
          <w:b/>
        </w:rPr>
        <w:t>s</w:t>
      </w:r>
      <w:r w:rsidRPr="000A47E1">
        <w:rPr>
          <w:b/>
        </w:rPr>
        <w:t>:</w:t>
      </w:r>
      <w:r w:rsidRPr="000A47E1">
        <w:t xml:space="preserve"> </w:t>
      </w:r>
      <w:r>
        <w:tab/>
        <w:t>2</w:t>
      </w:r>
    </w:p>
    <w:p w:rsidR="00274925" w:rsidRPr="00A46325" w:rsidRDefault="00274925" w:rsidP="00274925">
      <w:pPr>
        <w:keepNext/>
        <w:keepLines/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  <w:r w:rsidRPr="00A46325">
        <w:rPr>
          <w:b/>
          <w:bCs/>
          <w:sz w:val="18"/>
          <w:szCs w:val="18"/>
        </w:rPr>
        <w:t>Distribution:</w:t>
      </w:r>
    </w:p>
    <w:p w:rsidR="00274925" w:rsidRPr="00A46325" w:rsidRDefault="00274925" w:rsidP="00274925">
      <w:pPr>
        <w:keepNext/>
        <w:keepLines/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Administrations des Etats Membres et Membres du Secteur des radiocommunications</w:t>
      </w:r>
    </w:p>
    <w:p w:rsidR="00274925" w:rsidRPr="00A46325" w:rsidRDefault="00274925" w:rsidP="00274925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 xml:space="preserve">Associés de l'UIT-R participant aux travaux de la Commission d'études </w:t>
      </w:r>
      <w:r>
        <w:rPr>
          <w:sz w:val="18"/>
          <w:szCs w:val="18"/>
        </w:rPr>
        <w:t>1</w:t>
      </w:r>
      <w:r w:rsidRPr="00A46325">
        <w:rPr>
          <w:sz w:val="18"/>
          <w:szCs w:val="18"/>
        </w:rPr>
        <w:t xml:space="preserve"> des radiocommunications </w:t>
      </w:r>
    </w:p>
    <w:p w:rsidR="00274925" w:rsidRPr="00A46325" w:rsidRDefault="00274925" w:rsidP="00274925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274925" w:rsidRPr="00A46325" w:rsidRDefault="00274925" w:rsidP="00274925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Président et Vice-Présidents de la Réunion de préparation à la Conférence</w:t>
      </w:r>
    </w:p>
    <w:p w:rsidR="00274925" w:rsidRPr="00A46325" w:rsidRDefault="00274925" w:rsidP="00274925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Membres du Comité du Règlement des radiocommunications</w:t>
      </w:r>
    </w:p>
    <w:p w:rsidR="00274925" w:rsidRPr="00A46325" w:rsidRDefault="00274925" w:rsidP="00274925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274925" w:rsidRDefault="00274925" w:rsidP="00274925">
      <w:pPr>
        <w:pStyle w:val="AnnexNotitle"/>
        <w:rPr>
          <w:lang w:val="fr-CH"/>
        </w:rPr>
      </w:pPr>
      <w:r>
        <w:br w:type="page"/>
      </w:r>
      <w:r>
        <w:lastRenderedPageBreak/>
        <w:t>Annexe 1</w:t>
      </w:r>
      <w:r>
        <w:br/>
      </w:r>
      <w:r>
        <w:br/>
      </w:r>
      <w:r w:rsidRPr="00C00D0A">
        <w:rPr>
          <w:lang w:val="fr-CH"/>
        </w:rPr>
        <w:t>Titre</w:t>
      </w:r>
      <w:r>
        <w:rPr>
          <w:lang w:val="fr-CH"/>
        </w:rPr>
        <w:t>s</w:t>
      </w:r>
      <w:r w:rsidRPr="00C00D0A">
        <w:rPr>
          <w:lang w:val="fr-CH"/>
        </w:rPr>
        <w:t xml:space="preserve"> de</w:t>
      </w:r>
      <w:r>
        <w:rPr>
          <w:lang w:val="fr-CH"/>
        </w:rPr>
        <w:t xml:space="preserve">s </w:t>
      </w:r>
      <w:r w:rsidRPr="00C00D0A">
        <w:rPr>
          <w:lang w:val="fr-CH"/>
        </w:rPr>
        <w:t>Recommandation</w:t>
      </w:r>
      <w:r>
        <w:rPr>
          <w:lang w:val="fr-CH"/>
        </w:rPr>
        <w:t>s</w:t>
      </w:r>
      <w:r w:rsidRPr="00C00D0A">
        <w:rPr>
          <w:lang w:val="fr-CH"/>
        </w:rPr>
        <w:t xml:space="preserve"> approuvée</w:t>
      </w:r>
      <w:r>
        <w:rPr>
          <w:lang w:val="fr-CH"/>
        </w:rPr>
        <w:t>s</w:t>
      </w:r>
    </w:p>
    <w:p w:rsidR="00274925" w:rsidRDefault="00274925" w:rsidP="00274925"/>
    <w:p w:rsidR="00274925" w:rsidRDefault="00274925" w:rsidP="00274925"/>
    <w:p w:rsidR="00274925" w:rsidRDefault="00274925" w:rsidP="00274925">
      <w:pPr>
        <w:pStyle w:val="Normalaftertitle"/>
        <w:tabs>
          <w:tab w:val="left" w:pos="7655"/>
        </w:tabs>
        <w:spacing w:before="120"/>
        <w:rPr>
          <w:b/>
          <w:u w:val="single"/>
          <w:lang w:val="fr-CH"/>
        </w:rPr>
      </w:pPr>
      <w:r>
        <w:rPr>
          <w:u w:val="single"/>
          <w:lang w:val="fr-CH"/>
        </w:rPr>
        <w:t>Recommandation UIT-R SM.1880</w:t>
      </w:r>
      <w:r>
        <w:rPr>
          <w:lang w:val="fr-CH"/>
        </w:rPr>
        <w:tab/>
        <w:t>Doc. 1/132(Rév.1)</w:t>
      </w:r>
    </w:p>
    <w:p w:rsidR="00274925" w:rsidRDefault="00166BFF" w:rsidP="00274925">
      <w:pPr>
        <w:pStyle w:val="Rectitle"/>
        <w:rPr>
          <w:lang w:val="fr-CH"/>
        </w:rPr>
      </w:pPr>
      <w:r w:rsidRPr="00FF3C99">
        <w:t>Mesure de l</w:t>
      </w:r>
      <w:r>
        <w:t>'</w:t>
      </w:r>
      <w:r w:rsidRPr="00FF3C99">
        <w:t>occupation du spectre</w:t>
      </w:r>
    </w:p>
    <w:p w:rsidR="00274925" w:rsidRDefault="00274925" w:rsidP="00274925">
      <w:pPr>
        <w:rPr>
          <w:lang w:val="fr-CH"/>
        </w:rPr>
      </w:pPr>
    </w:p>
    <w:p w:rsidR="00274925" w:rsidRDefault="00274925" w:rsidP="00274925">
      <w:pPr>
        <w:pStyle w:val="Normalaftertitle"/>
        <w:tabs>
          <w:tab w:val="left" w:pos="7655"/>
        </w:tabs>
        <w:rPr>
          <w:b/>
          <w:bCs/>
          <w:szCs w:val="24"/>
          <w:u w:val="single"/>
          <w:lang w:val="fr-CH"/>
        </w:rPr>
      </w:pPr>
      <w:r>
        <w:rPr>
          <w:bCs/>
          <w:szCs w:val="24"/>
          <w:u w:val="single"/>
          <w:lang w:val="fr-CH"/>
        </w:rPr>
        <w:t>Recommandation UIT-R SM.1392-2</w:t>
      </w:r>
      <w:r>
        <w:rPr>
          <w:bCs/>
          <w:szCs w:val="24"/>
          <w:lang w:val="fr-CH"/>
        </w:rPr>
        <w:tab/>
        <w:t>Doc. 1/127(Rév.1)</w:t>
      </w:r>
    </w:p>
    <w:p w:rsidR="00274925" w:rsidRDefault="00166BFF" w:rsidP="00166BFF">
      <w:pPr>
        <w:pStyle w:val="Rectitle"/>
        <w:rPr>
          <w:lang w:val="fr-CH" w:eastAsia="ko-KR"/>
        </w:rPr>
      </w:pPr>
      <w:r w:rsidRPr="00FF3C99">
        <w:rPr>
          <w:szCs w:val="28"/>
        </w:rPr>
        <w:t>Cahier des charges principal d</w:t>
      </w:r>
      <w:r>
        <w:rPr>
          <w:szCs w:val="28"/>
        </w:rPr>
        <w:t>'</w:t>
      </w:r>
      <w:r w:rsidRPr="00FF3C99">
        <w:rPr>
          <w:szCs w:val="28"/>
        </w:rPr>
        <w:t xml:space="preserve">une station de contrôle </w:t>
      </w:r>
      <w:r>
        <w:rPr>
          <w:szCs w:val="28"/>
        </w:rPr>
        <w:br/>
      </w:r>
      <w:r w:rsidRPr="00FF3C99">
        <w:rPr>
          <w:szCs w:val="28"/>
        </w:rPr>
        <w:t>du spectre pour les pays en développement</w:t>
      </w:r>
    </w:p>
    <w:p w:rsidR="00274925" w:rsidRDefault="00274925" w:rsidP="00274925">
      <w:pPr>
        <w:rPr>
          <w:lang w:val="fr-CH"/>
        </w:rPr>
      </w:pPr>
    </w:p>
    <w:p w:rsidR="00274925" w:rsidRDefault="00274925" w:rsidP="00274925">
      <w:pPr>
        <w:pStyle w:val="Normalaftertitle"/>
        <w:keepNext/>
        <w:keepLines/>
        <w:tabs>
          <w:tab w:val="left" w:pos="7655"/>
        </w:tabs>
        <w:rPr>
          <w:bCs/>
          <w:szCs w:val="24"/>
          <w:u w:val="single"/>
          <w:lang w:val="fr-CH"/>
        </w:rPr>
      </w:pPr>
      <w:r>
        <w:rPr>
          <w:bCs/>
          <w:szCs w:val="24"/>
          <w:u w:val="single"/>
          <w:lang w:val="fr-CH"/>
        </w:rPr>
        <w:t>Recommandation UIT-R SM.1268-2</w:t>
      </w:r>
      <w:r>
        <w:rPr>
          <w:bCs/>
          <w:szCs w:val="24"/>
          <w:lang w:val="fr-CH"/>
        </w:rPr>
        <w:tab/>
        <w:t>Doc. 1/129(Rév.1)</w:t>
      </w:r>
    </w:p>
    <w:p w:rsidR="00274925" w:rsidRDefault="00166BFF" w:rsidP="00274925">
      <w:pPr>
        <w:pStyle w:val="Rectitle"/>
        <w:rPr>
          <w:lang w:val="fr-CH"/>
        </w:rPr>
      </w:pPr>
      <w:r w:rsidRPr="00FF3C99">
        <w:rPr>
          <w:szCs w:val="28"/>
        </w:rPr>
        <w:t xml:space="preserve">Méthode à utiliser par les stations de contrôle des émissions </w:t>
      </w:r>
      <w:r>
        <w:rPr>
          <w:szCs w:val="28"/>
        </w:rPr>
        <w:br/>
      </w:r>
      <w:r w:rsidRPr="00FF3C99">
        <w:rPr>
          <w:szCs w:val="28"/>
        </w:rPr>
        <w:t>pour mesurer l</w:t>
      </w:r>
      <w:r>
        <w:rPr>
          <w:szCs w:val="28"/>
        </w:rPr>
        <w:t>'</w:t>
      </w:r>
      <w:r w:rsidRPr="00FF3C99">
        <w:rPr>
          <w:szCs w:val="28"/>
        </w:rPr>
        <w:t xml:space="preserve">excursion maximale de fréquence des </w:t>
      </w:r>
      <w:r>
        <w:rPr>
          <w:szCs w:val="28"/>
        </w:rPr>
        <w:br/>
      </w:r>
      <w:r w:rsidRPr="00FF3C99">
        <w:rPr>
          <w:szCs w:val="28"/>
        </w:rPr>
        <w:t>émissions de radiodiffusion MF</w:t>
      </w:r>
    </w:p>
    <w:p w:rsidR="00274925" w:rsidRPr="00544F7F" w:rsidRDefault="00274925" w:rsidP="00274925">
      <w:pPr>
        <w:rPr>
          <w:lang w:val="fr-CH"/>
        </w:rPr>
      </w:pPr>
    </w:p>
    <w:p w:rsidR="00274925" w:rsidRDefault="00274925" w:rsidP="0027492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8"/>
          <w:lang w:val="fr-CH"/>
        </w:rPr>
      </w:pPr>
      <w:r>
        <w:rPr>
          <w:bCs/>
          <w:lang w:val="fr-CH"/>
        </w:rPr>
        <w:br w:type="page"/>
      </w:r>
    </w:p>
    <w:p w:rsidR="00274925" w:rsidRPr="00F852A5" w:rsidRDefault="00274925" w:rsidP="00274925">
      <w:pPr>
        <w:pStyle w:val="AnnexNotitle"/>
        <w:rPr>
          <w:lang w:val="fr-CH"/>
        </w:rPr>
      </w:pPr>
      <w:r w:rsidRPr="00F852A5">
        <w:rPr>
          <w:bCs/>
          <w:lang w:val="fr-CH"/>
        </w:rPr>
        <w:t>Annex</w:t>
      </w:r>
      <w:r>
        <w:rPr>
          <w:bCs/>
          <w:lang w:val="fr-CH"/>
        </w:rPr>
        <w:t>e</w:t>
      </w:r>
      <w:r w:rsidRPr="00F852A5">
        <w:rPr>
          <w:bCs/>
          <w:lang w:val="fr-CH"/>
        </w:rPr>
        <w:t xml:space="preserve"> 2</w:t>
      </w:r>
      <w:r>
        <w:rPr>
          <w:bCs/>
          <w:lang w:val="fr-CH"/>
        </w:rPr>
        <w:br/>
      </w:r>
      <w:r>
        <w:rPr>
          <w:bCs/>
          <w:lang w:val="fr-CH"/>
        </w:rPr>
        <w:br/>
      </w:r>
      <w:r>
        <w:rPr>
          <w:lang w:val="fr-CH"/>
        </w:rPr>
        <w:t xml:space="preserve">Liste des </w:t>
      </w:r>
      <w:r w:rsidRPr="00F852A5">
        <w:rPr>
          <w:lang w:val="fr-CH"/>
        </w:rPr>
        <w:t>Recomm</w:t>
      </w:r>
      <w:r>
        <w:rPr>
          <w:lang w:val="fr-CH"/>
        </w:rPr>
        <w:t>a</w:t>
      </w:r>
      <w:r w:rsidRPr="00F852A5">
        <w:rPr>
          <w:lang w:val="fr-CH"/>
        </w:rPr>
        <w:t>ndation</w:t>
      </w:r>
      <w:r>
        <w:rPr>
          <w:lang w:val="fr-CH"/>
        </w:rPr>
        <w:t>s</w:t>
      </w:r>
      <w:r w:rsidRPr="00F852A5">
        <w:rPr>
          <w:lang w:val="fr-CH"/>
        </w:rPr>
        <w:t xml:space="preserve"> </w:t>
      </w:r>
      <w:r>
        <w:rPr>
          <w:lang w:val="fr-CH"/>
        </w:rPr>
        <w:t>supprimées</w:t>
      </w:r>
    </w:p>
    <w:p w:rsidR="00274925" w:rsidRDefault="00274925" w:rsidP="00274925">
      <w:pPr>
        <w:rPr>
          <w:lang w:val="fr-CH"/>
        </w:rPr>
      </w:pPr>
    </w:p>
    <w:p w:rsidR="00A50CAF" w:rsidRPr="00F852A5" w:rsidRDefault="00A50CAF" w:rsidP="00274925">
      <w:pPr>
        <w:rPr>
          <w:lang w:val="fr-CH"/>
        </w:rPr>
      </w:pPr>
    </w:p>
    <w:p w:rsidR="00274925" w:rsidRPr="00C10E9D" w:rsidRDefault="00274925" w:rsidP="00274925">
      <w:pPr>
        <w:rPr>
          <w:lang w:val="fr-CH"/>
        </w:rPr>
      </w:pPr>
    </w:p>
    <w:tbl>
      <w:tblPr>
        <w:tblW w:w="9263" w:type="dxa"/>
        <w:jc w:val="center"/>
        <w:tblLayout w:type="fixed"/>
        <w:tblLook w:val="0000"/>
      </w:tblPr>
      <w:tblGrid>
        <w:gridCol w:w="2152"/>
        <w:gridCol w:w="7111"/>
      </w:tblGrid>
      <w:tr w:rsidR="00274925" w:rsidRPr="00BA3962" w:rsidTr="00274925">
        <w:trPr>
          <w:trHeight w:val="514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5" w:rsidRPr="00BA3962" w:rsidRDefault="00274925" w:rsidP="00274925">
            <w:pPr>
              <w:pStyle w:val="Tablehead"/>
              <w:rPr>
                <w:lang w:eastAsia="ja-JP"/>
              </w:rPr>
            </w:pPr>
            <w:r w:rsidRPr="00BA3962">
              <w:rPr>
                <w:lang w:eastAsia="ja-JP"/>
              </w:rPr>
              <w:t>Rec</w:t>
            </w:r>
            <w:r>
              <w:rPr>
                <w:lang w:eastAsia="ja-JP"/>
              </w:rPr>
              <w:t>ommandation</w:t>
            </w:r>
            <w:r w:rsidRPr="00BA3962">
              <w:rPr>
                <w:lang w:eastAsia="ja-JP"/>
              </w:rPr>
              <w:br/>
            </w:r>
            <w:r>
              <w:rPr>
                <w:lang w:eastAsia="ja-JP"/>
              </w:rPr>
              <w:t>UIT</w:t>
            </w:r>
            <w:r w:rsidRPr="00BA3962">
              <w:rPr>
                <w:lang w:eastAsia="ja-JP"/>
              </w:rPr>
              <w:t>-R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25" w:rsidRPr="00BA3962" w:rsidRDefault="00274925" w:rsidP="00274925">
            <w:pPr>
              <w:pStyle w:val="Tablehead"/>
            </w:pPr>
            <w:r>
              <w:t>Titre</w:t>
            </w:r>
          </w:p>
        </w:tc>
      </w:tr>
      <w:tr w:rsidR="00A50CAF" w:rsidRPr="00A15328" w:rsidTr="007C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52" w:type="dxa"/>
          </w:tcPr>
          <w:p w:rsidR="00A50CAF" w:rsidRPr="00FF3C99" w:rsidRDefault="00A50CAF" w:rsidP="00A50CAF">
            <w:pPr>
              <w:pStyle w:val="Tabletext"/>
              <w:jc w:val="center"/>
              <w:rPr>
                <w:rFonts w:eastAsia="Arial Unicode MS"/>
              </w:rPr>
            </w:pPr>
            <w:r w:rsidRPr="00FF3C99">
              <w:rPr>
                <w:rFonts w:eastAsia="Arial Unicode MS"/>
              </w:rPr>
              <w:t>SM.182-5</w:t>
            </w:r>
          </w:p>
        </w:tc>
        <w:tc>
          <w:tcPr>
            <w:tcW w:w="7111" w:type="dxa"/>
            <w:vAlign w:val="center"/>
          </w:tcPr>
          <w:p w:rsidR="00A50CAF" w:rsidRPr="00FF3C99" w:rsidRDefault="00A50CAF" w:rsidP="00A50CAF">
            <w:pPr>
              <w:pStyle w:val="Tabletext"/>
              <w:rPr>
                <w:szCs w:val="22"/>
              </w:rPr>
            </w:pPr>
            <w:r w:rsidRPr="00FF3C99">
              <w:t>Contrôle automatique du degré d</w:t>
            </w:r>
            <w:r>
              <w:t>'</w:t>
            </w:r>
            <w:r w:rsidRPr="00FF3C99">
              <w:t>occupation du spectre radioélectrique</w:t>
            </w:r>
          </w:p>
        </w:tc>
      </w:tr>
      <w:tr w:rsidR="00A50CAF" w:rsidRPr="00A15328" w:rsidTr="007C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52" w:type="dxa"/>
          </w:tcPr>
          <w:p w:rsidR="00A50CAF" w:rsidRPr="00FF3C99" w:rsidRDefault="00A50CAF" w:rsidP="00A50CAF">
            <w:pPr>
              <w:pStyle w:val="Tabletext"/>
              <w:jc w:val="center"/>
              <w:rPr>
                <w:rFonts w:eastAsia="Arial Unicode MS"/>
              </w:rPr>
            </w:pPr>
            <w:r w:rsidRPr="00FF3C99">
              <w:rPr>
                <w:rFonts w:eastAsia="Arial Unicode MS"/>
              </w:rPr>
              <w:t>SM.1536</w:t>
            </w:r>
          </w:p>
        </w:tc>
        <w:tc>
          <w:tcPr>
            <w:tcW w:w="7111" w:type="dxa"/>
            <w:vAlign w:val="center"/>
          </w:tcPr>
          <w:p w:rsidR="00A50CAF" w:rsidRPr="00FF3C99" w:rsidRDefault="00A50CAF" w:rsidP="00A50CAF">
            <w:pPr>
              <w:pStyle w:val="Tabletext"/>
              <w:rPr>
                <w:rFonts w:eastAsia="Arial Unicode MS"/>
              </w:rPr>
            </w:pPr>
            <w:r w:rsidRPr="00FF3C99">
              <w:rPr>
                <w:rFonts w:eastAsia="Arial Unicode MS"/>
              </w:rPr>
              <w:t>Mesures du degré d</w:t>
            </w:r>
            <w:r>
              <w:rPr>
                <w:rFonts w:eastAsia="Arial Unicode MS"/>
              </w:rPr>
              <w:t>'</w:t>
            </w:r>
            <w:r w:rsidRPr="00FF3C99">
              <w:rPr>
                <w:rFonts w:eastAsia="Arial Unicode MS"/>
              </w:rPr>
              <w:t>occupation des canaux radioélectriques</w:t>
            </w:r>
          </w:p>
        </w:tc>
      </w:tr>
      <w:tr w:rsidR="00A50CAF" w:rsidRPr="00A15328" w:rsidTr="007C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52" w:type="dxa"/>
          </w:tcPr>
          <w:p w:rsidR="00A50CAF" w:rsidRPr="00FF3C99" w:rsidRDefault="00A50CAF" w:rsidP="00A50CAF">
            <w:pPr>
              <w:pStyle w:val="Tabletext"/>
              <w:jc w:val="center"/>
              <w:rPr>
                <w:rFonts w:eastAsia="Arial Unicode MS"/>
              </w:rPr>
            </w:pPr>
            <w:r w:rsidRPr="00FF3C99">
              <w:rPr>
                <w:rFonts w:eastAsia="Arial Unicode MS"/>
              </w:rPr>
              <w:t>SM.1793</w:t>
            </w:r>
          </w:p>
        </w:tc>
        <w:tc>
          <w:tcPr>
            <w:tcW w:w="7111" w:type="dxa"/>
            <w:vAlign w:val="center"/>
          </w:tcPr>
          <w:p w:rsidR="00A50CAF" w:rsidRPr="00FF3C99" w:rsidRDefault="00A50CAF" w:rsidP="00A50CAF">
            <w:pPr>
              <w:pStyle w:val="Tabletext"/>
              <w:rPr>
                <w:rFonts w:eastAsia="Arial Unicode MS"/>
              </w:rPr>
            </w:pPr>
            <w:r w:rsidRPr="00FF3C99">
              <w:rPr>
                <w:rFonts w:eastAsia="Arial Unicode MS"/>
              </w:rPr>
              <w:t>Mesure du degré d</w:t>
            </w:r>
            <w:r>
              <w:rPr>
                <w:rFonts w:eastAsia="Arial Unicode MS"/>
              </w:rPr>
              <w:t>'</w:t>
            </w:r>
            <w:r w:rsidRPr="00FF3C99">
              <w:rPr>
                <w:rFonts w:eastAsia="Arial Unicode MS"/>
              </w:rPr>
              <w:t>occupation des canaux radioélectriques au moyen de la technique de mesure applicable aux bandes de fréquences</w:t>
            </w:r>
          </w:p>
        </w:tc>
      </w:tr>
    </w:tbl>
    <w:p w:rsidR="00274925" w:rsidRPr="00A15328" w:rsidRDefault="00274925" w:rsidP="00274925">
      <w:pPr>
        <w:rPr>
          <w:lang w:val="fr-CH"/>
        </w:rPr>
      </w:pPr>
    </w:p>
    <w:p w:rsidR="00274925" w:rsidRDefault="00274925" w:rsidP="00274925"/>
    <w:p w:rsidR="00A50CAF" w:rsidRPr="00A50CAF" w:rsidRDefault="00A50CAF" w:rsidP="00274925"/>
    <w:p w:rsidR="003203D8" w:rsidRPr="00FE1623" w:rsidRDefault="003203D8" w:rsidP="003203D8"/>
    <w:p w:rsidR="003203D8" w:rsidRPr="00FE1623" w:rsidRDefault="003203D8" w:rsidP="003203D8"/>
    <w:p w:rsidR="003203D8" w:rsidRPr="00274925" w:rsidRDefault="00274925" w:rsidP="00274925">
      <w:pPr>
        <w:jc w:val="center"/>
        <w:rPr>
          <w:lang w:val="fr-CH"/>
        </w:rPr>
      </w:pPr>
      <w:bookmarkStart w:id="4" w:name="ddistribution"/>
      <w:bookmarkEnd w:id="4"/>
      <w:r>
        <w:rPr>
          <w:lang w:val="fr-CH"/>
        </w:rPr>
        <w:t>________________</w:t>
      </w:r>
    </w:p>
    <w:sectPr w:rsidR="003203D8" w:rsidRPr="00274925" w:rsidSect="00274925">
      <w:headerReference w:type="default" r:id="rId8"/>
      <w:footerReference w:type="even" r:id="rId9"/>
      <w:footerReference w:type="default" r:id="rId10"/>
      <w:footerReference w:type="first" r:id="rId11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D80" w:rsidRDefault="007C1D80">
      <w:r>
        <w:separator/>
      </w:r>
    </w:p>
  </w:endnote>
  <w:endnote w:type="continuationSeparator" w:id="0">
    <w:p w:rsidR="007C1D80" w:rsidRDefault="007C1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D80" w:rsidRDefault="00CD0702">
    <w:pPr>
      <w:rPr>
        <w:lang w:val="en-US"/>
      </w:rPr>
    </w:pPr>
    <w:fldSimple w:instr=" FILENAME \p \* MERGEFORMAT ">
      <w:r w:rsidR="009B0A4F" w:rsidRPr="009B0A4F">
        <w:rPr>
          <w:noProof/>
          <w:lang w:val="en-US"/>
        </w:rPr>
        <w:t>Y</w:t>
      </w:r>
      <w:r w:rsidR="009B0A4F">
        <w:rPr>
          <w:noProof/>
        </w:rPr>
        <w:t>:\APP\BR\CIRCS_DMS\CACE\500\528\528f.docx</w:t>
      </w:r>
    </w:fldSimple>
    <w:r w:rsidR="007C1D80">
      <w:rPr>
        <w:lang w:val="en-US"/>
      </w:rPr>
      <w:tab/>
    </w:r>
    <w:r>
      <w:fldChar w:fldCharType="begin"/>
    </w:r>
    <w:r w:rsidR="007C1D80">
      <w:instrText xml:space="preserve"> savedate \@ dd.MM.yy </w:instrText>
    </w:r>
    <w:r>
      <w:fldChar w:fldCharType="separate"/>
    </w:r>
    <w:r w:rsidR="009B0A4F">
      <w:rPr>
        <w:noProof/>
      </w:rPr>
      <w:t>04.02.11</w:t>
    </w:r>
    <w:r>
      <w:fldChar w:fldCharType="end"/>
    </w:r>
    <w:r w:rsidR="007C1D80">
      <w:rPr>
        <w:lang w:val="en-US"/>
      </w:rPr>
      <w:tab/>
    </w:r>
    <w:r>
      <w:fldChar w:fldCharType="begin"/>
    </w:r>
    <w:r w:rsidR="007C1D80">
      <w:instrText xml:space="preserve"> printdate \@ dd.MM.yy </w:instrText>
    </w:r>
    <w:r>
      <w:fldChar w:fldCharType="separate"/>
    </w:r>
    <w:r w:rsidR="009B0A4F">
      <w:rPr>
        <w:noProof/>
      </w:rPr>
      <w:t>07.02.11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D80" w:rsidRDefault="00CD0702">
    <w:pPr>
      <w:pStyle w:val="Footer"/>
      <w:rPr>
        <w:lang w:val="en-US"/>
      </w:rPr>
    </w:pPr>
    <w:fldSimple w:instr=" FILENAME \p \* MERGEFORMAT ">
      <w:r w:rsidR="009B0A4F" w:rsidRPr="009B0A4F">
        <w:rPr>
          <w:lang w:val="en-US"/>
        </w:rPr>
        <w:t>Y</w:t>
      </w:r>
      <w:r w:rsidR="009B0A4F">
        <w:t>:\APP\BR\CIRCS_DMS\CACE\500\528\528f.docx</w:t>
      </w:r>
    </w:fldSimple>
    <w:r w:rsidR="007C1D80">
      <w:rPr>
        <w:lang w:val="en-US"/>
      </w:rPr>
      <w:tab/>
    </w:r>
    <w:r>
      <w:fldChar w:fldCharType="begin"/>
    </w:r>
    <w:r w:rsidR="007C1D80">
      <w:instrText xml:space="preserve"> savedate \@ dd.MM.yy </w:instrText>
    </w:r>
    <w:r>
      <w:fldChar w:fldCharType="separate"/>
    </w:r>
    <w:r w:rsidR="009B0A4F">
      <w:t>04.02.11</w:t>
    </w:r>
    <w:r>
      <w:fldChar w:fldCharType="end"/>
    </w:r>
    <w:r w:rsidR="007C1D80">
      <w:rPr>
        <w:lang w:val="en-US"/>
      </w:rPr>
      <w:tab/>
    </w:r>
    <w:r>
      <w:fldChar w:fldCharType="begin"/>
    </w:r>
    <w:r w:rsidR="007C1D80">
      <w:instrText xml:space="preserve"> printdate \@ dd.MM.yy </w:instrText>
    </w:r>
    <w:r>
      <w:fldChar w:fldCharType="separate"/>
    </w:r>
    <w:r w:rsidR="009B0A4F">
      <w:t>07.02.11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41"/>
      <w:gridCol w:w="3069"/>
      <w:gridCol w:w="2359"/>
      <w:gridCol w:w="2384"/>
    </w:tblGrid>
    <w:tr w:rsidR="007C1D8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C1D80" w:rsidRDefault="007C1D80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C1D80" w:rsidRDefault="007C1D80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C1D80" w:rsidRDefault="007C1D80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C1D80" w:rsidRDefault="007C1D80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7C1D80">
      <w:trPr>
        <w:cantSplit/>
      </w:trPr>
      <w:tc>
        <w:tcPr>
          <w:tcW w:w="1062" w:type="pct"/>
        </w:tcPr>
        <w:p w:rsidR="007C1D80" w:rsidRDefault="007C1D80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7C1D80" w:rsidRDefault="007C1D80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7C1D80" w:rsidRDefault="007C1D80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7C1D80" w:rsidRDefault="007C1D80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7C1D80">
      <w:trPr>
        <w:cantSplit/>
      </w:trPr>
      <w:tc>
        <w:tcPr>
          <w:tcW w:w="1062" w:type="pct"/>
        </w:tcPr>
        <w:p w:rsidR="007C1D80" w:rsidRDefault="007C1D80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7C1D80" w:rsidRDefault="007C1D80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7C1D80" w:rsidRDefault="007C1D80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7C1D80" w:rsidRDefault="007C1D80">
          <w:pPr>
            <w:pStyle w:val="itu"/>
            <w:rPr>
              <w:lang w:val="fr-FR"/>
            </w:rPr>
          </w:pPr>
        </w:p>
      </w:tc>
    </w:tr>
  </w:tbl>
  <w:p w:rsidR="007C1D80" w:rsidRPr="00274925" w:rsidRDefault="007C1D80" w:rsidP="008C5D1D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D80" w:rsidRDefault="007C1D80">
      <w:r>
        <w:t>____________________</w:t>
      </w:r>
    </w:p>
  </w:footnote>
  <w:footnote w:type="continuationSeparator" w:id="0">
    <w:p w:rsidR="007C1D80" w:rsidRDefault="007C1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D80" w:rsidRDefault="007C1D80">
    <w:pPr>
      <w:pStyle w:val="Header"/>
      <w:rPr>
        <w:rStyle w:val="PageNumber"/>
      </w:rPr>
    </w:pPr>
    <w:r>
      <w:rPr>
        <w:lang w:val="en-US"/>
      </w:rPr>
      <w:t xml:space="preserve">- </w:t>
    </w:r>
    <w:r w:rsidR="00CD070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D0702">
      <w:rPr>
        <w:rStyle w:val="PageNumber"/>
      </w:rPr>
      <w:fldChar w:fldCharType="separate"/>
    </w:r>
    <w:r w:rsidR="009B0A4F">
      <w:rPr>
        <w:rStyle w:val="PageNumber"/>
        <w:noProof/>
      </w:rPr>
      <w:t>3</w:t>
    </w:r>
    <w:r w:rsidR="00CD0702">
      <w:rPr>
        <w:rStyle w:val="PageNumber"/>
      </w:rPr>
      <w:fldChar w:fldCharType="end"/>
    </w:r>
    <w:r>
      <w:rPr>
        <w:rStyle w:val="PageNumber"/>
      </w:rPr>
      <w:t xml:space="preserve"> -</w:t>
    </w:r>
  </w:p>
  <w:p w:rsidR="007C1D80" w:rsidRPr="008C5D1D" w:rsidRDefault="007C1D80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74925"/>
    <w:rsid w:val="00166BFF"/>
    <w:rsid w:val="0023788E"/>
    <w:rsid w:val="00274925"/>
    <w:rsid w:val="002E59E3"/>
    <w:rsid w:val="002E71D7"/>
    <w:rsid w:val="003203D8"/>
    <w:rsid w:val="004F6C69"/>
    <w:rsid w:val="007C1D80"/>
    <w:rsid w:val="008C5D1D"/>
    <w:rsid w:val="009B0A4F"/>
    <w:rsid w:val="00A10043"/>
    <w:rsid w:val="00A2257B"/>
    <w:rsid w:val="00A50CAF"/>
    <w:rsid w:val="00B257A5"/>
    <w:rsid w:val="00BF3EC6"/>
    <w:rsid w:val="00CB743B"/>
    <w:rsid w:val="00CD0702"/>
    <w:rsid w:val="00D539A7"/>
    <w:rsid w:val="00D7657D"/>
    <w:rsid w:val="00E25073"/>
    <w:rsid w:val="00FA7B4D"/>
    <w:rsid w:val="00FE1623"/>
    <w:rsid w:val="00FF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uiPriority w:val="99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274925"/>
    <w:rPr>
      <w:rFonts w:ascii="Times New Roman" w:hAnsi="Times New Roman"/>
      <w:sz w:val="24"/>
      <w:lang w:val="fr-FR" w:eastAsia="en-US"/>
    </w:rPr>
  </w:style>
  <w:style w:type="paragraph" w:styleId="BodyTextIndent">
    <w:name w:val="Body Text Indent"/>
    <w:basedOn w:val="Normal"/>
    <w:link w:val="BodyTextIndentChar"/>
    <w:rsid w:val="00274925"/>
    <w:pPr>
      <w:tabs>
        <w:tab w:val="center" w:pos="7371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274925"/>
    <w:rPr>
      <w:rFonts w:ascii="Times New Roman" w:hAnsi="Times New Roman"/>
      <w:sz w:val="24"/>
      <w:lang w:val="fr-FR" w:eastAsia="en-US"/>
    </w:rPr>
  </w:style>
  <w:style w:type="character" w:customStyle="1" w:styleId="RectitleChar">
    <w:name w:val="Rec_title Char"/>
    <w:basedOn w:val="DefaultParagraphFont"/>
    <w:link w:val="Rectitle"/>
    <w:uiPriority w:val="99"/>
    <w:rsid w:val="00274925"/>
    <w:rPr>
      <w:rFonts w:ascii="Times New Roman" w:hAnsi="Times New Roman"/>
      <w:b/>
      <w:sz w:val="2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41</TotalTime>
  <Pages>3</Pages>
  <Words>422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3198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Fernandez Virginia</dc:creator>
  <cp:keywords/>
  <dc:description/>
  <cp:lastModifiedBy>Fernandez Virginia</cp:lastModifiedBy>
  <cp:revision>5</cp:revision>
  <cp:lastPrinted>2011-02-07T10:06:00Z</cp:lastPrinted>
  <dcterms:created xsi:type="dcterms:W3CDTF">2011-02-04T10:04:00Z</dcterms:created>
  <dcterms:modified xsi:type="dcterms:W3CDTF">2011-02-07T10:06:00Z</dcterms:modified>
</cp:coreProperties>
</file>