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598" w:type="dxa"/>
        <w:tblLook w:val="01E0" w:firstRow="1" w:lastRow="1" w:firstColumn="1" w:lastColumn="1" w:noHBand="0" w:noVBand="0"/>
      </w:tblPr>
      <w:tblGrid>
        <w:gridCol w:w="9032"/>
        <w:gridCol w:w="1566"/>
      </w:tblGrid>
      <w:tr w:rsidR="00F96264" w:rsidRPr="00D35752" w:rsidTr="005E3136">
        <w:tc>
          <w:tcPr>
            <w:tcW w:w="9039" w:type="dxa"/>
            <w:vAlign w:val="center"/>
          </w:tcPr>
          <w:p w:rsidR="00F96264" w:rsidRPr="00D35752" w:rsidRDefault="00F96264" w:rsidP="005E3136">
            <w:pPr>
              <w:spacing w:before="0"/>
            </w:pPr>
            <w:bookmarkStart w:id="0" w:name="_GoBack"/>
            <w:bookmarkEnd w:id="0"/>
            <w:r w:rsidRPr="005E3136">
              <w:rPr>
                <w:rFonts w:ascii="Futura Lt BT" w:hAnsi="Futura Lt BT"/>
                <w:spacing w:val="5"/>
                <w:sz w:val="44"/>
              </w:rPr>
              <w:t>U</w:t>
            </w:r>
            <w:r w:rsidRPr="005E3136">
              <w:rPr>
                <w:rFonts w:ascii="Futura Lt BT" w:hAnsi="Futura Lt BT"/>
                <w:spacing w:val="5"/>
                <w:sz w:val="34"/>
                <w:szCs w:val="34"/>
              </w:rPr>
              <w:t>NIÓN</w:t>
            </w:r>
            <w:r w:rsidRPr="005E3136">
              <w:rPr>
                <w:rFonts w:ascii="Futura Lt BT" w:hAnsi="Futura Lt BT"/>
                <w:spacing w:val="5"/>
                <w:sz w:val="36"/>
              </w:rPr>
              <w:t xml:space="preserve"> </w:t>
            </w:r>
            <w:r w:rsidRPr="005E3136">
              <w:rPr>
                <w:rFonts w:ascii="Futura Lt BT" w:hAnsi="Futura Lt BT"/>
                <w:spacing w:val="5"/>
                <w:sz w:val="44"/>
              </w:rPr>
              <w:t>I</w:t>
            </w:r>
            <w:r w:rsidRPr="005E3136">
              <w:rPr>
                <w:rFonts w:ascii="Futura Lt BT" w:hAnsi="Futura Lt BT"/>
                <w:spacing w:val="5"/>
                <w:sz w:val="34"/>
                <w:szCs w:val="34"/>
              </w:rPr>
              <w:t>NTERNACIONAL DE</w:t>
            </w:r>
            <w:r w:rsidRPr="005E3136">
              <w:rPr>
                <w:rFonts w:ascii="Futura Lt BT" w:hAnsi="Futura Lt BT"/>
                <w:spacing w:val="5"/>
                <w:sz w:val="36"/>
              </w:rPr>
              <w:t xml:space="preserve"> </w:t>
            </w:r>
            <w:r w:rsidRPr="005E3136">
              <w:rPr>
                <w:rFonts w:ascii="Futura Lt BT" w:hAnsi="Futura Lt BT"/>
                <w:spacing w:val="5"/>
                <w:sz w:val="44"/>
              </w:rPr>
              <w:t>T</w:t>
            </w:r>
            <w:r w:rsidRPr="005E3136">
              <w:rPr>
                <w:rFonts w:ascii="Futura Lt BT" w:hAnsi="Futura Lt BT"/>
                <w:spacing w:val="5"/>
                <w:sz w:val="34"/>
                <w:szCs w:val="34"/>
              </w:rPr>
              <w:t>ELECOMUNICACIONES</w:t>
            </w:r>
          </w:p>
        </w:tc>
        <w:tc>
          <w:tcPr>
            <w:tcW w:w="1559" w:type="dxa"/>
          </w:tcPr>
          <w:p w:rsidR="00F96264" w:rsidRPr="00D35752" w:rsidRDefault="00F7313A" w:rsidP="005E3136">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E75D9E">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E75D9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E75D9E" w:rsidRDefault="00F96264" w:rsidP="00F96264">
      <w:pPr>
        <w:tabs>
          <w:tab w:val="left" w:pos="7513"/>
        </w:tabs>
      </w:pPr>
    </w:p>
    <w:p w:rsidR="00F96264" w:rsidRPr="00E75D9E" w:rsidRDefault="00F96264" w:rsidP="00F96264">
      <w:pPr>
        <w:tabs>
          <w:tab w:val="left" w:pos="7513"/>
        </w:tabs>
      </w:pPr>
    </w:p>
    <w:tbl>
      <w:tblPr>
        <w:tblW w:w="10020" w:type="dxa"/>
        <w:tblLayout w:type="fixed"/>
        <w:tblLook w:val="0000" w:firstRow="0" w:lastRow="0" w:firstColumn="0" w:lastColumn="0" w:noHBand="0" w:noVBand="0"/>
      </w:tblPr>
      <w:tblGrid>
        <w:gridCol w:w="3085"/>
        <w:gridCol w:w="6935"/>
      </w:tblGrid>
      <w:tr w:rsidR="00F96264" w:rsidRPr="00F96264">
        <w:trPr>
          <w:cantSplit/>
        </w:trPr>
        <w:tc>
          <w:tcPr>
            <w:tcW w:w="3085" w:type="dxa"/>
          </w:tcPr>
          <w:p w:rsidR="00F96264" w:rsidRPr="000B744D" w:rsidRDefault="009C4A3A" w:rsidP="00F96264">
            <w:pPr>
              <w:tabs>
                <w:tab w:val="left" w:pos="7513"/>
              </w:tabs>
              <w:jc w:val="center"/>
              <w:rPr>
                <w:b/>
                <w:bCs/>
                <w:lang w:val="fr-FR"/>
              </w:rPr>
            </w:pPr>
            <w:bookmarkStart w:id="1" w:name="dletter"/>
            <w:bookmarkEnd w:id="1"/>
            <w:r w:rsidRPr="000B744D">
              <w:rPr>
                <w:b/>
                <w:bCs/>
                <w:lang w:val="fr-FR"/>
              </w:rPr>
              <w:t>Circular Administrativa</w:t>
            </w:r>
          </w:p>
          <w:p w:rsidR="00F96264" w:rsidRPr="000B744D" w:rsidRDefault="009C4A3A" w:rsidP="00DD30BB">
            <w:pPr>
              <w:tabs>
                <w:tab w:val="clear" w:pos="794"/>
                <w:tab w:val="clear" w:pos="1191"/>
              </w:tabs>
              <w:spacing w:before="0"/>
              <w:jc w:val="center"/>
              <w:rPr>
                <w:b/>
                <w:bCs/>
                <w:lang w:val="fr-FR"/>
              </w:rPr>
            </w:pPr>
            <w:bookmarkStart w:id="2" w:name="dnum"/>
            <w:bookmarkEnd w:id="2"/>
            <w:r w:rsidRPr="000B744D">
              <w:rPr>
                <w:b/>
                <w:bCs/>
                <w:lang w:val="fr-FR"/>
              </w:rPr>
              <w:t>CACE/</w:t>
            </w:r>
            <w:r w:rsidR="00DD30BB">
              <w:rPr>
                <w:b/>
                <w:bCs/>
                <w:lang w:val="fr-FR"/>
              </w:rPr>
              <w:t>5</w:t>
            </w:r>
            <w:r w:rsidR="00C85C1E">
              <w:rPr>
                <w:b/>
                <w:bCs/>
                <w:lang w:val="fr-FR"/>
              </w:rPr>
              <w:t>27</w:t>
            </w:r>
          </w:p>
        </w:tc>
        <w:tc>
          <w:tcPr>
            <w:tcW w:w="6935" w:type="dxa"/>
          </w:tcPr>
          <w:p w:rsidR="00F96264" w:rsidRPr="009C4A3A" w:rsidRDefault="00C85C1E" w:rsidP="00F96264">
            <w:pPr>
              <w:tabs>
                <w:tab w:val="left" w:pos="7513"/>
              </w:tabs>
              <w:jc w:val="right"/>
              <w:rPr>
                <w:bCs/>
                <w:lang w:val="fr-FR"/>
              </w:rPr>
            </w:pPr>
            <w:bookmarkStart w:id="3" w:name="ddate"/>
            <w:bookmarkEnd w:id="3"/>
            <w:r>
              <w:rPr>
                <w:bCs/>
                <w:lang w:val="fr-FR"/>
              </w:rPr>
              <w:t>18 de febrero</w:t>
            </w:r>
            <w:r w:rsidR="00CD3292">
              <w:rPr>
                <w:bCs/>
                <w:lang w:val="fr-FR"/>
              </w:rPr>
              <w:t xml:space="preserve"> de 20</w:t>
            </w:r>
            <w:r w:rsidR="00DD30BB">
              <w:rPr>
                <w:bCs/>
                <w:lang w:val="fr-FR"/>
              </w:rPr>
              <w:t>1</w:t>
            </w:r>
            <w:r>
              <w:rPr>
                <w:bCs/>
                <w:lang w:val="fr-FR"/>
              </w:rPr>
              <w:t>1</w:t>
            </w:r>
          </w:p>
        </w:tc>
      </w:tr>
    </w:tbl>
    <w:p w:rsidR="00F96264" w:rsidRPr="00F96264" w:rsidRDefault="00E75D9E" w:rsidP="00133C99">
      <w:pPr>
        <w:tabs>
          <w:tab w:val="left" w:pos="7513"/>
        </w:tabs>
        <w:spacing w:before="480"/>
        <w:jc w:val="center"/>
        <w:rPr>
          <w:b/>
          <w:bCs/>
        </w:rPr>
      </w:pPr>
      <w:r>
        <w:rPr>
          <w:rFonts w:ascii="CG Times (W1)" w:hAnsi="CG Times (W1)"/>
          <w:b/>
        </w:rPr>
        <w:t>A las Administraciones de los Estados Miembros de la UIT</w:t>
      </w:r>
      <w:r w:rsidR="00CD3292">
        <w:rPr>
          <w:rFonts w:ascii="CG Times (W1)" w:hAnsi="CG Times (W1)"/>
          <w:b/>
        </w:rPr>
        <w:t>,</w:t>
      </w:r>
      <w:r>
        <w:rPr>
          <w:rFonts w:ascii="CG Times (W1)" w:hAnsi="CG Times (W1)"/>
          <w:b/>
        </w:rPr>
        <w:t xml:space="preserve"> a los Miembros del Sector </w:t>
      </w:r>
      <w:r>
        <w:rPr>
          <w:rFonts w:ascii="CG Times (W1)" w:hAnsi="CG Times (W1)"/>
          <w:b/>
        </w:rPr>
        <w:br/>
        <w:t>de Radiocomunicaciones</w:t>
      </w:r>
      <w:r w:rsidR="00CD3292">
        <w:rPr>
          <w:rFonts w:ascii="CG Times (W1)" w:hAnsi="CG Times (W1)"/>
          <w:b/>
        </w:rPr>
        <w:t>, a los Asiociados del UIT-R que participan en los trabajos</w:t>
      </w:r>
      <w:r w:rsidR="00CD3292">
        <w:rPr>
          <w:rFonts w:ascii="CG Times (W1)" w:hAnsi="CG Times (W1)"/>
          <w:b/>
        </w:rPr>
        <w:br/>
      </w:r>
      <w:r>
        <w:rPr>
          <w:rFonts w:ascii="CG Times (W1)" w:hAnsi="CG Times (W1)"/>
          <w:b/>
        </w:rPr>
        <w:t>de la</w:t>
      </w:r>
      <w:r w:rsidR="00CD3292">
        <w:rPr>
          <w:rFonts w:ascii="CG Times (W1)" w:hAnsi="CG Times (W1)"/>
          <w:b/>
        </w:rPr>
        <w:t xml:space="preserve"> Comisíon</w:t>
      </w:r>
      <w:r>
        <w:rPr>
          <w:rFonts w:ascii="CG Times (W1)" w:hAnsi="CG Times (W1)"/>
          <w:b/>
        </w:rPr>
        <w:t xml:space="preserve"> de Estudio </w:t>
      </w:r>
      <w:r w:rsidR="00C85C1E">
        <w:rPr>
          <w:rFonts w:ascii="CG Times (W1)" w:hAnsi="CG Times (W1)"/>
          <w:b/>
        </w:rPr>
        <w:t>7</w:t>
      </w:r>
      <w:r w:rsidR="00CD3292">
        <w:rPr>
          <w:rFonts w:ascii="CG Times (W1)" w:hAnsi="CG Times (W1)"/>
          <w:b/>
        </w:rPr>
        <w:t xml:space="preserve"> </w:t>
      </w:r>
      <w:r>
        <w:rPr>
          <w:rFonts w:ascii="CG Times (W1)" w:hAnsi="CG Times (W1)"/>
          <w:b/>
        </w:rPr>
        <w:t>de Radiocomunicaciones</w:t>
      </w:r>
      <w:r w:rsidR="00CD3292">
        <w:rPr>
          <w:b/>
        </w:rPr>
        <w:t xml:space="preserve"> y la Comisión Especial</w:t>
      </w:r>
      <w:r w:rsidR="00CD3292">
        <w:rPr>
          <w:b/>
        </w:rPr>
        <w:br/>
      </w:r>
      <w:r>
        <w:rPr>
          <w:b/>
        </w:rPr>
        <w:t>para Asuntos Reglamentarios y de Procedimiento</w:t>
      </w:r>
    </w:p>
    <w:p w:rsidR="00E75D9E" w:rsidRPr="009156A8" w:rsidRDefault="00F96264" w:rsidP="00CD3292">
      <w:pPr>
        <w:tabs>
          <w:tab w:val="clear" w:pos="794"/>
          <w:tab w:val="clear" w:pos="1191"/>
          <w:tab w:val="clear" w:pos="1588"/>
          <w:tab w:val="clear" w:pos="1985"/>
          <w:tab w:val="left" w:pos="709"/>
          <w:tab w:val="left" w:pos="993"/>
        </w:tabs>
        <w:spacing w:before="720"/>
        <w:ind w:left="993" w:hanging="993"/>
        <w:rPr>
          <w:b/>
        </w:rPr>
      </w:pPr>
      <w:r>
        <w:rPr>
          <w:b/>
        </w:rPr>
        <w:t>Asunto</w:t>
      </w:r>
      <w:r>
        <w:t>:</w:t>
      </w:r>
      <w:r w:rsidRPr="00E75D9E">
        <w:tab/>
      </w:r>
      <w:bookmarkStart w:id="4" w:name="dtitle1"/>
      <w:bookmarkEnd w:id="4"/>
      <w:r w:rsidR="00E75D9E" w:rsidRPr="009156A8">
        <w:rPr>
          <w:b/>
        </w:rPr>
        <w:t xml:space="preserve">Comisión de Estudio </w:t>
      </w:r>
      <w:r w:rsidR="00C85C1E">
        <w:rPr>
          <w:b/>
        </w:rPr>
        <w:t>7</w:t>
      </w:r>
      <w:r w:rsidR="00E75D9E" w:rsidRPr="009156A8">
        <w:rPr>
          <w:b/>
        </w:rPr>
        <w:t xml:space="preserve"> de Radiocomunicaciones</w:t>
      </w:r>
    </w:p>
    <w:p w:rsidR="00E75D9E" w:rsidRDefault="00C85C1E" w:rsidP="00CD3292">
      <w:pPr>
        <w:tabs>
          <w:tab w:val="clear" w:pos="794"/>
          <w:tab w:val="clear" w:pos="1191"/>
          <w:tab w:val="clear" w:pos="1588"/>
          <w:tab w:val="clear" w:pos="1985"/>
          <w:tab w:val="left" w:pos="709"/>
          <w:tab w:val="left" w:pos="1418"/>
        </w:tabs>
        <w:ind w:left="993" w:hanging="993"/>
        <w:rPr>
          <w:b/>
        </w:rPr>
      </w:pPr>
      <w:r>
        <w:rPr>
          <w:b/>
        </w:rPr>
        <w:tab/>
      </w:r>
      <w:r>
        <w:rPr>
          <w:b/>
        </w:rPr>
        <w:tab/>
        <w:t>–</w:t>
      </w:r>
      <w:r>
        <w:rPr>
          <w:b/>
        </w:rPr>
        <w:tab/>
        <w:t>Aprobación de 2</w:t>
      </w:r>
      <w:r w:rsidR="00E75D9E" w:rsidRPr="009156A8">
        <w:rPr>
          <w:b/>
        </w:rPr>
        <w:t xml:space="preserve"> nuevas Cuestiones UIT-R y de </w:t>
      </w:r>
      <w:r w:rsidR="00DD30BB">
        <w:rPr>
          <w:b/>
        </w:rPr>
        <w:t>3</w:t>
      </w:r>
      <w:r w:rsidR="00E75D9E" w:rsidRPr="009156A8">
        <w:rPr>
          <w:b/>
        </w:rPr>
        <w:t xml:space="preserve"> Cuestiones UIT</w:t>
      </w:r>
      <w:r w:rsidR="00E75D9E" w:rsidRPr="009156A8">
        <w:rPr>
          <w:b/>
        </w:rPr>
        <w:noBreakHyphen/>
        <w:t>R revisadas</w:t>
      </w:r>
    </w:p>
    <w:p w:rsidR="00E75D9E" w:rsidRPr="009156A8" w:rsidRDefault="00C85C1E" w:rsidP="00CD3292">
      <w:pPr>
        <w:tabs>
          <w:tab w:val="clear" w:pos="794"/>
          <w:tab w:val="clear" w:pos="1191"/>
          <w:tab w:val="clear" w:pos="1588"/>
          <w:tab w:val="clear" w:pos="1985"/>
          <w:tab w:val="left" w:pos="709"/>
          <w:tab w:val="left" w:pos="1418"/>
        </w:tabs>
        <w:ind w:left="993" w:hanging="993"/>
        <w:rPr>
          <w:b/>
        </w:rPr>
      </w:pPr>
      <w:r>
        <w:rPr>
          <w:b/>
        </w:rPr>
        <w:tab/>
      </w:r>
      <w:r>
        <w:rPr>
          <w:b/>
        </w:rPr>
        <w:tab/>
        <w:t>–</w:t>
      </w:r>
      <w:r>
        <w:rPr>
          <w:b/>
        </w:rPr>
        <w:tab/>
        <w:t>Supresión de 3</w:t>
      </w:r>
      <w:r w:rsidR="00E75D9E" w:rsidRPr="009156A8">
        <w:rPr>
          <w:b/>
        </w:rPr>
        <w:t xml:space="preserve"> Cuestiones UIT</w:t>
      </w:r>
      <w:r w:rsidR="00E75D9E" w:rsidRPr="009156A8">
        <w:rPr>
          <w:b/>
        </w:rPr>
        <w:noBreakHyphen/>
        <w:t>R</w:t>
      </w:r>
    </w:p>
    <w:p w:rsidR="00305AAD" w:rsidRDefault="00305AAD" w:rsidP="00305AAD"/>
    <w:p w:rsidR="00305AAD" w:rsidRPr="006E7286" w:rsidRDefault="00305AAD" w:rsidP="00C85C1E">
      <w:r w:rsidRPr="006E7286">
        <w:t>Mediante la Circular Administrativa CAR/</w:t>
      </w:r>
      <w:r w:rsidR="00C85C1E">
        <w:t>303</w:t>
      </w:r>
      <w:r w:rsidR="00DD30BB">
        <w:t xml:space="preserve"> de</w:t>
      </w:r>
      <w:r w:rsidRPr="006E7286">
        <w:t xml:space="preserve"> </w:t>
      </w:r>
      <w:r w:rsidR="00C85C1E">
        <w:t>28 de octubre</w:t>
      </w:r>
      <w:r w:rsidR="00DD30BB">
        <w:t xml:space="preserve"> de 2010</w:t>
      </w:r>
      <w:r>
        <w:t>,</w:t>
      </w:r>
      <w:r w:rsidRPr="006E7286">
        <w:t xml:space="preserve"> se presentaron para aprobación por correspondencia, de conformidad con la</w:t>
      </w:r>
      <w:r w:rsidR="00C85C1E">
        <w:t xml:space="preserve"> Resolución UIT-R 1-5 (§ 3.4), 2</w:t>
      </w:r>
      <w:r>
        <w:t> proyectos de nuevas Cuestiones UIT</w:t>
      </w:r>
      <w:r>
        <w:noBreakHyphen/>
        <w:t xml:space="preserve">R y </w:t>
      </w:r>
      <w:r w:rsidR="00DD30BB">
        <w:t>3</w:t>
      </w:r>
      <w:r w:rsidRPr="006E7286">
        <w:t xml:space="preserve"> proyectos de Cuestiones UIT-R revisadas. </w:t>
      </w:r>
      <w:r>
        <w:t>Asimismo, la Comisión de E</w:t>
      </w:r>
      <w:r w:rsidR="00C85C1E">
        <w:t>studio propuso la supresión de 3</w:t>
      </w:r>
      <w:r>
        <w:t> Cuestiones UIT-R.</w:t>
      </w:r>
    </w:p>
    <w:p w:rsidR="00305AAD" w:rsidRPr="006E7286" w:rsidRDefault="00305AAD" w:rsidP="00DD30BB">
      <w:r>
        <w:t>L</w:t>
      </w:r>
      <w:r w:rsidRPr="006E7286">
        <w:t>as condiciones que rigen estos procedimientos se cumplieron el</w:t>
      </w:r>
      <w:r w:rsidR="00C85C1E">
        <w:t xml:space="preserve"> 28 de enero de 2011</w:t>
      </w:r>
      <w:r w:rsidRPr="006E7286">
        <w:t xml:space="preserve">. </w:t>
      </w:r>
    </w:p>
    <w:p w:rsidR="00305AAD" w:rsidRDefault="00305AAD" w:rsidP="002B4671">
      <w:r>
        <w:t xml:space="preserve">Como referencia, se adjuntan los textos de las Cuestiones aprobadas (Anexos 1 al </w:t>
      </w:r>
      <w:r w:rsidR="00C85C1E">
        <w:t>5</w:t>
      </w:r>
      <w:r>
        <w:t xml:space="preserve">) que se publicarán en </w:t>
      </w:r>
      <w:r w:rsidR="00C85C1E">
        <w:t>la Revisi</w:t>
      </w:r>
      <w:r w:rsidR="002B4671">
        <w:t>ó</w:t>
      </w:r>
      <w:r w:rsidR="00C85C1E">
        <w:t>n 2</w:t>
      </w:r>
      <w:r w:rsidR="00CD3292">
        <w:t xml:space="preserve"> </w:t>
      </w:r>
      <w:r>
        <w:t>del </w:t>
      </w:r>
      <w:hyperlink r:id="rId10" w:history="1">
        <w:r w:rsidR="00D96886" w:rsidRPr="00D96886">
          <w:rPr>
            <w:rStyle w:val="Hyperlink"/>
          </w:rPr>
          <w:t xml:space="preserve">Documento </w:t>
        </w:r>
        <w:r w:rsidR="00C85C1E">
          <w:rPr>
            <w:rStyle w:val="Hyperlink"/>
          </w:rPr>
          <w:t>7</w:t>
        </w:r>
        <w:r w:rsidR="00D96886" w:rsidRPr="00D96886">
          <w:rPr>
            <w:rStyle w:val="Hyperlink"/>
          </w:rPr>
          <w:t>/1</w:t>
        </w:r>
      </w:hyperlink>
      <w:r>
        <w:t xml:space="preserve"> que contiene las Cuestiones UIT</w:t>
      </w:r>
      <w:r>
        <w:noBreakHyphen/>
        <w:t>R aprobadas por la Asamblea de Radiocomunicaciones de 2007 y asignadas a la Comisión de Estudio </w:t>
      </w:r>
      <w:r w:rsidR="00C85C1E">
        <w:t>7</w:t>
      </w:r>
      <w:r>
        <w:t xml:space="preserve"> de Radiocomunicaciones. Las Cuestiones UIT</w:t>
      </w:r>
      <w:r>
        <w:noBreakHyphen/>
        <w:t xml:space="preserve">R suprimidas se indican en el Anexo </w:t>
      </w:r>
      <w:r w:rsidR="00C85C1E">
        <w:t>6</w:t>
      </w:r>
      <w:r>
        <w:t>.</w:t>
      </w:r>
    </w:p>
    <w:p w:rsidR="00DC32E7" w:rsidRPr="00CD1F0D" w:rsidRDefault="00DC32E7" w:rsidP="000E22EC">
      <w:pPr>
        <w:tabs>
          <w:tab w:val="clear" w:pos="794"/>
          <w:tab w:val="clear" w:pos="1191"/>
          <w:tab w:val="clear" w:pos="1588"/>
          <w:tab w:val="clear" w:pos="1985"/>
          <w:tab w:val="center" w:pos="7230"/>
        </w:tabs>
        <w:spacing w:before="1418"/>
      </w:pPr>
      <w:r w:rsidRPr="00CD1F0D">
        <w:tab/>
      </w:r>
      <w:r w:rsidR="000E22EC">
        <w:t>François Rancy</w:t>
      </w:r>
      <w:r w:rsidRPr="00CD1F0D">
        <w:br/>
      </w:r>
      <w:r w:rsidRPr="00CD1F0D">
        <w:tab/>
        <w:t>Director de la Oficina de Radiocomunicaciones</w:t>
      </w:r>
    </w:p>
    <w:p w:rsidR="00DC32E7" w:rsidRPr="00B532CB" w:rsidRDefault="00DC32E7" w:rsidP="00D96886">
      <w:pPr>
        <w:tabs>
          <w:tab w:val="center" w:pos="7939"/>
          <w:tab w:val="right" w:pos="8505"/>
        </w:tabs>
        <w:rPr>
          <w:u w:val="single"/>
        </w:rPr>
      </w:pPr>
      <w:r w:rsidRPr="00B532CB">
        <w:rPr>
          <w:b/>
          <w:bCs/>
        </w:rPr>
        <w:t>Anexos:</w:t>
      </w:r>
      <w:r w:rsidR="00010941">
        <w:tab/>
      </w:r>
      <w:r w:rsidR="000E22EC">
        <w:t>6</w:t>
      </w:r>
    </w:p>
    <w:p w:rsidR="00DC32E7" w:rsidRPr="006951BA" w:rsidRDefault="00DC32E7" w:rsidP="00DC32E7">
      <w:pPr>
        <w:tabs>
          <w:tab w:val="left" w:pos="284"/>
          <w:tab w:val="left" w:pos="568"/>
        </w:tabs>
        <w:spacing w:before="240" w:after="120"/>
        <w:rPr>
          <w:sz w:val="16"/>
          <w:u w:val="single"/>
        </w:rPr>
      </w:pPr>
      <w:r w:rsidRPr="006951BA">
        <w:rPr>
          <w:bCs/>
          <w:sz w:val="16"/>
          <w:u w:val="single"/>
        </w:rPr>
        <w:t>Distribución</w:t>
      </w:r>
      <w:r w:rsidRPr="006951BA">
        <w:rPr>
          <w:sz w:val="16"/>
          <w:u w:val="single"/>
        </w:rPr>
        <w:t>:</w:t>
      </w:r>
    </w:p>
    <w:p w:rsidR="00DC32E7" w:rsidRPr="00B532CB" w:rsidRDefault="00DC32E7" w:rsidP="00DC32E7">
      <w:pPr>
        <w:tabs>
          <w:tab w:val="left" w:pos="284"/>
        </w:tabs>
        <w:spacing w:before="0"/>
        <w:ind w:left="284" w:hanging="284"/>
        <w:rPr>
          <w:sz w:val="16"/>
        </w:rPr>
      </w:pPr>
      <w:r w:rsidRPr="00B532CB">
        <w:rPr>
          <w:sz w:val="16"/>
        </w:rPr>
        <w:t>–</w:t>
      </w:r>
      <w:r w:rsidRPr="00B532CB">
        <w:rPr>
          <w:sz w:val="16"/>
        </w:rPr>
        <w:tab/>
        <w:t>Administraciones de los Estados Miembros</w:t>
      </w:r>
      <w:r>
        <w:rPr>
          <w:sz w:val="16"/>
        </w:rPr>
        <w:t xml:space="preserve"> </w:t>
      </w:r>
      <w:r w:rsidRPr="00B532CB">
        <w:rPr>
          <w:sz w:val="16"/>
        </w:rPr>
        <w:t>y Miembros del Sector de Radiocomunicaciones</w:t>
      </w:r>
    </w:p>
    <w:p w:rsidR="00DC32E7" w:rsidRPr="00B532CB" w:rsidRDefault="00DC32E7" w:rsidP="00D96886">
      <w:pPr>
        <w:tabs>
          <w:tab w:val="left" w:pos="284"/>
        </w:tabs>
        <w:spacing w:before="0"/>
        <w:ind w:left="284" w:hanging="284"/>
        <w:rPr>
          <w:sz w:val="16"/>
        </w:rPr>
      </w:pPr>
      <w:r w:rsidRPr="00B532CB">
        <w:rPr>
          <w:sz w:val="16"/>
        </w:rPr>
        <w:t>–</w:t>
      </w:r>
      <w:r w:rsidRPr="00B532CB">
        <w:rPr>
          <w:sz w:val="16"/>
        </w:rPr>
        <w:tab/>
        <w:t xml:space="preserve">Asociados del UIT-R que participan en los trabajos de la Comisión de Estudio </w:t>
      </w:r>
      <w:r w:rsidR="000E22EC">
        <w:rPr>
          <w:sz w:val="16"/>
        </w:rPr>
        <w:t>7</w:t>
      </w:r>
      <w:r w:rsidRPr="00B532CB">
        <w:rPr>
          <w:sz w:val="16"/>
        </w:rPr>
        <w:t xml:space="preserve"> de Radiocomunicaciones</w:t>
      </w:r>
    </w:p>
    <w:p w:rsidR="00DC32E7" w:rsidRPr="00B532CB" w:rsidRDefault="00DC32E7" w:rsidP="00DC32E7">
      <w:pPr>
        <w:tabs>
          <w:tab w:val="left" w:pos="284"/>
        </w:tabs>
        <w:spacing w:before="0"/>
        <w:ind w:left="284" w:hanging="284"/>
        <w:rPr>
          <w:sz w:val="16"/>
        </w:rPr>
      </w:pPr>
      <w:r w:rsidRPr="00B532CB">
        <w:rPr>
          <w:sz w:val="16"/>
        </w:rPr>
        <w:t>–</w:t>
      </w:r>
      <w:r w:rsidRPr="00B532CB">
        <w:rPr>
          <w:sz w:val="16"/>
        </w:rPr>
        <w:tab/>
        <w:t>Presidentes y Vicepresidentes de las Comisiones de Estudio de Radiocomunicaciones y Comisión Especial para asuntos reglamentarios y de procedimiento</w:t>
      </w:r>
    </w:p>
    <w:p w:rsidR="00DC32E7" w:rsidRPr="00B532CB" w:rsidRDefault="00DC32E7" w:rsidP="00DC32E7">
      <w:pPr>
        <w:tabs>
          <w:tab w:val="left" w:pos="284"/>
        </w:tabs>
        <w:spacing w:before="0"/>
        <w:ind w:left="284" w:hanging="284"/>
        <w:rPr>
          <w:sz w:val="16"/>
        </w:rPr>
      </w:pPr>
      <w:r w:rsidRPr="00B532CB">
        <w:rPr>
          <w:sz w:val="16"/>
        </w:rPr>
        <w:t>–</w:t>
      </w:r>
      <w:r w:rsidRPr="00B532CB">
        <w:rPr>
          <w:sz w:val="16"/>
        </w:rPr>
        <w:tab/>
        <w:t xml:space="preserve">Presidente y Vicepresidentes de la Reunión Preparatoria de la Conferencia </w:t>
      </w:r>
    </w:p>
    <w:p w:rsidR="00DC32E7" w:rsidRPr="00B532CB" w:rsidRDefault="00DC32E7" w:rsidP="00DC32E7">
      <w:pPr>
        <w:tabs>
          <w:tab w:val="left" w:pos="284"/>
        </w:tabs>
        <w:spacing w:before="0"/>
        <w:ind w:left="284" w:hanging="284"/>
        <w:rPr>
          <w:sz w:val="16"/>
        </w:rPr>
      </w:pPr>
      <w:r w:rsidRPr="00B532CB">
        <w:rPr>
          <w:sz w:val="16"/>
        </w:rPr>
        <w:t>–</w:t>
      </w:r>
      <w:r w:rsidRPr="00B532CB">
        <w:rPr>
          <w:sz w:val="16"/>
        </w:rPr>
        <w:tab/>
        <w:t>Miembros de la Junta del Reglamento de Radiocomunicaciones</w:t>
      </w:r>
    </w:p>
    <w:p w:rsidR="00DC32E7" w:rsidRPr="00F8566A" w:rsidRDefault="00DC32E7" w:rsidP="00F8566A">
      <w:pPr>
        <w:tabs>
          <w:tab w:val="left" w:pos="284"/>
        </w:tabs>
        <w:spacing w:before="0"/>
        <w:ind w:left="284" w:hanging="284"/>
        <w:rPr>
          <w:szCs w:val="24"/>
        </w:rPr>
      </w:pPr>
      <w:r w:rsidRPr="00DC32E7">
        <w:rPr>
          <w:sz w:val="16"/>
        </w:rPr>
        <w:t>–</w:t>
      </w:r>
      <w:r w:rsidRPr="00DC32E7">
        <w:rPr>
          <w:sz w:val="16"/>
        </w:rPr>
        <w:tab/>
        <w:t>Secretario General de la UIT, Director de la Oficina de Normalización de las Telecomunicaciones, Director de la Oficina de Desarrollo de Telecomunicaciones</w:t>
      </w:r>
    </w:p>
    <w:p w:rsidR="000E22EC" w:rsidRPr="00BB6492" w:rsidRDefault="000E22EC" w:rsidP="000E22EC">
      <w:pPr>
        <w:pStyle w:val="AnnexNotitle"/>
      </w:pPr>
      <w:r w:rsidRPr="00BB6492">
        <w:lastRenderedPageBreak/>
        <w:t>Anexo 1</w:t>
      </w:r>
    </w:p>
    <w:p w:rsidR="000E22EC" w:rsidRDefault="000E22EC" w:rsidP="00882905">
      <w:pPr>
        <w:pStyle w:val="RecNoBR"/>
      </w:pPr>
      <w:bookmarkStart w:id="5" w:name="drec"/>
      <w:r>
        <w:t xml:space="preserve">CUESTIÓN UIT-R </w:t>
      </w:r>
      <w:r w:rsidR="00882905">
        <w:t>252</w:t>
      </w:r>
      <w:r>
        <w:t>/7</w:t>
      </w:r>
    </w:p>
    <w:bookmarkEnd w:id="5"/>
    <w:p w:rsidR="000E22EC" w:rsidRDefault="000E22EC" w:rsidP="000E22EC">
      <w:pPr>
        <w:pStyle w:val="Rectitle"/>
        <w:rPr>
          <w:lang w:eastAsia="zh-CN"/>
        </w:rPr>
      </w:pPr>
      <w:r>
        <w:t xml:space="preserve">Parámetros necesarios para el registro de sistemas </w:t>
      </w:r>
      <w:r>
        <w:br/>
        <w:t>de radioastronomía distribuidos</w:t>
      </w:r>
    </w:p>
    <w:p w:rsidR="00882905" w:rsidRDefault="00882905" w:rsidP="00882905">
      <w:pPr>
        <w:pStyle w:val="Questiondate"/>
      </w:pPr>
      <w:r>
        <w:t>(2011)</w:t>
      </w:r>
    </w:p>
    <w:p w:rsidR="000E22EC" w:rsidRDefault="000E22EC" w:rsidP="000E22EC">
      <w:pPr>
        <w:pStyle w:val="Normalaftertitle0"/>
        <w:rPr>
          <w:lang w:val="es-ES_tradnl"/>
        </w:rPr>
      </w:pPr>
      <w:r>
        <w:rPr>
          <w:lang w:val="es-ES_tradnl"/>
        </w:rPr>
        <w:t>La Asamblea de Radiocomunicaciones de la UIT,</w:t>
      </w:r>
    </w:p>
    <w:p w:rsidR="000E22EC" w:rsidRDefault="000E22EC" w:rsidP="000E22EC">
      <w:pPr>
        <w:pStyle w:val="Call"/>
      </w:pPr>
      <w:proofErr w:type="gramStart"/>
      <w:r>
        <w:t>considerando</w:t>
      </w:r>
      <w:proofErr w:type="gramEnd"/>
    </w:p>
    <w:p w:rsidR="000E22EC" w:rsidRDefault="000E22EC" w:rsidP="000E22EC">
      <w:r>
        <w:rPr>
          <w:rPrChange w:id="6" w:author="cuevas" w:date="2010-10-28T16:25:00Z">
            <w:rPr>
              <w:i/>
              <w:iCs/>
            </w:rPr>
          </w:rPrChange>
        </w:rPr>
        <w:t>a)</w:t>
      </w:r>
      <w:r>
        <w:tab/>
        <w:t>que la resolución angular de los radiotelescopios de una sola parábola es proporcional a su diámetro, y que el diámetro de una antena parabólica está limitado por factores de diseño, sobre todo si es orientable;</w:t>
      </w:r>
    </w:p>
    <w:p w:rsidR="000E22EC" w:rsidRDefault="000E22EC" w:rsidP="000E22EC">
      <w:r>
        <w:rPr>
          <w:rPrChange w:id="7" w:author="cuevas" w:date="2010-10-28T16:25:00Z">
            <w:rPr>
              <w:i/>
              <w:iCs/>
            </w:rPr>
          </w:rPrChange>
        </w:rPr>
        <w:t>b)</w:t>
      </w:r>
      <w:r>
        <w:tab/>
        <w:t>que es posible obtener mayores resoluciones angulares mediante la utilización de redes de antenas que funcionen en conjunto como un interferómetro y que estas redes pueden estar dispersas en zonas amplias;</w:t>
      </w:r>
    </w:p>
    <w:p w:rsidR="000E22EC" w:rsidRDefault="000E22EC" w:rsidP="000E22EC">
      <w:r>
        <w:rPr>
          <w:rPrChange w:id="8" w:author="cuevas" w:date="2010-10-28T16:25:00Z">
            <w:rPr>
              <w:i/>
              <w:iCs/>
            </w:rPr>
          </w:rPrChange>
        </w:rPr>
        <w:t>c)</w:t>
      </w:r>
      <w:r>
        <w:tab/>
        <w:t>que la mayoría de los radiotelescopios en construcción o previstos son sistemas interferométricos, y que en algunos casos cabe esperar que los elementos del interferómetro estén dispersos a lo largo de cientos e incluso miles de kilómetros;</w:t>
      </w:r>
    </w:p>
    <w:p w:rsidR="000E22EC" w:rsidRDefault="000E22EC" w:rsidP="000E22EC">
      <w:r>
        <w:rPr>
          <w:rPrChange w:id="9" w:author="cuevas" w:date="2010-10-28T16:25:00Z">
            <w:rPr>
              <w:i/>
              <w:iCs/>
            </w:rPr>
          </w:rPrChange>
        </w:rPr>
        <w:t>d)</w:t>
      </w:r>
      <w:r>
        <w:tab/>
        <w:t>que los interferómetros son menos proclives a interferencia que los telescopios de una sola parábola;</w:t>
      </w:r>
    </w:p>
    <w:p w:rsidR="000E22EC" w:rsidRDefault="000E22EC" w:rsidP="000E22EC">
      <w:r>
        <w:rPr>
          <w:rPrChange w:id="10" w:author="cuevas" w:date="2010-10-28T16:25:00Z">
            <w:rPr>
              <w:i/>
              <w:iCs/>
            </w:rPr>
          </w:rPrChange>
        </w:rPr>
        <w:t>e)</w:t>
      </w:r>
      <w:r>
        <w:tab/>
        <w:t xml:space="preserve">que los sistemas de radioastronomía distribuidos también pueden utilizarse en modo no interferométrico, </w:t>
      </w:r>
    </w:p>
    <w:p w:rsidR="000E22EC" w:rsidRDefault="000E22EC" w:rsidP="000E22EC">
      <w:pPr>
        <w:pStyle w:val="Call"/>
      </w:pPr>
      <w:proofErr w:type="gramStart"/>
      <w:r>
        <w:t>observando</w:t>
      </w:r>
      <w:proofErr w:type="gramEnd"/>
    </w:p>
    <w:p w:rsidR="000E22EC" w:rsidRDefault="000E22EC" w:rsidP="000E22EC">
      <w:r>
        <w:t xml:space="preserve">que las características necesarias para registrar estaciones de radioastronomía, enumeradas en los Cuadros del Anexo 2 al Apéndice 4 del Reglamento de Radiocomunicaciones, parecen haberse concebido para telescopios de una sola parábola, y que esas características quizá no sean suficientes para describir adecuadamente las estaciones de radioastronomía distribuidas, como las mencionadas en el </w:t>
      </w:r>
      <w:r>
        <w:rPr>
          <w:i/>
          <w:iCs/>
        </w:rPr>
        <w:t xml:space="preserve">considerando </w:t>
      </w:r>
      <w:r w:rsidRPr="002B4671">
        <w:t>c)</w:t>
      </w:r>
      <w:r>
        <w:t>, y, por ende, para garantizar su protección, de conformidad con el Reglamento de Radiocomunicaciones,</w:t>
      </w:r>
    </w:p>
    <w:p w:rsidR="000E22EC" w:rsidRDefault="000E22EC" w:rsidP="000E22EC">
      <w:pPr>
        <w:pStyle w:val="Call"/>
      </w:pPr>
      <w:proofErr w:type="gramStart"/>
      <w:r>
        <w:t>decide</w:t>
      </w:r>
      <w:proofErr w:type="gramEnd"/>
      <w:r>
        <w:t xml:space="preserve"> </w:t>
      </w:r>
      <w:r>
        <w:rPr>
          <w:i w:val="0"/>
          <w:iCs/>
        </w:rPr>
        <w:t>poner a estudio la siguiente Cuestión</w:t>
      </w:r>
    </w:p>
    <w:p w:rsidR="000E22EC" w:rsidRDefault="000E22EC" w:rsidP="000E22EC">
      <w:r>
        <w:rPr>
          <w:b/>
        </w:rPr>
        <w:t>1</w:t>
      </w:r>
      <w:r>
        <w:tab/>
        <w:t>qué parámetros deben especificarse, además de los indicados en el Apéndice 4 al RR o en lugar de aquéllos, al registrar los sistemas de radioastronomía distribuidos que abarquen zonas amplias, con el fin de garantizar su protección efectiva,</w:t>
      </w:r>
    </w:p>
    <w:p w:rsidR="000E22EC" w:rsidRDefault="000E22EC" w:rsidP="000E22EC">
      <w:pPr>
        <w:pStyle w:val="Call"/>
      </w:pPr>
      <w:proofErr w:type="gramStart"/>
      <w:r>
        <w:t>decide</w:t>
      </w:r>
      <w:proofErr w:type="gramEnd"/>
      <w:r>
        <w:t xml:space="preserve"> además</w:t>
      </w:r>
    </w:p>
    <w:p w:rsidR="000E22EC" w:rsidRDefault="000E22EC" w:rsidP="000E22EC">
      <w:r>
        <w:rPr>
          <w:b/>
        </w:rPr>
        <w:t>1</w:t>
      </w:r>
      <w:r>
        <w:tab/>
        <w:t xml:space="preserve">que los resultados de los estudios mencionados se incluyan en una o varias </w:t>
      </w:r>
      <w:r w:rsidR="002512DF">
        <w:t xml:space="preserve">recomendaciones </w:t>
      </w:r>
      <w:r>
        <w:t xml:space="preserve">e/o </w:t>
      </w:r>
      <w:r w:rsidR="002512DF">
        <w:t>informes</w:t>
      </w:r>
      <w:r>
        <w:t>;</w:t>
      </w:r>
    </w:p>
    <w:p w:rsidR="000E22EC" w:rsidRDefault="000E22EC" w:rsidP="000E22EC">
      <w:r>
        <w:rPr>
          <w:b/>
        </w:rPr>
        <w:t>2</w:t>
      </w:r>
      <w:r>
        <w:tab/>
        <w:t>que estos estudios se terminen en 2015.</w:t>
      </w:r>
    </w:p>
    <w:p w:rsidR="000E22EC" w:rsidRDefault="000E22EC" w:rsidP="000E22EC"/>
    <w:p w:rsidR="000E22EC" w:rsidRDefault="000E22EC" w:rsidP="000E22EC">
      <w:pPr>
        <w:tabs>
          <w:tab w:val="left" w:pos="1134"/>
        </w:tabs>
      </w:pPr>
      <w:r>
        <w:t>Categoría: S2</w:t>
      </w:r>
    </w:p>
    <w:p w:rsidR="000E22EC" w:rsidRPr="000E22EC" w:rsidRDefault="000E22EC" w:rsidP="000E22EC">
      <w:pPr>
        <w:pStyle w:val="AnnexNoTitle0"/>
        <w:rPr>
          <w:lang w:val="es-ES_tradnl"/>
        </w:rPr>
      </w:pPr>
      <w:r w:rsidRPr="000E22EC">
        <w:rPr>
          <w:lang w:val="es-ES_tradnl"/>
        </w:rPr>
        <w:lastRenderedPageBreak/>
        <w:t>Anexo 2</w:t>
      </w:r>
    </w:p>
    <w:p w:rsidR="000E22EC" w:rsidRDefault="000E22EC" w:rsidP="00882905">
      <w:pPr>
        <w:pStyle w:val="QuestionNoBR"/>
      </w:pPr>
      <w:r>
        <w:t xml:space="preserve">CUESTIÓN UIT-R </w:t>
      </w:r>
      <w:r w:rsidR="00882905">
        <w:t>253</w:t>
      </w:r>
      <w:r>
        <w:t>/7</w:t>
      </w:r>
    </w:p>
    <w:p w:rsidR="000E22EC" w:rsidRDefault="000E22EC" w:rsidP="000E22EC">
      <w:pPr>
        <w:pStyle w:val="Questiontitle"/>
      </w:pPr>
      <w:r>
        <w:t xml:space="preserve">Efectos relativistas en la transferencia de tiempo y frecuencia </w:t>
      </w:r>
      <w:r>
        <w:br/>
        <w:t>en las proximidades de la Tierra y en el sistema solar</w:t>
      </w:r>
    </w:p>
    <w:p w:rsidR="00882905" w:rsidRDefault="00882905" w:rsidP="00882905">
      <w:pPr>
        <w:pStyle w:val="Questiondate"/>
      </w:pPr>
      <w:r>
        <w:t>(2011)</w:t>
      </w:r>
    </w:p>
    <w:p w:rsidR="000E22EC" w:rsidRDefault="000E22EC" w:rsidP="000E22EC">
      <w:pPr>
        <w:pStyle w:val="Normalaftertitle0"/>
        <w:rPr>
          <w:lang w:val="es-ES_tradnl"/>
        </w:rPr>
      </w:pPr>
      <w:r>
        <w:rPr>
          <w:lang w:val="es-ES_tradnl"/>
        </w:rPr>
        <w:t>La Asamblea de Radiocomunicaciones de la UIT,</w:t>
      </w:r>
    </w:p>
    <w:p w:rsidR="000E22EC" w:rsidRDefault="000E22EC" w:rsidP="000E22EC">
      <w:pPr>
        <w:pStyle w:val="Call"/>
      </w:pPr>
      <w:proofErr w:type="gramStart"/>
      <w:r>
        <w:t>considerando</w:t>
      </w:r>
      <w:proofErr w:type="gramEnd"/>
    </w:p>
    <w:p w:rsidR="000E22EC" w:rsidRDefault="000E22EC" w:rsidP="000E22EC">
      <w:r>
        <w:rPr>
          <w:iCs/>
          <w:rPrChange w:id="11" w:author="cuevas" w:date="2010-10-28T16:25:00Z">
            <w:rPr>
              <w:i/>
            </w:rPr>
          </w:rPrChange>
        </w:rPr>
        <w:t>a)</w:t>
      </w:r>
      <w:r>
        <w:tab/>
        <w:t>que resulta conveniente mantener la coordinación de tiempo y frecuencia en las plataformas que funcionan en las proximidades de la Tierra y en el sistema solar;</w:t>
      </w:r>
    </w:p>
    <w:p w:rsidR="000E22EC" w:rsidRDefault="000E22EC" w:rsidP="000E22EC">
      <w:r>
        <w:rPr>
          <w:iCs/>
          <w:rPrChange w:id="12" w:author="cuevas" w:date="2010-10-28T16:25:00Z">
            <w:rPr>
              <w:i/>
            </w:rPr>
          </w:rPrChange>
        </w:rPr>
        <w:t>b)</w:t>
      </w:r>
      <w:r>
        <w:tab/>
        <w:t>que se requieren mecanismos precisos para la trasferencia de tiempo y frecuencia con el fin de satisfacer las necesidades futuras de comunicación, navegación y científicas en las proximidades de la Tierra y en el sistema solar;</w:t>
      </w:r>
    </w:p>
    <w:p w:rsidR="000E22EC" w:rsidRDefault="000E22EC" w:rsidP="000E22EC">
      <w:r>
        <w:rPr>
          <w:iCs/>
          <w:rPrChange w:id="13" w:author="cuevas" w:date="2010-10-28T16:25:00Z">
            <w:rPr>
              <w:i/>
            </w:rPr>
          </w:rPrChange>
        </w:rPr>
        <w:t>c)</w:t>
      </w:r>
      <w:r>
        <w:tab/>
        <w:t>que los relojes atómicos son objeto de variaciones en el tiempo y en la frecuencia que dependen del trayecto debido a su movimiento y a la intensidad del campo gravitatorio en la que funcionan;</w:t>
      </w:r>
    </w:p>
    <w:p w:rsidR="000E22EC" w:rsidRDefault="000E22EC" w:rsidP="000E22EC">
      <w:r>
        <w:rPr>
          <w:iCs/>
          <w:rPrChange w:id="14" w:author="cuevas" w:date="2010-10-28T16:26:00Z">
            <w:rPr>
              <w:i/>
            </w:rPr>
          </w:rPrChange>
        </w:rPr>
        <w:t>d)</w:t>
      </w:r>
      <w:r>
        <w:tab/>
        <w:t>que es preciso definir claramente los fundamentos conceptuales de la transferencia de tiempo y frecuencia;</w:t>
      </w:r>
    </w:p>
    <w:p w:rsidR="000E22EC" w:rsidRDefault="000E22EC" w:rsidP="000E22EC">
      <w:r>
        <w:rPr>
          <w:iCs/>
          <w:rPrChange w:id="15" w:author="cuevas" w:date="2010-10-28T16:26:00Z">
            <w:rPr>
              <w:i/>
            </w:rPr>
          </w:rPrChange>
        </w:rPr>
        <w:t>e)</w:t>
      </w:r>
      <w:r>
        <w:tab/>
        <w:t>que en los procedimientos para la transferencia de tiempo y frecuencia en las proximidades de la Tierra y a través de cuerpos celestes y aeronaves en el sistema solar es preciso recurrir a algoritmos matemáticos que tengan en cuenta los efectos relativistas,</w:t>
      </w:r>
    </w:p>
    <w:p w:rsidR="000E22EC" w:rsidRDefault="000E22EC" w:rsidP="000E22EC">
      <w:pPr>
        <w:pStyle w:val="call0"/>
        <w:rPr>
          <w:lang w:val="es-ES_tradnl"/>
        </w:rPr>
      </w:pPr>
      <w:proofErr w:type="gramStart"/>
      <w:r>
        <w:rPr>
          <w:lang w:val="es-ES_tradnl"/>
        </w:rPr>
        <w:t>decide</w:t>
      </w:r>
      <w:proofErr w:type="gramEnd"/>
      <w:r>
        <w:rPr>
          <w:lang w:val="es-ES_tradnl"/>
        </w:rPr>
        <w:t xml:space="preserve"> </w:t>
      </w:r>
      <w:r>
        <w:rPr>
          <w:i w:val="0"/>
          <w:iCs/>
          <w:lang w:val="es-ES_tradnl"/>
        </w:rPr>
        <w:t>poner a estudio las siguientes Cuestiones</w:t>
      </w:r>
    </w:p>
    <w:p w:rsidR="000E22EC" w:rsidRDefault="000E22EC" w:rsidP="000E22EC">
      <w:r>
        <w:rPr>
          <w:b/>
        </w:rPr>
        <w:t>1</w:t>
      </w:r>
      <w:r>
        <w:tab/>
        <w:t>cuáles son los fundamentos conceptuales y los algoritmos matemáticos adecuados para tener en cuenta los efectos relativistas en la transferencia de tiempo y frecuencia en las proximidades de la Tierra y en el sistema solar</w:t>
      </w:r>
      <w:proofErr w:type="gramStart"/>
      <w:r>
        <w:t>?</w:t>
      </w:r>
      <w:proofErr w:type="gramEnd"/>
    </w:p>
    <w:p w:rsidR="000E22EC" w:rsidRDefault="000E22EC" w:rsidP="000E22EC">
      <w:r>
        <w:rPr>
          <w:b/>
        </w:rPr>
        <w:t>2</w:t>
      </w:r>
      <w:r>
        <w:tab/>
        <w:t>qué niveles de precisión y exactitud se requieren para la transferencia de tiempo y frecuencia en las proximidades de la Tierra y en el sistema solar</w:t>
      </w:r>
      <w:proofErr w:type="gramStart"/>
      <w:r>
        <w:t>?</w:t>
      </w:r>
      <w:proofErr w:type="gramEnd"/>
    </w:p>
    <w:p w:rsidR="000E22EC" w:rsidRDefault="000E22EC" w:rsidP="000E22EC">
      <w:r>
        <w:rPr>
          <w:b/>
        </w:rPr>
        <w:t>3</w:t>
      </w:r>
      <w:r>
        <w:tab/>
        <w:t>qué procedimientos normalizados habría que adoptar para obtener los niveles de precisión y exactitud necesarios</w:t>
      </w:r>
      <w:proofErr w:type="gramStart"/>
      <w:r>
        <w:t>?</w:t>
      </w:r>
      <w:proofErr w:type="gramEnd"/>
    </w:p>
    <w:p w:rsidR="000E22EC" w:rsidRDefault="000E22EC" w:rsidP="000E22EC">
      <w:pPr>
        <w:pStyle w:val="call0"/>
        <w:rPr>
          <w:lang w:val="es-ES_tradnl"/>
        </w:rPr>
      </w:pPr>
      <w:proofErr w:type="gramStart"/>
      <w:r>
        <w:rPr>
          <w:lang w:val="es-ES_tradnl"/>
        </w:rPr>
        <w:t>decide</w:t>
      </w:r>
      <w:proofErr w:type="gramEnd"/>
      <w:r>
        <w:rPr>
          <w:lang w:val="es-ES_tradnl"/>
        </w:rPr>
        <w:t xml:space="preserve"> además</w:t>
      </w:r>
    </w:p>
    <w:p w:rsidR="000E22EC" w:rsidRDefault="000E22EC" w:rsidP="000E22EC">
      <w:r>
        <w:rPr>
          <w:b/>
        </w:rPr>
        <w:t>1</w:t>
      </w:r>
      <w:r>
        <w:tab/>
        <w:t>que los resultados de los estudios mencionados se incluyan en una o varias Recomendaciones e/o Informes relativos a la transferencia de tiempo y frecuencia en las proximidades de la Tierra y en el sistema solar</w:t>
      </w:r>
      <w:r>
        <w:rPr>
          <w:szCs w:val="24"/>
        </w:rPr>
        <w:t>;</w:t>
      </w:r>
    </w:p>
    <w:p w:rsidR="000E22EC" w:rsidRDefault="000E22EC" w:rsidP="000E22EC">
      <w:r>
        <w:rPr>
          <w:b/>
        </w:rPr>
        <w:t>2</w:t>
      </w:r>
      <w:r>
        <w:tab/>
        <w:t>que los estudios se terminen en 2015.</w:t>
      </w:r>
    </w:p>
    <w:p w:rsidR="000E22EC" w:rsidRDefault="000E22EC" w:rsidP="000E22EC"/>
    <w:p w:rsidR="000E22EC" w:rsidRDefault="000E22EC" w:rsidP="000E22EC">
      <w:pPr>
        <w:tabs>
          <w:tab w:val="clear" w:pos="794"/>
          <w:tab w:val="clear" w:pos="1191"/>
          <w:tab w:val="left" w:pos="1134"/>
        </w:tabs>
      </w:pPr>
      <w:r>
        <w:t>Categoría: S2</w:t>
      </w:r>
    </w:p>
    <w:p w:rsidR="000E22EC" w:rsidRDefault="000E22EC" w:rsidP="000E22EC">
      <w:pPr>
        <w:pStyle w:val="AnnexNotitle"/>
      </w:pPr>
      <w:r>
        <w:br w:type="page"/>
      </w:r>
      <w:r>
        <w:lastRenderedPageBreak/>
        <w:t>Anexo 3</w:t>
      </w:r>
    </w:p>
    <w:p w:rsidR="000E22EC" w:rsidRDefault="00882905" w:rsidP="000E22EC">
      <w:pPr>
        <w:pStyle w:val="QuestionNoBR"/>
      </w:pPr>
      <w:r>
        <w:t>CUESTIÓN UIT</w:t>
      </w:r>
      <w:r>
        <w:noBreakHyphen/>
        <w:t>R 139-4</w:t>
      </w:r>
      <w:r w:rsidR="000E22EC">
        <w:t>/7</w:t>
      </w:r>
    </w:p>
    <w:p w:rsidR="000E22EC" w:rsidRDefault="000E22EC" w:rsidP="000E22EC">
      <w:pPr>
        <w:pStyle w:val="Questiontitle"/>
      </w:pPr>
      <w:r>
        <w:t>Transmisión de datos para los sistemas de satélites de</w:t>
      </w:r>
      <w:r>
        <w:br/>
        <w:t>exploración de la Tierra</w:t>
      </w:r>
    </w:p>
    <w:p w:rsidR="000E22EC" w:rsidRPr="00BA2EB3" w:rsidRDefault="000E22EC" w:rsidP="000E22EC">
      <w:pPr>
        <w:pStyle w:val="Questiondate"/>
      </w:pPr>
      <w:r w:rsidRPr="00BA2EB3">
        <w:t>(1990-1993-1995-2000</w:t>
      </w:r>
      <w:r w:rsidR="00882905">
        <w:t>-2011</w:t>
      </w:r>
      <w:r w:rsidRPr="00BA2EB3">
        <w:t>)</w:t>
      </w:r>
    </w:p>
    <w:p w:rsidR="000E22EC" w:rsidRDefault="000E22EC" w:rsidP="000E22EC">
      <w:pPr>
        <w:pStyle w:val="Normalaftertitle0"/>
        <w:rPr>
          <w:lang w:val="es-ES_tradnl"/>
        </w:rPr>
      </w:pPr>
      <w:r>
        <w:rPr>
          <w:lang w:val="es-ES_tradnl"/>
        </w:rPr>
        <w:t>La Asamblea de Radiocomunicaciones de la UIT,</w:t>
      </w:r>
    </w:p>
    <w:p w:rsidR="000E22EC" w:rsidRDefault="000E22EC" w:rsidP="000E22EC">
      <w:pPr>
        <w:pStyle w:val="call0"/>
        <w:rPr>
          <w:lang w:val="es-ES_tradnl"/>
        </w:rPr>
      </w:pPr>
      <w:proofErr w:type="gramStart"/>
      <w:r>
        <w:rPr>
          <w:lang w:val="es-ES_tradnl"/>
        </w:rPr>
        <w:t>considerando</w:t>
      </w:r>
      <w:proofErr w:type="gramEnd"/>
    </w:p>
    <w:p w:rsidR="000E22EC" w:rsidRDefault="000E22EC" w:rsidP="000E22EC">
      <w:r>
        <w:t>a)</w:t>
      </w:r>
      <w:r>
        <w:tab/>
        <w:t>que las características de transmisión de datos de los sistemas de satélites de exploración de la Tierra, las frecuencias y anchuras de banda, los criterios de calidad de funcionamiento, de interferencia y de compartición de frecuencias están especificadas en las Recomendaciones UIT</w:t>
      </w:r>
      <w:r>
        <w:noBreakHyphen/>
        <w:t>R SA.514, UIT-R SA.1024, UIT-R SA.1025, UIT-R SA.1026, UIT</w:t>
      </w:r>
      <w:r>
        <w:noBreakHyphen/>
        <w:t>R SA.1027, U</w:t>
      </w:r>
      <w:r>
        <w:rPr>
          <w:bCs/>
        </w:rPr>
        <w:t>IT</w:t>
      </w:r>
      <w:r>
        <w:rPr>
          <w:bCs/>
        </w:rPr>
        <w:noBreakHyphen/>
        <w:t>R SA.1159, UIT</w:t>
      </w:r>
      <w:r>
        <w:rPr>
          <w:bCs/>
        </w:rPr>
        <w:noBreakHyphen/>
        <w:t>R SA.1160 y UIT-R SA.1161</w:t>
      </w:r>
      <w:r>
        <w:t>;</w:t>
      </w:r>
    </w:p>
    <w:p w:rsidR="000E22EC" w:rsidRDefault="000E22EC" w:rsidP="000E22EC">
      <w:r>
        <w:t>b)</w:t>
      </w:r>
      <w:r>
        <w:tab/>
        <w:t>que la banda 2 025</w:t>
      </w:r>
      <w:r>
        <w:noBreakHyphen/>
        <w:t>2 110 MHz utilizada por el SETS (Tierra-espacio) está cada vez más congestionada,</w:t>
      </w:r>
    </w:p>
    <w:p w:rsidR="000E22EC" w:rsidRDefault="000E22EC" w:rsidP="000E22EC">
      <w:r>
        <w:rPr>
          <w:i/>
        </w:rPr>
        <w:tab/>
      </w:r>
      <w:proofErr w:type="gramStart"/>
      <w:r>
        <w:rPr>
          <w:i/>
        </w:rPr>
        <w:t>decide</w:t>
      </w:r>
      <w:proofErr w:type="gramEnd"/>
      <w:r>
        <w:t xml:space="preserve"> poner a estudio las siguientes Cuestiones </w:t>
      </w:r>
    </w:p>
    <w:p w:rsidR="000E22EC" w:rsidRDefault="000E22EC" w:rsidP="000E22EC">
      <w:r>
        <w:rPr>
          <w:b/>
        </w:rPr>
        <w:t>1</w:t>
      </w:r>
      <w:r>
        <w:tab/>
        <w:t>cuáles son los criterios de funcionamiento, interferencia, compartición y coordinación y las características de explotación de los sistemas de transmisión de datos del servicio de exploración de la Tierra por satélite;</w:t>
      </w:r>
    </w:p>
    <w:p w:rsidR="000E22EC" w:rsidRDefault="000E22EC" w:rsidP="000E22EC">
      <w:r w:rsidRPr="00BA2EB3">
        <w:rPr>
          <w:b/>
          <w:bCs/>
        </w:rPr>
        <w:t>2</w:t>
      </w:r>
      <w:r>
        <w:tab/>
        <w:t>qué otras bandas de frecuencia serían adecuadas para los enlaces del SETS (Tierra</w:t>
      </w:r>
      <w:r>
        <w:noBreakHyphen/>
        <w:t>espacio),</w:t>
      </w:r>
    </w:p>
    <w:p w:rsidR="000E22EC" w:rsidRDefault="000E22EC" w:rsidP="000E22EC">
      <w:pPr>
        <w:pStyle w:val="call0"/>
        <w:rPr>
          <w:lang w:val="es-ES_tradnl"/>
        </w:rPr>
      </w:pPr>
      <w:proofErr w:type="gramStart"/>
      <w:r>
        <w:rPr>
          <w:lang w:val="es-ES_tradnl"/>
        </w:rPr>
        <w:t>decide</w:t>
      </w:r>
      <w:proofErr w:type="gramEnd"/>
      <w:r>
        <w:rPr>
          <w:lang w:val="es-ES_tradnl"/>
        </w:rPr>
        <w:t xml:space="preserve"> también</w:t>
      </w:r>
    </w:p>
    <w:p w:rsidR="000E22EC" w:rsidRDefault="000E22EC" w:rsidP="000E22EC">
      <w:r>
        <w:rPr>
          <w:b/>
        </w:rPr>
        <w:t>1</w:t>
      </w:r>
      <w:r>
        <w:tab/>
        <w:t xml:space="preserve">que los resultados de estos estudios se incluyan en una o varias </w:t>
      </w:r>
      <w:r w:rsidR="002512DF">
        <w:t xml:space="preserve">recomendaciones </w:t>
      </w:r>
      <w:r>
        <w:t xml:space="preserve">e/o </w:t>
      </w:r>
      <w:r w:rsidR="002512DF">
        <w:t>informes</w:t>
      </w:r>
      <w:r>
        <w:t>;</w:t>
      </w:r>
    </w:p>
    <w:p w:rsidR="000E22EC" w:rsidRDefault="000E22EC" w:rsidP="000E22EC">
      <w:r>
        <w:rPr>
          <w:b/>
        </w:rPr>
        <w:t>2</w:t>
      </w:r>
      <w:r>
        <w:tab/>
        <w:t>que dichos estudios se terminen en 2015.</w:t>
      </w:r>
    </w:p>
    <w:p w:rsidR="000E22EC" w:rsidRDefault="000E22EC" w:rsidP="000E22EC"/>
    <w:p w:rsidR="000E22EC" w:rsidRDefault="000E22EC" w:rsidP="000E22EC">
      <w:r>
        <w:t>Categoría: S2</w:t>
      </w:r>
    </w:p>
    <w:p w:rsidR="000E22EC" w:rsidRDefault="000E22EC" w:rsidP="000E22EC">
      <w:pPr>
        <w:pStyle w:val="AnnexNotitle"/>
        <w:spacing w:before="200"/>
      </w:pPr>
      <w:r>
        <w:br w:type="page"/>
      </w:r>
      <w:r>
        <w:lastRenderedPageBreak/>
        <w:t>Anexo 4</w:t>
      </w:r>
    </w:p>
    <w:p w:rsidR="000E22EC" w:rsidRDefault="000E22EC" w:rsidP="000E22EC">
      <w:pPr>
        <w:pStyle w:val="QuestionNoBR"/>
      </w:pPr>
      <w:r>
        <w:t>CUESTIÓN UIT</w:t>
      </w:r>
      <w:r>
        <w:noBreakHyphen/>
        <w:t>R 207-2/7</w:t>
      </w:r>
      <w:r>
        <w:rPr>
          <w:rStyle w:val="FootnoteReference"/>
        </w:rPr>
        <w:footnoteReference w:customMarkFollows="1" w:id="1"/>
        <w:t>*</w:t>
      </w:r>
    </w:p>
    <w:p w:rsidR="000E22EC" w:rsidRDefault="000E22EC" w:rsidP="000E22EC">
      <w:pPr>
        <w:pStyle w:val="Questiontitle"/>
      </w:pPr>
      <w:r>
        <w:t xml:space="preserve">Transferencia de señales horarias y de frecuencias </w:t>
      </w:r>
      <w:r>
        <w:br/>
        <w:t>por medio de enlaces de comunicaciones digitales</w:t>
      </w:r>
    </w:p>
    <w:p w:rsidR="000E22EC" w:rsidRPr="0061594B" w:rsidRDefault="000E22EC" w:rsidP="000E22EC">
      <w:pPr>
        <w:pStyle w:val="Questiondate"/>
      </w:pPr>
      <w:r w:rsidRPr="0061594B">
        <w:t>(1993-1997-2001</w:t>
      </w:r>
      <w:r w:rsidR="00882905">
        <w:t>-2011</w:t>
      </w:r>
      <w:r w:rsidRPr="0061594B">
        <w:t>)</w:t>
      </w:r>
    </w:p>
    <w:p w:rsidR="000E22EC" w:rsidRDefault="000E22EC" w:rsidP="000E22EC">
      <w:pPr>
        <w:pStyle w:val="Normalaftertitle0"/>
        <w:spacing w:before="120"/>
        <w:rPr>
          <w:lang w:val="es-ES_tradnl"/>
        </w:rPr>
      </w:pPr>
      <w:r>
        <w:rPr>
          <w:lang w:val="es-ES_tradnl"/>
        </w:rPr>
        <w:t>La Asamblea de Radiocomunicaciones de la UIT,</w:t>
      </w:r>
    </w:p>
    <w:p w:rsidR="000E22EC" w:rsidRDefault="000E22EC" w:rsidP="000E22EC">
      <w:pPr>
        <w:pStyle w:val="call0"/>
        <w:rPr>
          <w:lang w:val="es-ES_tradnl"/>
        </w:rPr>
      </w:pPr>
      <w:proofErr w:type="gramStart"/>
      <w:r>
        <w:rPr>
          <w:lang w:val="es-ES_tradnl"/>
        </w:rPr>
        <w:t>considerando</w:t>
      </w:r>
      <w:proofErr w:type="gramEnd"/>
    </w:p>
    <w:p w:rsidR="000E22EC" w:rsidRDefault="000E22EC" w:rsidP="000E22EC">
      <w:r>
        <w:t>a)</w:t>
      </w:r>
      <w:r>
        <w:tab/>
        <w:t>que la calidad de la transferencia de las señales horarias y las frecuencias por enlaces de comunicaciones digitales ha mejorado y que ello ofrece capacidades adicionales para la distribución de frecuencias patrón y señales horarias;</w:t>
      </w:r>
    </w:p>
    <w:p w:rsidR="000E22EC" w:rsidRDefault="000E22EC" w:rsidP="000E22EC">
      <w:r>
        <w:t>b)</w:t>
      </w:r>
      <w:r>
        <w:tab/>
        <w:t xml:space="preserve">que existen diversos sistemas de comunicaciones digitales, basados tanto en </w:t>
      </w:r>
      <w:proofErr w:type="gramStart"/>
      <w:r>
        <w:t>las tecnologías óptica</w:t>
      </w:r>
      <w:proofErr w:type="gramEnd"/>
      <w:r>
        <w:t xml:space="preserve"> como de RF, que permiten establecer comunicaciones a larga distancia con interfaces normalizados y una fluctuación de fase de la temporización reducida;</w:t>
      </w:r>
    </w:p>
    <w:p w:rsidR="000E22EC" w:rsidRDefault="000E22EC" w:rsidP="000E22EC">
      <w:r>
        <w:t>c)</w:t>
      </w:r>
      <w:r>
        <w:tab/>
        <w:t>que la transferencia de las señales horarias y las frecuencias a través de los sistemas de comunicaciones digitales puede ofrecer métodos prometedores para la transferencia de las señales horarias y la frecuencia a escala nacional e internacional;</w:t>
      </w:r>
    </w:p>
    <w:p w:rsidR="000E22EC" w:rsidRDefault="000E22EC" w:rsidP="000E22EC">
      <w:r>
        <w:t>d)</w:t>
      </w:r>
      <w:r>
        <w:tab/>
        <w:t>que las aplicaciones evolucionadas de las frecuencias patrón y las señales horarias normalizadas exigen la existencia de servicios de señales horarias y frecuencias con cobertura, precisión y fiabilidad de recepción mejoradas;</w:t>
      </w:r>
    </w:p>
    <w:p w:rsidR="000E22EC" w:rsidRDefault="000E22EC" w:rsidP="000E22EC">
      <w:r>
        <w:t>e)</w:t>
      </w:r>
      <w:r>
        <w:tab/>
        <w:t>que la transferencia de las señales horarias y las frecuencias patrón puede efectuarse simultáneamente sin afectar a la capacidad de transmisión de datos de los servicios de comunicación digitales,</w:t>
      </w:r>
    </w:p>
    <w:p w:rsidR="000E22EC" w:rsidRDefault="000E22EC" w:rsidP="000E22EC">
      <w:pPr>
        <w:pStyle w:val="call0"/>
        <w:rPr>
          <w:i w:val="0"/>
          <w:lang w:val="es-ES_tradnl"/>
        </w:rPr>
      </w:pPr>
      <w:proofErr w:type="gramStart"/>
      <w:r>
        <w:rPr>
          <w:lang w:val="es-ES_tradnl"/>
        </w:rPr>
        <w:t>decide</w:t>
      </w:r>
      <w:proofErr w:type="gramEnd"/>
      <w:r>
        <w:rPr>
          <w:lang w:val="es-ES_tradnl"/>
        </w:rPr>
        <w:t xml:space="preserve"> </w:t>
      </w:r>
      <w:r>
        <w:rPr>
          <w:i w:val="0"/>
          <w:iCs/>
          <w:lang w:val="es-ES_tradnl"/>
        </w:rPr>
        <w:t>poner a estudio las siguientes Cuestiones</w:t>
      </w:r>
    </w:p>
    <w:p w:rsidR="000E22EC" w:rsidRDefault="000E22EC" w:rsidP="000E22EC">
      <w:r>
        <w:rPr>
          <w:b/>
        </w:rPr>
        <w:t>1</w:t>
      </w:r>
      <w:r>
        <w:tab/>
        <w:t>cuáles son las características de funcionamiento exigidas para que las tecnologías de comunicaciones digitales soporten aplicaciones específicas de transferencia de las señales horarias y las frecuencias</w:t>
      </w:r>
      <w:proofErr w:type="gramStart"/>
      <w:r>
        <w:t>?</w:t>
      </w:r>
      <w:proofErr w:type="gramEnd"/>
    </w:p>
    <w:p w:rsidR="000E22EC" w:rsidRDefault="000E22EC" w:rsidP="000E22EC">
      <w:r>
        <w:rPr>
          <w:b/>
          <w:bCs/>
        </w:rPr>
        <w:t>2</w:t>
      </w:r>
      <w:r>
        <w:rPr>
          <w:b/>
          <w:bCs/>
        </w:rPr>
        <w:tab/>
      </w:r>
      <w:r>
        <w:t>qué métodos de comunicaciones digitales, interfaces y formatos normalizados cumplen los requisitos de las tecnologías de transmisión y a la vez son compatibles para ser utilizados en la transferencia de las señales horarias y las frecuencias</w:t>
      </w:r>
      <w:proofErr w:type="gramStart"/>
      <w:r>
        <w:t>?</w:t>
      </w:r>
      <w:proofErr w:type="gramEnd"/>
    </w:p>
    <w:p w:rsidR="000E22EC" w:rsidRDefault="000E22EC" w:rsidP="000E22EC">
      <w:r>
        <w:rPr>
          <w:b/>
        </w:rPr>
        <w:t>3</w:t>
      </w:r>
      <w:r>
        <w:tab/>
        <w:t>cuáles son los sistemas de comunicaciones digitales y las configuraciones óptimas disponibles para soportar las aplicaciones de transferencia bidireccional y con visión común nacionales e internacionales de señales horarias entre centros de temporización</w:t>
      </w:r>
      <w:proofErr w:type="gramStart"/>
      <w:r>
        <w:t>?</w:t>
      </w:r>
      <w:proofErr w:type="gramEnd"/>
    </w:p>
    <w:p w:rsidR="000E22EC" w:rsidRDefault="000E22EC" w:rsidP="000E22EC">
      <w:r>
        <w:rPr>
          <w:b/>
          <w:bCs/>
        </w:rPr>
        <w:br w:type="page"/>
      </w:r>
      <w:r>
        <w:rPr>
          <w:b/>
          <w:bCs/>
        </w:rPr>
        <w:lastRenderedPageBreak/>
        <w:t>4</w:t>
      </w:r>
      <w:r>
        <w:tab/>
        <w:t>cuáles son los métodos óptimos para mejorar la precisión de sincronización de tiempo de la transferencia de tiempo en las redes de comunicaciones digitales que tienen distintos tiempos de transmisión en los sentidos de transmisión y recepción</w:t>
      </w:r>
      <w:proofErr w:type="gramStart"/>
      <w:r>
        <w:t>?</w:t>
      </w:r>
      <w:proofErr w:type="gramEnd"/>
    </w:p>
    <w:p w:rsidR="000E22EC" w:rsidRDefault="000E22EC" w:rsidP="000E22EC">
      <w:pPr>
        <w:pStyle w:val="call0"/>
        <w:rPr>
          <w:lang w:val="es-ES_tradnl"/>
        </w:rPr>
      </w:pPr>
      <w:proofErr w:type="gramStart"/>
      <w:r>
        <w:rPr>
          <w:lang w:val="es-ES_tradnl"/>
        </w:rPr>
        <w:t>decide</w:t>
      </w:r>
      <w:proofErr w:type="gramEnd"/>
      <w:r>
        <w:rPr>
          <w:lang w:val="es-ES_tradnl"/>
        </w:rPr>
        <w:t xml:space="preserve"> además</w:t>
      </w:r>
    </w:p>
    <w:p w:rsidR="000E22EC" w:rsidRDefault="000E22EC" w:rsidP="000E22EC">
      <w:r>
        <w:rPr>
          <w:b/>
        </w:rPr>
        <w:t>1</w:t>
      </w:r>
      <w:r>
        <w:tab/>
        <w:t xml:space="preserve">que los resultados de los precedentes estudios se recojan en una o más </w:t>
      </w:r>
      <w:r w:rsidR="002512DF">
        <w:t xml:space="preserve">recomendaciones </w:t>
      </w:r>
      <w:r>
        <w:t xml:space="preserve">e/o </w:t>
      </w:r>
      <w:r w:rsidR="002512DF">
        <w:t>informes</w:t>
      </w:r>
      <w:r>
        <w:t>;</w:t>
      </w:r>
    </w:p>
    <w:p w:rsidR="000E22EC" w:rsidRDefault="000E22EC" w:rsidP="000E22EC">
      <w:r>
        <w:rPr>
          <w:b/>
        </w:rPr>
        <w:t>2</w:t>
      </w:r>
      <w:r>
        <w:tab/>
        <w:t>que los estudios indicados terminen en 2015.</w:t>
      </w:r>
    </w:p>
    <w:p w:rsidR="000E22EC" w:rsidRDefault="000E22EC" w:rsidP="000E22EC"/>
    <w:p w:rsidR="000E22EC" w:rsidRDefault="000E22EC" w:rsidP="000E22EC">
      <w:r>
        <w:t>Categoría: S2</w:t>
      </w:r>
    </w:p>
    <w:p w:rsidR="000E22EC" w:rsidRDefault="000E22EC" w:rsidP="000E22EC">
      <w:pPr>
        <w:pStyle w:val="AnnexNotitle"/>
      </w:pPr>
      <w:r>
        <w:br w:type="page"/>
      </w:r>
      <w:r>
        <w:lastRenderedPageBreak/>
        <w:t>Anexo 5</w:t>
      </w:r>
    </w:p>
    <w:p w:rsidR="000E22EC" w:rsidRDefault="00E66A1A" w:rsidP="00E66A1A">
      <w:pPr>
        <w:pStyle w:val="QuestionNoBR"/>
      </w:pPr>
      <w:r>
        <w:t>cUESTIÓN uIT-R 141-4</w:t>
      </w:r>
      <w:r w:rsidR="000E22EC">
        <w:t>/7</w:t>
      </w:r>
    </w:p>
    <w:p w:rsidR="000E22EC" w:rsidRDefault="000E22EC" w:rsidP="000E22EC">
      <w:pPr>
        <w:pStyle w:val="Questiontitle"/>
      </w:pPr>
      <w:r>
        <w:t>Transmisión de datos para los sistemas de</w:t>
      </w:r>
      <w:r>
        <w:br/>
        <w:t>meteorología por satélite</w:t>
      </w:r>
    </w:p>
    <w:p w:rsidR="000E22EC" w:rsidRPr="00A02141" w:rsidRDefault="000E22EC" w:rsidP="000E22EC">
      <w:pPr>
        <w:pStyle w:val="Questiondate"/>
      </w:pPr>
      <w:r w:rsidRPr="00A02141">
        <w:t>(1990-1993-1995-2000</w:t>
      </w:r>
      <w:r w:rsidR="00E66A1A">
        <w:t>-2011</w:t>
      </w:r>
      <w:r w:rsidRPr="00A02141">
        <w:t>)</w:t>
      </w:r>
    </w:p>
    <w:p w:rsidR="000E22EC" w:rsidRDefault="000E22EC" w:rsidP="000E22EC">
      <w:pPr>
        <w:pStyle w:val="Normalaftertitle0"/>
        <w:rPr>
          <w:lang w:val="es-ES_tradnl"/>
        </w:rPr>
      </w:pPr>
      <w:r>
        <w:rPr>
          <w:lang w:val="es-ES_tradnl"/>
        </w:rPr>
        <w:t>La Asamblea de Radiocomunicaciones de la UIT,</w:t>
      </w:r>
    </w:p>
    <w:p w:rsidR="000E22EC" w:rsidRDefault="000E22EC" w:rsidP="000E22EC">
      <w:pPr>
        <w:pStyle w:val="call0"/>
        <w:rPr>
          <w:lang w:val="es-ES_tradnl"/>
        </w:rPr>
      </w:pPr>
      <w:proofErr w:type="gramStart"/>
      <w:r>
        <w:rPr>
          <w:lang w:val="es-ES_tradnl"/>
        </w:rPr>
        <w:t>considerando</w:t>
      </w:r>
      <w:proofErr w:type="gramEnd"/>
    </w:p>
    <w:p w:rsidR="000E22EC" w:rsidRDefault="000E22EC" w:rsidP="000E22EC">
      <w:r>
        <w:t>a)</w:t>
      </w:r>
      <w:r>
        <w:tab/>
        <w:t>que las características de transmisión de datos de los sistemas de meteorología por satélite, las frecuencias y anchuras de banda, los criterios de calidad de funcionamiento, de interferencia y de compartición de frecuencias están especificados en las Recomendaciones UIT</w:t>
      </w:r>
      <w:r>
        <w:noBreakHyphen/>
        <w:t>R SA.514, UIT</w:t>
      </w:r>
      <w:r>
        <w:noBreakHyphen/>
        <w:t>R SA.1025, UIT-R SA.1026, UIT-R SA.1027, UIT-R SA.1159, UIT-R SA.1160,  UIT</w:t>
      </w:r>
      <w:r>
        <w:noBreakHyphen/>
        <w:t>R SA.1161 y UIT-R SA.1807;</w:t>
      </w:r>
    </w:p>
    <w:p w:rsidR="000E22EC" w:rsidRDefault="000E22EC" w:rsidP="000E22EC">
      <w:r>
        <w:t>b)</w:t>
      </w:r>
      <w:r>
        <w:tab/>
        <w:t>que la mayoría de los operadores de estos sistemas han realizado intercambios entre sí, con miras a optimizar la explotación en beneficio de las comunidades mundiales y regionales,</w:t>
      </w:r>
    </w:p>
    <w:p w:rsidR="000E22EC" w:rsidRDefault="000E22EC" w:rsidP="000E22EC">
      <w:pPr>
        <w:pStyle w:val="call0"/>
        <w:rPr>
          <w:lang w:val="es-ES_tradnl"/>
        </w:rPr>
      </w:pPr>
      <w:proofErr w:type="gramStart"/>
      <w:r>
        <w:rPr>
          <w:lang w:val="es-ES_tradnl"/>
        </w:rPr>
        <w:t>decide</w:t>
      </w:r>
      <w:proofErr w:type="gramEnd"/>
      <w:r>
        <w:rPr>
          <w:i w:val="0"/>
          <w:iCs/>
          <w:lang w:val="es-ES_tradnl"/>
        </w:rPr>
        <w:t xml:space="preserve"> poner a estudio la siguiente Cuestión</w:t>
      </w:r>
    </w:p>
    <w:p w:rsidR="000E22EC" w:rsidRDefault="000E22EC" w:rsidP="000E22EC">
      <w:r>
        <w:rPr>
          <w:b/>
        </w:rPr>
        <w:t>1</w:t>
      </w:r>
      <w:r>
        <w:tab/>
        <w:t>¿Cuáles son los criterios de funcionamiento, interferencia, compartición y coordinación y las características de explotación de los diferentes sistemas de transmisión de datos de los satélites meteorológicos?</w:t>
      </w:r>
    </w:p>
    <w:p w:rsidR="000E22EC" w:rsidRDefault="000E22EC" w:rsidP="000E22EC">
      <w:pPr>
        <w:pStyle w:val="call0"/>
        <w:rPr>
          <w:lang w:val="es-ES_tradnl"/>
        </w:rPr>
      </w:pPr>
      <w:proofErr w:type="gramStart"/>
      <w:r>
        <w:rPr>
          <w:lang w:val="es-ES_tradnl"/>
        </w:rPr>
        <w:t>decide</w:t>
      </w:r>
      <w:proofErr w:type="gramEnd"/>
      <w:r>
        <w:rPr>
          <w:lang w:val="es-ES_tradnl"/>
        </w:rPr>
        <w:t xml:space="preserve"> también</w:t>
      </w:r>
    </w:p>
    <w:p w:rsidR="000E22EC" w:rsidRDefault="000E22EC" w:rsidP="000E22EC">
      <w:r>
        <w:rPr>
          <w:b/>
        </w:rPr>
        <w:t>1</w:t>
      </w:r>
      <w:r>
        <w:tab/>
        <w:t xml:space="preserve">que los resultados de estos estudios se incluyan en una o varias </w:t>
      </w:r>
      <w:r w:rsidR="002512DF">
        <w:t xml:space="preserve">recomendaciones </w:t>
      </w:r>
      <w:r>
        <w:t xml:space="preserve">e/o </w:t>
      </w:r>
      <w:r w:rsidR="002512DF">
        <w:t>informes</w:t>
      </w:r>
      <w:r>
        <w:t>;</w:t>
      </w:r>
    </w:p>
    <w:p w:rsidR="000E22EC" w:rsidRDefault="000E22EC" w:rsidP="000E22EC">
      <w:r>
        <w:rPr>
          <w:b/>
        </w:rPr>
        <w:t>2</w:t>
      </w:r>
      <w:r>
        <w:tab/>
        <w:t>que dichos estudios se terminen en 2015.</w:t>
      </w:r>
    </w:p>
    <w:p w:rsidR="000E22EC" w:rsidRDefault="000E22EC" w:rsidP="000E22EC"/>
    <w:p w:rsidR="000E22EC" w:rsidRDefault="000E22EC" w:rsidP="000E22EC">
      <w:r>
        <w:t>Categoría: S2</w:t>
      </w:r>
    </w:p>
    <w:p w:rsidR="000E22EC" w:rsidRDefault="000E22EC" w:rsidP="000E22EC"/>
    <w:p w:rsidR="002B4671" w:rsidRDefault="002B4671">
      <w:pPr>
        <w:tabs>
          <w:tab w:val="clear" w:pos="794"/>
          <w:tab w:val="clear" w:pos="1191"/>
          <w:tab w:val="clear" w:pos="1588"/>
          <w:tab w:val="clear" w:pos="1985"/>
        </w:tabs>
        <w:overflowPunct/>
        <w:autoSpaceDE/>
        <w:autoSpaceDN/>
        <w:adjustRightInd/>
        <w:spacing w:before="0"/>
        <w:textAlignment w:val="auto"/>
      </w:pPr>
      <w:r>
        <w:br w:type="page"/>
      </w:r>
    </w:p>
    <w:p w:rsidR="000E22EC" w:rsidRPr="00BA3962" w:rsidRDefault="000E22EC" w:rsidP="002B4671">
      <w:pPr>
        <w:pStyle w:val="Questiontitle"/>
      </w:pPr>
      <w:r w:rsidRPr="00197EFA">
        <w:lastRenderedPageBreak/>
        <w:t xml:space="preserve">Anexo </w:t>
      </w:r>
      <w:r>
        <w:t>6</w:t>
      </w:r>
      <w:r>
        <w:br/>
      </w:r>
      <w:r>
        <w:br/>
        <w:t xml:space="preserve">Cuestiones </w:t>
      </w:r>
      <w:r w:rsidR="002B4671">
        <w:t>UIT-R suprimidas</w:t>
      </w:r>
    </w:p>
    <w:p w:rsidR="000E22EC" w:rsidRPr="00FC6DFC" w:rsidRDefault="000E22EC" w:rsidP="000E22EC"/>
    <w:p w:rsidR="000E22EC" w:rsidRPr="00FC6DFC" w:rsidRDefault="000E22EC" w:rsidP="000E22EC"/>
    <w:tbl>
      <w:tblPr>
        <w:tblW w:w="8923" w:type="dxa"/>
        <w:jc w:val="center"/>
        <w:tblInd w:w="-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37"/>
        <w:gridCol w:w="7186"/>
      </w:tblGrid>
      <w:tr w:rsidR="000E22EC" w:rsidRPr="002B4671" w:rsidTr="000E22EC">
        <w:trPr>
          <w:cantSplit/>
          <w:tblHeader/>
          <w:jc w:val="center"/>
        </w:trPr>
        <w:tc>
          <w:tcPr>
            <w:tcW w:w="1737" w:type="dxa"/>
          </w:tcPr>
          <w:p w:rsidR="000E22EC" w:rsidRPr="002B4671" w:rsidRDefault="000E22EC" w:rsidP="0024619D">
            <w:pPr>
              <w:pStyle w:val="Tablehead"/>
              <w:rPr>
                <w:szCs w:val="22"/>
                <w:lang w:eastAsia="ja-JP"/>
              </w:rPr>
            </w:pPr>
            <w:r w:rsidRPr="002B4671">
              <w:rPr>
                <w:szCs w:val="22"/>
                <w:lang w:eastAsia="ja-JP"/>
              </w:rPr>
              <w:t>Cuestión UIT-R</w:t>
            </w:r>
          </w:p>
        </w:tc>
        <w:tc>
          <w:tcPr>
            <w:tcW w:w="7186" w:type="dxa"/>
            <w:vAlign w:val="center"/>
          </w:tcPr>
          <w:p w:rsidR="000E22EC" w:rsidRPr="002B4671" w:rsidRDefault="000E22EC" w:rsidP="000E22EC">
            <w:pPr>
              <w:pStyle w:val="Tablehead"/>
              <w:rPr>
                <w:szCs w:val="22"/>
              </w:rPr>
            </w:pPr>
            <w:r w:rsidRPr="002B4671">
              <w:rPr>
                <w:szCs w:val="22"/>
              </w:rPr>
              <w:t>Título</w:t>
            </w:r>
          </w:p>
        </w:tc>
      </w:tr>
      <w:tr w:rsidR="000E22EC" w:rsidRPr="002B4671" w:rsidTr="000E2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0E22EC" w:rsidRPr="002B4671" w:rsidRDefault="000E22EC" w:rsidP="000E22EC">
            <w:pPr>
              <w:pStyle w:val="Tabletext"/>
              <w:jc w:val="center"/>
              <w:rPr>
                <w:szCs w:val="22"/>
              </w:rPr>
            </w:pPr>
            <w:r w:rsidRPr="002B4671">
              <w:rPr>
                <w:szCs w:val="22"/>
              </w:rPr>
              <w:t>203-1/7</w:t>
            </w:r>
          </w:p>
        </w:tc>
        <w:tc>
          <w:tcPr>
            <w:tcW w:w="7186" w:type="dxa"/>
          </w:tcPr>
          <w:p w:rsidR="000E22EC" w:rsidRPr="002B4671" w:rsidRDefault="000E22EC" w:rsidP="000E22EC">
            <w:pPr>
              <w:pStyle w:val="Tabletext"/>
              <w:rPr>
                <w:szCs w:val="22"/>
              </w:rPr>
            </w:pPr>
            <w:r w:rsidRPr="002B4671">
              <w:rPr>
                <w:color w:val="000000"/>
                <w:szCs w:val="22"/>
              </w:rPr>
              <w:t>Características y requisitos de telecomunicaciones para la línea de base muy larga espacial</w:t>
            </w:r>
          </w:p>
        </w:tc>
      </w:tr>
      <w:tr w:rsidR="000E22EC" w:rsidRPr="002B4671" w:rsidTr="000E2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0E22EC" w:rsidRPr="002B4671" w:rsidRDefault="000E22EC" w:rsidP="000E22EC">
            <w:pPr>
              <w:pStyle w:val="Tabletext"/>
              <w:jc w:val="center"/>
              <w:rPr>
                <w:szCs w:val="22"/>
              </w:rPr>
            </w:pPr>
            <w:r w:rsidRPr="002B4671">
              <w:rPr>
                <w:szCs w:val="22"/>
              </w:rPr>
              <w:t>202-1/7</w:t>
            </w:r>
          </w:p>
        </w:tc>
        <w:tc>
          <w:tcPr>
            <w:tcW w:w="7186" w:type="dxa"/>
          </w:tcPr>
          <w:p w:rsidR="000E22EC" w:rsidRPr="002B4671" w:rsidRDefault="000E22EC" w:rsidP="000E22EC">
            <w:pPr>
              <w:pStyle w:val="Tabletext"/>
              <w:rPr>
                <w:szCs w:val="22"/>
              </w:rPr>
            </w:pPr>
            <w:r w:rsidRPr="002B4671">
              <w:rPr>
                <w:color w:val="000000"/>
                <w:szCs w:val="22"/>
              </w:rPr>
              <w:t>Criterios de protección y compartición de frecuencias entre la interferometría con línea de base muy larga espacial y otros sistemas de investigación espacial</w:t>
            </w:r>
          </w:p>
        </w:tc>
      </w:tr>
      <w:tr w:rsidR="000E22EC" w:rsidRPr="002B4671" w:rsidTr="000E2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0E22EC" w:rsidRPr="002B4671" w:rsidRDefault="000E22EC" w:rsidP="000E22EC">
            <w:pPr>
              <w:pStyle w:val="Tabletext"/>
              <w:jc w:val="center"/>
              <w:rPr>
                <w:szCs w:val="22"/>
              </w:rPr>
            </w:pPr>
            <w:r w:rsidRPr="002B4671">
              <w:rPr>
                <w:szCs w:val="22"/>
              </w:rPr>
              <w:t>223/7</w:t>
            </w:r>
          </w:p>
        </w:tc>
        <w:tc>
          <w:tcPr>
            <w:tcW w:w="7186" w:type="dxa"/>
          </w:tcPr>
          <w:p w:rsidR="000E22EC" w:rsidRPr="002B4671" w:rsidRDefault="000E22EC" w:rsidP="000E22EC">
            <w:pPr>
              <w:pStyle w:val="Tabletext"/>
              <w:rPr>
                <w:szCs w:val="22"/>
              </w:rPr>
            </w:pPr>
            <w:r w:rsidRPr="002B4671">
              <w:rPr>
                <w:color w:val="000000"/>
                <w:szCs w:val="22"/>
              </w:rPr>
              <w:t>Función de las redes de GPS diferencial en las aplicaciones de temporización</w:t>
            </w:r>
          </w:p>
        </w:tc>
      </w:tr>
    </w:tbl>
    <w:p w:rsidR="000E22EC" w:rsidRPr="00346AD9" w:rsidRDefault="000E22EC" w:rsidP="000E22EC">
      <w:pPr>
        <w:pStyle w:val="Normalaftertitle"/>
      </w:pPr>
    </w:p>
    <w:p w:rsidR="000E22EC" w:rsidRPr="00346AD9" w:rsidRDefault="000E22EC" w:rsidP="000E22EC"/>
    <w:p w:rsidR="000E22EC" w:rsidRDefault="000E22EC" w:rsidP="000E22EC"/>
    <w:p w:rsidR="00F8566A" w:rsidRDefault="00F8566A" w:rsidP="002B4671"/>
    <w:p w:rsidR="00F8566A" w:rsidRPr="00C93106" w:rsidRDefault="00F8566A" w:rsidP="00F8566A">
      <w:pPr>
        <w:jc w:val="center"/>
      </w:pPr>
      <w:r>
        <w:t>_____________</w:t>
      </w:r>
    </w:p>
    <w:sectPr w:rsidR="00F8566A" w:rsidRPr="00C9310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08" w:rsidRDefault="00525C08">
      <w:r>
        <w:separator/>
      </w:r>
    </w:p>
  </w:endnote>
  <w:endnote w:type="continuationSeparator" w:id="0">
    <w:p w:rsidR="00525C08" w:rsidRDefault="0052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8" w:rsidRPr="00612E7D" w:rsidRDefault="002512DF" w:rsidP="00612E7D">
    <w:pPr>
      <w:pStyle w:val="Footer"/>
    </w:pPr>
    <w:fldSimple w:instr=" FILENAME \p \* MERGEFORMAT ">
      <w:r w:rsidR="00C57DEB">
        <w:t>Y:\APP\BR\CIRCS_DMS\CACE\500\527\527s.docx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525C08">
      <w:trPr>
        <w:cantSplit/>
      </w:trPr>
      <w:tc>
        <w:tcPr>
          <w:tcW w:w="1062" w:type="pct"/>
          <w:tcBorders>
            <w:top w:val="single" w:sz="6" w:space="0" w:color="auto"/>
          </w:tcBorders>
          <w:tcMar>
            <w:top w:w="57" w:type="dxa"/>
          </w:tcMar>
        </w:tcPr>
        <w:p w:rsidR="00525C08" w:rsidRDefault="00525C08">
          <w:pPr>
            <w:pStyle w:val="itu"/>
            <w:rPr>
              <w:lang w:val="es-ES_tradnl"/>
            </w:rPr>
          </w:pPr>
          <w:r>
            <w:rPr>
              <w:lang w:val="es-ES_tradnl"/>
            </w:rPr>
            <w:t>Place des Nations</w:t>
          </w:r>
        </w:p>
      </w:tc>
      <w:tc>
        <w:tcPr>
          <w:tcW w:w="1584" w:type="pct"/>
          <w:tcBorders>
            <w:top w:val="single" w:sz="6" w:space="0" w:color="auto"/>
          </w:tcBorders>
          <w:tcMar>
            <w:top w:w="57" w:type="dxa"/>
          </w:tcMar>
        </w:tcPr>
        <w:p w:rsidR="00525C08" w:rsidRDefault="00525C08">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525C08" w:rsidRDefault="00525C08">
          <w:pPr>
            <w:pStyle w:val="itu"/>
            <w:rPr>
              <w:lang w:val="es-ES_tradnl"/>
            </w:rPr>
          </w:pPr>
          <w:r>
            <w:rPr>
              <w:lang w:val="es-ES_tradnl"/>
            </w:rPr>
            <w:t>Télex 421 000 uit ch</w:t>
          </w:r>
        </w:p>
      </w:tc>
      <w:tc>
        <w:tcPr>
          <w:tcW w:w="1131" w:type="pct"/>
          <w:tcBorders>
            <w:top w:val="single" w:sz="6" w:space="0" w:color="auto"/>
          </w:tcBorders>
          <w:tcMar>
            <w:top w:w="57" w:type="dxa"/>
          </w:tcMar>
        </w:tcPr>
        <w:p w:rsidR="00525C08" w:rsidRDefault="00525C08">
          <w:pPr>
            <w:pStyle w:val="itu"/>
            <w:rPr>
              <w:lang w:val="es-ES_tradnl"/>
            </w:rPr>
          </w:pPr>
          <w:r>
            <w:rPr>
              <w:lang w:val="es-ES_tradnl"/>
            </w:rPr>
            <w:t>E-mail:</w:t>
          </w:r>
          <w:r>
            <w:rPr>
              <w:lang w:val="es-ES_tradnl"/>
            </w:rPr>
            <w:tab/>
            <w:t>itumail@itu.int</w:t>
          </w:r>
        </w:p>
      </w:tc>
    </w:tr>
    <w:tr w:rsidR="00525C08">
      <w:trPr>
        <w:cantSplit/>
      </w:trPr>
      <w:tc>
        <w:tcPr>
          <w:tcW w:w="1062" w:type="pct"/>
        </w:tcPr>
        <w:p w:rsidR="00525C08" w:rsidRDefault="00525C08">
          <w:pPr>
            <w:pStyle w:val="itu"/>
            <w:rPr>
              <w:lang w:val="es-ES_tradnl"/>
            </w:rPr>
          </w:pPr>
          <w:r>
            <w:rPr>
              <w:lang w:val="es-ES_tradnl"/>
            </w:rPr>
            <w:t>CH-1211 Ginebra 20</w:t>
          </w:r>
        </w:p>
      </w:tc>
      <w:tc>
        <w:tcPr>
          <w:tcW w:w="1584" w:type="pct"/>
        </w:tcPr>
        <w:p w:rsidR="00525C08" w:rsidRDefault="00525C08">
          <w:pPr>
            <w:pStyle w:val="itu"/>
            <w:rPr>
              <w:lang w:val="es-ES_tradnl"/>
            </w:rPr>
          </w:pPr>
          <w:r>
            <w:rPr>
              <w:lang w:val="es-ES_tradnl"/>
            </w:rPr>
            <w:t>Telefax</w:t>
          </w:r>
          <w:r>
            <w:rPr>
              <w:lang w:val="es-ES_tradnl"/>
            </w:rPr>
            <w:tab/>
            <w:t>Gr3:</w:t>
          </w:r>
          <w:r>
            <w:rPr>
              <w:lang w:val="es-ES_tradnl"/>
            </w:rPr>
            <w:tab/>
            <w:t>+41 22 733 72 56</w:t>
          </w:r>
        </w:p>
      </w:tc>
      <w:tc>
        <w:tcPr>
          <w:tcW w:w="1223" w:type="pct"/>
        </w:tcPr>
        <w:p w:rsidR="00525C08" w:rsidRDefault="00525C08">
          <w:pPr>
            <w:pStyle w:val="itu"/>
            <w:rPr>
              <w:lang w:val="es-ES_tradnl"/>
            </w:rPr>
          </w:pPr>
          <w:r>
            <w:rPr>
              <w:lang w:val="es-ES_tradnl"/>
            </w:rPr>
            <w:t>Telegrama ITU GENEVE</w:t>
          </w:r>
        </w:p>
      </w:tc>
      <w:tc>
        <w:tcPr>
          <w:tcW w:w="1131" w:type="pct"/>
        </w:tcPr>
        <w:p w:rsidR="00525C08" w:rsidRDefault="00525C08">
          <w:pPr>
            <w:pStyle w:val="itu"/>
            <w:rPr>
              <w:lang w:val="es-ES_tradnl"/>
            </w:rPr>
          </w:pPr>
          <w:r>
            <w:rPr>
              <w:lang w:val="es-ES_tradnl"/>
            </w:rPr>
            <w:tab/>
          </w:r>
          <w:hyperlink r:id="rId1" w:history="1">
            <w:r>
              <w:rPr>
                <w:rStyle w:val="Hyperlink"/>
                <w:lang w:val="es-ES_tradnl"/>
              </w:rPr>
              <w:t>http://www.itu.int/</w:t>
            </w:r>
          </w:hyperlink>
        </w:p>
      </w:tc>
    </w:tr>
    <w:tr w:rsidR="00525C08">
      <w:trPr>
        <w:cantSplit/>
      </w:trPr>
      <w:tc>
        <w:tcPr>
          <w:tcW w:w="1062" w:type="pct"/>
        </w:tcPr>
        <w:p w:rsidR="00525C08" w:rsidRDefault="00525C08">
          <w:pPr>
            <w:pStyle w:val="itu"/>
            <w:rPr>
              <w:lang w:val="es-ES_tradnl"/>
            </w:rPr>
          </w:pPr>
          <w:r>
            <w:rPr>
              <w:lang w:val="es-ES_tradnl"/>
            </w:rPr>
            <w:t>Suiza</w:t>
          </w:r>
        </w:p>
      </w:tc>
      <w:tc>
        <w:tcPr>
          <w:tcW w:w="1584" w:type="pct"/>
        </w:tcPr>
        <w:p w:rsidR="00525C08" w:rsidRDefault="00525C08">
          <w:pPr>
            <w:pStyle w:val="itu"/>
            <w:rPr>
              <w:lang w:val="es-ES_tradnl"/>
            </w:rPr>
          </w:pPr>
          <w:r>
            <w:rPr>
              <w:lang w:val="es-ES_tradnl"/>
            </w:rPr>
            <w:tab/>
            <w:t>Gr4:</w:t>
          </w:r>
          <w:r>
            <w:rPr>
              <w:lang w:val="es-ES_tradnl"/>
            </w:rPr>
            <w:tab/>
            <w:t>+41 22 730 65 00</w:t>
          </w:r>
        </w:p>
      </w:tc>
      <w:tc>
        <w:tcPr>
          <w:tcW w:w="1223" w:type="pct"/>
        </w:tcPr>
        <w:p w:rsidR="00525C08" w:rsidRDefault="00525C08">
          <w:pPr>
            <w:pStyle w:val="itu"/>
            <w:rPr>
              <w:lang w:val="es-ES_tradnl"/>
            </w:rPr>
          </w:pPr>
        </w:p>
      </w:tc>
      <w:tc>
        <w:tcPr>
          <w:tcW w:w="1131" w:type="pct"/>
        </w:tcPr>
        <w:p w:rsidR="00525C08" w:rsidRDefault="00525C08">
          <w:pPr>
            <w:pStyle w:val="itu"/>
            <w:rPr>
              <w:lang w:val="es-ES_tradnl"/>
            </w:rPr>
          </w:pPr>
        </w:p>
      </w:tc>
    </w:tr>
  </w:tbl>
  <w:p w:rsidR="00525C08" w:rsidRDefault="00525C08"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08" w:rsidRDefault="00525C08">
      <w:r>
        <w:t>____________________</w:t>
      </w:r>
    </w:p>
  </w:footnote>
  <w:footnote w:type="continuationSeparator" w:id="0">
    <w:p w:rsidR="00525C08" w:rsidRDefault="00525C08">
      <w:r>
        <w:continuationSeparator/>
      </w:r>
    </w:p>
  </w:footnote>
  <w:footnote w:id="1">
    <w:p w:rsidR="00525C08" w:rsidRPr="00DF1E42" w:rsidRDefault="00525C08" w:rsidP="000E22EC">
      <w:pPr>
        <w:pStyle w:val="FootnoteText"/>
      </w:pPr>
      <w:r w:rsidRPr="008704D4">
        <w:rPr>
          <w:rStyle w:val="FootnoteReference"/>
        </w:rPr>
        <w:t>*</w:t>
      </w:r>
      <w:r w:rsidRPr="008704D4">
        <w:t xml:space="preserve"> </w:t>
      </w:r>
      <w:r>
        <w:tab/>
      </w:r>
      <w:r w:rsidRPr="00C036C8">
        <w:t>Esta Cuestión debe señalarse a la atención de la Comisión de Estudio 13 del Sector de Normalización de las Telecomunicaciones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08" w:rsidRDefault="00525C0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57DEB">
      <w:rPr>
        <w:rStyle w:val="PageNumber"/>
        <w:noProof/>
      </w:rPr>
      <w:t>8</w:t>
    </w:r>
    <w:r>
      <w:rPr>
        <w:rStyle w:val="PageNumber"/>
      </w:rPr>
      <w:fldChar w:fldCharType="end"/>
    </w:r>
    <w:r>
      <w:rPr>
        <w:rStyle w:val="PageNumber"/>
      </w:rPr>
      <w:t xml:space="preserve"> -</w:t>
    </w:r>
  </w:p>
  <w:p w:rsidR="00525C08" w:rsidRPr="00F96264" w:rsidRDefault="00525C0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7819277F"/>
    <w:multiLevelType w:val="hybridMultilevel"/>
    <w:tmpl w:val="880A6826"/>
    <w:lvl w:ilvl="0" w:tplc="43CC457E">
      <w:start w:val="31"/>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9C4A3A"/>
    <w:rsid w:val="00005048"/>
    <w:rsid w:val="00010941"/>
    <w:rsid w:val="000131A5"/>
    <w:rsid w:val="000B744D"/>
    <w:rsid w:val="000E22EC"/>
    <w:rsid w:val="000F4C48"/>
    <w:rsid w:val="000F7860"/>
    <w:rsid w:val="001146E0"/>
    <w:rsid w:val="00131358"/>
    <w:rsid w:val="00133C99"/>
    <w:rsid w:val="001A3C5E"/>
    <w:rsid w:val="00214831"/>
    <w:rsid w:val="00240010"/>
    <w:rsid w:val="0024619D"/>
    <w:rsid w:val="002512DF"/>
    <w:rsid w:val="00282797"/>
    <w:rsid w:val="002B4671"/>
    <w:rsid w:val="00305AAD"/>
    <w:rsid w:val="00311156"/>
    <w:rsid w:val="00325275"/>
    <w:rsid w:val="003317C0"/>
    <w:rsid w:val="003419B8"/>
    <w:rsid w:val="00382284"/>
    <w:rsid w:val="003A1B6E"/>
    <w:rsid w:val="003C527D"/>
    <w:rsid w:val="003C5927"/>
    <w:rsid w:val="00480475"/>
    <w:rsid w:val="00484789"/>
    <w:rsid w:val="004A435E"/>
    <w:rsid w:val="004A7E0E"/>
    <w:rsid w:val="004C690A"/>
    <w:rsid w:val="005074C1"/>
    <w:rsid w:val="00525C08"/>
    <w:rsid w:val="00556731"/>
    <w:rsid w:val="005B3295"/>
    <w:rsid w:val="005E24BD"/>
    <w:rsid w:val="005E3136"/>
    <w:rsid w:val="00612E7D"/>
    <w:rsid w:val="006F2094"/>
    <w:rsid w:val="006F7614"/>
    <w:rsid w:val="00742266"/>
    <w:rsid w:val="00782F92"/>
    <w:rsid w:val="00784D6E"/>
    <w:rsid w:val="007C6380"/>
    <w:rsid w:val="007F2D01"/>
    <w:rsid w:val="008064B2"/>
    <w:rsid w:val="00834A53"/>
    <w:rsid w:val="00853BDB"/>
    <w:rsid w:val="00882905"/>
    <w:rsid w:val="009156A8"/>
    <w:rsid w:val="00935249"/>
    <w:rsid w:val="0093660D"/>
    <w:rsid w:val="009A090A"/>
    <w:rsid w:val="009C4A3A"/>
    <w:rsid w:val="009F2A7B"/>
    <w:rsid w:val="00A051C3"/>
    <w:rsid w:val="00A60F40"/>
    <w:rsid w:val="00AE07DC"/>
    <w:rsid w:val="00AE18F0"/>
    <w:rsid w:val="00BA0512"/>
    <w:rsid w:val="00BC0393"/>
    <w:rsid w:val="00BC7F3D"/>
    <w:rsid w:val="00C04033"/>
    <w:rsid w:val="00C57DEB"/>
    <w:rsid w:val="00C85C1E"/>
    <w:rsid w:val="00CD3292"/>
    <w:rsid w:val="00D03AD8"/>
    <w:rsid w:val="00D04A11"/>
    <w:rsid w:val="00D23A35"/>
    <w:rsid w:val="00D91455"/>
    <w:rsid w:val="00D96886"/>
    <w:rsid w:val="00DC32E7"/>
    <w:rsid w:val="00DC6D78"/>
    <w:rsid w:val="00DD30BB"/>
    <w:rsid w:val="00E112C5"/>
    <w:rsid w:val="00E442B0"/>
    <w:rsid w:val="00E66A1A"/>
    <w:rsid w:val="00E7169B"/>
    <w:rsid w:val="00E75D9E"/>
    <w:rsid w:val="00ED1425"/>
    <w:rsid w:val="00ED7EF4"/>
    <w:rsid w:val="00EF6A78"/>
    <w:rsid w:val="00F72E79"/>
    <w:rsid w:val="00F7313A"/>
    <w:rsid w:val="00F8566A"/>
    <w:rsid w:val="00F85A55"/>
    <w:rsid w:val="00F96264"/>
    <w:rsid w:val="00FA57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odyTextIndent2">
    <w:name w:val="Body Text Indent 2"/>
    <w:basedOn w:val="Normal"/>
    <w:rsid w:val="00E75D9E"/>
    <w:pPr>
      <w:tabs>
        <w:tab w:val="clear" w:pos="794"/>
        <w:tab w:val="clear" w:pos="1191"/>
        <w:tab w:val="clear" w:pos="1588"/>
        <w:tab w:val="clear" w:pos="1985"/>
        <w:tab w:val="left" w:pos="709"/>
      </w:tabs>
      <w:overflowPunct/>
      <w:autoSpaceDE/>
      <w:autoSpaceDN/>
      <w:adjustRightInd/>
      <w:ind w:left="1440" w:hanging="1440"/>
      <w:textAlignment w:val="auto"/>
    </w:pPr>
    <w:rPr>
      <w:lang w:val="en-GB"/>
    </w:rPr>
  </w:style>
  <w:style w:type="paragraph" w:customStyle="1" w:styleId="call0">
    <w:name w:val="call"/>
    <w:basedOn w:val="Normal"/>
    <w:next w:val="Normal"/>
    <w:rsid w:val="00305AAD"/>
    <w:pPr>
      <w:keepNext/>
      <w:keepLines/>
      <w:overflowPunct/>
      <w:autoSpaceDE/>
      <w:autoSpaceDN/>
      <w:adjustRightInd/>
      <w:spacing w:before="160"/>
      <w:ind w:left="794"/>
      <w:textAlignment w:val="auto"/>
    </w:pPr>
    <w:rPr>
      <w:i/>
      <w:lang w:val="es-ES"/>
    </w:rPr>
  </w:style>
  <w:style w:type="paragraph" w:customStyle="1" w:styleId="Normalaftertitle0">
    <w:name w:val="Normal after title"/>
    <w:basedOn w:val="Normal"/>
    <w:next w:val="Normal"/>
    <w:link w:val="NormalaftertitleChar0"/>
    <w:rsid w:val="00305AAD"/>
    <w:pPr>
      <w:overflowPunct/>
      <w:autoSpaceDE/>
      <w:autoSpaceDN/>
      <w:adjustRightInd/>
      <w:spacing w:before="320"/>
      <w:textAlignment w:val="auto"/>
    </w:pPr>
    <w:rPr>
      <w:lang w:val="en-GB"/>
    </w:rPr>
  </w:style>
  <w:style w:type="paragraph" w:customStyle="1" w:styleId="AnnexNoTitle0">
    <w:name w:val="Annex_NoTitle"/>
    <w:basedOn w:val="Normal"/>
    <w:next w:val="Normalaftertitle"/>
    <w:uiPriority w:val="99"/>
    <w:rsid w:val="00305AAD"/>
    <w:pPr>
      <w:keepNext/>
      <w:keepLines/>
      <w:spacing w:before="480"/>
      <w:jc w:val="center"/>
    </w:pPr>
    <w:rPr>
      <w:b/>
      <w:sz w:val="28"/>
      <w:lang w:val="en-GB"/>
    </w:rPr>
  </w:style>
  <w:style w:type="character" w:customStyle="1" w:styleId="CallChar">
    <w:name w:val="Call Char"/>
    <w:basedOn w:val="DefaultParagraphFont"/>
    <w:link w:val="Call"/>
    <w:uiPriority w:val="99"/>
    <w:rsid w:val="00305AAD"/>
    <w:rPr>
      <w:i/>
      <w:sz w:val="24"/>
      <w:lang w:val="es-ES_tradnl" w:eastAsia="en-US" w:bidi="ar-SA"/>
    </w:rPr>
  </w:style>
  <w:style w:type="character" w:customStyle="1" w:styleId="QuestionNoBRChar">
    <w:name w:val="Question_No_BR Char"/>
    <w:basedOn w:val="DefaultParagraphFont"/>
    <w:link w:val="QuestionNoBR"/>
    <w:rsid w:val="00305AAD"/>
    <w:rPr>
      <w:caps/>
      <w:sz w:val="28"/>
      <w:lang w:val="es-ES_tradnl" w:eastAsia="en-US" w:bidi="ar-SA"/>
    </w:rPr>
  </w:style>
  <w:style w:type="character" w:customStyle="1" w:styleId="NormalaftertitleChar">
    <w:name w:val="Normal_after_title Char"/>
    <w:basedOn w:val="DefaultParagraphFont"/>
    <w:link w:val="Normalaftertitle"/>
    <w:rsid w:val="00305AAD"/>
    <w:rPr>
      <w:sz w:val="24"/>
      <w:lang w:val="es-ES_tradnl"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305AAD"/>
    <w:rPr>
      <w:sz w:val="24"/>
      <w:lang w:val="es-ES_tradnl" w:eastAsia="en-US" w:bidi="ar-SA"/>
    </w:rPr>
  </w:style>
  <w:style w:type="paragraph" w:styleId="BodyTextIndent">
    <w:name w:val="Body Text Indent"/>
    <w:basedOn w:val="Normal"/>
    <w:rsid w:val="00305AAD"/>
    <w:pPr>
      <w:spacing w:after="120"/>
      <w:ind w:left="283"/>
    </w:pPr>
  </w:style>
  <w:style w:type="character" w:customStyle="1" w:styleId="FootnoteTextChar">
    <w:name w:val="Footnote Text Char"/>
    <w:aliases w:val="ALTS FOOTNOTE Char1,DNV-FT Char1,Footnote Text Char1 Char1,Footnote Text Char Char1 Char1,Footnote Text Char4 Char Char Char1,Footnote Text Char1 Char1 Char1 Char Char1,Footnote Text Char Char1 Char1 Char Char Char1"/>
    <w:basedOn w:val="DefaultParagraphFont"/>
    <w:rsid w:val="00D96886"/>
    <w:rPr>
      <w:sz w:val="24"/>
      <w:lang w:val="es-ES_tradnl" w:eastAsia="en-US" w:bidi="ar-SA"/>
    </w:rPr>
  </w:style>
  <w:style w:type="character" w:customStyle="1" w:styleId="enumlev1Char">
    <w:name w:val="enumlev1 Char"/>
    <w:basedOn w:val="DefaultParagraphFont"/>
    <w:link w:val="enumlev1"/>
    <w:rsid w:val="00F8566A"/>
    <w:rPr>
      <w:rFonts w:ascii="Times New Roman" w:hAnsi="Times New Roman"/>
      <w:sz w:val="24"/>
      <w:lang w:val="es-ES_tradnl" w:eastAsia="en-US"/>
    </w:rPr>
  </w:style>
  <w:style w:type="paragraph" w:styleId="NormalWeb">
    <w:name w:val="Normal (Web)"/>
    <w:basedOn w:val="Normal"/>
    <w:uiPriority w:val="99"/>
    <w:unhideWhenUsed/>
    <w:rsid w:val="001A3C5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NormalaftertitleChar0">
    <w:name w:val="Normal after title Char"/>
    <w:basedOn w:val="DefaultParagraphFont"/>
    <w:link w:val="Normalaftertitle0"/>
    <w:locked/>
    <w:rsid w:val="000E22EC"/>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07-SG07-C-0001/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evas\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E1092-B716-4B59-86F3-60A2FCB3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89</TotalTime>
  <Pages>8</Pages>
  <Words>1732</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11653</CharactersWithSpaces>
  <SharedDoc>false</SharedDoc>
  <HLinks>
    <vt:vector size="126" baseType="variant">
      <vt:variant>
        <vt:i4>5308487</vt:i4>
      </vt:variant>
      <vt:variant>
        <vt:i4>57</vt:i4>
      </vt:variant>
      <vt:variant>
        <vt:i4>0</vt:i4>
      </vt:variant>
      <vt:variant>
        <vt:i4>5</vt:i4>
      </vt:variant>
      <vt:variant>
        <vt:lpwstr>http://www.itu.int/publ/R-QUE-SG06.116/es</vt:lpwstr>
      </vt:variant>
      <vt:variant>
        <vt:lpwstr/>
      </vt:variant>
      <vt:variant>
        <vt:i4>5374023</vt:i4>
      </vt:variant>
      <vt:variant>
        <vt:i4>54</vt:i4>
      </vt:variant>
      <vt:variant>
        <vt:i4>0</vt:i4>
      </vt:variant>
      <vt:variant>
        <vt:i4>5</vt:i4>
      </vt:variant>
      <vt:variant>
        <vt:lpwstr>http://www.itu.int/publ/R-QUE-SG06.115/es</vt:lpwstr>
      </vt:variant>
      <vt:variant>
        <vt:lpwstr/>
      </vt:variant>
      <vt:variant>
        <vt:i4>5701703</vt:i4>
      </vt:variant>
      <vt:variant>
        <vt:i4>51</vt:i4>
      </vt:variant>
      <vt:variant>
        <vt:i4>0</vt:i4>
      </vt:variant>
      <vt:variant>
        <vt:i4>5</vt:i4>
      </vt:variant>
      <vt:variant>
        <vt:lpwstr>http://www.itu.int/publ/R-QUE-SG06.110/es</vt:lpwstr>
      </vt:variant>
      <vt:variant>
        <vt:lpwstr/>
      </vt:variant>
      <vt:variant>
        <vt:i4>5308487</vt:i4>
      </vt:variant>
      <vt:variant>
        <vt:i4>48</vt:i4>
      </vt:variant>
      <vt:variant>
        <vt:i4>0</vt:i4>
      </vt:variant>
      <vt:variant>
        <vt:i4>5</vt:i4>
      </vt:variant>
      <vt:variant>
        <vt:lpwstr>http://www.itu.int/publ/R-QUE-SG06.116/es</vt:lpwstr>
      </vt:variant>
      <vt:variant>
        <vt:lpwstr/>
      </vt:variant>
      <vt:variant>
        <vt:i4>5374023</vt:i4>
      </vt:variant>
      <vt:variant>
        <vt:i4>45</vt:i4>
      </vt:variant>
      <vt:variant>
        <vt:i4>0</vt:i4>
      </vt:variant>
      <vt:variant>
        <vt:i4>5</vt:i4>
      </vt:variant>
      <vt:variant>
        <vt:lpwstr>http://www.itu.int/publ/R-QUE-SG06.115/es</vt:lpwstr>
      </vt:variant>
      <vt:variant>
        <vt:lpwstr/>
      </vt:variant>
      <vt:variant>
        <vt:i4>5701703</vt:i4>
      </vt:variant>
      <vt:variant>
        <vt:i4>42</vt:i4>
      </vt:variant>
      <vt:variant>
        <vt:i4>0</vt:i4>
      </vt:variant>
      <vt:variant>
        <vt:i4>5</vt:i4>
      </vt:variant>
      <vt:variant>
        <vt:lpwstr>http://www.itu.int/publ/R-QUE-SG06.110/es</vt:lpwstr>
      </vt:variant>
      <vt:variant>
        <vt:lpwstr/>
      </vt:variant>
      <vt:variant>
        <vt:i4>5308486</vt:i4>
      </vt:variant>
      <vt:variant>
        <vt:i4>39</vt:i4>
      </vt:variant>
      <vt:variant>
        <vt:i4>0</vt:i4>
      </vt:variant>
      <vt:variant>
        <vt:i4>5</vt:i4>
      </vt:variant>
      <vt:variant>
        <vt:lpwstr>http://www.itu.int/publ/R-QUE-SG06.106/es</vt:lpwstr>
      </vt:variant>
      <vt:variant>
        <vt:lpwstr/>
      </vt:variant>
      <vt:variant>
        <vt:i4>5636108</vt:i4>
      </vt:variant>
      <vt:variant>
        <vt:i4>36</vt:i4>
      </vt:variant>
      <vt:variant>
        <vt:i4>0</vt:i4>
      </vt:variant>
      <vt:variant>
        <vt:i4>5</vt:i4>
      </vt:variant>
      <vt:variant>
        <vt:lpwstr>http://www.itu.int/publ/R-QUE-SG06.90/es</vt:lpwstr>
      </vt:variant>
      <vt:variant>
        <vt:lpwstr/>
      </vt:variant>
      <vt:variant>
        <vt:i4>5701642</vt:i4>
      </vt:variant>
      <vt:variant>
        <vt:i4>33</vt:i4>
      </vt:variant>
      <vt:variant>
        <vt:i4>0</vt:i4>
      </vt:variant>
      <vt:variant>
        <vt:i4>5</vt:i4>
      </vt:variant>
      <vt:variant>
        <vt:lpwstr>http://www.itu.int/publ/R-QUE-SG06.86/es</vt:lpwstr>
      </vt:variant>
      <vt:variant>
        <vt:lpwstr/>
      </vt:variant>
      <vt:variant>
        <vt:i4>4849677</vt:i4>
      </vt:variant>
      <vt:variant>
        <vt:i4>30</vt:i4>
      </vt:variant>
      <vt:variant>
        <vt:i4>0</vt:i4>
      </vt:variant>
      <vt:variant>
        <vt:i4>5</vt:i4>
      </vt:variant>
      <vt:variant>
        <vt:lpwstr>http://www.itu.int/publ/R-QUE-SG06.81/en</vt:lpwstr>
      </vt:variant>
      <vt:variant>
        <vt:lpwstr/>
      </vt:variant>
      <vt:variant>
        <vt:i4>5767173</vt:i4>
      </vt:variant>
      <vt:variant>
        <vt:i4>27</vt:i4>
      </vt:variant>
      <vt:variant>
        <vt:i4>0</vt:i4>
      </vt:variant>
      <vt:variant>
        <vt:i4>5</vt:i4>
      </vt:variant>
      <vt:variant>
        <vt:lpwstr>http://www.itu.int/publ/R-QUE-SG06.79/es</vt:lpwstr>
      </vt:variant>
      <vt:variant>
        <vt:lpwstr/>
      </vt:variant>
      <vt:variant>
        <vt:i4>5767172</vt:i4>
      </vt:variant>
      <vt:variant>
        <vt:i4>24</vt:i4>
      </vt:variant>
      <vt:variant>
        <vt:i4>0</vt:i4>
      </vt:variant>
      <vt:variant>
        <vt:i4>5</vt:i4>
      </vt:variant>
      <vt:variant>
        <vt:lpwstr>http://www.itu.int/publ/R-QUE-SG06.78/es</vt:lpwstr>
      </vt:variant>
      <vt:variant>
        <vt:lpwstr/>
      </vt:variant>
      <vt:variant>
        <vt:i4>5767179</vt:i4>
      </vt:variant>
      <vt:variant>
        <vt:i4>21</vt:i4>
      </vt:variant>
      <vt:variant>
        <vt:i4>0</vt:i4>
      </vt:variant>
      <vt:variant>
        <vt:i4>5</vt:i4>
      </vt:variant>
      <vt:variant>
        <vt:lpwstr>http://www.itu.int/publ/R-QUE-SG06.77/es</vt:lpwstr>
      </vt:variant>
      <vt:variant>
        <vt:lpwstr/>
      </vt:variant>
      <vt:variant>
        <vt:i4>5832715</vt:i4>
      </vt:variant>
      <vt:variant>
        <vt:i4>18</vt:i4>
      </vt:variant>
      <vt:variant>
        <vt:i4>0</vt:i4>
      </vt:variant>
      <vt:variant>
        <vt:i4>5</vt:i4>
      </vt:variant>
      <vt:variant>
        <vt:lpwstr>http://www.itu.int/publ/R-QUE-SG06.67/es</vt:lpwstr>
      </vt:variant>
      <vt:variant>
        <vt:lpwstr/>
      </vt:variant>
      <vt:variant>
        <vt:i4>5832719</vt:i4>
      </vt:variant>
      <vt:variant>
        <vt:i4>15</vt:i4>
      </vt:variant>
      <vt:variant>
        <vt:i4>0</vt:i4>
      </vt:variant>
      <vt:variant>
        <vt:i4>5</vt:i4>
      </vt:variant>
      <vt:variant>
        <vt:lpwstr>http://www.itu.int/publ/R-QUE-SG06.63/es</vt:lpwstr>
      </vt:variant>
      <vt:variant>
        <vt:lpwstr/>
      </vt:variant>
      <vt:variant>
        <vt:i4>5963787</vt:i4>
      </vt:variant>
      <vt:variant>
        <vt:i4>12</vt:i4>
      </vt:variant>
      <vt:variant>
        <vt:i4>0</vt:i4>
      </vt:variant>
      <vt:variant>
        <vt:i4>5</vt:i4>
      </vt:variant>
      <vt:variant>
        <vt:lpwstr>http://www.itu.int/publ/R-QUE-SG06.47/es</vt:lpwstr>
      </vt:variant>
      <vt:variant>
        <vt:lpwstr/>
      </vt:variant>
      <vt:variant>
        <vt:i4>2490426</vt:i4>
      </vt:variant>
      <vt:variant>
        <vt:i4>9</vt:i4>
      </vt:variant>
      <vt:variant>
        <vt:i4>0</vt:i4>
      </vt:variant>
      <vt:variant>
        <vt:i4>5</vt:i4>
      </vt:variant>
      <vt:variant>
        <vt:lpwstr>http://www.itu.int/pub/R-QUE-SG06/              publications.aspx?lang=en&amp;parent=R-QUE-SG06.36</vt:lpwstr>
      </vt:variant>
      <vt:variant>
        <vt:lpwstr/>
      </vt:variant>
      <vt:variant>
        <vt:i4>7209078</vt:i4>
      </vt:variant>
      <vt:variant>
        <vt:i4>6</vt:i4>
      </vt:variant>
      <vt:variant>
        <vt:i4>0</vt:i4>
      </vt:variant>
      <vt:variant>
        <vt:i4>5</vt:i4>
      </vt:variant>
      <vt:variant>
        <vt:lpwstr>http://www.itu.int/publ/R-QUE-SG06.8/es</vt:lpwstr>
      </vt:variant>
      <vt:variant>
        <vt:lpwstr/>
      </vt:variant>
      <vt:variant>
        <vt:i4>6750326</vt:i4>
      </vt:variant>
      <vt:variant>
        <vt:i4>3</vt:i4>
      </vt:variant>
      <vt:variant>
        <vt:i4>0</vt:i4>
      </vt:variant>
      <vt:variant>
        <vt:i4>5</vt:i4>
      </vt:variant>
      <vt:variant>
        <vt:lpwstr>http://www.itu.int/publ/R-QUE-SG06.1/es</vt:lpwstr>
      </vt:variant>
      <vt:variant>
        <vt:lpwstr/>
      </vt:variant>
      <vt:variant>
        <vt:i4>1769549</vt:i4>
      </vt:variant>
      <vt:variant>
        <vt:i4>0</vt:i4>
      </vt:variant>
      <vt:variant>
        <vt:i4>0</vt:i4>
      </vt:variant>
      <vt:variant>
        <vt:i4>5</vt:i4>
      </vt:variant>
      <vt:variant>
        <vt:lpwstr>http://www.itu.int/md/R07-SG06-C-0001/es</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bonet</cp:lastModifiedBy>
  <cp:revision>13</cp:revision>
  <cp:lastPrinted>2011-02-17T16:46:00Z</cp:lastPrinted>
  <dcterms:created xsi:type="dcterms:W3CDTF">2011-02-03T15:54:00Z</dcterms:created>
  <dcterms:modified xsi:type="dcterms:W3CDTF">2011-02-17T16:49:00Z</dcterms:modified>
</cp:coreProperties>
</file>