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10430C" w:rsidRPr="00D35752" w:rsidTr="00C66C48">
        <w:tc>
          <w:tcPr>
            <w:tcW w:w="8188" w:type="dxa"/>
            <w:vAlign w:val="center"/>
          </w:tcPr>
          <w:p w:rsidR="0010430C" w:rsidRPr="00D35752" w:rsidRDefault="0010430C" w:rsidP="00C66C48">
            <w:pPr>
              <w:spacing w:before="0"/>
            </w:pPr>
            <w:r w:rsidRPr="00C66C48">
              <w:rPr>
                <w:rFonts w:ascii="Futura Lt BT" w:hAnsi="Futura Lt BT"/>
                <w:sz w:val="44"/>
              </w:rPr>
              <w:t>I</w:t>
            </w:r>
            <w:r w:rsidRPr="00C66C48">
              <w:rPr>
                <w:rFonts w:ascii="Futura Lt BT" w:hAnsi="Futura Lt BT"/>
                <w:sz w:val="36"/>
              </w:rPr>
              <w:t xml:space="preserve">NTERNATIONAL </w:t>
            </w:r>
            <w:r w:rsidRPr="00C66C48">
              <w:rPr>
                <w:rFonts w:ascii="Futura Lt BT" w:hAnsi="Futura Lt BT"/>
                <w:sz w:val="44"/>
              </w:rPr>
              <w:t>T</w:t>
            </w:r>
            <w:r w:rsidRPr="00C66C48">
              <w:rPr>
                <w:rFonts w:ascii="Futura Lt BT" w:hAnsi="Futura Lt BT"/>
                <w:sz w:val="36"/>
              </w:rPr>
              <w:t xml:space="preserve">ELECOMMUNICATION </w:t>
            </w:r>
            <w:smartTag w:uri="urn:schemas-microsoft-com:office:smarttags" w:element="place">
              <w:r w:rsidRPr="00C66C48">
                <w:rPr>
                  <w:rFonts w:ascii="Futura Lt BT" w:hAnsi="Futura Lt BT"/>
                  <w:sz w:val="44"/>
                </w:rPr>
                <w:t>U</w:t>
              </w:r>
              <w:r w:rsidRPr="00C66C48">
                <w:rPr>
                  <w:rFonts w:ascii="Futura Lt BT" w:hAnsi="Futura Lt BT"/>
                  <w:sz w:val="36"/>
                </w:rPr>
                <w:t>NION</w:t>
              </w:r>
            </w:smartTag>
          </w:p>
        </w:tc>
        <w:tc>
          <w:tcPr>
            <w:tcW w:w="1667" w:type="dxa"/>
          </w:tcPr>
          <w:p w:rsidR="0010430C" w:rsidRPr="00D35752" w:rsidRDefault="0041526C" w:rsidP="00C66C48">
            <w:pPr>
              <w:spacing w:before="0"/>
              <w:jc w:val="right"/>
            </w:pPr>
            <w:r>
              <w:rPr>
                <w:noProof/>
                <w:lang w:val="en-US" w:eastAsia="zh-CN"/>
              </w:rPr>
              <w:drawing>
                <wp:inline distT="0" distB="0" distL="0" distR="0">
                  <wp:extent cx="800100" cy="9048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a:srcRect/>
                          <a:stretch>
                            <a:fillRect/>
                          </a:stretch>
                        </pic:blipFill>
                        <pic:spPr bwMode="auto">
                          <a:xfrm>
                            <a:off x="0" y="0"/>
                            <a:ext cx="800100" cy="9048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10430C">
        <w:trPr>
          <w:cantSplit/>
        </w:trPr>
        <w:tc>
          <w:tcPr>
            <w:tcW w:w="5075" w:type="dxa"/>
          </w:tcPr>
          <w:p w:rsidR="0010430C" w:rsidRPr="00315358" w:rsidRDefault="0010430C">
            <w:pPr>
              <w:rPr>
                <w:b/>
                <w:smallCaps/>
                <w:sz w:val="20"/>
                <w:lang w:val="fr-CH"/>
              </w:rPr>
            </w:pPr>
            <w:r w:rsidRPr="00315358">
              <w:rPr>
                <w:i/>
                <w:sz w:val="28"/>
                <w:lang w:val="fr-CH"/>
              </w:rPr>
              <w:t>Radiocommunication Bureau</w:t>
            </w:r>
          </w:p>
          <w:p w:rsidR="0010430C" w:rsidRDefault="0010430C">
            <w:pPr>
              <w:tabs>
                <w:tab w:val="clear" w:pos="794"/>
                <w:tab w:val="clear" w:pos="1191"/>
                <w:tab w:val="clear" w:pos="1588"/>
                <w:tab w:val="clear" w:pos="1985"/>
                <w:tab w:val="center" w:pos="1701"/>
              </w:tabs>
              <w:spacing w:before="0"/>
              <w:rPr>
                <w:b/>
                <w:smallCaps/>
                <w:sz w:val="20"/>
              </w:rPr>
            </w:pPr>
            <w:r w:rsidRPr="00315358">
              <w:rPr>
                <w:b/>
                <w:sz w:val="18"/>
                <w:lang w:val="fr-CH"/>
              </w:rPr>
              <w:tab/>
            </w:r>
            <w:r w:rsidRPr="00315358">
              <w:rPr>
                <w:i/>
                <w:sz w:val="18"/>
                <w:lang w:val="fr-CH"/>
              </w:rPr>
              <w:t xml:space="preserve">(Direct Fax N°. </w:t>
            </w:r>
            <w:r>
              <w:rPr>
                <w:i/>
                <w:sz w:val="18"/>
              </w:rPr>
              <w:t>+41 22 730 57 85)</w:t>
            </w:r>
          </w:p>
        </w:tc>
      </w:tr>
    </w:tbl>
    <w:p w:rsidR="0010430C" w:rsidRDefault="0010430C">
      <w:pPr>
        <w:tabs>
          <w:tab w:val="left" w:pos="7513"/>
        </w:tabs>
      </w:pPr>
    </w:p>
    <w:tbl>
      <w:tblPr>
        <w:tblW w:w="10020" w:type="dxa"/>
        <w:tblLayout w:type="fixed"/>
        <w:tblLook w:val="0000"/>
      </w:tblPr>
      <w:tblGrid>
        <w:gridCol w:w="3085"/>
        <w:gridCol w:w="6935"/>
      </w:tblGrid>
      <w:tr w:rsidR="0010430C" w:rsidTr="00315358">
        <w:trPr>
          <w:cantSplit/>
        </w:trPr>
        <w:tc>
          <w:tcPr>
            <w:tcW w:w="3085" w:type="dxa"/>
          </w:tcPr>
          <w:p w:rsidR="0010430C" w:rsidRPr="00315358" w:rsidRDefault="0010430C" w:rsidP="00315358">
            <w:pPr>
              <w:tabs>
                <w:tab w:val="left" w:pos="7513"/>
              </w:tabs>
              <w:jc w:val="center"/>
              <w:rPr>
                <w:b/>
                <w:bCs/>
              </w:rPr>
            </w:pPr>
            <w:bookmarkStart w:id="0" w:name="dletter"/>
            <w:bookmarkEnd w:id="0"/>
            <w:r w:rsidRPr="00315358">
              <w:rPr>
                <w:b/>
                <w:bCs/>
              </w:rPr>
              <w:t xml:space="preserve">Administrative </w:t>
            </w:r>
            <w:r>
              <w:rPr>
                <w:b/>
                <w:bCs/>
              </w:rPr>
              <w:t>Circular</w:t>
            </w:r>
          </w:p>
          <w:p w:rsidR="0010430C" w:rsidRPr="00410B0E" w:rsidRDefault="0010430C" w:rsidP="00315358">
            <w:pPr>
              <w:tabs>
                <w:tab w:val="clear" w:pos="794"/>
                <w:tab w:val="clear" w:pos="1191"/>
                <w:tab w:val="clear" w:pos="1588"/>
              </w:tabs>
              <w:spacing w:before="0"/>
              <w:jc w:val="center"/>
              <w:rPr>
                <w:b/>
                <w:bCs/>
              </w:rPr>
            </w:pPr>
            <w:bookmarkStart w:id="1" w:name="dnum"/>
            <w:bookmarkEnd w:id="1"/>
            <w:r>
              <w:rPr>
                <w:b/>
                <w:bCs/>
              </w:rPr>
              <w:t>CAC</w:t>
            </w:r>
            <w:r w:rsidR="00FD2A55">
              <w:rPr>
                <w:b/>
                <w:bCs/>
              </w:rPr>
              <w:t>E/525</w:t>
            </w:r>
          </w:p>
        </w:tc>
        <w:tc>
          <w:tcPr>
            <w:tcW w:w="6935" w:type="dxa"/>
          </w:tcPr>
          <w:p w:rsidR="0010430C" w:rsidRPr="00410B0E" w:rsidRDefault="00F071F9" w:rsidP="00D41627">
            <w:pPr>
              <w:tabs>
                <w:tab w:val="left" w:pos="7513"/>
              </w:tabs>
              <w:jc w:val="right"/>
              <w:rPr>
                <w:bCs/>
              </w:rPr>
            </w:pPr>
            <w:bookmarkStart w:id="2" w:name="ddate"/>
            <w:bookmarkEnd w:id="2"/>
            <w:r>
              <w:rPr>
                <w:bCs/>
              </w:rPr>
              <w:t>2</w:t>
            </w:r>
            <w:r w:rsidR="0010430C">
              <w:rPr>
                <w:bCs/>
              </w:rPr>
              <w:t xml:space="preserve"> February 2011</w:t>
            </w:r>
          </w:p>
        </w:tc>
      </w:tr>
    </w:tbl>
    <w:p w:rsidR="0010430C" w:rsidRDefault="0010430C" w:rsidP="00AE7606">
      <w:pPr>
        <w:tabs>
          <w:tab w:val="left" w:pos="7513"/>
        </w:tabs>
        <w:spacing w:before="480"/>
        <w:jc w:val="center"/>
        <w:rPr>
          <w:b/>
        </w:rPr>
      </w:pPr>
      <w:r w:rsidRPr="00315358">
        <w:rPr>
          <w:b/>
          <w:bCs/>
        </w:rPr>
        <w:t>To Administrations of Member States of the ITU,</w:t>
      </w:r>
      <w:r w:rsidR="00AE7606">
        <w:rPr>
          <w:b/>
          <w:bCs/>
        </w:rPr>
        <w:t xml:space="preserve"> </w:t>
      </w:r>
      <w:r w:rsidRPr="00315358">
        <w:rPr>
          <w:b/>
          <w:bCs/>
        </w:rPr>
        <w:t>Radiocommunication Sector Members, ITU-R Associates</w:t>
      </w:r>
      <w:r w:rsidR="00AE7606">
        <w:rPr>
          <w:b/>
          <w:bCs/>
        </w:rPr>
        <w:t xml:space="preserve"> </w:t>
      </w:r>
      <w:r w:rsidRPr="00315358">
        <w:rPr>
          <w:b/>
          <w:bCs/>
        </w:rPr>
        <w:t xml:space="preserve">participating in the work of the Radiocommunication Study Group </w:t>
      </w:r>
      <w:r>
        <w:rPr>
          <w:b/>
          <w:bCs/>
        </w:rPr>
        <w:t>1</w:t>
      </w:r>
      <w:r w:rsidRPr="00315358">
        <w:rPr>
          <w:b/>
          <w:bCs/>
        </w:rPr>
        <w:br/>
        <w:t>and the Special Committee on Regulatory/Procedural Matters</w:t>
      </w:r>
    </w:p>
    <w:p w:rsidR="0010430C" w:rsidRDefault="0010430C" w:rsidP="007E6B00">
      <w:pPr>
        <w:tabs>
          <w:tab w:val="clear" w:pos="794"/>
          <w:tab w:val="clear" w:pos="1191"/>
          <w:tab w:val="clear" w:pos="1588"/>
          <w:tab w:val="clear" w:pos="1985"/>
          <w:tab w:val="left" w:pos="709"/>
        </w:tabs>
        <w:spacing w:before="600"/>
        <w:ind w:left="1440" w:hanging="1440"/>
      </w:pPr>
      <w:r>
        <w:rPr>
          <w:b/>
        </w:rPr>
        <w:t>Subject</w:t>
      </w:r>
      <w:r>
        <w:t>:</w:t>
      </w:r>
      <w:r>
        <w:tab/>
      </w:r>
      <w:bookmarkStart w:id="3" w:name="dtitle1"/>
      <w:bookmarkEnd w:id="3"/>
      <w:r w:rsidRPr="0093066A">
        <w:rPr>
          <w:rFonts w:ascii="Times New Roman Bold" w:hAnsi="Times New Roman Bold" w:cs="Times New Roman Bold"/>
          <w:b/>
          <w:bCs/>
        </w:rPr>
        <w:t>M</w:t>
      </w:r>
      <w:r w:rsidRPr="00315358">
        <w:rPr>
          <w:b/>
          <w:bCs/>
        </w:rPr>
        <w:t>eeting of Radiocommunication Study Group 1 (</w:t>
      </w:r>
      <w:r w:rsidRPr="00315358">
        <w:rPr>
          <w:b/>
        </w:rPr>
        <w:t>Spectrum management</w:t>
      </w:r>
      <w:r w:rsidRPr="00315358">
        <w:rPr>
          <w:b/>
          <w:bCs/>
        </w:rPr>
        <w:t>),</w:t>
      </w:r>
      <w:r w:rsidRPr="00315358">
        <w:rPr>
          <w:b/>
          <w:bCs/>
        </w:rPr>
        <w:br/>
      </w:r>
      <w:smartTag w:uri="urn:schemas-microsoft-com:office:smarttags" w:element="City">
        <w:smartTag w:uri="urn:schemas-microsoft-com:office:smarttags" w:element="place">
          <w:r w:rsidRPr="00315358">
            <w:rPr>
              <w:b/>
              <w:bCs/>
            </w:rPr>
            <w:t>Geneva</w:t>
          </w:r>
        </w:smartTag>
      </w:smartTag>
      <w:r w:rsidRPr="00315358">
        <w:rPr>
          <w:b/>
          <w:bCs/>
        </w:rPr>
        <w:t xml:space="preserve">, </w:t>
      </w:r>
      <w:r>
        <w:rPr>
          <w:b/>
          <w:bCs/>
        </w:rPr>
        <w:t>2-3 June 2011</w:t>
      </w:r>
    </w:p>
    <w:p w:rsidR="0010430C" w:rsidRDefault="0010430C" w:rsidP="0093066A">
      <w:pPr>
        <w:pStyle w:val="Heading1"/>
        <w:spacing w:before="480"/>
      </w:pPr>
      <w:r>
        <w:t>1</w:t>
      </w:r>
      <w:r>
        <w:tab/>
        <w:t>Introduction</w:t>
      </w:r>
    </w:p>
    <w:p w:rsidR="0010430C" w:rsidRDefault="0010430C" w:rsidP="00E31C67">
      <w:pPr>
        <w:spacing w:before="136"/>
      </w:pPr>
      <w:r>
        <w:t>By means of this Administrative Circular, we wish to announce that a meeting of ITU</w:t>
      </w:r>
      <w:r>
        <w:noBreakHyphen/>
        <w:t xml:space="preserve">R Study Group 1 will take place in </w:t>
      </w:r>
      <w:smartTag w:uri="urn:schemas-microsoft-com:office:smarttags" w:element="place">
        <w:r>
          <w:t>Geneva</w:t>
        </w:r>
      </w:smartTag>
      <w:r>
        <w:t xml:space="preserve"> on 2 and 3 June 2011, f</w:t>
      </w:r>
      <w:r w:rsidR="001471E1">
        <w:t>ollowing the meeting of Working </w:t>
      </w:r>
      <w:r>
        <w:t xml:space="preserve">Parties 1A, 1B and 1C (see Circular Letter </w:t>
      </w:r>
      <w:hyperlink r:id="rId8" w:history="1">
        <w:r w:rsidRPr="00A60B6D">
          <w:rPr>
            <w:rStyle w:val="Hyperlink"/>
          </w:rPr>
          <w:t>1/LCCE/</w:t>
        </w:r>
        <w:r w:rsidR="00E31C67">
          <w:rPr>
            <w:rStyle w:val="Hyperlink"/>
          </w:rPr>
          <w:t>90</w:t>
        </w:r>
      </w:hyperlink>
      <w:r>
        <w:t>).</w:t>
      </w:r>
    </w:p>
    <w:p w:rsidR="0010430C" w:rsidRDefault="0010430C" w:rsidP="00315358">
      <w:pPr>
        <w:spacing w:before="136"/>
      </w:pPr>
      <w:r>
        <w:t xml:space="preserve">The Study Group meeting will be held in the ITU Headquarters, </w:t>
      </w:r>
      <w:smartTag w:uri="urn:schemas-microsoft-com:office:smarttags" w:element="place">
        <w:r>
          <w:t>Geneva</w:t>
        </w:r>
      </w:smartTag>
      <w:r>
        <w:t>. The opening session will take place at 09:30 hours.</w:t>
      </w:r>
    </w:p>
    <w:p w:rsidR="0010430C" w:rsidRDefault="0010430C" w:rsidP="00315358"/>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1843"/>
        <w:gridCol w:w="2976"/>
        <w:gridCol w:w="2943"/>
      </w:tblGrid>
      <w:tr w:rsidR="0010430C" w:rsidRPr="001471E1" w:rsidTr="00FD2A55">
        <w:trPr>
          <w:jc w:val="center"/>
        </w:trPr>
        <w:tc>
          <w:tcPr>
            <w:tcW w:w="1701" w:type="dxa"/>
          </w:tcPr>
          <w:p w:rsidR="0010430C" w:rsidRPr="001471E1" w:rsidRDefault="0010430C" w:rsidP="001471E1">
            <w:pPr>
              <w:pStyle w:val="Tablehead"/>
              <w:rPr>
                <w:szCs w:val="22"/>
              </w:rPr>
            </w:pPr>
            <w:r w:rsidRPr="001471E1">
              <w:rPr>
                <w:szCs w:val="22"/>
              </w:rPr>
              <w:t>Group</w:t>
            </w:r>
          </w:p>
        </w:tc>
        <w:tc>
          <w:tcPr>
            <w:tcW w:w="1843" w:type="dxa"/>
          </w:tcPr>
          <w:p w:rsidR="0010430C" w:rsidRPr="001471E1" w:rsidRDefault="0010430C" w:rsidP="001471E1">
            <w:pPr>
              <w:pStyle w:val="Tablehead"/>
              <w:rPr>
                <w:szCs w:val="22"/>
              </w:rPr>
            </w:pPr>
            <w:r w:rsidRPr="001471E1">
              <w:rPr>
                <w:szCs w:val="22"/>
              </w:rPr>
              <w:t>Meeting date</w:t>
            </w:r>
          </w:p>
        </w:tc>
        <w:tc>
          <w:tcPr>
            <w:tcW w:w="2976" w:type="dxa"/>
          </w:tcPr>
          <w:p w:rsidR="0010430C" w:rsidRPr="001471E1" w:rsidRDefault="0010430C" w:rsidP="001471E1">
            <w:pPr>
              <w:pStyle w:val="Tablehead"/>
              <w:rPr>
                <w:szCs w:val="22"/>
              </w:rPr>
            </w:pPr>
            <w:r w:rsidRPr="001471E1">
              <w:rPr>
                <w:szCs w:val="22"/>
              </w:rPr>
              <w:t>Deadline for contributions</w:t>
            </w:r>
          </w:p>
        </w:tc>
        <w:tc>
          <w:tcPr>
            <w:tcW w:w="2943" w:type="dxa"/>
          </w:tcPr>
          <w:p w:rsidR="0010430C" w:rsidRPr="001471E1" w:rsidRDefault="0010430C" w:rsidP="001471E1">
            <w:pPr>
              <w:pStyle w:val="Tablehead"/>
              <w:rPr>
                <w:szCs w:val="22"/>
              </w:rPr>
            </w:pPr>
            <w:r w:rsidRPr="001471E1">
              <w:rPr>
                <w:szCs w:val="22"/>
              </w:rPr>
              <w:t>Opening session</w:t>
            </w:r>
          </w:p>
        </w:tc>
      </w:tr>
      <w:tr w:rsidR="0010430C" w:rsidRPr="001471E1" w:rsidTr="00FD2A55">
        <w:trPr>
          <w:jc w:val="center"/>
        </w:trPr>
        <w:tc>
          <w:tcPr>
            <w:tcW w:w="1701" w:type="dxa"/>
            <w:vAlign w:val="center"/>
          </w:tcPr>
          <w:p w:rsidR="0010430C" w:rsidRPr="001471E1" w:rsidRDefault="0010430C" w:rsidP="001471E1">
            <w:pPr>
              <w:pStyle w:val="Tabletext"/>
              <w:jc w:val="center"/>
              <w:rPr>
                <w:szCs w:val="22"/>
              </w:rPr>
            </w:pPr>
            <w:r w:rsidRPr="001471E1">
              <w:rPr>
                <w:szCs w:val="22"/>
              </w:rPr>
              <w:t>Study Group 1</w:t>
            </w:r>
          </w:p>
        </w:tc>
        <w:tc>
          <w:tcPr>
            <w:tcW w:w="1843" w:type="dxa"/>
            <w:vAlign w:val="center"/>
          </w:tcPr>
          <w:p w:rsidR="0010430C" w:rsidRPr="001471E1" w:rsidRDefault="0010430C" w:rsidP="001471E1">
            <w:pPr>
              <w:pStyle w:val="Tabletext"/>
              <w:jc w:val="center"/>
              <w:rPr>
                <w:szCs w:val="22"/>
              </w:rPr>
            </w:pPr>
            <w:r w:rsidRPr="001471E1">
              <w:rPr>
                <w:szCs w:val="22"/>
              </w:rPr>
              <w:t>2-3 June 2011</w:t>
            </w:r>
          </w:p>
        </w:tc>
        <w:tc>
          <w:tcPr>
            <w:tcW w:w="2976" w:type="dxa"/>
            <w:vAlign w:val="center"/>
          </w:tcPr>
          <w:p w:rsidR="0010430C" w:rsidRPr="001471E1" w:rsidRDefault="0010430C" w:rsidP="00F120E8">
            <w:pPr>
              <w:pStyle w:val="Tabletext"/>
              <w:jc w:val="center"/>
              <w:rPr>
                <w:szCs w:val="22"/>
              </w:rPr>
            </w:pPr>
            <w:r w:rsidRPr="001471E1">
              <w:rPr>
                <w:szCs w:val="22"/>
                <w:lang w:val="en-US"/>
              </w:rPr>
              <w:t>Thursday, 2</w:t>
            </w:r>
            <w:r w:rsidR="00F120E8">
              <w:rPr>
                <w:szCs w:val="22"/>
                <w:lang w:val="en-US"/>
              </w:rPr>
              <w:t>6</w:t>
            </w:r>
            <w:r w:rsidRPr="001471E1">
              <w:rPr>
                <w:szCs w:val="22"/>
                <w:lang w:val="en-US"/>
              </w:rPr>
              <w:t xml:space="preserve"> </w:t>
            </w:r>
            <w:r w:rsidR="00F120E8">
              <w:rPr>
                <w:szCs w:val="22"/>
                <w:lang w:val="en-US"/>
              </w:rPr>
              <w:t>May</w:t>
            </w:r>
            <w:r w:rsidRPr="001471E1">
              <w:rPr>
                <w:szCs w:val="22"/>
                <w:lang w:val="en-US"/>
              </w:rPr>
              <w:t xml:space="preserve"> 2011</w:t>
            </w:r>
            <w:r w:rsidRPr="001471E1">
              <w:rPr>
                <w:szCs w:val="22"/>
                <w:lang w:val="en-US"/>
              </w:rPr>
              <w:br/>
              <w:t xml:space="preserve">at 16:00 hours UTC </w:t>
            </w:r>
          </w:p>
        </w:tc>
        <w:tc>
          <w:tcPr>
            <w:tcW w:w="2943" w:type="dxa"/>
            <w:vAlign w:val="center"/>
          </w:tcPr>
          <w:p w:rsidR="0010430C" w:rsidRPr="001471E1" w:rsidRDefault="0010430C" w:rsidP="00F120E8">
            <w:pPr>
              <w:pStyle w:val="Tabletext"/>
              <w:jc w:val="center"/>
              <w:rPr>
                <w:szCs w:val="22"/>
              </w:rPr>
            </w:pPr>
            <w:r w:rsidRPr="001471E1">
              <w:rPr>
                <w:szCs w:val="22"/>
                <w:lang w:val="en-US"/>
              </w:rPr>
              <w:t xml:space="preserve">Thursday, 2 </w:t>
            </w:r>
            <w:r w:rsidR="00F120E8">
              <w:rPr>
                <w:szCs w:val="22"/>
                <w:lang w:val="en-US"/>
              </w:rPr>
              <w:t>June</w:t>
            </w:r>
            <w:r w:rsidRPr="001471E1">
              <w:rPr>
                <w:szCs w:val="22"/>
                <w:lang w:val="en-US"/>
              </w:rPr>
              <w:t xml:space="preserve"> 2011</w:t>
            </w:r>
            <w:r w:rsidRPr="001471E1">
              <w:rPr>
                <w:szCs w:val="22"/>
                <w:lang w:val="en-US"/>
              </w:rPr>
              <w:br/>
              <w:t>at 09:30 hours (local time)</w:t>
            </w:r>
          </w:p>
        </w:tc>
      </w:tr>
    </w:tbl>
    <w:p w:rsidR="0010430C" w:rsidRPr="004D1BCD" w:rsidRDefault="0010430C" w:rsidP="001471E1">
      <w:pPr>
        <w:pStyle w:val="Heading1"/>
        <w:spacing w:before="480"/>
      </w:pPr>
      <w:r w:rsidRPr="004D1BCD">
        <w:t>2</w:t>
      </w:r>
      <w:r w:rsidRPr="004D1BCD">
        <w:tab/>
        <w:t>Programme of the meeting</w:t>
      </w:r>
    </w:p>
    <w:p w:rsidR="0010430C" w:rsidRDefault="0010430C" w:rsidP="00315358">
      <w:pPr>
        <w:spacing w:before="136"/>
      </w:pPr>
      <w:r>
        <w:t>The draft agenda for the meeting of Study Group 1 is contained in Annex 1.</w:t>
      </w:r>
    </w:p>
    <w:p w:rsidR="0010430C" w:rsidRDefault="0010430C" w:rsidP="00315358">
      <w:r>
        <w:t>The Questions assigned to Study Group 1 may be found on:</w:t>
      </w:r>
    </w:p>
    <w:p w:rsidR="0010430C" w:rsidRDefault="005C200D" w:rsidP="00315358">
      <w:pPr>
        <w:spacing w:before="240"/>
        <w:jc w:val="center"/>
      </w:pPr>
      <w:hyperlink r:id="rId9" w:history="1">
        <w:r w:rsidR="007476DB" w:rsidRPr="00846A06">
          <w:rPr>
            <w:rStyle w:val="Hyperlink"/>
          </w:rPr>
          <w:t>http://www.itu.int/publ/R-QUE-SG01/en</w:t>
        </w:r>
      </w:hyperlink>
    </w:p>
    <w:p w:rsidR="0010430C" w:rsidRDefault="0010430C" w:rsidP="001471E1">
      <w:pPr>
        <w:pStyle w:val="Heading2"/>
        <w:spacing w:before="360"/>
      </w:pPr>
      <w:r>
        <w:t>2.1</w:t>
      </w:r>
      <w:r>
        <w:tab/>
        <w:t>Adoption of draft Recommendations at the Study Group meeting (§ 10.2.2 of Resolution ITU-R 1-5)</w:t>
      </w:r>
    </w:p>
    <w:p w:rsidR="0010430C" w:rsidRDefault="0010430C" w:rsidP="00F25012">
      <w:r>
        <w:t>No Recommendations are proposed for adoption by the Study Group in accordance with § 10.2.2 of Resolution ITU-R 1-5.</w:t>
      </w:r>
    </w:p>
    <w:p w:rsidR="00FD2A55" w:rsidRDefault="00FD2A55">
      <w:pPr>
        <w:tabs>
          <w:tab w:val="clear" w:pos="794"/>
          <w:tab w:val="clear" w:pos="1191"/>
          <w:tab w:val="clear" w:pos="1588"/>
          <w:tab w:val="clear" w:pos="1985"/>
        </w:tabs>
        <w:overflowPunct/>
        <w:autoSpaceDE/>
        <w:autoSpaceDN/>
        <w:adjustRightInd/>
        <w:spacing w:before="0"/>
        <w:textAlignment w:val="auto"/>
        <w:rPr>
          <w:b/>
        </w:rPr>
      </w:pPr>
      <w:r>
        <w:br w:type="page"/>
      </w:r>
    </w:p>
    <w:p w:rsidR="0010430C" w:rsidRDefault="0010430C" w:rsidP="00315358">
      <w:pPr>
        <w:pStyle w:val="Heading2"/>
      </w:pPr>
      <w:r>
        <w:lastRenderedPageBreak/>
        <w:t>2.2</w:t>
      </w:r>
      <w:r>
        <w:tab/>
        <w:t xml:space="preserve">Adoption of draft Recommendations by a Study Group by correspondence </w:t>
      </w:r>
      <w:r>
        <w:br/>
        <w:t>(§ 10.2.3 of Resolution ITU</w:t>
      </w:r>
      <w:r>
        <w:noBreakHyphen/>
        <w:t>R 1-5)</w:t>
      </w:r>
    </w:p>
    <w:p w:rsidR="0010430C" w:rsidRDefault="0010430C" w:rsidP="00F25012">
      <w:r>
        <w:t>The procedure described in § 10.2.3 of Resolution ITU-R 1-5 concerns draft new or revised Recommendations that are not specifically included in the agenda of a Study Group meeting.</w:t>
      </w:r>
    </w:p>
    <w:p w:rsidR="0010430C" w:rsidRDefault="0010430C" w:rsidP="00F25012">
      <w:r>
        <w:t>In accordance with this procedure, draft new and revised Recommendations prepared during the meetings of Working Parties 1A, 1B</w:t>
      </w:r>
      <w:r>
        <w:rPr>
          <w:rFonts w:eastAsia="SimSun"/>
          <w:lang w:eastAsia="zh-CN"/>
        </w:rPr>
        <w:t xml:space="preserve"> and</w:t>
      </w:r>
      <w:r>
        <w:t xml:space="preserve"> 1C held prior to the Study Group meeting will be submitted to the Study Group. After due consideration, the Study Group may decide to seek adoption of these draft Recommendations by correspondence. In such cases, the Study Group may also decide to apply the procedure for simultaneous adoption and approval (PSAA) of a draft Recommendation as described in § 10.3 of Resolution ITU-R 1-5 (see also § 2.3 below).</w:t>
      </w:r>
    </w:p>
    <w:p w:rsidR="0010430C" w:rsidRDefault="0010430C" w:rsidP="00F25012">
      <w:r>
        <w:t>In accordance with § 2.25 of Resolution ITU-R 1-5, Annex 2 to this Circular contains a list of topics to be addressed at the meetings of the Working Parties held just prior to the Study Group meeting, and for which draft Recommendations may be developed.</w:t>
      </w:r>
    </w:p>
    <w:p w:rsidR="0010430C" w:rsidRDefault="0010430C" w:rsidP="00387E87">
      <w:pPr>
        <w:pStyle w:val="Heading2"/>
        <w:spacing w:before="480"/>
      </w:pPr>
      <w:r>
        <w:t>2.3</w:t>
      </w:r>
      <w:r>
        <w:tab/>
        <w:t>Decision on approval procedure</w:t>
      </w:r>
    </w:p>
    <w:p w:rsidR="0010430C" w:rsidRDefault="0010430C" w:rsidP="00315358">
      <w:r>
        <w:t>At the meeting, the Study Group shall decide on the eventual procedure to be followed for seeking approval for each draft Recommendation in accordance with § 10.4.3 of Resolution ITU</w:t>
      </w:r>
      <w:r>
        <w:noBreakHyphen/>
        <w:t>R 1</w:t>
      </w:r>
      <w:r>
        <w:noBreakHyphen/>
        <w:t>5.  Approval may be sought by submitting the draft Recommendation to the next Radiocommunication Assembly, or by consultation of the Member States; alternatively, the Study Group may decide to use the PSAA procedure described in § 10.3 of Resolution ITU-R 1-5.</w:t>
      </w:r>
    </w:p>
    <w:p w:rsidR="0010430C" w:rsidRDefault="0010430C" w:rsidP="00387E87">
      <w:pPr>
        <w:pStyle w:val="Heading1"/>
        <w:spacing w:before="480"/>
      </w:pPr>
      <w:r>
        <w:t>3</w:t>
      </w:r>
      <w:r>
        <w:tab/>
      </w:r>
      <w:r w:rsidRPr="002A26A4">
        <w:t>Contributions</w:t>
      </w:r>
    </w:p>
    <w:p w:rsidR="0010430C" w:rsidRPr="00125740" w:rsidRDefault="0010430C" w:rsidP="0042073A">
      <w:r w:rsidRPr="002A26A4">
        <w:t xml:space="preserve">Contributions in response to the work of </w:t>
      </w:r>
      <w:r>
        <w:t>Study Group 1</w:t>
      </w:r>
      <w:r w:rsidRPr="002A26A4">
        <w:t xml:space="preserve"> are invited. These will be processed according to the provisions laid down in Resolution ITU-R 1-5 and posted on </w:t>
      </w:r>
      <w:r>
        <w:br/>
      </w:r>
      <w:hyperlink r:id="rId10" w:history="1">
        <w:r w:rsidRPr="005B40DE">
          <w:rPr>
            <w:rStyle w:val="Hyperlink"/>
          </w:rPr>
          <w:t>http://www.itu.int/md/R07-SG01-C/en</w:t>
        </w:r>
      </w:hyperlink>
      <w:r w:rsidRPr="002A26A4">
        <w:t xml:space="preserve">. </w:t>
      </w:r>
      <w:r w:rsidRPr="002A26A4">
        <w:rPr>
          <w:b/>
          <w:bCs/>
        </w:rPr>
        <w:t xml:space="preserve">The deadline for </w:t>
      </w:r>
      <w:r w:rsidRPr="008B27DC">
        <w:rPr>
          <w:b/>
          <w:bCs/>
        </w:rPr>
        <w:t xml:space="preserve">reception </w:t>
      </w:r>
      <w:r w:rsidRPr="002A26A4">
        <w:rPr>
          <w:b/>
          <w:bCs/>
        </w:rPr>
        <w:t xml:space="preserve">of contributions </w:t>
      </w:r>
      <w:r w:rsidRPr="008B27DC">
        <w:rPr>
          <w:b/>
          <w:bCs/>
        </w:rPr>
        <w:t>by the Radiocommunication Bureau</w:t>
      </w:r>
      <w:r>
        <w:rPr>
          <w:b/>
          <w:bCs/>
        </w:rPr>
        <w:t xml:space="preserve"> </w:t>
      </w:r>
      <w:r w:rsidRPr="002A26A4">
        <w:rPr>
          <w:b/>
          <w:bCs/>
        </w:rPr>
        <w:t>is</w:t>
      </w:r>
      <w:r w:rsidRPr="00A67371">
        <w:rPr>
          <w:b/>
          <w:bCs/>
        </w:rPr>
        <w:t xml:space="preserve"> </w:t>
      </w:r>
      <w:r w:rsidR="0042073A">
        <w:rPr>
          <w:b/>
          <w:bCs/>
        </w:rPr>
        <w:t>Thursday</w:t>
      </w:r>
      <w:r>
        <w:rPr>
          <w:b/>
          <w:bCs/>
        </w:rPr>
        <w:t>, 26 May 2011 at 16:00 hours UTC</w:t>
      </w:r>
      <w:r w:rsidRPr="002A26A4">
        <w:t xml:space="preserve">. </w:t>
      </w:r>
      <w:r>
        <w:t xml:space="preserve">Contributions </w:t>
      </w:r>
      <w:r w:rsidRPr="002A26A4">
        <w:t xml:space="preserve">received later than this deadline cannot be accepted. </w:t>
      </w:r>
      <w:r w:rsidRPr="00125740">
        <w:t>Resolution ITU-R 1-5 provides that contributions which are not available to participants at the opening of the meeting shall not be considered.</w:t>
      </w:r>
      <w:r>
        <w:t xml:space="preserve"> </w:t>
      </w:r>
    </w:p>
    <w:p w:rsidR="0010430C" w:rsidRDefault="0010430C" w:rsidP="00315358">
      <w:pPr>
        <w:spacing w:after="120"/>
      </w:pPr>
      <w:r w:rsidRPr="002A26A4">
        <w:t xml:space="preserve">Participants are </w:t>
      </w:r>
      <w:r>
        <w:t>requeste</w:t>
      </w:r>
      <w:r w:rsidRPr="002A26A4">
        <w:t xml:space="preserve">d to submit contributions by electronic mail to: </w:t>
      </w:r>
    </w:p>
    <w:p w:rsidR="0010430C" w:rsidRPr="002A26A4" w:rsidRDefault="005C200D" w:rsidP="00785758">
      <w:pPr>
        <w:spacing w:before="240" w:after="120"/>
        <w:jc w:val="center"/>
        <w:rPr>
          <w:rStyle w:val="Hyperlink"/>
        </w:rPr>
      </w:pPr>
      <w:hyperlink r:id="rId11" w:history="1">
        <w:r w:rsidR="0010430C">
          <w:rPr>
            <w:rStyle w:val="Hyperlink"/>
          </w:rPr>
          <w:t>rsg1@itu.int</w:t>
        </w:r>
      </w:hyperlink>
    </w:p>
    <w:p w:rsidR="0010430C" w:rsidRDefault="0010430C" w:rsidP="00785758">
      <w:pPr>
        <w:spacing w:before="240"/>
      </w:pPr>
      <w:r w:rsidRPr="002A26A4">
        <w:t xml:space="preserve">A copy should also be sent to the Chairman and Vice-Chairmen of Study Group </w:t>
      </w:r>
      <w:r>
        <w:t>1</w:t>
      </w:r>
      <w:r w:rsidRPr="002A26A4">
        <w:t>. The pertinent addresses can be found on:</w:t>
      </w:r>
    </w:p>
    <w:p w:rsidR="0010430C" w:rsidRDefault="005C200D" w:rsidP="00785758">
      <w:pPr>
        <w:spacing w:before="240" w:after="120"/>
        <w:jc w:val="center"/>
      </w:pPr>
      <w:hyperlink r:id="rId12" w:history="1">
        <w:r w:rsidR="0010430C">
          <w:rPr>
            <w:rStyle w:val="Hyperlink"/>
          </w:rPr>
          <w:t>http://www.itu.int/cgi-bin/htsh/compass/cvc.param.sh?acvty_code=sg1</w:t>
        </w:r>
      </w:hyperlink>
    </w:p>
    <w:p w:rsidR="00387E87" w:rsidRDefault="00387E87">
      <w:pPr>
        <w:tabs>
          <w:tab w:val="clear" w:pos="794"/>
          <w:tab w:val="clear" w:pos="1191"/>
          <w:tab w:val="clear" w:pos="1588"/>
          <w:tab w:val="clear" w:pos="1985"/>
        </w:tabs>
        <w:overflowPunct/>
        <w:autoSpaceDE/>
        <w:autoSpaceDN/>
        <w:adjustRightInd/>
        <w:spacing w:before="0"/>
        <w:textAlignment w:val="auto"/>
        <w:rPr>
          <w:b/>
        </w:rPr>
      </w:pPr>
      <w:r>
        <w:br w:type="page"/>
      </w:r>
    </w:p>
    <w:p w:rsidR="0010430C" w:rsidRPr="00F44034" w:rsidRDefault="0010430C" w:rsidP="00315358">
      <w:pPr>
        <w:pStyle w:val="Heading1"/>
      </w:pPr>
      <w:r>
        <w:t>4</w:t>
      </w:r>
      <w:r>
        <w:tab/>
      </w:r>
      <w:r w:rsidRPr="00F44034">
        <w:t>Participation/Visa requirements</w:t>
      </w:r>
    </w:p>
    <w:p w:rsidR="0010430C" w:rsidRDefault="0010430C" w:rsidP="00315358">
      <w:pPr>
        <w:rPr>
          <w:szCs w:val="24"/>
        </w:rPr>
      </w:pPr>
      <w:r w:rsidRPr="00053919">
        <w:rPr>
          <w:szCs w:val="24"/>
        </w:rPr>
        <w:t>Delegate/participant registration for the meeting will be carried out online via the ITU-R website. Each Member State/Sector Member/Associate was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is available on the </w:t>
      </w:r>
      <w:r w:rsidRPr="00053919">
        <w:rPr>
          <w:b/>
          <w:bCs/>
          <w:szCs w:val="24"/>
        </w:rPr>
        <w:t>ITU</w:t>
      </w:r>
      <w:r w:rsidRPr="00053919">
        <w:rPr>
          <w:b/>
          <w:bCs/>
          <w:szCs w:val="24"/>
        </w:rPr>
        <w:noBreakHyphen/>
        <w:t>R</w:t>
      </w:r>
      <w:r w:rsidRPr="00053919">
        <w:rPr>
          <w:szCs w:val="24"/>
        </w:rPr>
        <w:t> </w:t>
      </w:r>
      <w:r>
        <w:rPr>
          <w:b/>
          <w:bCs/>
          <w:szCs w:val="24"/>
        </w:rPr>
        <w:t xml:space="preserve">Member </w:t>
      </w:r>
      <w:r w:rsidRPr="00053919">
        <w:rPr>
          <w:b/>
          <w:bCs/>
          <w:szCs w:val="24"/>
        </w:rPr>
        <w:t>Information</w:t>
      </w:r>
      <w:r w:rsidRPr="00053919">
        <w:rPr>
          <w:szCs w:val="24"/>
        </w:rPr>
        <w:t xml:space="preserve"> </w:t>
      </w:r>
      <w:r>
        <w:rPr>
          <w:b/>
          <w:bCs/>
          <w:szCs w:val="24"/>
        </w:rPr>
        <w:t xml:space="preserve">and Delegate Registration </w:t>
      </w:r>
      <w:r w:rsidRPr="00053919">
        <w:rPr>
          <w:szCs w:val="24"/>
        </w:rPr>
        <w:t>webpage at</w:t>
      </w:r>
      <w:r>
        <w:rPr>
          <w:szCs w:val="24"/>
        </w:rPr>
        <w:t>:</w:t>
      </w:r>
    </w:p>
    <w:p w:rsidR="0010430C" w:rsidRDefault="005C200D" w:rsidP="00785758">
      <w:pPr>
        <w:spacing w:before="240"/>
        <w:jc w:val="center"/>
        <w:rPr>
          <w:szCs w:val="24"/>
        </w:rPr>
      </w:pPr>
      <w:hyperlink r:id="rId13" w:history="1">
        <w:r w:rsidR="0010430C" w:rsidRPr="00053919">
          <w:rPr>
            <w:rStyle w:val="Hyperlink"/>
            <w:szCs w:val="24"/>
          </w:rPr>
          <w:t>http://www.itu.int/ITU-R/go/delegate-reg-info/en</w:t>
        </w:r>
      </w:hyperlink>
    </w:p>
    <w:p w:rsidR="0010430C" w:rsidRPr="00053919" w:rsidRDefault="0010430C" w:rsidP="00785758">
      <w:pPr>
        <w:spacing w:before="240"/>
      </w:pPr>
      <w:r w:rsidRPr="00053919">
        <w:t>The Delegate R</w:t>
      </w:r>
      <w:r w:rsidRPr="00053919">
        <w:rPr>
          <w:color w:val="000000"/>
        </w:rPr>
        <w:t>egistration desk will</w:t>
      </w:r>
      <w:r>
        <w:rPr>
          <w:color w:val="000000"/>
        </w:rPr>
        <w:t xml:space="preserve"> </w:t>
      </w:r>
      <w:r w:rsidRPr="00053919">
        <w:rPr>
          <w:color w:val="000000"/>
        </w:rPr>
        <w:t>open at 08:30 hours on the first day of the meeting at the entrance of the Montbrillant building. Please note that the confirmation of registration sent to each delegate/participant by e-mail must be presented, together with photo identification, in order to receive a badge.</w:t>
      </w:r>
    </w:p>
    <w:p w:rsidR="0010430C" w:rsidRPr="00053919" w:rsidRDefault="0010430C" w:rsidP="00315358">
      <w:pPr>
        <w:tabs>
          <w:tab w:val="left" w:pos="709"/>
        </w:tabs>
      </w:pPr>
      <w:r w:rsidRPr="00053919">
        <w:rPr>
          <w:szCs w:val="24"/>
        </w:rPr>
        <w:t xml:space="preserve">Information regarding hotel accommodation for meetings held in </w:t>
      </w:r>
      <w:smartTag w:uri="urn:schemas-microsoft-com:office:smarttags" w:element="place">
        <w:r w:rsidRPr="00053919">
          <w:rPr>
            <w:szCs w:val="24"/>
          </w:rPr>
          <w:t>Geneva</w:t>
        </w:r>
      </w:smartTag>
      <w:r w:rsidRPr="00053919">
        <w:rPr>
          <w:szCs w:val="24"/>
        </w:rPr>
        <w:t xml:space="preserve"> is available at </w:t>
      </w:r>
      <w:hyperlink r:id="rId14" w:history="1">
        <w:r w:rsidRPr="00053919">
          <w:rPr>
            <w:rStyle w:val="Hyperlink"/>
            <w:szCs w:val="24"/>
          </w:rPr>
          <w:t>http://www.itu.int/travel/index.html</w:t>
        </w:r>
      </w:hyperlink>
      <w:r w:rsidRPr="00053919">
        <w:t>.</w:t>
      </w:r>
    </w:p>
    <w:p w:rsidR="0010430C" w:rsidRPr="0010430C" w:rsidRDefault="0010430C" w:rsidP="00DD1FDF">
      <w:pPr>
        <w:tabs>
          <w:tab w:val="center" w:pos="7371"/>
        </w:tabs>
        <w:spacing w:before="1418"/>
        <w:rPr>
          <w:lang w:val="fr-FR"/>
        </w:rPr>
      </w:pPr>
      <w:r>
        <w:tab/>
      </w:r>
      <w:r>
        <w:tab/>
      </w:r>
      <w:r>
        <w:tab/>
      </w:r>
      <w:r>
        <w:tab/>
      </w:r>
      <w:r>
        <w:tab/>
      </w:r>
      <w:r w:rsidR="00F857DA" w:rsidRPr="00F857DA">
        <w:rPr>
          <w:lang w:val="fr-FR"/>
        </w:rPr>
        <w:t>François Rancy</w:t>
      </w:r>
    </w:p>
    <w:p w:rsidR="0010430C" w:rsidRPr="0010430C" w:rsidRDefault="00F857DA" w:rsidP="00315358">
      <w:pPr>
        <w:pStyle w:val="Times"/>
        <w:tabs>
          <w:tab w:val="center" w:pos="7371"/>
          <w:tab w:val="right" w:pos="8505"/>
        </w:tabs>
        <w:rPr>
          <w:rFonts w:ascii="Times New Roman" w:hAnsi="Times New Roman"/>
        </w:rPr>
      </w:pPr>
      <w:r w:rsidRPr="00F857DA">
        <w:rPr>
          <w:rFonts w:ascii="Times New Roman" w:hAnsi="Times New Roman"/>
        </w:rPr>
        <w:tab/>
        <w:t>Director, Radiocommunication Bureau</w:t>
      </w:r>
    </w:p>
    <w:p w:rsidR="0010430C" w:rsidRPr="0010430C" w:rsidRDefault="0010430C" w:rsidP="00315358">
      <w:pPr>
        <w:tabs>
          <w:tab w:val="center" w:pos="7371"/>
          <w:tab w:val="right" w:pos="8505"/>
        </w:tabs>
        <w:spacing w:before="0"/>
        <w:rPr>
          <w:u w:val="single"/>
          <w:lang w:val="fr-FR"/>
        </w:rPr>
      </w:pPr>
    </w:p>
    <w:p w:rsidR="0010430C" w:rsidRPr="0010430C" w:rsidRDefault="0010430C" w:rsidP="00315358">
      <w:pPr>
        <w:tabs>
          <w:tab w:val="center" w:pos="7371"/>
          <w:tab w:val="right" w:pos="8505"/>
        </w:tabs>
        <w:spacing w:before="0"/>
        <w:rPr>
          <w:b/>
          <w:bCs/>
          <w:lang w:val="fr-FR"/>
        </w:rPr>
      </w:pPr>
    </w:p>
    <w:p w:rsidR="0010430C" w:rsidRPr="0010430C" w:rsidRDefault="0010430C" w:rsidP="00315358">
      <w:pPr>
        <w:tabs>
          <w:tab w:val="center" w:pos="7371"/>
          <w:tab w:val="right" w:pos="8505"/>
        </w:tabs>
        <w:spacing w:before="0"/>
        <w:rPr>
          <w:b/>
          <w:bCs/>
          <w:lang w:val="fr-FR"/>
        </w:rPr>
      </w:pPr>
    </w:p>
    <w:p w:rsidR="0010430C" w:rsidRPr="0010430C" w:rsidRDefault="00F857DA" w:rsidP="00315358">
      <w:pPr>
        <w:tabs>
          <w:tab w:val="center" w:pos="7371"/>
          <w:tab w:val="right" w:pos="8505"/>
        </w:tabs>
        <w:spacing w:before="0"/>
        <w:rPr>
          <w:lang w:val="fr-FR"/>
        </w:rPr>
      </w:pPr>
      <w:r w:rsidRPr="00F857DA">
        <w:rPr>
          <w:b/>
          <w:bCs/>
          <w:lang w:val="fr-FR"/>
        </w:rPr>
        <w:t>Annexes</w:t>
      </w:r>
      <w:r w:rsidRPr="00F857DA">
        <w:rPr>
          <w:lang w:val="fr-FR"/>
        </w:rPr>
        <w:t>:</w:t>
      </w:r>
      <w:r w:rsidRPr="00F857DA">
        <w:rPr>
          <w:lang w:val="fr-FR"/>
        </w:rPr>
        <w:tab/>
        <w:t>2</w:t>
      </w:r>
    </w:p>
    <w:p w:rsidR="0010430C" w:rsidRPr="0010430C" w:rsidRDefault="0010430C" w:rsidP="00315358">
      <w:pPr>
        <w:pStyle w:val="BodyText3"/>
        <w:rPr>
          <w:lang w:val="fr-FR"/>
        </w:rPr>
      </w:pPr>
    </w:p>
    <w:p w:rsidR="0010430C" w:rsidRPr="0010430C" w:rsidRDefault="0010430C" w:rsidP="00315358">
      <w:pPr>
        <w:pStyle w:val="BodyText3"/>
        <w:rPr>
          <w:lang w:val="fr-FR"/>
        </w:rPr>
      </w:pPr>
    </w:p>
    <w:p w:rsidR="0010430C" w:rsidRPr="0010430C" w:rsidRDefault="0010430C" w:rsidP="00315358">
      <w:pPr>
        <w:pStyle w:val="BodyText3"/>
        <w:rPr>
          <w:lang w:val="fr-FR"/>
        </w:rPr>
      </w:pPr>
    </w:p>
    <w:p w:rsidR="0010430C" w:rsidRPr="0010430C" w:rsidRDefault="0010430C" w:rsidP="00315358">
      <w:pPr>
        <w:pStyle w:val="BodyText3"/>
        <w:rPr>
          <w:lang w:val="fr-FR"/>
        </w:rPr>
      </w:pPr>
    </w:p>
    <w:p w:rsidR="0010430C" w:rsidRPr="0010430C" w:rsidRDefault="0010430C" w:rsidP="00315358">
      <w:pPr>
        <w:pStyle w:val="BodyText3"/>
        <w:rPr>
          <w:lang w:val="fr-FR"/>
        </w:rPr>
      </w:pPr>
    </w:p>
    <w:p w:rsidR="0010430C" w:rsidRPr="0010430C" w:rsidRDefault="0010430C" w:rsidP="00315358">
      <w:pPr>
        <w:pStyle w:val="BodyText3"/>
        <w:rPr>
          <w:sz w:val="18"/>
          <w:szCs w:val="18"/>
          <w:lang w:val="fr-FR"/>
        </w:rPr>
      </w:pPr>
    </w:p>
    <w:p w:rsidR="0010430C" w:rsidRPr="00A83B58" w:rsidRDefault="0010430C" w:rsidP="00315358">
      <w:pPr>
        <w:pStyle w:val="BodyText3"/>
        <w:rPr>
          <w:sz w:val="18"/>
          <w:szCs w:val="18"/>
          <w:lang w:val="en-US"/>
        </w:rPr>
      </w:pPr>
      <w:r w:rsidRPr="00A83B58">
        <w:rPr>
          <w:sz w:val="18"/>
          <w:szCs w:val="18"/>
          <w:lang w:val="en-US"/>
        </w:rPr>
        <w:t>Distribution:</w:t>
      </w:r>
    </w:p>
    <w:p w:rsidR="0010430C" w:rsidRPr="00785758" w:rsidRDefault="0010430C" w:rsidP="00315358">
      <w:pPr>
        <w:tabs>
          <w:tab w:val="left" w:pos="284"/>
        </w:tabs>
        <w:ind w:left="284" w:hanging="284"/>
        <w:rPr>
          <w:sz w:val="18"/>
          <w:szCs w:val="18"/>
        </w:rPr>
      </w:pPr>
      <w:r w:rsidRPr="00785758">
        <w:rPr>
          <w:sz w:val="18"/>
          <w:szCs w:val="18"/>
        </w:rPr>
        <w:t>–</w:t>
      </w:r>
      <w:r w:rsidRPr="00785758">
        <w:rPr>
          <w:sz w:val="18"/>
          <w:szCs w:val="18"/>
        </w:rPr>
        <w:tab/>
        <w:t xml:space="preserve">Administrations of </w:t>
      </w:r>
      <w:smartTag w:uri="urn:schemas-microsoft-com:office:smarttags" w:element="place">
        <w:smartTag w:uri="urn:schemas-microsoft-com:office:smarttags" w:element="place">
          <w:r w:rsidRPr="00785758">
            <w:rPr>
              <w:sz w:val="18"/>
              <w:szCs w:val="18"/>
            </w:rPr>
            <w:t>Member</w:t>
          </w:r>
        </w:smartTag>
        <w:r w:rsidRPr="00785758">
          <w:rPr>
            <w:sz w:val="18"/>
            <w:szCs w:val="18"/>
          </w:rPr>
          <w:t xml:space="preserve"> </w:t>
        </w:r>
        <w:smartTag w:uri="urn:schemas-microsoft-com:office:smarttags" w:element="place">
          <w:r w:rsidRPr="00785758">
            <w:rPr>
              <w:sz w:val="18"/>
              <w:szCs w:val="18"/>
            </w:rPr>
            <w:t>States</w:t>
          </w:r>
        </w:smartTag>
      </w:smartTag>
      <w:r w:rsidRPr="00785758">
        <w:rPr>
          <w:sz w:val="18"/>
          <w:szCs w:val="18"/>
        </w:rPr>
        <w:t xml:space="preserve"> and Radiocommunication Sector Members</w:t>
      </w:r>
    </w:p>
    <w:p w:rsidR="0010430C" w:rsidRPr="00785758" w:rsidRDefault="0010430C" w:rsidP="00315358">
      <w:pPr>
        <w:tabs>
          <w:tab w:val="left" w:pos="284"/>
        </w:tabs>
        <w:spacing w:before="0"/>
        <w:ind w:left="284" w:hanging="284"/>
        <w:rPr>
          <w:sz w:val="18"/>
          <w:szCs w:val="18"/>
        </w:rPr>
      </w:pPr>
      <w:r w:rsidRPr="00785758">
        <w:rPr>
          <w:sz w:val="18"/>
          <w:szCs w:val="18"/>
        </w:rPr>
        <w:t>–</w:t>
      </w:r>
      <w:r w:rsidRPr="00785758">
        <w:rPr>
          <w:sz w:val="18"/>
          <w:szCs w:val="18"/>
        </w:rPr>
        <w:tab/>
        <w:t>ITU-R Associates participating in the work of Radiocommunication Study Group 1</w:t>
      </w:r>
    </w:p>
    <w:p w:rsidR="0010430C" w:rsidRPr="00785758" w:rsidRDefault="0010430C" w:rsidP="00315358">
      <w:pPr>
        <w:tabs>
          <w:tab w:val="left" w:pos="284"/>
        </w:tabs>
        <w:spacing w:before="0"/>
        <w:ind w:left="284" w:hanging="284"/>
        <w:rPr>
          <w:sz w:val="18"/>
          <w:szCs w:val="18"/>
        </w:rPr>
      </w:pPr>
      <w:r w:rsidRPr="00785758">
        <w:rPr>
          <w:sz w:val="18"/>
          <w:szCs w:val="18"/>
        </w:rPr>
        <w:t>–</w:t>
      </w:r>
      <w:r w:rsidRPr="00785758">
        <w:rPr>
          <w:sz w:val="18"/>
          <w:szCs w:val="18"/>
        </w:rPr>
        <w:tab/>
        <w:t>Chairmen and Vice-Chairmen of Radiocommunication Study Groups and Special Committee on Regulatory/Procedural Matters</w:t>
      </w:r>
    </w:p>
    <w:p w:rsidR="0010430C" w:rsidRPr="00785758" w:rsidRDefault="0010430C" w:rsidP="00315358">
      <w:pPr>
        <w:tabs>
          <w:tab w:val="left" w:pos="284"/>
        </w:tabs>
        <w:spacing w:before="0"/>
        <w:ind w:left="284" w:hanging="284"/>
        <w:rPr>
          <w:sz w:val="18"/>
          <w:szCs w:val="18"/>
        </w:rPr>
      </w:pPr>
      <w:r w:rsidRPr="00785758">
        <w:rPr>
          <w:sz w:val="18"/>
          <w:szCs w:val="18"/>
        </w:rPr>
        <w:t>–</w:t>
      </w:r>
      <w:r w:rsidRPr="00785758">
        <w:rPr>
          <w:sz w:val="18"/>
          <w:szCs w:val="18"/>
        </w:rPr>
        <w:tab/>
        <w:t>Chairman and Vice-Chairmen of the Conference Preparatory Meeting</w:t>
      </w:r>
    </w:p>
    <w:p w:rsidR="0010430C" w:rsidRPr="00785758" w:rsidRDefault="0010430C" w:rsidP="00315358">
      <w:pPr>
        <w:tabs>
          <w:tab w:val="left" w:pos="284"/>
        </w:tabs>
        <w:spacing w:before="0"/>
        <w:ind w:left="284" w:hanging="284"/>
        <w:rPr>
          <w:sz w:val="18"/>
          <w:szCs w:val="18"/>
        </w:rPr>
      </w:pPr>
      <w:r w:rsidRPr="00785758">
        <w:rPr>
          <w:sz w:val="18"/>
          <w:szCs w:val="18"/>
        </w:rPr>
        <w:t>–</w:t>
      </w:r>
      <w:r w:rsidRPr="00785758">
        <w:rPr>
          <w:sz w:val="18"/>
          <w:szCs w:val="18"/>
        </w:rPr>
        <w:tab/>
        <w:t>Members of the Radio Regulations Board</w:t>
      </w:r>
    </w:p>
    <w:p w:rsidR="0010430C" w:rsidRPr="00785758" w:rsidRDefault="0010430C" w:rsidP="00315358">
      <w:pPr>
        <w:pStyle w:val="BodyTextIndent"/>
        <w:rPr>
          <w:sz w:val="18"/>
          <w:szCs w:val="18"/>
        </w:rPr>
      </w:pPr>
      <w:r w:rsidRPr="00785758">
        <w:rPr>
          <w:sz w:val="18"/>
          <w:szCs w:val="18"/>
        </w:rPr>
        <w:t>–</w:t>
      </w:r>
      <w:r w:rsidRPr="00785758">
        <w:rPr>
          <w:sz w:val="18"/>
          <w:szCs w:val="18"/>
        </w:rPr>
        <w:tab/>
        <w:t>Secretary-General of the ITU, Director of the Telecommunication Standardization Bureau, Director of the Telecommunication Development Bureau</w:t>
      </w:r>
    </w:p>
    <w:p w:rsidR="0010430C" w:rsidRPr="00737F36" w:rsidRDefault="0010430C" w:rsidP="001471E1">
      <w:pPr>
        <w:pStyle w:val="AnnexNotitle"/>
        <w:spacing w:before="120"/>
      </w:pPr>
      <w:r>
        <w:rPr>
          <w:sz w:val="16"/>
        </w:rPr>
        <w:br w:type="page"/>
      </w:r>
      <w:r>
        <w:t>Annex 1</w:t>
      </w:r>
      <w:r w:rsidR="00FD2A55">
        <w:br/>
      </w:r>
      <w:r w:rsidR="00FD2A55">
        <w:br/>
      </w:r>
      <w:r w:rsidRPr="00737F36">
        <w:t>Draft agenda for the meeting of Radiocommunication Study Group 1</w:t>
      </w:r>
    </w:p>
    <w:p w:rsidR="0010430C" w:rsidRDefault="0010430C" w:rsidP="00DD1FDF">
      <w:pPr>
        <w:pStyle w:val="Normalaftertitle"/>
        <w:jc w:val="center"/>
      </w:pPr>
      <w:r>
        <w:t>(</w:t>
      </w:r>
      <w:smartTag w:uri="urn:schemas-microsoft-com:office:smarttags" w:element="place">
        <w:r>
          <w:t>Geneva</w:t>
        </w:r>
      </w:smartTag>
      <w:r>
        <w:t>, 2-3 June 2011)</w:t>
      </w:r>
    </w:p>
    <w:p w:rsidR="0010430C" w:rsidRDefault="0010430C" w:rsidP="00785758"/>
    <w:p w:rsidR="0010430C" w:rsidRPr="00785758" w:rsidRDefault="0010430C" w:rsidP="00785758"/>
    <w:p w:rsidR="0010430C" w:rsidRDefault="0010430C" w:rsidP="00422F78">
      <w:r>
        <w:rPr>
          <w:b/>
        </w:rPr>
        <w:t>1</w:t>
      </w:r>
      <w:r>
        <w:tab/>
        <w:t>Opening of the meeting</w:t>
      </w:r>
    </w:p>
    <w:p w:rsidR="0010430C" w:rsidRDefault="0010430C" w:rsidP="00315358">
      <w:r>
        <w:rPr>
          <w:b/>
        </w:rPr>
        <w:t>2</w:t>
      </w:r>
      <w:r>
        <w:rPr>
          <w:b/>
        </w:rPr>
        <w:tab/>
      </w:r>
      <w:r>
        <w:t>Approval of the agenda</w:t>
      </w:r>
    </w:p>
    <w:p w:rsidR="0010430C" w:rsidRDefault="0010430C" w:rsidP="00315358">
      <w:r>
        <w:rPr>
          <w:b/>
        </w:rPr>
        <w:t>3</w:t>
      </w:r>
      <w:r>
        <w:tab/>
        <w:t>Appointment of the Rapporteur</w:t>
      </w:r>
    </w:p>
    <w:p w:rsidR="0010430C" w:rsidRDefault="0010430C" w:rsidP="00DD1FDF">
      <w:pPr>
        <w:rPr>
          <w:b/>
        </w:rPr>
      </w:pPr>
      <w:r>
        <w:rPr>
          <w:b/>
        </w:rPr>
        <w:t>4</w:t>
      </w:r>
      <w:r>
        <w:rPr>
          <w:b/>
        </w:rPr>
        <w:tab/>
      </w:r>
      <w:r>
        <w:t>Approval of the</w:t>
      </w:r>
      <w:r>
        <w:rPr>
          <w:lang w:eastAsia="ja-JP"/>
        </w:rPr>
        <w:t xml:space="preserve"> </w:t>
      </w:r>
      <w:r>
        <w:t xml:space="preserve">summary record of the September 2010 meeting (Document </w:t>
      </w:r>
      <w:hyperlink r:id="rId15" w:history="1">
        <w:r>
          <w:rPr>
            <w:rStyle w:val="Hyperlink"/>
            <w:lang w:eastAsia="ja-JP"/>
          </w:rPr>
          <w:t>1/136</w:t>
        </w:r>
      </w:hyperlink>
      <w:r>
        <w:t>)</w:t>
      </w:r>
    </w:p>
    <w:p w:rsidR="0010430C" w:rsidRDefault="0010430C" w:rsidP="00315358">
      <w:r>
        <w:rPr>
          <w:b/>
        </w:rPr>
        <w:t>5</w:t>
      </w:r>
      <w:r>
        <w:rPr>
          <w:b/>
        </w:rPr>
        <w:tab/>
      </w:r>
      <w:r>
        <w:t xml:space="preserve">Report on the </w:t>
      </w:r>
      <w:r w:rsidR="00AE7606">
        <w:t xml:space="preserve">second session </w:t>
      </w:r>
      <w:r>
        <w:t>of CPM-11</w:t>
      </w:r>
    </w:p>
    <w:p w:rsidR="0010430C" w:rsidRPr="005A695B" w:rsidRDefault="0010430C" w:rsidP="00315358">
      <w:pPr>
        <w:rPr>
          <w:szCs w:val="24"/>
          <w:u w:val="single"/>
        </w:rPr>
      </w:pPr>
      <w:r w:rsidRPr="005A695B">
        <w:rPr>
          <w:b/>
        </w:rPr>
        <w:t>6</w:t>
      </w:r>
      <w:r w:rsidRPr="005A695B">
        <w:tab/>
        <w:t>Executive Reports from the Working Party Chairmen</w:t>
      </w:r>
    </w:p>
    <w:p w:rsidR="0010430C" w:rsidRDefault="0010430C" w:rsidP="001471E1">
      <w:pPr>
        <w:tabs>
          <w:tab w:val="clear" w:pos="1191"/>
          <w:tab w:val="left" w:pos="1418"/>
        </w:tabs>
      </w:pPr>
      <w:r>
        <w:rPr>
          <w:b/>
          <w:bCs/>
        </w:rPr>
        <w:tab/>
        <w:t>6</w:t>
      </w:r>
      <w:r w:rsidRPr="0059024E">
        <w:rPr>
          <w:b/>
          <w:bCs/>
        </w:rPr>
        <w:t>.1</w:t>
      </w:r>
      <w:r>
        <w:tab/>
        <w:t>Working Party 1A</w:t>
      </w:r>
    </w:p>
    <w:p w:rsidR="0010430C" w:rsidRDefault="0010430C" w:rsidP="001471E1">
      <w:pPr>
        <w:tabs>
          <w:tab w:val="clear" w:pos="1191"/>
          <w:tab w:val="left" w:pos="1418"/>
        </w:tabs>
        <w:spacing w:before="80"/>
      </w:pPr>
      <w:r>
        <w:rPr>
          <w:b/>
          <w:bCs/>
        </w:rPr>
        <w:tab/>
        <w:t>6</w:t>
      </w:r>
      <w:r w:rsidRPr="0059024E">
        <w:rPr>
          <w:b/>
          <w:bCs/>
        </w:rPr>
        <w:t>.</w:t>
      </w:r>
      <w:r>
        <w:rPr>
          <w:b/>
          <w:bCs/>
        </w:rPr>
        <w:t>2</w:t>
      </w:r>
      <w:r>
        <w:tab/>
        <w:t>Working Party 1B</w:t>
      </w:r>
    </w:p>
    <w:p w:rsidR="0010430C" w:rsidRDefault="0010430C" w:rsidP="001471E1">
      <w:pPr>
        <w:tabs>
          <w:tab w:val="clear" w:pos="1191"/>
          <w:tab w:val="left" w:pos="1418"/>
        </w:tabs>
        <w:spacing w:before="80"/>
      </w:pPr>
      <w:r>
        <w:rPr>
          <w:b/>
          <w:bCs/>
        </w:rPr>
        <w:tab/>
        <w:t>6</w:t>
      </w:r>
      <w:r w:rsidRPr="0059024E">
        <w:rPr>
          <w:b/>
          <w:bCs/>
        </w:rPr>
        <w:t>.</w:t>
      </w:r>
      <w:r>
        <w:rPr>
          <w:b/>
          <w:bCs/>
        </w:rPr>
        <w:t>3</w:t>
      </w:r>
      <w:r>
        <w:tab/>
        <w:t>Working Party 1C</w:t>
      </w:r>
    </w:p>
    <w:p w:rsidR="0010430C" w:rsidRDefault="0010430C" w:rsidP="00315358">
      <w:pPr>
        <w:ind w:left="794" w:hanging="794"/>
      </w:pPr>
      <w:r>
        <w:rPr>
          <w:b/>
        </w:rPr>
        <w:t>7</w:t>
      </w:r>
      <w:r>
        <w:tab/>
        <w:t>Consideration of new and revised Recommendations where notice of intention to seek adoption was not given (see Resolution ITU-R 1-5, § 10.2.3, § 10.3 and § 10.4)</w:t>
      </w:r>
    </w:p>
    <w:p w:rsidR="0010430C" w:rsidRDefault="001471E1" w:rsidP="001471E1">
      <w:pPr>
        <w:pStyle w:val="enumlev3"/>
        <w:tabs>
          <w:tab w:val="clear" w:pos="1588"/>
          <w:tab w:val="left" w:pos="1418"/>
        </w:tabs>
        <w:spacing w:before="120"/>
        <w:ind w:left="1170" w:hanging="360"/>
      </w:pPr>
      <w:r w:rsidRPr="001471E1">
        <w:rPr>
          <w:b/>
          <w:bCs/>
        </w:rPr>
        <w:t>7.1</w:t>
      </w:r>
      <w:r w:rsidR="0010430C">
        <w:tab/>
      </w:r>
      <w:r>
        <w:tab/>
      </w:r>
      <w:r>
        <w:tab/>
      </w:r>
      <w:r w:rsidR="0010430C">
        <w:t>Decision to seek adoption</w:t>
      </w:r>
    </w:p>
    <w:p w:rsidR="0010430C" w:rsidRDefault="001471E1" w:rsidP="001471E1">
      <w:pPr>
        <w:pStyle w:val="enumlev3"/>
        <w:tabs>
          <w:tab w:val="clear" w:pos="1588"/>
          <w:tab w:val="left" w:pos="1418"/>
        </w:tabs>
        <w:ind w:left="1168" w:hanging="357"/>
      </w:pPr>
      <w:r w:rsidRPr="001471E1">
        <w:rPr>
          <w:b/>
          <w:bCs/>
        </w:rPr>
        <w:t>7.2</w:t>
      </w:r>
      <w:r w:rsidR="0010430C">
        <w:tab/>
      </w:r>
      <w:r>
        <w:tab/>
      </w:r>
      <w:r>
        <w:tab/>
      </w:r>
      <w:r w:rsidR="0010430C">
        <w:t>Decision on approval procedure to be followed</w:t>
      </w:r>
    </w:p>
    <w:p w:rsidR="0010430C" w:rsidRDefault="0010430C" w:rsidP="00315358">
      <w:pPr>
        <w:ind w:left="794" w:hanging="794"/>
      </w:pPr>
      <w:r>
        <w:rPr>
          <w:b/>
        </w:rPr>
        <w:t>8</w:t>
      </w:r>
      <w:r>
        <w:tab/>
        <w:t>Consideration of editorial revisions to Recommendations (see Resolution ITU-R 1-5, § 11.5)</w:t>
      </w:r>
    </w:p>
    <w:p w:rsidR="0010430C" w:rsidRDefault="0010430C" w:rsidP="00DD1FDF">
      <w:r>
        <w:rPr>
          <w:b/>
        </w:rPr>
        <w:t>9</w:t>
      </w:r>
      <w:r>
        <w:tab/>
        <w:t>Consideration of new and revised Reports</w:t>
      </w:r>
    </w:p>
    <w:p w:rsidR="0010430C" w:rsidRDefault="0010430C" w:rsidP="002A332C">
      <w:r>
        <w:rPr>
          <w:b/>
        </w:rPr>
        <w:t>10</w:t>
      </w:r>
      <w:r>
        <w:tab/>
        <w:t>Consideration of new and revised Questions</w:t>
      </w:r>
    </w:p>
    <w:p w:rsidR="0010430C" w:rsidRDefault="0010430C" w:rsidP="002A332C">
      <w:r>
        <w:rPr>
          <w:b/>
        </w:rPr>
        <w:t>11</w:t>
      </w:r>
      <w:r>
        <w:tab/>
        <w:t>Suppression of Recommendations, Reports and Questions</w:t>
      </w:r>
    </w:p>
    <w:p w:rsidR="0010430C" w:rsidRDefault="0010430C" w:rsidP="002A332C">
      <w:pPr>
        <w:ind w:left="810" w:hanging="810"/>
      </w:pPr>
      <w:r>
        <w:rPr>
          <w:b/>
        </w:rPr>
        <w:t>12</w:t>
      </w:r>
      <w:r>
        <w:tab/>
        <w:t xml:space="preserve">Status of Recommendations, Reports, Handbooks, Questions, Opinions, Resolutions </w:t>
      </w:r>
      <w:r>
        <w:br/>
        <w:t>and Decisions</w:t>
      </w:r>
    </w:p>
    <w:p w:rsidR="0010430C" w:rsidRDefault="0010430C" w:rsidP="002A332C">
      <w:r>
        <w:rPr>
          <w:b/>
          <w:bCs/>
        </w:rPr>
        <w:t>13</w:t>
      </w:r>
      <w:r>
        <w:tab/>
        <w:t>Preparations for RA-12</w:t>
      </w:r>
      <w:r>
        <w:rPr>
          <w:b/>
        </w:rPr>
        <w:t xml:space="preserve"> </w:t>
      </w:r>
      <w:r w:rsidR="00F857DA" w:rsidRPr="00F857DA">
        <w:rPr>
          <w:bCs/>
        </w:rPr>
        <w:t>and</w:t>
      </w:r>
      <w:r>
        <w:rPr>
          <w:b/>
        </w:rPr>
        <w:t xml:space="preserve"> </w:t>
      </w:r>
      <w:r>
        <w:t>WRC-12</w:t>
      </w:r>
    </w:p>
    <w:p w:rsidR="0010430C" w:rsidRDefault="0010430C" w:rsidP="00DD1FDF">
      <w:r>
        <w:rPr>
          <w:b/>
        </w:rPr>
        <w:t>14</w:t>
      </w:r>
      <w:r>
        <w:rPr>
          <w:b/>
        </w:rPr>
        <w:tab/>
      </w:r>
      <w:r>
        <w:t>Report from the Editorial Group and Rapporteur for Vocabulary</w:t>
      </w:r>
    </w:p>
    <w:p w:rsidR="0010430C" w:rsidRDefault="0010430C" w:rsidP="00DD1FDF">
      <w:r>
        <w:rPr>
          <w:b/>
        </w:rPr>
        <w:t>15</w:t>
      </w:r>
      <w:r>
        <w:tab/>
        <w:t>Liaison with other Study Groups and international organizations</w:t>
      </w:r>
    </w:p>
    <w:p w:rsidR="0010430C" w:rsidRDefault="0010430C" w:rsidP="001471E1">
      <w:pPr>
        <w:tabs>
          <w:tab w:val="clear" w:pos="1191"/>
          <w:tab w:val="left" w:pos="1418"/>
        </w:tabs>
        <w:rPr>
          <w:lang w:val="en-US"/>
        </w:rPr>
      </w:pPr>
      <w:r w:rsidRPr="00B12512">
        <w:rPr>
          <w:b/>
          <w:bCs/>
          <w:lang w:val="en-US"/>
        </w:rPr>
        <w:tab/>
        <w:t>1</w:t>
      </w:r>
      <w:r>
        <w:rPr>
          <w:b/>
          <w:bCs/>
          <w:lang w:val="en-US"/>
        </w:rPr>
        <w:t>5</w:t>
      </w:r>
      <w:r w:rsidRPr="00B12512">
        <w:rPr>
          <w:b/>
          <w:bCs/>
          <w:lang w:val="en-US"/>
        </w:rPr>
        <w:t>.1</w:t>
      </w:r>
      <w:r w:rsidRPr="00B12512">
        <w:rPr>
          <w:lang w:val="en-US"/>
        </w:rPr>
        <w:tab/>
      </w:r>
      <w:r w:rsidRPr="00A67371">
        <w:rPr>
          <w:lang w:val="en-US"/>
        </w:rPr>
        <w:t>Radiocommunication Sector (ITU-R)</w:t>
      </w:r>
    </w:p>
    <w:p w:rsidR="0010430C" w:rsidRDefault="0010430C" w:rsidP="001471E1">
      <w:pPr>
        <w:tabs>
          <w:tab w:val="clear" w:pos="1191"/>
          <w:tab w:val="left" w:pos="1418"/>
        </w:tabs>
        <w:spacing w:before="80"/>
        <w:rPr>
          <w:lang w:val="en-US"/>
        </w:rPr>
      </w:pPr>
      <w:r w:rsidRPr="00B12512">
        <w:rPr>
          <w:b/>
          <w:bCs/>
          <w:lang w:val="en-US"/>
        </w:rPr>
        <w:tab/>
        <w:t>1</w:t>
      </w:r>
      <w:r>
        <w:rPr>
          <w:b/>
          <w:bCs/>
          <w:lang w:val="en-US"/>
        </w:rPr>
        <w:t>5</w:t>
      </w:r>
      <w:r w:rsidRPr="00B12512">
        <w:rPr>
          <w:b/>
          <w:bCs/>
          <w:lang w:val="en-US"/>
        </w:rPr>
        <w:t>.</w:t>
      </w:r>
      <w:r>
        <w:rPr>
          <w:b/>
          <w:bCs/>
          <w:lang w:val="en-US"/>
        </w:rPr>
        <w:t>2</w:t>
      </w:r>
      <w:r w:rsidRPr="00B12512">
        <w:rPr>
          <w:lang w:val="en-US"/>
        </w:rPr>
        <w:tab/>
        <w:t>Telecommunication Standardization Sector (ITU-T)</w:t>
      </w:r>
    </w:p>
    <w:p w:rsidR="0010430C" w:rsidRDefault="0010430C" w:rsidP="001471E1">
      <w:pPr>
        <w:tabs>
          <w:tab w:val="clear" w:pos="1191"/>
          <w:tab w:val="left" w:pos="1418"/>
        </w:tabs>
        <w:spacing w:before="80"/>
        <w:rPr>
          <w:lang w:val="en-US"/>
        </w:rPr>
      </w:pPr>
      <w:r w:rsidRPr="00B12512">
        <w:rPr>
          <w:b/>
          <w:bCs/>
          <w:lang w:val="en-US"/>
        </w:rPr>
        <w:tab/>
      </w:r>
      <w:r w:rsidRPr="00926CF6">
        <w:rPr>
          <w:b/>
          <w:bCs/>
          <w:lang w:val="en-US"/>
        </w:rPr>
        <w:t>1</w:t>
      </w:r>
      <w:r>
        <w:rPr>
          <w:b/>
          <w:bCs/>
          <w:lang w:val="en-US"/>
        </w:rPr>
        <w:t>5</w:t>
      </w:r>
      <w:r w:rsidRPr="00926CF6">
        <w:rPr>
          <w:b/>
          <w:bCs/>
          <w:lang w:val="en-US"/>
        </w:rPr>
        <w:t>.</w:t>
      </w:r>
      <w:r>
        <w:rPr>
          <w:b/>
          <w:bCs/>
          <w:lang w:val="en-US"/>
        </w:rPr>
        <w:t>3</w:t>
      </w:r>
      <w:r>
        <w:rPr>
          <w:lang w:val="en-US"/>
        </w:rPr>
        <w:tab/>
      </w:r>
      <w:r w:rsidRPr="00926CF6">
        <w:rPr>
          <w:lang w:val="en-US"/>
        </w:rPr>
        <w:t>Telecommunication Development Sector (ITU-D)</w:t>
      </w:r>
    </w:p>
    <w:p w:rsidR="0010430C" w:rsidRDefault="0010430C" w:rsidP="001471E1">
      <w:pPr>
        <w:tabs>
          <w:tab w:val="clear" w:pos="1191"/>
          <w:tab w:val="left" w:pos="1418"/>
        </w:tabs>
        <w:spacing w:before="80"/>
        <w:rPr>
          <w:lang w:val="en-US"/>
        </w:rPr>
      </w:pPr>
      <w:r>
        <w:rPr>
          <w:b/>
          <w:bCs/>
          <w:lang w:val="en-US"/>
        </w:rPr>
        <w:tab/>
      </w:r>
      <w:r w:rsidRPr="00926CF6">
        <w:rPr>
          <w:b/>
          <w:bCs/>
          <w:lang w:val="en-US"/>
        </w:rPr>
        <w:t>1</w:t>
      </w:r>
      <w:r>
        <w:rPr>
          <w:b/>
          <w:bCs/>
          <w:lang w:val="en-US"/>
        </w:rPr>
        <w:t>5</w:t>
      </w:r>
      <w:r w:rsidRPr="00926CF6">
        <w:rPr>
          <w:b/>
          <w:bCs/>
          <w:lang w:val="en-US"/>
        </w:rPr>
        <w:t>.</w:t>
      </w:r>
      <w:r>
        <w:rPr>
          <w:b/>
          <w:bCs/>
          <w:lang w:val="en-US"/>
        </w:rPr>
        <w:t>4</w:t>
      </w:r>
      <w:r>
        <w:rPr>
          <w:lang w:val="en-US"/>
        </w:rPr>
        <w:tab/>
      </w:r>
      <w:r w:rsidRPr="00926CF6">
        <w:rPr>
          <w:lang w:val="en-US"/>
        </w:rPr>
        <w:t>International Special Committee on Radio Interference (CISPR)</w:t>
      </w:r>
    </w:p>
    <w:p w:rsidR="0010430C" w:rsidRDefault="0010430C">
      <w:pPr>
        <w:tabs>
          <w:tab w:val="clear" w:pos="794"/>
          <w:tab w:val="clear" w:pos="1191"/>
          <w:tab w:val="clear" w:pos="1588"/>
          <w:tab w:val="clear" w:pos="1985"/>
        </w:tabs>
        <w:overflowPunct/>
        <w:autoSpaceDE/>
        <w:autoSpaceDN/>
        <w:adjustRightInd/>
        <w:spacing w:before="0"/>
        <w:textAlignment w:val="auto"/>
        <w:rPr>
          <w:b/>
        </w:rPr>
      </w:pPr>
      <w:r>
        <w:rPr>
          <w:b/>
        </w:rPr>
        <w:br w:type="page"/>
      </w:r>
    </w:p>
    <w:p w:rsidR="0010430C" w:rsidRDefault="0010430C" w:rsidP="00DD1FDF">
      <w:r>
        <w:rPr>
          <w:b/>
        </w:rPr>
        <w:t>16</w:t>
      </w:r>
      <w:r>
        <w:tab/>
        <w:t>Consideration of other contributions</w:t>
      </w:r>
    </w:p>
    <w:p w:rsidR="0010430C" w:rsidRDefault="0010430C" w:rsidP="00DD1FDF">
      <w:r>
        <w:rPr>
          <w:b/>
        </w:rPr>
        <w:t>17</w:t>
      </w:r>
      <w:r>
        <w:tab/>
        <w:t>Consideration of future work programme and schedule of meetings</w:t>
      </w:r>
    </w:p>
    <w:p w:rsidR="0010430C" w:rsidRDefault="0010430C" w:rsidP="00DD1FDF">
      <w:r>
        <w:rPr>
          <w:b/>
        </w:rPr>
        <w:t>18</w:t>
      </w:r>
      <w:r>
        <w:tab/>
        <w:t>Any other business</w:t>
      </w:r>
    </w:p>
    <w:p w:rsidR="0010430C" w:rsidRDefault="0010430C" w:rsidP="00DD1FDF">
      <w:r>
        <w:rPr>
          <w:b/>
        </w:rPr>
        <w:t>19</w:t>
      </w:r>
      <w:r>
        <w:tab/>
        <w:t>Closure of the meeting</w:t>
      </w:r>
    </w:p>
    <w:p w:rsidR="0010430C" w:rsidRDefault="0010430C" w:rsidP="00315358"/>
    <w:p w:rsidR="0010430C" w:rsidRDefault="0010430C" w:rsidP="00315358"/>
    <w:p w:rsidR="0010430C" w:rsidRDefault="0010430C" w:rsidP="00315358"/>
    <w:p w:rsidR="0010430C" w:rsidRPr="00B12512" w:rsidRDefault="0010430C" w:rsidP="00BC5210">
      <w:pPr>
        <w:tabs>
          <w:tab w:val="clear" w:pos="794"/>
          <w:tab w:val="clear" w:pos="1191"/>
          <w:tab w:val="clear" w:pos="1588"/>
          <w:tab w:val="clear" w:pos="1985"/>
          <w:tab w:val="center" w:pos="7371"/>
        </w:tabs>
        <w:rPr>
          <w:lang w:val="en-US" w:eastAsia="ja-JP"/>
        </w:rPr>
      </w:pPr>
      <w:r>
        <w:tab/>
        <w:t>R. HAINES</w:t>
      </w:r>
      <w:r>
        <w:br/>
      </w:r>
      <w:r>
        <w:tab/>
        <w:t>Chairman, Radiocommunication Study Group 1</w:t>
      </w:r>
    </w:p>
    <w:p w:rsidR="0010430C" w:rsidRDefault="0010430C" w:rsidP="00FD2A55">
      <w:pPr>
        <w:pStyle w:val="AnnexNotitle"/>
        <w:spacing w:before="120"/>
      </w:pPr>
      <w:r>
        <w:br w:type="page"/>
      </w:r>
      <w:r w:rsidRPr="00224B87">
        <w:t xml:space="preserve">Annex </w:t>
      </w:r>
      <w:r>
        <w:t>2</w:t>
      </w:r>
      <w:r>
        <w:br/>
      </w:r>
      <w:r>
        <w:br/>
        <w:t xml:space="preserve">Topics to be addressed at meetings of Working Parties 1A, 1B and 1C </w:t>
      </w:r>
      <w:r>
        <w:br/>
        <w:t>held prior to the meeting of Study Group 1 and for which draft Recommendations may be developed</w:t>
      </w:r>
    </w:p>
    <w:p w:rsidR="0010430C" w:rsidRDefault="0010430C" w:rsidP="00030CDC">
      <w:pPr>
        <w:pStyle w:val="Source"/>
      </w:pPr>
      <w:r>
        <w:t>Working Party 1A</w:t>
      </w:r>
    </w:p>
    <w:p w:rsidR="0010430C" w:rsidRDefault="001121CF" w:rsidP="00AE7606">
      <w:pPr>
        <w:tabs>
          <w:tab w:val="clear" w:pos="794"/>
          <w:tab w:val="left" w:pos="720"/>
        </w:tabs>
        <w:spacing w:before="240"/>
        <w:ind w:left="720" w:hanging="720"/>
        <w:rPr>
          <w:szCs w:val="24"/>
        </w:rPr>
      </w:pPr>
      <w:r>
        <w:rPr>
          <w:bCs/>
          <w:szCs w:val="24"/>
        </w:rPr>
        <w:t>−</w:t>
      </w:r>
      <w:r w:rsidR="0010430C">
        <w:rPr>
          <w:szCs w:val="24"/>
        </w:rPr>
        <w:tab/>
      </w:r>
      <w:r w:rsidR="0010430C">
        <w:rPr>
          <w:i/>
          <w:szCs w:val="24"/>
        </w:rPr>
        <w:t>Impact of power line high data rate telecommunications systems on radiocommunication systems</w:t>
      </w:r>
      <w:r w:rsidR="0010430C">
        <w:rPr>
          <w:szCs w:val="24"/>
        </w:rPr>
        <w:t xml:space="preserve"> (see Recommendation ITU-R SM.1879, Report ITU-R SM.2158-1 and the working document toward a preliminary draft new Report ITU-R SM.[PLT + 80 MHz] </w:t>
      </w:r>
      <w:r w:rsidR="00AE7606">
        <w:rPr>
          <w:szCs w:val="24"/>
        </w:rPr>
        <w:br/>
      </w:r>
      <w:r w:rsidR="0010430C">
        <w:rPr>
          <w:szCs w:val="24"/>
        </w:rPr>
        <w:t>(</w:t>
      </w:r>
      <w:r w:rsidR="00AE7606">
        <w:rPr>
          <w:szCs w:val="24"/>
        </w:rPr>
        <w:t xml:space="preserve">see </w:t>
      </w:r>
      <w:r w:rsidR="0010430C">
        <w:rPr>
          <w:szCs w:val="24"/>
        </w:rPr>
        <w:t xml:space="preserve">Annex 1 to </w:t>
      </w:r>
      <w:hyperlink r:id="rId16" w:history="1">
        <w:r w:rsidR="0010430C">
          <w:rPr>
            <w:rStyle w:val="Hyperlink"/>
            <w:szCs w:val="24"/>
          </w:rPr>
          <w:t>Document 1A/311</w:t>
        </w:r>
      </w:hyperlink>
      <w:r w:rsidR="0010430C">
        <w:rPr>
          <w:szCs w:val="24"/>
        </w:rPr>
        <w:t>)).</w:t>
      </w:r>
    </w:p>
    <w:p w:rsidR="0010430C" w:rsidRDefault="001121CF" w:rsidP="00994EED">
      <w:pPr>
        <w:tabs>
          <w:tab w:val="clear" w:pos="794"/>
          <w:tab w:val="left" w:pos="720"/>
        </w:tabs>
        <w:ind w:left="720" w:hanging="720"/>
        <w:rPr>
          <w:szCs w:val="24"/>
        </w:rPr>
      </w:pPr>
      <w:r>
        <w:rPr>
          <w:szCs w:val="24"/>
        </w:rPr>
        <w:t>−</w:t>
      </w:r>
      <w:r w:rsidR="0010430C">
        <w:rPr>
          <w:szCs w:val="24"/>
        </w:rPr>
        <w:tab/>
      </w:r>
      <w:r w:rsidR="0010430C" w:rsidRPr="00CD44C8">
        <w:rPr>
          <w:i/>
          <w:iCs/>
          <w:lang w:val="en-US"/>
        </w:rPr>
        <w:t>Unwanted emissions in the out-of-band domain</w:t>
      </w:r>
      <w:r w:rsidR="0010430C">
        <w:rPr>
          <w:lang w:val="en-US"/>
        </w:rPr>
        <w:t xml:space="preserve"> (</w:t>
      </w:r>
      <w:r w:rsidR="0010430C">
        <w:rPr>
          <w:lang w:eastAsia="zh-CN"/>
        </w:rPr>
        <w:t xml:space="preserve">Recommendation ITU-R SM.1541-2 and its Annex 8 – </w:t>
      </w:r>
      <w:r w:rsidR="0010430C" w:rsidRPr="00CD44C8">
        <w:rPr>
          <w:i/>
          <w:iCs/>
          <w:lang w:val="en-US"/>
        </w:rPr>
        <w:t xml:space="preserve">OoB domain emission limits for </w:t>
      </w:r>
      <w:r w:rsidR="00F857DA" w:rsidRPr="00F857DA">
        <w:rPr>
          <w:i/>
          <w:iCs/>
          <w:lang w:val="en-US"/>
        </w:rPr>
        <w:t>primary radar systems</w:t>
      </w:r>
      <w:r w:rsidR="0010430C">
        <w:rPr>
          <w:lang w:eastAsia="zh-CN"/>
        </w:rPr>
        <w:t>;</w:t>
      </w:r>
      <w:r w:rsidR="0010430C">
        <w:rPr>
          <w:lang w:val="en-US"/>
        </w:rPr>
        <w:t xml:space="preserve"> see Annex 11 to </w:t>
      </w:r>
      <w:hyperlink r:id="rId17" w:history="1">
        <w:r w:rsidR="0010430C">
          <w:rPr>
            <w:rStyle w:val="Hyperlink"/>
            <w:szCs w:val="24"/>
          </w:rPr>
          <w:t>Document 1A/311</w:t>
        </w:r>
      </w:hyperlink>
      <w:r w:rsidR="0010430C">
        <w:rPr>
          <w:lang w:val="en-US"/>
        </w:rPr>
        <w:t>).</w:t>
      </w:r>
    </w:p>
    <w:p w:rsidR="0010430C" w:rsidRDefault="0010430C" w:rsidP="00030CDC">
      <w:pPr>
        <w:pStyle w:val="Source"/>
      </w:pPr>
      <w:r w:rsidRPr="002123FF">
        <w:t>Working</w:t>
      </w:r>
      <w:r>
        <w:t xml:space="preserve"> Party 1B</w:t>
      </w:r>
    </w:p>
    <w:p w:rsidR="0010430C" w:rsidRPr="00065CDC" w:rsidRDefault="001121CF" w:rsidP="001471E1">
      <w:pPr>
        <w:tabs>
          <w:tab w:val="clear" w:pos="794"/>
          <w:tab w:val="left" w:pos="720"/>
        </w:tabs>
        <w:spacing w:before="240"/>
        <w:ind w:left="720" w:hanging="720"/>
        <w:rPr>
          <w:szCs w:val="24"/>
        </w:rPr>
      </w:pPr>
      <w:r>
        <w:rPr>
          <w:bCs/>
        </w:rPr>
        <w:t>−</w:t>
      </w:r>
      <w:r w:rsidR="0010430C">
        <w:tab/>
      </w:r>
      <w:r w:rsidR="00F857DA" w:rsidRPr="00F857DA">
        <w:rPr>
          <w:i/>
          <w:iCs/>
        </w:rPr>
        <w:t>Radiocommunication Data Dictionary (RDD)</w:t>
      </w:r>
      <w:r w:rsidR="0010430C">
        <w:t xml:space="preserve"> (preliminary draft revision of Recommendation ITU</w:t>
      </w:r>
      <w:r w:rsidR="0010430C">
        <w:noBreakHyphen/>
        <w:t xml:space="preserve">R SM.1413-2; see Annex 4 to </w:t>
      </w:r>
      <w:hyperlink r:id="rId18" w:history="1">
        <w:r w:rsidR="0010430C">
          <w:rPr>
            <w:rStyle w:val="Hyperlink"/>
            <w:szCs w:val="24"/>
          </w:rPr>
          <w:t>Document 1B/267</w:t>
        </w:r>
      </w:hyperlink>
      <w:r w:rsidR="0010430C">
        <w:t>).</w:t>
      </w:r>
    </w:p>
    <w:p w:rsidR="0010430C" w:rsidRPr="00065CDC" w:rsidRDefault="001121CF" w:rsidP="00976D35">
      <w:pPr>
        <w:tabs>
          <w:tab w:val="clear" w:pos="794"/>
          <w:tab w:val="left" w:pos="720"/>
        </w:tabs>
        <w:ind w:left="720" w:hanging="720"/>
        <w:rPr>
          <w:szCs w:val="24"/>
        </w:rPr>
      </w:pPr>
      <w:r>
        <w:rPr>
          <w:bCs/>
        </w:rPr>
        <w:t>−</w:t>
      </w:r>
      <w:r w:rsidR="0010430C">
        <w:tab/>
      </w:r>
      <w:r w:rsidR="0010430C" w:rsidRPr="00FB6AC4">
        <w:rPr>
          <w:i/>
          <w:iCs/>
        </w:rPr>
        <w:t>Frequency bands regionally or globally identified for short-range devices (SRDs)</w:t>
      </w:r>
      <w:r w:rsidR="0010430C">
        <w:rPr>
          <w:i/>
        </w:rPr>
        <w:t xml:space="preserve"> </w:t>
      </w:r>
      <w:r w:rsidR="0010430C">
        <w:t>(preliminary draft new Recommendation ITU</w:t>
      </w:r>
      <w:r w:rsidR="0010430C">
        <w:noBreakHyphen/>
        <w:t xml:space="preserve">R SM.[SRD]; see Annex 1 to </w:t>
      </w:r>
      <w:hyperlink r:id="rId19" w:history="1">
        <w:r w:rsidR="0010430C" w:rsidRPr="005374BA">
          <w:rPr>
            <w:rStyle w:val="Hyperlink"/>
          </w:rPr>
          <w:t>Document 1B/267</w:t>
        </w:r>
      </w:hyperlink>
      <w:r w:rsidR="0010430C">
        <w:t>).</w:t>
      </w:r>
    </w:p>
    <w:p w:rsidR="0010430C" w:rsidRDefault="0010430C" w:rsidP="00030CDC">
      <w:pPr>
        <w:pStyle w:val="Source"/>
      </w:pPr>
      <w:r w:rsidRPr="002123FF">
        <w:t>Working</w:t>
      </w:r>
      <w:r>
        <w:t xml:space="preserve"> Party 1C</w:t>
      </w:r>
    </w:p>
    <w:p w:rsidR="0010430C" w:rsidRDefault="001121CF" w:rsidP="001471E1">
      <w:pPr>
        <w:tabs>
          <w:tab w:val="clear" w:pos="794"/>
          <w:tab w:val="left" w:pos="720"/>
        </w:tabs>
        <w:spacing w:before="240"/>
        <w:ind w:left="720" w:hanging="720"/>
        <w:rPr>
          <w:i/>
          <w:szCs w:val="24"/>
        </w:rPr>
      </w:pPr>
      <w:r>
        <w:rPr>
          <w:bCs/>
          <w:szCs w:val="24"/>
        </w:rPr>
        <w:t>−</w:t>
      </w:r>
      <w:r w:rsidR="0010430C">
        <w:rPr>
          <w:szCs w:val="24"/>
        </w:rPr>
        <w:tab/>
        <w:t>R</w:t>
      </w:r>
      <w:r w:rsidR="0010430C">
        <w:rPr>
          <w:rStyle w:val="href"/>
        </w:rPr>
        <w:t>elevant ITU</w:t>
      </w:r>
      <w:r w:rsidR="0010430C">
        <w:rPr>
          <w:rStyle w:val="href"/>
        </w:rPr>
        <w:noBreakHyphen/>
        <w:t xml:space="preserve">R Recommendations </w:t>
      </w:r>
      <w:r w:rsidR="0010430C">
        <w:rPr>
          <w:lang w:val="en-US"/>
        </w:rPr>
        <w:t>impacted by the new version of the ITU Handbook on Spectrum Monitoring</w:t>
      </w:r>
      <w:r w:rsidR="0010430C">
        <w:rPr>
          <w:rStyle w:val="href"/>
        </w:rPr>
        <w:t xml:space="preserve"> (see </w:t>
      </w:r>
      <w:r>
        <w:rPr>
          <w:szCs w:val="24"/>
        </w:rPr>
        <w:t xml:space="preserve">section </w:t>
      </w:r>
      <w:r w:rsidR="0010430C">
        <w:rPr>
          <w:szCs w:val="24"/>
        </w:rPr>
        <w:t xml:space="preserve">to 3.1.2.6 of </w:t>
      </w:r>
      <w:hyperlink r:id="rId20" w:history="1">
        <w:r w:rsidR="0010430C">
          <w:rPr>
            <w:rStyle w:val="Hyperlink"/>
          </w:rPr>
          <w:t>Document 1C/122</w:t>
        </w:r>
      </w:hyperlink>
      <w:r w:rsidR="0010430C">
        <w:rPr>
          <w:i/>
          <w:szCs w:val="24"/>
        </w:rPr>
        <w:t>)</w:t>
      </w:r>
      <w:r w:rsidR="0010430C" w:rsidRPr="008166B8">
        <w:rPr>
          <w:iCs/>
          <w:szCs w:val="24"/>
        </w:rPr>
        <w:t>.</w:t>
      </w:r>
    </w:p>
    <w:p w:rsidR="0010430C" w:rsidRDefault="0010430C" w:rsidP="00FD2A55"/>
    <w:p w:rsidR="00FD2A55" w:rsidRDefault="00FD2A55" w:rsidP="00FD2A55"/>
    <w:p w:rsidR="00FD2A55" w:rsidRDefault="00FD2A55" w:rsidP="00FD2A55"/>
    <w:p w:rsidR="00E6154F" w:rsidRDefault="00E6154F" w:rsidP="00FD2A55"/>
    <w:p w:rsidR="0010430C" w:rsidRDefault="0010430C" w:rsidP="00C839E5">
      <w:pPr>
        <w:spacing w:before="0"/>
        <w:jc w:val="center"/>
      </w:pPr>
      <w:r>
        <w:t>_________________</w:t>
      </w:r>
    </w:p>
    <w:sectPr w:rsidR="0010430C" w:rsidSect="00785758">
      <w:headerReference w:type="default" r:id="rId21"/>
      <w:footerReference w:type="default" r:id="rId22"/>
      <w:footerReference w:type="first" r:id="rId23"/>
      <w:pgSz w:w="11907" w:h="16834"/>
      <w:pgMar w:top="1418" w:right="1134" w:bottom="1134"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0E8" w:rsidRDefault="00F120E8">
      <w:r>
        <w:separator/>
      </w:r>
    </w:p>
  </w:endnote>
  <w:endnote w:type="continuationSeparator" w:id="0">
    <w:p w:rsidR="00F120E8" w:rsidRDefault="00F12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E8" w:rsidRDefault="005C200D">
    <w:pPr>
      <w:pStyle w:val="Footer"/>
    </w:pPr>
    <w:fldSimple w:instr=" FILENAME  \p  \* MERGEFORMAT ">
      <w:r w:rsidR="004B4EB0">
        <w:t>Y:\APP\BR\CIRCS_DMS\CACE\500\525\525e.docx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F120E8">
      <w:trPr>
        <w:cantSplit/>
      </w:trPr>
      <w:tc>
        <w:tcPr>
          <w:tcW w:w="1062" w:type="pct"/>
          <w:tcBorders>
            <w:top w:val="single" w:sz="6" w:space="0" w:color="auto"/>
          </w:tcBorders>
          <w:tcMar>
            <w:top w:w="57" w:type="dxa"/>
          </w:tcMar>
        </w:tcPr>
        <w:p w:rsidR="00F120E8" w:rsidRDefault="00F120E8">
          <w:pPr>
            <w:pStyle w:val="itu"/>
          </w:pPr>
          <w:r>
            <w:t>Place des Nations</w:t>
          </w:r>
        </w:p>
      </w:tc>
      <w:tc>
        <w:tcPr>
          <w:tcW w:w="1583" w:type="pct"/>
          <w:tcBorders>
            <w:top w:val="single" w:sz="6" w:space="0" w:color="auto"/>
          </w:tcBorders>
          <w:tcMar>
            <w:top w:w="57" w:type="dxa"/>
          </w:tcMar>
        </w:tcPr>
        <w:p w:rsidR="00F120E8" w:rsidRDefault="00F120E8">
          <w:pPr>
            <w:pStyle w:val="itu"/>
          </w:pPr>
          <w:r>
            <w:t>Telephone</w:t>
          </w:r>
          <w:r>
            <w:tab/>
            <w:t>+41 22 730 51 11</w:t>
          </w:r>
        </w:p>
      </w:tc>
      <w:tc>
        <w:tcPr>
          <w:tcW w:w="1224" w:type="pct"/>
          <w:tcBorders>
            <w:top w:val="single" w:sz="6" w:space="0" w:color="auto"/>
          </w:tcBorders>
          <w:tcMar>
            <w:top w:w="57" w:type="dxa"/>
          </w:tcMar>
        </w:tcPr>
        <w:p w:rsidR="00F120E8" w:rsidRDefault="00F120E8">
          <w:pPr>
            <w:pStyle w:val="itu"/>
          </w:pPr>
          <w:r>
            <w:t>Telex 421 000 uit ch</w:t>
          </w:r>
        </w:p>
      </w:tc>
      <w:tc>
        <w:tcPr>
          <w:tcW w:w="1131" w:type="pct"/>
          <w:tcBorders>
            <w:top w:val="single" w:sz="6" w:space="0" w:color="auto"/>
          </w:tcBorders>
          <w:tcMar>
            <w:top w:w="57" w:type="dxa"/>
          </w:tcMar>
        </w:tcPr>
        <w:p w:rsidR="00F120E8" w:rsidRDefault="00F120E8">
          <w:pPr>
            <w:pStyle w:val="itu"/>
          </w:pPr>
          <w:r>
            <w:t>E-mail:</w:t>
          </w:r>
          <w:r>
            <w:tab/>
            <w:t>itumail@itu.int</w:t>
          </w:r>
        </w:p>
      </w:tc>
    </w:tr>
    <w:tr w:rsidR="00F120E8">
      <w:trPr>
        <w:cantSplit/>
      </w:trPr>
      <w:tc>
        <w:tcPr>
          <w:tcW w:w="1062" w:type="pct"/>
        </w:tcPr>
        <w:p w:rsidR="00F120E8" w:rsidRDefault="00F120E8">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120E8" w:rsidRDefault="00F120E8">
          <w:pPr>
            <w:pStyle w:val="itu"/>
          </w:pPr>
          <w:r>
            <w:t>Telefax</w:t>
          </w:r>
          <w:r>
            <w:tab/>
            <w:t>Gr3:</w:t>
          </w:r>
          <w:r>
            <w:tab/>
            <w:t>+41 22 733 72 56</w:t>
          </w:r>
        </w:p>
      </w:tc>
      <w:tc>
        <w:tcPr>
          <w:tcW w:w="1224" w:type="pct"/>
        </w:tcPr>
        <w:p w:rsidR="00F120E8" w:rsidRDefault="00F120E8">
          <w:pPr>
            <w:pStyle w:val="itu"/>
          </w:pPr>
          <w:r>
            <w:t>Telegram ITU GENEVE</w:t>
          </w:r>
        </w:p>
      </w:tc>
      <w:tc>
        <w:tcPr>
          <w:tcW w:w="1131" w:type="pct"/>
        </w:tcPr>
        <w:p w:rsidR="00F120E8" w:rsidRDefault="00F120E8">
          <w:pPr>
            <w:pStyle w:val="itu"/>
          </w:pPr>
          <w:r>
            <w:tab/>
          </w:r>
          <w:hyperlink r:id="rId1" w:history="1">
            <w:r>
              <w:t>http://www.itu.int/</w:t>
            </w:r>
          </w:hyperlink>
        </w:p>
      </w:tc>
    </w:tr>
    <w:tr w:rsidR="00F120E8">
      <w:trPr>
        <w:cantSplit/>
      </w:trPr>
      <w:tc>
        <w:tcPr>
          <w:tcW w:w="1062" w:type="pct"/>
        </w:tcPr>
        <w:p w:rsidR="00F120E8" w:rsidRDefault="00F120E8">
          <w:pPr>
            <w:pStyle w:val="itu"/>
          </w:pPr>
          <w:smartTag w:uri="urn:schemas-microsoft-com:office:smarttags" w:element="country-region">
            <w:smartTag w:uri="urn:schemas-microsoft-com:office:smarttags" w:element="place">
              <w:r>
                <w:t>Switzerland</w:t>
              </w:r>
            </w:smartTag>
          </w:smartTag>
        </w:p>
      </w:tc>
      <w:tc>
        <w:tcPr>
          <w:tcW w:w="1583" w:type="pct"/>
        </w:tcPr>
        <w:p w:rsidR="00F120E8" w:rsidRDefault="00F120E8">
          <w:pPr>
            <w:pStyle w:val="itu"/>
          </w:pPr>
          <w:r>
            <w:tab/>
            <w:t>Gr4:</w:t>
          </w:r>
          <w:r>
            <w:tab/>
            <w:t>+41 22 730 65 00</w:t>
          </w:r>
        </w:p>
      </w:tc>
      <w:tc>
        <w:tcPr>
          <w:tcW w:w="1224" w:type="pct"/>
        </w:tcPr>
        <w:p w:rsidR="00F120E8" w:rsidRDefault="00F120E8">
          <w:pPr>
            <w:pStyle w:val="itu"/>
          </w:pPr>
        </w:p>
      </w:tc>
      <w:tc>
        <w:tcPr>
          <w:tcW w:w="1131" w:type="pct"/>
        </w:tcPr>
        <w:p w:rsidR="00F120E8" w:rsidRDefault="00F120E8">
          <w:pPr>
            <w:pStyle w:val="itu"/>
          </w:pPr>
        </w:p>
      </w:tc>
    </w:tr>
  </w:tbl>
  <w:p w:rsidR="00F120E8" w:rsidRPr="00785758" w:rsidRDefault="00F120E8" w:rsidP="001E15AA">
    <w:pPr>
      <w:spacing w:before="0"/>
      <w:rPr>
        <w:sz w:val="10"/>
        <w:szCs w:val="10"/>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0E8" w:rsidRDefault="00F120E8">
      <w:r>
        <w:t>____________________</w:t>
      </w:r>
    </w:p>
  </w:footnote>
  <w:footnote w:type="continuationSeparator" w:id="0">
    <w:p w:rsidR="00F120E8" w:rsidRDefault="00F12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E8" w:rsidRPr="001E15AA" w:rsidRDefault="00F120E8" w:rsidP="00785758">
    <w:pPr>
      <w:pStyle w:val="Header"/>
      <w:rPr>
        <w:lang w:val="en-US"/>
      </w:rPr>
    </w:pPr>
    <w:r>
      <w:rPr>
        <w:lang w:val="en-US"/>
      </w:rPr>
      <w:t xml:space="preserve">- </w:t>
    </w:r>
    <w:r w:rsidR="005C200D">
      <w:rPr>
        <w:rStyle w:val="PageNumber"/>
      </w:rPr>
      <w:fldChar w:fldCharType="begin"/>
    </w:r>
    <w:r>
      <w:rPr>
        <w:rStyle w:val="PageNumber"/>
      </w:rPr>
      <w:instrText xml:space="preserve"> PAGE </w:instrText>
    </w:r>
    <w:r w:rsidR="005C200D">
      <w:rPr>
        <w:rStyle w:val="PageNumber"/>
      </w:rPr>
      <w:fldChar w:fldCharType="separate"/>
    </w:r>
    <w:r w:rsidR="004B4EB0">
      <w:rPr>
        <w:rStyle w:val="PageNumber"/>
        <w:noProof/>
      </w:rPr>
      <w:t>6</w:t>
    </w:r>
    <w:r w:rsidR="005C200D">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rsids>
    <w:rsidRoot w:val="00315358"/>
    <w:rsid w:val="00004945"/>
    <w:rsid w:val="000157E5"/>
    <w:rsid w:val="00016557"/>
    <w:rsid w:val="00030CDC"/>
    <w:rsid w:val="00046BAE"/>
    <w:rsid w:val="00047213"/>
    <w:rsid w:val="00053919"/>
    <w:rsid w:val="00065CDC"/>
    <w:rsid w:val="0009589D"/>
    <w:rsid w:val="000B3968"/>
    <w:rsid w:val="000C4C4C"/>
    <w:rsid w:val="000E15C1"/>
    <w:rsid w:val="000E64DA"/>
    <w:rsid w:val="000F124E"/>
    <w:rsid w:val="000F527D"/>
    <w:rsid w:val="0010430C"/>
    <w:rsid w:val="001121CF"/>
    <w:rsid w:val="00124AC2"/>
    <w:rsid w:val="00125740"/>
    <w:rsid w:val="00125DAA"/>
    <w:rsid w:val="00127FB3"/>
    <w:rsid w:val="00137FFD"/>
    <w:rsid w:val="001422A5"/>
    <w:rsid w:val="001471E1"/>
    <w:rsid w:val="0016047A"/>
    <w:rsid w:val="001743E3"/>
    <w:rsid w:val="001812A3"/>
    <w:rsid w:val="001C2B80"/>
    <w:rsid w:val="001D07A5"/>
    <w:rsid w:val="001D25B1"/>
    <w:rsid w:val="001D7320"/>
    <w:rsid w:val="001E15AA"/>
    <w:rsid w:val="00206783"/>
    <w:rsid w:val="00210B45"/>
    <w:rsid w:val="002123FF"/>
    <w:rsid w:val="0021330B"/>
    <w:rsid w:val="00224B87"/>
    <w:rsid w:val="00227F65"/>
    <w:rsid w:val="00230D25"/>
    <w:rsid w:val="002A142C"/>
    <w:rsid w:val="002A26A4"/>
    <w:rsid w:val="002A332C"/>
    <w:rsid w:val="002A4A5F"/>
    <w:rsid w:val="002E5FFA"/>
    <w:rsid w:val="00315358"/>
    <w:rsid w:val="00326C5C"/>
    <w:rsid w:val="00347C1A"/>
    <w:rsid w:val="00387E87"/>
    <w:rsid w:val="00397166"/>
    <w:rsid w:val="003A5E1E"/>
    <w:rsid w:val="003B290D"/>
    <w:rsid w:val="003B5CB0"/>
    <w:rsid w:val="003D3993"/>
    <w:rsid w:val="004012E0"/>
    <w:rsid w:val="004022CD"/>
    <w:rsid w:val="00410B0E"/>
    <w:rsid w:val="0041526C"/>
    <w:rsid w:val="0042073A"/>
    <w:rsid w:val="00422F78"/>
    <w:rsid w:val="0044634B"/>
    <w:rsid w:val="0045662E"/>
    <w:rsid w:val="00474281"/>
    <w:rsid w:val="004A5AB1"/>
    <w:rsid w:val="004B4EB0"/>
    <w:rsid w:val="004C1881"/>
    <w:rsid w:val="004C505F"/>
    <w:rsid w:val="004D1BCD"/>
    <w:rsid w:val="004F26AE"/>
    <w:rsid w:val="00502DDC"/>
    <w:rsid w:val="00503725"/>
    <w:rsid w:val="0050552C"/>
    <w:rsid w:val="005343E0"/>
    <w:rsid w:val="005374BA"/>
    <w:rsid w:val="00551231"/>
    <w:rsid w:val="005740FA"/>
    <w:rsid w:val="00580F4B"/>
    <w:rsid w:val="0059024E"/>
    <w:rsid w:val="00595800"/>
    <w:rsid w:val="005A695B"/>
    <w:rsid w:val="005B4063"/>
    <w:rsid w:val="005B40DE"/>
    <w:rsid w:val="005C200D"/>
    <w:rsid w:val="005D5408"/>
    <w:rsid w:val="005F130D"/>
    <w:rsid w:val="005F7F4C"/>
    <w:rsid w:val="00612573"/>
    <w:rsid w:val="006136BC"/>
    <w:rsid w:val="006312EE"/>
    <w:rsid w:val="006A3C59"/>
    <w:rsid w:val="006B3F95"/>
    <w:rsid w:val="006C2F2D"/>
    <w:rsid w:val="006D5FEC"/>
    <w:rsid w:val="0071106C"/>
    <w:rsid w:val="00720FC9"/>
    <w:rsid w:val="00737F36"/>
    <w:rsid w:val="00746900"/>
    <w:rsid w:val="007476DB"/>
    <w:rsid w:val="00785758"/>
    <w:rsid w:val="00794D8C"/>
    <w:rsid w:val="007A234B"/>
    <w:rsid w:val="007E6B00"/>
    <w:rsid w:val="007F0426"/>
    <w:rsid w:val="00811467"/>
    <w:rsid w:val="00814E36"/>
    <w:rsid w:val="008166B8"/>
    <w:rsid w:val="00851917"/>
    <w:rsid w:val="00881D43"/>
    <w:rsid w:val="00885E91"/>
    <w:rsid w:val="008B27DC"/>
    <w:rsid w:val="008D4874"/>
    <w:rsid w:val="008E1FA5"/>
    <w:rsid w:val="008E219B"/>
    <w:rsid w:val="0091377E"/>
    <w:rsid w:val="009211D6"/>
    <w:rsid w:val="00926CF6"/>
    <w:rsid w:val="0093066A"/>
    <w:rsid w:val="0093776F"/>
    <w:rsid w:val="009676DC"/>
    <w:rsid w:val="009746CA"/>
    <w:rsid w:val="00976D35"/>
    <w:rsid w:val="0098170D"/>
    <w:rsid w:val="009846D5"/>
    <w:rsid w:val="0099151F"/>
    <w:rsid w:val="00994EED"/>
    <w:rsid w:val="009B5DEB"/>
    <w:rsid w:val="009E00B9"/>
    <w:rsid w:val="009E14F3"/>
    <w:rsid w:val="009E1957"/>
    <w:rsid w:val="009E708C"/>
    <w:rsid w:val="00A06093"/>
    <w:rsid w:val="00A07FFE"/>
    <w:rsid w:val="00A27461"/>
    <w:rsid w:val="00A40406"/>
    <w:rsid w:val="00A60B6D"/>
    <w:rsid w:val="00A67371"/>
    <w:rsid w:val="00A83B58"/>
    <w:rsid w:val="00AB07C5"/>
    <w:rsid w:val="00AB1815"/>
    <w:rsid w:val="00AE3A39"/>
    <w:rsid w:val="00AE7606"/>
    <w:rsid w:val="00AF1D3D"/>
    <w:rsid w:val="00B06DB5"/>
    <w:rsid w:val="00B12512"/>
    <w:rsid w:val="00B146FC"/>
    <w:rsid w:val="00B27A17"/>
    <w:rsid w:val="00B57344"/>
    <w:rsid w:val="00B80146"/>
    <w:rsid w:val="00B81DF1"/>
    <w:rsid w:val="00B87E04"/>
    <w:rsid w:val="00BC5210"/>
    <w:rsid w:val="00BC6B36"/>
    <w:rsid w:val="00C216F9"/>
    <w:rsid w:val="00C3344F"/>
    <w:rsid w:val="00C50A57"/>
    <w:rsid w:val="00C66C48"/>
    <w:rsid w:val="00C70FD5"/>
    <w:rsid w:val="00C839E5"/>
    <w:rsid w:val="00C879F3"/>
    <w:rsid w:val="00CB0CD8"/>
    <w:rsid w:val="00CD44C8"/>
    <w:rsid w:val="00CF4899"/>
    <w:rsid w:val="00D35752"/>
    <w:rsid w:val="00D36A95"/>
    <w:rsid w:val="00D41627"/>
    <w:rsid w:val="00D463D0"/>
    <w:rsid w:val="00D57DCF"/>
    <w:rsid w:val="00D61395"/>
    <w:rsid w:val="00D621BD"/>
    <w:rsid w:val="00D64CE2"/>
    <w:rsid w:val="00D67F97"/>
    <w:rsid w:val="00D744B4"/>
    <w:rsid w:val="00D95E7D"/>
    <w:rsid w:val="00DD1FDF"/>
    <w:rsid w:val="00DF0AB4"/>
    <w:rsid w:val="00E11EC8"/>
    <w:rsid w:val="00E27A6A"/>
    <w:rsid w:val="00E31C67"/>
    <w:rsid w:val="00E42751"/>
    <w:rsid w:val="00E6154F"/>
    <w:rsid w:val="00E9657E"/>
    <w:rsid w:val="00EC710F"/>
    <w:rsid w:val="00F071F9"/>
    <w:rsid w:val="00F120E8"/>
    <w:rsid w:val="00F167C7"/>
    <w:rsid w:val="00F2422A"/>
    <w:rsid w:val="00F25012"/>
    <w:rsid w:val="00F26F83"/>
    <w:rsid w:val="00F349B5"/>
    <w:rsid w:val="00F44034"/>
    <w:rsid w:val="00F568F0"/>
    <w:rsid w:val="00F616D1"/>
    <w:rsid w:val="00F76DA3"/>
    <w:rsid w:val="00F857DA"/>
    <w:rsid w:val="00FB6886"/>
    <w:rsid w:val="00FB6AC4"/>
    <w:rsid w:val="00FC6453"/>
    <w:rsid w:val="00FD2A55"/>
    <w:rsid w:val="00FD59F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aliases w:val="Section of paper"/>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unhideWhenUsed/>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E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1-CIR-0090/en" TargetMode="External"/><Relationship Id="rId13" Type="http://schemas.openxmlformats.org/officeDocument/2006/relationships/hyperlink" Target="http://www.itu.int/ITU-R/go/delegate-reg-info/en" TargetMode="External"/><Relationship Id="rId18" Type="http://schemas.openxmlformats.org/officeDocument/2006/relationships/hyperlink" Target="http://www.itu.int/md/R03-WP1B-C-0267/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www.itu.int/cgi-bin/htsh/compass/cvc.param.sh?acvty_code=sg1" TargetMode="External"/><Relationship Id="rId17" Type="http://schemas.openxmlformats.org/officeDocument/2006/relationships/hyperlink" Target="http://www.itu.int/md/R07-WP1A-C-0311/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R07-WP1A-C-0311/en" TargetMode="External"/><Relationship Id="rId20" Type="http://schemas.openxmlformats.org/officeDocument/2006/relationships/hyperlink" Target="http://www.itu.int/md/R03-WP1C-C-0012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g1@itu.i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R07-SG01-C-0136/en" TargetMode="External"/><Relationship Id="rId23" Type="http://schemas.openxmlformats.org/officeDocument/2006/relationships/footer" Target="footer2.xml"/><Relationship Id="rId10" Type="http://schemas.openxmlformats.org/officeDocument/2006/relationships/hyperlink" Target="http://www.itu.int/md/R07-SG01-C/en" TargetMode="External"/><Relationship Id="rId19" Type="http://schemas.openxmlformats.org/officeDocument/2006/relationships/hyperlink" Target="http://www.itu.int/md/R03-WP1B-C-0267/en" TargetMode="External"/><Relationship Id="rId4" Type="http://schemas.openxmlformats.org/officeDocument/2006/relationships/webSettings" Target="webSettings.xml"/><Relationship Id="rId9" Type="http://schemas.openxmlformats.org/officeDocument/2006/relationships/hyperlink" Target="http://www.itu.int/publ/R-QUE-SG01/en" TargetMode="External"/><Relationship Id="rId14" Type="http://schemas.openxmlformats.org/officeDocument/2006/relationships/hyperlink" Target="http://www.itu.int/travel/index.htm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bineau\Local%20Settings\Temporary%20Internet%20Files\Content.MSO\35DEE7A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35DEE7A4</Template>
  <TotalTime>107</TotalTime>
  <Pages>6</Pages>
  <Words>1224</Words>
  <Characters>7818</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INTERNATIONAL TELECOMMUNICATION UNION</vt:lpstr>
      <vt:lpstr>1	Introduction</vt:lpstr>
      <vt:lpstr>2	Programme of the meeting</vt:lpstr>
      <vt:lpstr>    2.1	Adoption of draft Recommendations at the Study Group meeting (§ 10.2.2 of Re</vt:lpstr>
      <vt:lpstr>    2.2	Adoption of draft Recommendations by a Study Group by correspondence  (§ 10.</vt:lpstr>
      <vt:lpstr>    2.3	Decision on approval procedure</vt:lpstr>
      <vt:lpstr>3	Contributions</vt:lpstr>
      <vt:lpstr>4	Participation/Visa requirements</vt:lpstr>
    </vt:vector>
  </TitlesOfParts>
  <Company>ITU</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bonet</cp:lastModifiedBy>
  <cp:revision>13</cp:revision>
  <cp:lastPrinted>2011-02-02T08:04:00Z</cp:lastPrinted>
  <dcterms:created xsi:type="dcterms:W3CDTF">2011-01-19T09:19:00Z</dcterms:created>
  <dcterms:modified xsi:type="dcterms:W3CDTF">2011-02-02T08:04:00Z</dcterms:modified>
</cp:coreProperties>
</file>