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7D2D05" w:rsidRPr="00D35752" w:rsidTr="00A72A66">
        <w:tc>
          <w:tcPr>
            <w:tcW w:w="8188" w:type="dxa"/>
            <w:vAlign w:val="center"/>
          </w:tcPr>
          <w:p w:rsidR="007D2D05" w:rsidRPr="00D35752" w:rsidRDefault="007D2D05" w:rsidP="00A72A66">
            <w:pPr>
              <w:spacing w:before="0"/>
            </w:pPr>
            <w:r w:rsidRPr="00A72A66">
              <w:rPr>
                <w:rFonts w:ascii="Futura Lt BT" w:hAnsi="Futura Lt BT"/>
                <w:sz w:val="44"/>
              </w:rPr>
              <w:t>I</w:t>
            </w:r>
            <w:r w:rsidRPr="00A72A66">
              <w:rPr>
                <w:rFonts w:ascii="Futura Lt BT" w:hAnsi="Futura Lt BT"/>
                <w:sz w:val="36"/>
              </w:rPr>
              <w:t xml:space="preserve">NTERNATIONAL </w:t>
            </w:r>
            <w:r w:rsidRPr="00A72A66">
              <w:rPr>
                <w:rFonts w:ascii="Futura Lt BT" w:hAnsi="Futura Lt BT"/>
                <w:sz w:val="44"/>
              </w:rPr>
              <w:t>T</w:t>
            </w:r>
            <w:r w:rsidRPr="00A72A66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A72A66">
                <w:rPr>
                  <w:rFonts w:ascii="Futura Lt BT" w:hAnsi="Futura Lt BT"/>
                  <w:sz w:val="44"/>
                </w:rPr>
                <w:t>U</w:t>
              </w:r>
              <w:r w:rsidRPr="00A72A66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7D2D05" w:rsidRPr="00D35752" w:rsidRDefault="00BD5266" w:rsidP="00A72A6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6770" cy="9290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7D2D05">
        <w:trPr>
          <w:cantSplit/>
        </w:trPr>
        <w:tc>
          <w:tcPr>
            <w:tcW w:w="5075" w:type="dxa"/>
          </w:tcPr>
          <w:p w:rsidR="007D2D05" w:rsidRPr="00824AE9" w:rsidRDefault="007D2D05">
            <w:pPr>
              <w:rPr>
                <w:b/>
                <w:smallCaps/>
                <w:sz w:val="20"/>
                <w:lang w:val="fr-FR"/>
              </w:rPr>
            </w:pPr>
            <w:r w:rsidRPr="00824AE9">
              <w:rPr>
                <w:i/>
                <w:sz w:val="28"/>
                <w:lang w:val="fr-FR"/>
              </w:rPr>
              <w:t>Radiocommunication Bureau</w:t>
            </w:r>
          </w:p>
          <w:p w:rsidR="007D2D05" w:rsidRDefault="007D2D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824AE9">
              <w:rPr>
                <w:b/>
                <w:sz w:val="18"/>
                <w:lang w:val="fr-FR"/>
              </w:rPr>
              <w:tab/>
            </w:r>
            <w:r w:rsidRPr="00824AE9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D2D05" w:rsidRDefault="007D2D05">
      <w:pPr>
        <w:tabs>
          <w:tab w:val="left" w:pos="7513"/>
        </w:tabs>
      </w:pPr>
    </w:p>
    <w:p w:rsidR="007D2D05" w:rsidRDefault="007D2D05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7D2D05">
        <w:trPr>
          <w:cantSplit/>
        </w:trPr>
        <w:tc>
          <w:tcPr>
            <w:tcW w:w="3369" w:type="dxa"/>
          </w:tcPr>
          <w:p w:rsidR="007D2D05" w:rsidRPr="004E6361" w:rsidRDefault="007D2D0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D2D05" w:rsidRPr="004E6361" w:rsidRDefault="007D2D05" w:rsidP="00B50F1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B50F17">
              <w:rPr>
                <w:b/>
                <w:bCs/>
              </w:rPr>
              <w:t>523</w:t>
            </w:r>
          </w:p>
        </w:tc>
        <w:tc>
          <w:tcPr>
            <w:tcW w:w="6651" w:type="dxa"/>
          </w:tcPr>
          <w:p w:rsidR="007D2D05" w:rsidRPr="004E6361" w:rsidRDefault="00DC13C2" w:rsidP="0076186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76186C">
              <w:rPr>
                <w:bCs/>
              </w:rPr>
              <w:t>4</w:t>
            </w:r>
            <w:r>
              <w:rPr>
                <w:bCs/>
              </w:rPr>
              <w:t xml:space="preserve"> January</w:t>
            </w:r>
            <w:r w:rsidR="003F7464">
              <w:rPr>
                <w:bCs/>
              </w:rPr>
              <w:t xml:space="preserve"> 201</w:t>
            </w:r>
            <w:r w:rsidR="007B4BFF">
              <w:rPr>
                <w:bCs/>
              </w:rPr>
              <w:t>1</w:t>
            </w:r>
          </w:p>
        </w:tc>
      </w:tr>
    </w:tbl>
    <w:p w:rsidR="007D2D05" w:rsidRDefault="007D2D05" w:rsidP="00B50F17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rFonts w:ascii="CG Times (W1)" w:hAnsi="CG Times (W1)"/>
          <w:b/>
        </w:rPr>
        <w:t xml:space="preserve">To Administrations of Member States of the ITU, </w:t>
      </w:r>
      <w:proofErr w:type="spellStart"/>
      <w:r w:rsidR="00B50F17">
        <w:rPr>
          <w:rFonts w:ascii="CG Times (W1)" w:hAnsi="CG Times (W1)"/>
          <w:b/>
        </w:rPr>
        <w:t>Radiocommunication</w:t>
      </w:r>
      <w:proofErr w:type="spellEnd"/>
      <w:r w:rsidR="00B50F17">
        <w:rPr>
          <w:rFonts w:ascii="CG Times (W1)" w:hAnsi="CG Times (W1)"/>
          <w:b/>
        </w:rPr>
        <w:br/>
        <w:t xml:space="preserve">Sector </w:t>
      </w:r>
      <w:r>
        <w:rPr>
          <w:rFonts w:ascii="CG Times (W1)" w:hAnsi="CG Times (W1)"/>
          <w:b/>
        </w:rPr>
        <w:t>Members, ITU-R Associates</w:t>
      </w:r>
      <w:r w:rsidR="00B50F17">
        <w:rPr>
          <w:rFonts w:ascii="CG Times (W1)" w:hAnsi="CG Times (W1)"/>
          <w:b/>
        </w:rPr>
        <w:t xml:space="preserve"> participating in the work of</w:t>
      </w:r>
      <w:r w:rsidR="00B50F17">
        <w:rPr>
          <w:rFonts w:ascii="CG Times (W1)" w:hAnsi="CG Times (W1)"/>
          <w:b/>
        </w:rPr>
        <w:br/>
      </w:r>
      <w:proofErr w:type="spellStart"/>
      <w:r>
        <w:rPr>
          <w:rFonts w:ascii="CG Times (W1)" w:hAnsi="CG Times (W1)"/>
          <w:b/>
        </w:rPr>
        <w:t>Radiocommunication</w:t>
      </w:r>
      <w:proofErr w:type="spellEnd"/>
      <w:r>
        <w:rPr>
          <w:rFonts w:ascii="CG Times (W1)" w:hAnsi="CG Times (W1)"/>
          <w:b/>
        </w:rPr>
        <w:t xml:space="preserve"> Study Group </w:t>
      </w:r>
      <w:r w:rsidR="00DC13C2">
        <w:rPr>
          <w:rFonts w:ascii="CG Times (W1)" w:hAnsi="CG Times (W1)"/>
          <w:b/>
        </w:rPr>
        <w:t xml:space="preserve">1 </w:t>
      </w:r>
      <w:r w:rsidR="00B50F17">
        <w:rPr>
          <w:rFonts w:ascii="CG Times (W1)" w:hAnsi="CG Times (W1)"/>
          <w:b/>
        </w:rPr>
        <w:t>and the Special</w:t>
      </w:r>
      <w:r w:rsidR="00B50F17">
        <w:rPr>
          <w:rFonts w:ascii="CG Times (W1)" w:hAnsi="CG Times (W1)"/>
          <w:b/>
        </w:rPr>
        <w:br/>
        <w:t xml:space="preserve">Committee </w:t>
      </w:r>
      <w:r>
        <w:rPr>
          <w:rFonts w:ascii="CG Times (W1)" w:hAnsi="CG Times (W1)"/>
          <w:b/>
        </w:rPr>
        <w:t>on Regulatory/Procedural Matters</w:t>
      </w:r>
    </w:p>
    <w:p w:rsidR="007D2D05" w:rsidRPr="00CA5E49" w:rsidRDefault="007D2D05" w:rsidP="00DC13C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proofErr w:type="spellStart"/>
      <w:r w:rsidRPr="00CA5E49">
        <w:rPr>
          <w:b/>
          <w:bCs/>
        </w:rPr>
        <w:t>Radiocommunication</w:t>
      </w:r>
      <w:proofErr w:type="spellEnd"/>
      <w:r w:rsidRPr="00CA5E49">
        <w:rPr>
          <w:b/>
          <w:bCs/>
        </w:rPr>
        <w:t xml:space="preserve"> Study Group </w:t>
      </w:r>
      <w:r w:rsidR="00DC13C2">
        <w:rPr>
          <w:b/>
          <w:bCs/>
        </w:rPr>
        <w:t>1</w:t>
      </w:r>
    </w:p>
    <w:p w:rsidR="007D2D05" w:rsidRDefault="007D2D0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CA5E49">
        <w:rPr>
          <w:b/>
          <w:bCs/>
        </w:rPr>
        <w:tab/>
      </w:r>
      <w:r w:rsidRPr="00CA5E49">
        <w:rPr>
          <w:b/>
          <w:bCs/>
        </w:rPr>
        <w:tab/>
        <w:t>–</w:t>
      </w:r>
      <w:r w:rsidRPr="00CA5E49">
        <w:rPr>
          <w:b/>
          <w:bCs/>
        </w:rPr>
        <w:tab/>
        <w:t xml:space="preserve">Approval of </w:t>
      </w:r>
      <w:r>
        <w:rPr>
          <w:b/>
          <w:bCs/>
        </w:rPr>
        <w:t>1</w:t>
      </w:r>
      <w:r w:rsidRPr="00CA5E49">
        <w:rPr>
          <w:b/>
          <w:bCs/>
        </w:rPr>
        <w:t xml:space="preserve"> new ITU-R Question </w:t>
      </w:r>
      <w:r>
        <w:rPr>
          <w:b/>
          <w:bCs/>
        </w:rPr>
        <w:t>and 1 revised ITU-R Question</w:t>
      </w:r>
    </w:p>
    <w:p w:rsidR="00DC13C2" w:rsidRPr="00DC13C2" w:rsidRDefault="00DC13C2" w:rsidP="00DC13C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DC13C2">
        <w:rPr>
          <w:b/>
          <w:bCs/>
        </w:rPr>
        <w:tab/>
      </w:r>
      <w:r w:rsidRPr="00DC13C2">
        <w:rPr>
          <w:b/>
          <w:bCs/>
        </w:rPr>
        <w:tab/>
        <w:t>–</w:t>
      </w:r>
      <w:r w:rsidRPr="00DC13C2">
        <w:rPr>
          <w:b/>
          <w:bCs/>
        </w:rPr>
        <w:tab/>
        <w:t>Suppre</w:t>
      </w:r>
      <w:r w:rsidR="00B50F17">
        <w:rPr>
          <w:b/>
          <w:bCs/>
        </w:rPr>
        <w:t>ssion of 1 ITU-R Question</w:t>
      </w:r>
    </w:p>
    <w:p w:rsidR="007D2D05" w:rsidRPr="00CA5E49" w:rsidRDefault="007D2D0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</w:p>
    <w:p w:rsidR="007D2D05" w:rsidRDefault="007D2D05" w:rsidP="003462C8">
      <w:pPr>
        <w:pStyle w:val="Normalaftertitle0"/>
      </w:pPr>
      <w:r>
        <w:t>By Administrative Circular CAR/</w:t>
      </w:r>
      <w:r w:rsidR="00DC13C2">
        <w:t xml:space="preserve">300 </w:t>
      </w:r>
      <w:r>
        <w:t xml:space="preserve">of </w:t>
      </w:r>
      <w:r w:rsidR="00DC13C2">
        <w:t xml:space="preserve">15 </w:t>
      </w:r>
      <w:r w:rsidR="003F7464">
        <w:t>October</w:t>
      </w:r>
      <w:r>
        <w:t xml:space="preserve"> </w:t>
      </w:r>
      <w:r w:rsidR="00DC13C2">
        <w:t>2010</w:t>
      </w:r>
      <w:r>
        <w:t>, 1 draft new ITU-R Question and 1 draft revised ITU-R Question were submitted for approval by correspondence in accordance with Resolution ITU</w:t>
      </w:r>
      <w:r>
        <w:noBreakHyphen/>
        <w:t>R 1</w:t>
      </w:r>
      <w:r>
        <w:noBreakHyphen/>
        <w:t>5 (§ 3.4)</w:t>
      </w:r>
      <w:r w:rsidR="00B9676C">
        <w:t>. In addition, the Study Group proposed the suppression of</w:t>
      </w:r>
      <w:r w:rsidR="003462C8">
        <w:t xml:space="preserve"> </w:t>
      </w:r>
      <w:r w:rsidR="00B9676C">
        <w:t>1 ITU-R Question.</w:t>
      </w:r>
    </w:p>
    <w:p w:rsidR="007D2D05" w:rsidRDefault="007D2D05" w:rsidP="008B265D">
      <w:r>
        <w:t xml:space="preserve">The conditions governing </w:t>
      </w:r>
      <w:r w:rsidR="003F7464">
        <w:t xml:space="preserve">this </w:t>
      </w:r>
      <w:r>
        <w:t xml:space="preserve">procedure were met on </w:t>
      </w:r>
      <w:r w:rsidR="008B265D">
        <w:t xml:space="preserve">14 </w:t>
      </w:r>
      <w:r w:rsidR="003F7464">
        <w:t xml:space="preserve">January </w:t>
      </w:r>
      <w:r w:rsidR="008B265D">
        <w:t>2011</w:t>
      </w:r>
      <w:r>
        <w:t>.</w:t>
      </w:r>
    </w:p>
    <w:p w:rsidR="007D2D05" w:rsidRPr="0054694D" w:rsidRDefault="007D2D05" w:rsidP="003C146D">
      <w:pPr>
        <w:rPr>
          <w:bCs/>
        </w:rPr>
      </w:pPr>
      <w:r>
        <w:t xml:space="preserve">The texts of the approved Questions are attached for your reference (Annexes 1 and 2) and will be published in Revision </w:t>
      </w:r>
      <w:r w:rsidR="003C146D">
        <w:t>2</w:t>
      </w:r>
      <w:r w:rsidR="003F7464">
        <w:t> </w:t>
      </w:r>
      <w:r>
        <w:t xml:space="preserve">to </w:t>
      </w:r>
      <w:hyperlink r:id="rId8" w:history="1">
        <w:r w:rsidRPr="00DF2B3A">
          <w:rPr>
            <w:rStyle w:val="Hyperlink"/>
          </w:rPr>
          <w:t xml:space="preserve">Document </w:t>
        </w:r>
        <w:r w:rsidR="0054694D">
          <w:rPr>
            <w:rStyle w:val="Hyperlink"/>
          </w:rPr>
          <w:t>1</w:t>
        </w:r>
        <w:r w:rsidRPr="00DF2B3A">
          <w:rPr>
            <w:rStyle w:val="Hyperlink"/>
          </w:rPr>
          <w:t>/1</w:t>
        </w:r>
      </w:hyperlink>
      <w:r>
        <w:t xml:space="preserve"> which contains the ITU-R Questions approved by the 2007 </w:t>
      </w:r>
      <w:proofErr w:type="spellStart"/>
      <w:r>
        <w:t>Radiocommunication</w:t>
      </w:r>
      <w:proofErr w:type="spellEnd"/>
      <w:r>
        <w:t xml:space="preserve"> Assembly and assigned to </w:t>
      </w:r>
      <w:proofErr w:type="spellStart"/>
      <w:r>
        <w:t>Radiocommunication</w:t>
      </w:r>
      <w:proofErr w:type="spellEnd"/>
      <w:r>
        <w:t xml:space="preserve"> Study Group </w:t>
      </w:r>
      <w:r w:rsidR="0054694D">
        <w:t>1</w:t>
      </w:r>
      <w:r w:rsidR="00844A59">
        <w:t>.</w:t>
      </w:r>
      <w:r w:rsidR="0054694D">
        <w:t xml:space="preserve"> </w:t>
      </w:r>
      <w:r w:rsidR="00B50F17">
        <w:rPr>
          <w:bCs/>
        </w:rPr>
        <w:t>The </w:t>
      </w:r>
      <w:r w:rsidR="0054694D" w:rsidRPr="0054694D">
        <w:rPr>
          <w:bCs/>
        </w:rPr>
        <w:t xml:space="preserve">suppressed ITU-R Question </w:t>
      </w:r>
      <w:r w:rsidR="0054694D">
        <w:rPr>
          <w:bCs/>
        </w:rPr>
        <w:t>is</w:t>
      </w:r>
      <w:r w:rsidR="0054694D" w:rsidRPr="0054694D">
        <w:rPr>
          <w:bCs/>
        </w:rPr>
        <w:t xml:space="preserve"> indicated in Annex </w:t>
      </w:r>
      <w:r w:rsidR="0054694D">
        <w:rPr>
          <w:bCs/>
        </w:rPr>
        <w:t>3</w:t>
      </w:r>
      <w:r w:rsidR="0054694D" w:rsidRPr="0054694D">
        <w:rPr>
          <w:bCs/>
        </w:rPr>
        <w:t>.</w:t>
      </w:r>
    </w:p>
    <w:p w:rsidR="007D2D05" w:rsidRDefault="007D2D05" w:rsidP="00DC13C2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797"/>
        </w:tabs>
        <w:spacing w:before="1418"/>
        <w:ind w:left="0" w:firstLine="0"/>
        <w:rPr>
          <w:sz w:val="24"/>
          <w:szCs w:val="24"/>
          <w:lang w:val="en-US"/>
        </w:rPr>
      </w:pPr>
      <w:bookmarkStart w:id="3" w:name="StartTyping_E"/>
      <w:bookmarkEnd w:id="3"/>
      <w:r>
        <w:rPr>
          <w:sz w:val="24"/>
          <w:szCs w:val="24"/>
          <w:lang w:val="en-US"/>
        </w:rPr>
        <w:tab/>
      </w:r>
      <w:r w:rsidR="00DC13C2">
        <w:rPr>
          <w:sz w:val="24"/>
          <w:szCs w:val="24"/>
          <w:lang w:val="en-US"/>
        </w:rPr>
        <w:t xml:space="preserve">François </w:t>
      </w:r>
      <w:proofErr w:type="spellStart"/>
      <w:r w:rsidR="00DC13C2">
        <w:rPr>
          <w:sz w:val="24"/>
          <w:szCs w:val="24"/>
          <w:lang w:val="en-US"/>
        </w:rPr>
        <w:t>Rancy</w:t>
      </w:r>
      <w:proofErr w:type="spellEnd"/>
    </w:p>
    <w:p w:rsidR="007D2D05" w:rsidRPr="003106EF" w:rsidRDefault="007D2D05" w:rsidP="00F71D30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797"/>
        </w:tabs>
        <w:ind w:left="0" w:firstLine="0"/>
        <w:rPr>
          <w:sz w:val="24"/>
          <w:szCs w:val="24"/>
          <w:lang w:val="fr-CH"/>
        </w:rPr>
      </w:pPr>
      <w:r>
        <w:rPr>
          <w:sz w:val="24"/>
          <w:szCs w:val="24"/>
          <w:lang w:val="en-US"/>
        </w:rPr>
        <w:tab/>
      </w:r>
      <w:proofErr w:type="spellStart"/>
      <w:r w:rsidRPr="003106EF">
        <w:rPr>
          <w:sz w:val="24"/>
          <w:szCs w:val="24"/>
          <w:lang w:val="fr-CH"/>
        </w:rPr>
        <w:t>Director</w:t>
      </w:r>
      <w:proofErr w:type="spellEnd"/>
      <w:r w:rsidRPr="003106EF">
        <w:rPr>
          <w:sz w:val="24"/>
          <w:szCs w:val="24"/>
          <w:lang w:val="fr-CH"/>
        </w:rPr>
        <w:t>, Radiocommunication Bureau</w:t>
      </w:r>
    </w:p>
    <w:p w:rsidR="007D2D05" w:rsidRPr="003106EF" w:rsidRDefault="007D2D05" w:rsidP="006264DA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3106EF">
        <w:rPr>
          <w:b/>
          <w:lang w:val="fr-CH"/>
        </w:rPr>
        <w:t>Annexes:</w:t>
      </w:r>
      <w:r w:rsidRPr="003106EF">
        <w:rPr>
          <w:bCs/>
          <w:lang w:val="fr-CH"/>
        </w:rPr>
        <w:t xml:space="preserve"> </w:t>
      </w:r>
      <w:r w:rsidRPr="003106EF">
        <w:rPr>
          <w:bCs/>
          <w:lang w:val="fr-CH"/>
        </w:rPr>
        <w:tab/>
      </w:r>
      <w:r w:rsidR="006264DA" w:rsidRPr="003106EF">
        <w:rPr>
          <w:bCs/>
          <w:lang w:val="fr-CH"/>
        </w:rPr>
        <w:t>3</w:t>
      </w:r>
    </w:p>
    <w:p w:rsidR="007D2D05" w:rsidRPr="003106EF" w:rsidRDefault="007D2D05">
      <w:pPr>
        <w:tabs>
          <w:tab w:val="left" w:pos="284"/>
          <w:tab w:val="left" w:pos="568"/>
        </w:tabs>
        <w:spacing w:after="120"/>
        <w:rPr>
          <w:sz w:val="16"/>
          <w:u w:val="single"/>
          <w:lang w:val="fr-CH"/>
        </w:rPr>
      </w:pPr>
      <w:r w:rsidRPr="003106EF">
        <w:rPr>
          <w:sz w:val="16"/>
          <w:u w:val="single"/>
          <w:lang w:val="fr-CH"/>
        </w:rPr>
        <w:t>Distribution:</w:t>
      </w:r>
    </w:p>
    <w:p w:rsidR="007D2D05" w:rsidRDefault="007D2D0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sz w:val="16"/>
              </w:rPr>
              <w:t>Member</w:t>
            </w:r>
          </w:smartTag>
          <w:r>
            <w:rPr>
              <w:sz w:val="16"/>
            </w:rPr>
            <w:t xml:space="preserve"> </w:t>
          </w:r>
          <w:smartTag w:uri="urn:schemas-microsoft-com:office:smarttags" w:element="PlaceType">
            <w:r>
              <w:rPr>
                <w:sz w:val="16"/>
              </w:rPr>
              <w:t>States</w:t>
            </w:r>
          </w:smartTag>
        </w:smartTag>
      </w:smartTag>
      <w:r>
        <w:rPr>
          <w:sz w:val="16"/>
        </w:rPr>
        <w:t xml:space="preserve"> and </w:t>
      </w:r>
      <w:proofErr w:type="spellStart"/>
      <w:r>
        <w:rPr>
          <w:sz w:val="16"/>
        </w:rPr>
        <w:t>Radiocommunication</w:t>
      </w:r>
      <w:proofErr w:type="spellEnd"/>
      <w:r>
        <w:rPr>
          <w:sz w:val="16"/>
        </w:rPr>
        <w:t xml:space="preserve"> Sector Members</w:t>
      </w:r>
    </w:p>
    <w:p w:rsidR="007D2D05" w:rsidRDefault="007D2D05" w:rsidP="006264D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ITU-R Associates in the work of </w:t>
      </w:r>
      <w:proofErr w:type="spellStart"/>
      <w:r>
        <w:rPr>
          <w:sz w:val="16"/>
        </w:rPr>
        <w:t>Radiocommunication</w:t>
      </w:r>
      <w:proofErr w:type="spellEnd"/>
      <w:r>
        <w:rPr>
          <w:sz w:val="16"/>
        </w:rPr>
        <w:t xml:space="preserve"> Study Group </w:t>
      </w:r>
      <w:r w:rsidR="006264DA">
        <w:rPr>
          <w:sz w:val="16"/>
        </w:rPr>
        <w:t>1</w:t>
      </w:r>
    </w:p>
    <w:p w:rsidR="007D2D05" w:rsidRDefault="007D2D0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Chairmen and Vice-Chairmen of </w:t>
      </w:r>
      <w:proofErr w:type="spellStart"/>
      <w:r>
        <w:rPr>
          <w:sz w:val="16"/>
        </w:rPr>
        <w:t>Radiocommunication</w:t>
      </w:r>
      <w:proofErr w:type="spellEnd"/>
      <w:r>
        <w:rPr>
          <w:sz w:val="16"/>
        </w:rPr>
        <w:t xml:space="preserve"> Study Groups and Special Committee on Regulatory/Procedural Matters</w:t>
      </w:r>
    </w:p>
    <w:p w:rsidR="007D2D05" w:rsidRDefault="007D2D0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7D2D05" w:rsidRDefault="007D2D0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7D2D05" w:rsidRDefault="007D2D05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6"/>
        </w:rPr>
      </w:pPr>
      <w:r>
        <w:rPr>
          <w:sz w:val="16"/>
        </w:rPr>
        <w:t>Secretary-General of the ITU, Director of the Telecommunication Standardization Bureau, Director of the Telecommunication Development Bureau</w:t>
      </w:r>
    </w:p>
    <w:p w:rsidR="007D2D05" w:rsidRDefault="007D2D05">
      <w:pPr>
        <w:pStyle w:val="AnnexNoTitle0"/>
        <w:rPr>
          <w:lang w:val="en-US"/>
        </w:rPr>
      </w:pPr>
      <w:r w:rsidRPr="0080213D">
        <w:rPr>
          <w:lang w:val="en-US"/>
        </w:rPr>
        <w:br w:type="page"/>
      </w:r>
      <w:bookmarkStart w:id="4" w:name="recibido"/>
      <w:bookmarkEnd w:id="4"/>
      <w:r w:rsidRPr="00824AE9">
        <w:rPr>
          <w:lang w:val="en-US"/>
        </w:rPr>
        <w:lastRenderedPageBreak/>
        <w:t>Annex 1</w:t>
      </w:r>
    </w:p>
    <w:p w:rsidR="00896209" w:rsidRPr="00D538BC" w:rsidRDefault="00896209" w:rsidP="00896209">
      <w:pPr>
        <w:pStyle w:val="QuestionNoBR"/>
        <w:rPr>
          <w:lang w:val="en-US"/>
        </w:rPr>
      </w:pPr>
      <w:r w:rsidRPr="00A14011">
        <w:rPr>
          <w:lang w:eastAsia="zh-CN"/>
        </w:rPr>
        <w:t xml:space="preserve">QUESTION ITU-R </w:t>
      </w:r>
      <w:r>
        <w:rPr>
          <w:lang w:eastAsia="zh-CN"/>
        </w:rPr>
        <w:t>235</w:t>
      </w:r>
      <w:r w:rsidRPr="00A14011">
        <w:rPr>
          <w:lang w:eastAsia="zh-CN"/>
        </w:rPr>
        <w:t>/1</w:t>
      </w:r>
    </w:p>
    <w:p w:rsidR="00896209" w:rsidRDefault="00896209" w:rsidP="00896209">
      <w:pPr>
        <w:pStyle w:val="Questiontitle"/>
      </w:pPr>
      <w:r w:rsidRPr="00A14011">
        <w:rPr>
          <w:lang w:eastAsia="zh-CN"/>
        </w:rPr>
        <w:t xml:space="preserve">Spectrum </w:t>
      </w:r>
      <w:r w:rsidR="00B50F17" w:rsidRPr="00A14011">
        <w:rPr>
          <w:lang w:eastAsia="zh-CN"/>
        </w:rPr>
        <w:t>m</w:t>
      </w:r>
      <w:r w:rsidRPr="00A14011">
        <w:rPr>
          <w:lang w:eastAsia="zh-CN"/>
        </w:rPr>
        <w:t xml:space="preserve">onitoring </w:t>
      </w:r>
      <w:r w:rsidR="00B50F17" w:rsidRPr="00A14011">
        <w:rPr>
          <w:lang w:eastAsia="zh-CN"/>
        </w:rPr>
        <w:t>e</w:t>
      </w:r>
      <w:r w:rsidRPr="00A14011">
        <w:rPr>
          <w:lang w:eastAsia="zh-CN"/>
        </w:rPr>
        <w:t>volution</w:t>
      </w:r>
    </w:p>
    <w:p w:rsidR="00896209" w:rsidRPr="00E151AA" w:rsidRDefault="00896209" w:rsidP="00896209">
      <w:pPr>
        <w:pStyle w:val="Questiondate"/>
      </w:pPr>
      <w:r w:rsidRPr="00E151AA">
        <w:t>(20</w:t>
      </w:r>
      <w:r>
        <w:t>11</w:t>
      </w:r>
      <w:r w:rsidRPr="00E151AA">
        <w:t>)</w:t>
      </w:r>
    </w:p>
    <w:p w:rsidR="00896209" w:rsidRDefault="00896209" w:rsidP="00896209"/>
    <w:p w:rsidR="00896209" w:rsidRDefault="00896209" w:rsidP="00896209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896209" w:rsidRDefault="00896209" w:rsidP="00896209">
      <w:pPr>
        <w:pStyle w:val="Call"/>
      </w:pPr>
      <w:r>
        <w:t>considering</w:t>
      </w:r>
    </w:p>
    <w:p w:rsidR="00896209" w:rsidRDefault="00896209" w:rsidP="00896209">
      <w:r>
        <w:t>a)</w:t>
      </w:r>
      <w:r>
        <w:tab/>
        <w:t>that spectrum monitoring is a key element of spectrum management;</w:t>
      </w:r>
    </w:p>
    <w:p w:rsidR="00896209" w:rsidRDefault="00896209" w:rsidP="00896209">
      <w:r>
        <w:t>b)</w:t>
      </w:r>
      <w:r>
        <w:tab/>
        <w:t xml:space="preserve">that </w:t>
      </w:r>
      <w:proofErr w:type="spellStart"/>
      <w:r>
        <w:t>radiocommunication</w:t>
      </w:r>
      <w:proofErr w:type="spellEnd"/>
      <w:r>
        <w:t xml:space="preserve"> technologies and systems are in a constant and rapid evolution;</w:t>
      </w:r>
    </w:p>
    <w:p w:rsidR="00896209" w:rsidRDefault="00896209" w:rsidP="00896209">
      <w:r>
        <w:t>c)</w:t>
      </w:r>
      <w:r>
        <w:tab/>
        <w:t>that, among other techn</w:t>
      </w:r>
      <w:r w:rsidR="00B50F17">
        <w:t>ologies, the impact of software-</w:t>
      </w:r>
      <w:r>
        <w:t>defined radio and cognitive radio systems on spectrum monitoring  needs to be studied;</w:t>
      </w:r>
    </w:p>
    <w:p w:rsidR="00896209" w:rsidRDefault="00896209" w:rsidP="00896209">
      <w:r>
        <w:t>d)</w:t>
      </w:r>
      <w:r>
        <w:tab/>
        <w:t>that any evolution of spectrum monitoring activities impacts administrations;</w:t>
      </w:r>
    </w:p>
    <w:p w:rsidR="00896209" w:rsidRDefault="00896209" w:rsidP="00896209">
      <w:r>
        <w:t>e)</w:t>
      </w:r>
      <w:r>
        <w:tab/>
        <w:t xml:space="preserve">that the ITU-R Recommendations and Reports in the SM Series, as well as the ITU Handbook on </w:t>
      </w:r>
      <w:r w:rsidR="00B50F17">
        <w:t>s</w:t>
      </w:r>
      <w:r>
        <w:t xml:space="preserve">pectrum </w:t>
      </w:r>
      <w:r w:rsidR="00B50F17">
        <w:t>m</w:t>
      </w:r>
      <w:r>
        <w:t>onitoring provide extensive information on spectrum monitoring of existing radio communication technologies and systems;</w:t>
      </w:r>
    </w:p>
    <w:p w:rsidR="00896209" w:rsidRDefault="00896209" w:rsidP="00896209">
      <w:r>
        <w:t>f)</w:t>
      </w:r>
      <w:r>
        <w:tab/>
        <w:t xml:space="preserve">that the existing spectrum monitoring systems (including fixed, mobile and transportable stations) may need to be assessed with respect to their capability for monitoring new </w:t>
      </w:r>
      <w:proofErr w:type="spellStart"/>
      <w:r>
        <w:t>radiocommunication</w:t>
      </w:r>
      <w:proofErr w:type="spellEnd"/>
      <w:r>
        <w:t xml:space="preserve"> technologies and systems;</w:t>
      </w:r>
    </w:p>
    <w:p w:rsidR="00896209" w:rsidRPr="00020205" w:rsidRDefault="00896209" w:rsidP="00896209">
      <w:r>
        <w:t>g)</w:t>
      </w:r>
      <w:r>
        <w:tab/>
      </w:r>
      <w:r w:rsidRPr="00020205">
        <w:t>that the improvement in spectrum monitoring equipment enhances the efficiency and effectiveness of the spectrum management process;</w:t>
      </w:r>
    </w:p>
    <w:p w:rsidR="00896209" w:rsidRPr="00020205" w:rsidRDefault="00896209" w:rsidP="00896209">
      <w:r>
        <w:t>h)</w:t>
      </w:r>
      <w:r>
        <w:tab/>
      </w:r>
      <w:r w:rsidRPr="00020205">
        <w:t>that the increasing amount of collected spectrum data may require adaptation of the  organisation and spectrum monitoring techniques</w:t>
      </w:r>
      <w:r>
        <w:t>,</w:t>
      </w:r>
    </w:p>
    <w:p w:rsidR="00896209" w:rsidRDefault="00896209" w:rsidP="00896209">
      <w:pPr>
        <w:pStyle w:val="Call"/>
      </w:pPr>
      <w:r>
        <w:t xml:space="preserve">decides </w:t>
      </w:r>
      <w:r>
        <w:rPr>
          <w:i w:val="0"/>
          <w:iCs/>
        </w:rPr>
        <w:t>that the following Questions should be studied</w:t>
      </w:r>
    </w:p>
    <w:p w:rsidR="00896209" w:rsidRDefault="00896209" w:rsidP="00896209">
      <w:pPr>
        <w:tabs>
          <w:tab w:val="left" w:pos="2552"/>
        </w:tabs>
      </w:pPr>
      <w:r w:rsidRPr="00A268FE">
        <w:rPr>
          <w:b/>
          <w:bCs/>
        </w:rPr>
        <w:t>1</w:t>
      </w:r>
      <w:r>
        <w:tab/>
        <w:t xml:space="preserve">What are the new considerations for monitoring of </w:t>
      </w:r>
      <w:proofErr w:type="spellStart"/>
      <w:r>
        <w:t>radiocommunication</w:t>
      </w:r>
      <w:proofErr w:type="spellEnd"/>
      <w:r>
        <w:t xml:space="preserve"> systems that are based on new technologies?</w:t>
      </w:r>
    </w:p>
    <w:p w:rsidR="00896209" w:rsidRDefault="00896209" w:rsidP="00896209">
      <w:pPr>
        <w:tabs>
          <w:tab w:val="left" w:pos="2552"/>
        </w:tabs>
      </w:pPr>
      <w:r w:rsidRPr="00A268FE">
        <w:rPr>
          <w:b/>
          <w:bCs/>
        </w:rPr>
        <w:t>2</w:t>
      </w:r>
      <w:r>
        <w:tab/>
        <w:t xml:space="preserve">What are the new approaches that may be required in terms of organisation, procedures and equipment to monitor systems based on future </w:t>
      </w:r>
      <w:proofErr w:type="spellStart"/>
      <w:r>
        <w:t>radiocommunication</w:t>
      </w:r>
      <w:proofErr w:type="spellEnd"/>
      <w:r>
        <w:t xml:space="preserve"> technologies?</w:t>
      </w:r>
    </w:p>
    <w:p w:rsidR="00896209" w:rsidRDefault="00896209" w:rsidP="00896209">
      <w:pPr>
        <w:tabs>
          <w:tab w:val="left" w:pos="2552"/>
        </w:tabs>
      </w:pPr>
      <w:r w:rsidRPr="00A268FE">
        <w:rPr>
          <w:b/>
          <w:bCs/>
        </w:rPr>
        <w:t>3</w:t>
      </w:r>
      <w:r>
        <w:tab/>
        <w:t xml:space="preserve">What are the needs for administrations in order to implement the new approaches to monitor systems based on future </w:t>
      </w:r>
      <w:proofErr w:type="spellStart"/>
      <w:r>
        <w:t>radiocommunication</w:t>
      </w:r>
      <w:proofErr w:type="spellEnd"/>
      <w:r>
        <w:t xml:space="preserve"> technologies?</w:t>
      </w:r>
    </w:p>
    <w:p w:rsidR="00896209" w:rsidRDefault="00896209" w:rsidP="00B50F17">
      <w:pPr>
        <w:pStyle w:val="Call"/>
      </w:pPr>
      <w:r>
        <w:t>further decides</w:t>
      </w:r>
    </w:p>
    <w:p w:rsidR="00896209" w:rsidRDefault="00896209" w:rsidP="00896209">
      <w:r>
        <w:rPr>
          <w:b/>
          <w:bCs/>
        </w:rPr>
        <w:t>1</w:t>
      </w:r>
      <w:r>
        <w:rPr>
          <w:b/>
          <w:bCs/>
        </w:rPr>
        <w:tab/>
      </w:r>
      <w:r>
        <w:t>that the results of the above studies shall be included in (</w:t>
      </w:r>
      <w:r w:rsidR="003106EF">
        <w:t>a) Recommendation(s) and/or (a) </w:t>
      </w:r>
      <w:r>
        <w:t>Report(s);</w:t>
      </w:r>
    </w:p>
    <w:p w:rsidR="00896209" w:rsidRDefault="00896209" w:rsidP="00896209">
      <w:r>
        <w:rPr>
          <w:b/>
          <w:bCs/>
        </w:rPr>
        <w:t>2</w:t>
      </w:r>
      <w:r>
        <w:rPr>
          <w:b/>
          <w:bCs/>
        </w:rPr>
        <w:tab/>
      </w:r>
      <w:r>
        <w:t>that the above studies should be completed by 2013.</w:t>
      </w:r>
    </w:p>
    <w:p w:rsidR="00896209" w:rsidRDefault="00896209" w:rsidP="00896209">
      <w:pPr>
        <w:rPr>
          <w:lang w:val="en-US" w:eastAsia="zh-CN"/>
        </w:rPr>
      </w:pPr>
    </w:p>
    <w:p w:rsidR="00896209" w:rsidRPr="00896209" w:rsidRDefault="00896209" w:rsidP="00896209">
      <w:pPr>
        <w:rPr>
          <w:lang w:val="en-US"/>
        </w:rPr>
      </w:pPr>
      <w:r>
        <w:rPr>
          <w:lang w:val="en-US" w:eastAsia="zh-CN"/>
        </w:rPr>
        <w:t>Category: S3</w:t>
      </w:r>
    </w:p>
    <w:p w:rsidR="00896209" w:rsidRPr="004B7258" w:rsidRDefault="00896209" w:rsidP="00896209">
      <w:pPr>
        <w:pStyle w:val="AnnexNoTitle0"/>
        <w:rPr>
          <w:lang w:val="en-US"/>
        </w:rPr>
      </w:pPr>
      <w:r w:rsidRPr="004B7258">
        <w:rPr>
          <w:lang w:val="en-US"/>
        </w:rPr>
        <w:br w:type="page"/>
      </w:r>
      <w:r w:rsidRPr="004B7258">
        <w:rPr>
          <w:lang w:val="en-US"/>
        </w:rPr>
        <w:lastRenderedPageBreak/>
        <w:t>Annex 2</w:t>
      </w:r>
    </w:p>
    <w:p w:rsidR="00896209" w:rsidRPr="009330E0" w:rsidRDefault="00896209" w:rsidP="00896209">
      <w:pPr>
        <w:pStyle w:val="QuestionNoBR"/>
        <w:rPr>
          <w:lang w:val="en-US"/>
        </w:rPr>
      </w:pPr>
      <w:r w:rsidRPr="009330E0">
        <w:rPr>
          <w:lang w:val="en-US"/>
        </w:rPr>
        <w:t>Question ITU-R 221</w:t>
      </w:r>
      <w:r>
        <w:rPr>
          <w:lang w:val="en-US"/>
        </w:rPr>
        <w:t>-2</w:t>
      </w:r>
      <w:r w:rsidRPr="009330E0">
        <w:rPr>
          <w:lang w:val="en-US"/>
        </w:rPr>
        <w:t>/1</w:t>
      </w:r>
    </w:p>
    <w:p w:rsidR="00896209" w:rsidRDefault="00896209" w:rsidP="00896209">
      <w:pPr>
        <w:pStyle w:val="Questiontitle"/>
      </w:pPr>
      <w:r>
        <w:t xml:space="preserve">Compatibility between </w:t>
      </w:r>
      <w:proofErr w:type="spellStart"/>
      <w:r>
        <w:t>radiocommunication</w:t>
      </w:r>
      <w:proofErr w:type="spellEnd"/>
      <w:r>
        <w:t xml:space="preserve"> systems and high data rate telecommunication systems using wired electrical power supply</w:t>
      </w:r>
    </w:p>
    <w:p w:rsidR="00896209" w:rsidRPr="00E151AA" w:rsidRDefault="00896209" w:rsidP="00B50F17">
      <w:pPr>
        <w:pStyle w:val="Questiondate"/>
        <w:spacing w:before="240"/>
      </w:pPr>
      <w:r w:rsidRPr="00E151AA">
        <w:t>(2000-2007</w:t>
      </w:r>
      <w:r>
        <w:t>-2011</w:t>
      </w:r>
      <w:r w:rsidRPr="00E151AA">
        <w:t>)</w:t>
      </w:r>
    </w:p>
    <w:p w:rsidR="00B50F17" w:rsidRDefault="00B50F17" w:rsidP="00896209">
      <w:pPr>
        <w:pStyle w:val="Normalaftertitle0"/>
      </w:pPr>
    </w:p>
    <w:p w:rsidR="00896209" w:rsidRDefault="00896209" w:rsidP="00896209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896209" w:rsidRPr="0011054B" w:rsidRDefault="00896209" w:rsidP="00896209">
      <w:pPr>
        <w:pStyle w:val="Call"/>
        <w:rPr>
          <w:lang w:val="en-US"/>
        </w:rPr>
      </w:pPr>
      <w:r w:rsidRPr="0011054B">
        <w:rPr>
          <w:lang w:val="en-US"/>
        </w:rPr>
        <w:t>considering</w:t>
      </w:r>
    </w:p>
    <w:p w:rsidR="00896209" w:rsidRDefault="00896209" w:rsidP="00896209">
      <w:r>
        <w:t>a)</w:t>
      </w:r>
      <w:r>
        <w:tab/>
        <w:t>that electricity power supply continues to be used for low data rate telemetry or control purposes in LF bands;</w:t>
      </w:r>
    </w:p>
    <w:p w:rsidR="00896209" w:rsidRDefault="00896209" w:rsidP="00896209">
      <w:r>
        <w:t>b)</w:t>
      </w:r>
      <w:r>
        <w:tab/>
        <w:t>that electricity power supply is generally not designed or installed in such a way that RF radiation will be minimised;</w:t>
      </w:r>
    </w:p>
    <w:p w:rsidR="00896209" w:rsidRDefault="00896209" w:rsidP="00896209">
      <w:r>
        <w:t>c)</w:t>
      </w:r>
      <w:r>
        <w:tab/>
        <w:t xml:space="preserve">that new telecommunication systems are being designed which will operate with data rates up to 1 </w:t>
      </w:r>
      <w:proofErr w:type="spellStart"/>
      <w:r>
        <w:t>Gb</w:t>
      </w:r>
      <w:r w:rsidR="005530B1">
        <w:t>it</w:t>
      </w:r>
      <w:proofErr w:type="spellEnd"/>
      <w:r>
        <w:t>/s, with carrier frequencies in the HF, VHF and UHF bands;</w:t>
      </w:r>
    </w:p>
    <w:p w:rsidR="00896209" w:rsidRDefault="00896209" w:rsidP="00896209">
      <w:r>
        <w:t>d)</w:t>
      </w:r>
      <w:r>
        <w:tab/>
        <w:t xml:space="preserve">that any radiation from such systems may affect the use of </w:t>
      </w:r>
      <w:proofErr w:type="spellStart"/>
      <w:r>
        <w:t>radiocommunication</w:t>
      </w:r>
      <w:proofErr w:type="spellEnd"/>
      <w:r>
        <w:t xml:space="preserve"> systems, particularly at LF, MF, HF, VHF and UHF,</w:t>
      </w:r>
    </w:p>
    <w:p w:rsidR="00896209" w:rsidRPr="0011054B" w:rsidRDefault="00896209" w:rsidP="00896209">
      <w:pPr>
        <w:pStyle w:val="Call"/>
        <w:rPr>
          <w:lang w:val="en-US"/>
        </w:rPr>
      </w:pPr>
      <w:r w:rsidRPr="0011054B">
        <w:rPr>
          <w:lang w:val="en-US"/>
        </w:rPr>
        <w:t xml:space="preserve">decides </w:t>
      </w:r>
      <w:r w:rsidRPr="00F32E73">
        <w:rPr>
          <w:i w:val="0"/>
          <w:iCs/>
          <w:lang w:val="en-US"/>
        </w:rPr>
        <w:t>that the following Question shall be studied</w:t>
      </w:r>
    </w:p>
    <w:p w:rsidR="00896209" w:rsidRDefault="00896209" w:rsidP="00896209">
      <w:pPr>
        <w:tabs>
          <w:tab w:val="clear" w:pos="794"/>
          <w:tab w:val="left" w:pos="810"/>
        </w:tabs>
      </w:pPr>
      <w:r>
        <w:rPr>
          <w:b/>
          <w:bCs/>
        </w:rPr>
        <w:t>1</w:t>
      </w:r>
      <w:r>
        <w:tab/>
        <w:t xml:space="preserve">What are the acceptable levels of radiation from telecommunication systems utilising wired electrical power supply so as not to impair the performance of </w:t>
      </w:r>
      <w:proofErr w:type="spellStart"/>
      <w:r>
        <w:t>radiocommunication</w:t>
      </w:r>
      <w:proofErr w:type="spellEnd"/>
      <w:r>
        <w:t xml:space="preserve"> systems?</w:t>
      </w:r>
    </w:p>
    <w:p w:rsidR="00896209" w:rsidRPr="0011054B" w:rsidRDefault="00896209" w:rsidP="00896209">
      <w:pPr>
        <w:pStyle w:val="Call"/>
        <w:rPr>
          <w:lang w:val="en-US"/>
        </w:rPr>
      </w:pPr>
      <w:r w:rsidRPr="0011054B">
        <w:rPr>
          <w:lang w:val="en-US"/>
        </w:rPr>
        <w:t>further decides</w:t>
      </w:r>
    </w:p>
    <w:p w:rsidR="00896209" w:rsidRDefault="00896209" w:rsidP="00896209">
      <w:r>
        <w:rPr>
          <w:b/>
        </w:rPr>
        <w:t>1</w:t>
      </w:r>
      <w:r>
        <w:tab/>
        <w:t xml:space="preserve">that the results of the above studies should be included </w:t>
      </w:r>
      <w:r w:rsidR="003106EF">
        <w:t>in (a) Recommendation(s) and/or (a) </w:t>
      </w:r>
      <w:r>
        <w:t>Report(s);</w:t>
      </w:r>
    </w:p>
    <w:p w:rsidR="00896209" w:rsidRDefault="00896209" w:rsidP="00896209">
      <w:r>
        <w:rPr>
          <w:b/>
        </w:rPr>
        <w:t>2</w:t>
      </w:r>
      <w:r>
        <w:tab/>
        <w:t>that the studies should be completed by 2011.</w:t>
      </w:r>
    </w:p>
    <w:p w:rsidR="00896209" w:rsidRDefault="00896209" w:rsidP="00896209"/>
    <w:p w:rsidR="00896209" w:rsidRDefault="00896209" w:rsidP="00B50F17">
      <w:r>
        <w:t>Category: S1</w:t>
      </w:r>
    </w:p>
    <w:p w:rsidR="00FE7F18" w:rsidRPr="00896209" w:rsidRDefault="00FE7F18" w:rsidP="00FE7F18">
      <w:pPr>
        <w:rPr>
          <w:lang w:val="en-US"/>
        </w:rPr>
      </w:pPr>
    </w:p>
    <w:p w:rsidR="00896209" w:rsidRPr="003106EF" w:rsidRDefault="006264DA" w:rsidP="00B50F17">
      <w:pPr>
        <w:pStyle w:val="AnnexNotitle"/>
        <w:rPr>
          <w:lang w:val="en-US"/>
        </w:rPr>
      </w:pPr>
      <w:r w:rsidRPr="003106EF">
        <w:rPr>
          <w:lang w:val="en-US"/>
        </w:rPr>
        <w:br w:type="page"/>
      </w:r>
      <w:r w:rsidR="00896209" w:rsidRPr="003106EF">
        <w:rPr>
          <w:lang w:val="en-US"/>
        </w:rPr>
        <w:t>Annex 3</w:t>
      </w:r>
      <w:r w:rsidR="00B50F17" w:rsidRPr="003106EF">
        <w:rPr>
          <w:lang w:val="en-US"/>
        </w:rPr>
        <w:br/>
      </w:r>
      <w:r w:rsidR="00B50F17" w:rsidRPr="003106EF">
        <w:rPr>
          <w:lang w:val="en-US"/>
        </w:rPr>
        <w:br/>
      </w:r>
      <w:r w:rsidR="00896209" w:rsidRPr="003106EF">
        <w:rPr>
          <w:lang w:val="en-US"/>
        </w:rPr>
        <w:t xml:space="preserve">Suppressed </w:t>
      </w:r>
      <w:r w:rsidR="00B50F17" w:rsidRPr="003106EF">
        <w:rPr>
          <w:lang w:val="en-US"/>
        </w:rPr>
        <w:t>ITU-R Question</w:t>
      </w:r>
    </w:p>
    <w:p w:rsidR="00896209" w:rsidRPr="003106EF" w:rsidRDefault="00896209" w:rsidP="00896209">
      <w:pPr>
        <w:pStyle w:val="Questionref"/>
        <w:rPr>
          <w:lang w:val="en-US"/>
        </w:rPr>
      </w:pPr>
    </w:p>
    <w:p w:rsidR="00896209" w:rsidRPr="003106EF" w:rsidRDefault="00896209" w:rsidP="00896209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5271"/>
        <w:gridCol w:w="1248"/>
        <w:gridCol w:w="1342"/>
      </w:tblGrid>
      <w:tr w:rsidR="00896209" w:rsidRPr="002B1648" w:rsidTr="00B50F17">
        <w:trPr>
          <w:cantSplit/>
          <w:tblHeader/>
        </w:trPr>
        <w:tc>
          <w:tcPr>
            <w:tcW w:w="1745" w:type="dxa"/>
            <w:vAlign w:val="center"/>
          </w:tcPr>
          <w:p w:rsidR="00896209" w:rsidRPr="002B1648" w:rsidRDefault="00896209" w:rsidP="001C5234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Question ITU-R</w:t>
            </w:r>
          </w:p>
        </w:tc>
        <w:tc>
          <w:tcPr>
            <w:tcW w:w="5271" w:type="dxa"/>
            <w:vAlign w:val="center"/>
          </w:tcPr>
          <w:p w:rsidR="00896209" w:rsidRPr="002B1648" w:rsidRDefault="00896209" w:rsidP="001C5234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Title</w:t>
            </w:r>
          </w:p>
        </w:tc>
        <w:tc>
          <w:tcPr>
            <w:tcW w:w="1248" w:type="dxa"/>
            <w:vAlign w:val="center"/>
          </w:tcPr>
          <w:p w:rsidR="00896209" w:rsidRPr="002B1648" w:rsidRDefault="00896209" w:rsidP="001C5234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Category</w:t>
            </w:r>
          </w:p>
        </w:tc>
        <w:tc>
          <w:tcPr>
            <w:tcW w:w="1342" w:type="dxa"/>
            <w:vAlign w:val="center"/>
          </w:tcPr>
          <w:p w:rsidR="00896209" w:rsidRPr="002B1648" w:rsidRDefault="00896209" w:rsidP="001C5234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 xml:space="preserve">Date of </w:t>
            </w:r>
            <w:r w:rsidRPr="002B1648">
              <w:rPr>
                <w:rFonts w:eastAsia="MS Mincho"/>
                <w:lang w:val="en-US" w:eastAsia="ja-JP"/>
              </w:rPr>
              <w:t xml:space="preserve">last </w:t>
            </w:r>
            <w:r w:rsidRPr="002B1648">
              <w:rPr>
                <w:lang w:val="en-US" w:eastAsia="zh-CN"/>
              </w:rPr>
              <w:t>approval</w:t>
            </w:r>
          </w:p>
        </w:tc>
      </w:tr>
      <w:tr w:rsidR="00896209" w:rsidRPr="002B1648" w:rsidTr="00B50F17">
        <w:trPr>
          <w:cantSplit/>
        </w:trPr>
        <w:tc>
          <w:tcPr>
            <w:tcW w:w="1745" w:type="dxa"/>
          </w:tcPr>
          <w:p w:rsidR="00896209" w:rsidRPr="001A3D9F" w:rsidRDefault="002613F5" w:rsidP="001A3D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hyperlink r:id="rId9" w:history="1">
              <w:r w:rsidR="001A3D9F" w:rsidRPr="001A3D9F">
                <w:rPr>
                  <w:rStyle w:val="Hyperlink"/>
                  <w:rFonts w:eastAsia="SimSun"/>
                  <w:lang w:eastAsia="zh-CN"/>
                </w:rPr>
                <w:t>219/1</w:t>
              </w:r>
            </w:hyperlink>
          </w:p>
        </w:tc>
        <w:tc>
          <w:tcPr>
            <w:tcW w:w="5271" w:type="dxa"/>
          </w:tcPr>
          <w:p w:rsidR="00896209" w:rsidRPr="00D23E1A" w:rsidRDefault="00896209" w:rsidP="001C523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Remote access to radio monitoring equipment of other administrations</w:t>
            </w:r>
          </w:p>
        </w:tc>
        <w:tc>
          <w:tcPr>
            <w:tcW w:w="1248" w:type="dxa"/>
          </w:tcPr>
          <w:p w:rsidR="00896209" w:rsidRPr="00D23E1A" w:rsidRDefault="00896209" w:rsidP="001C5234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S2</w:t>
            </w:r>
          </w:p>
        </w:tc>
        <w:tc>
          <w:tcPr>
            <w:tcW w:w="1342" w:type="dxa"/>
          </w:tcPr>
          <w:p w:rsidR="00896209" w:rsidRPr="002B1648" w:rsidRDefault="00896209" w:rsidP="001C5234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 w:rsidRPr="002B1648">
              <w:rPr>
                <w:color w:val="000000"/>
                <w:lang w:val="en-US" w:eastAsia="zh-CN"/>
              </w:rPr>
              <w:t>200</w:t>
            </w:r>
            <w:r>
              <w:rPr>
                <w:color w:val="000000"/>
                <w:lang w:val="en-US" w:eastAsia="zh-CN"/>
              </w:rPr>
              <w:t>0</w:t>
            </w:r>
          </w:p>
        </w:tc>
      </w:tr>
    </w:tbl>
    <w:p w:rsidR="00B50F17" w:rsidRDefault="00B50F17">
      <w:pPr>
        <w:jc w:val="center"/>
        <w:rPr>
          <w:lang w:val="en-US"/>
        </w:rPr>
      </w:pPr>
      <w:bookmarkStart w:id="5" w:name="dbreak"/>
      <w:bookmarkEnd w:id="5"/>
    </w:p>
    <w:p w:rsidR="00B50F17" w:rsidRDefault="00B50F17">
      <w:pPr>
        <w:jc w:val="center"/>
        <w:rPr>
          <w:lang w:val="en-US"/>
        </w:rPr>
      </w:pPr>
    </w:p>
    <w:p w:rsidR="00B50F17" w:rsidRDefault="00B50F17">
      <w:pPr>
        <w:jc w:val="center"/>
        <w:rPr>
          <w:lang w:val="en-US"/>
        </w:rPr>
      </w:pPr>
    </w:p>
    <w:p w:rsidR="007D2D05" w:rsidRDefault="007D2D05">
      <w:pPr>
        <w:jc w:val="center"/>
      </w:pPr>
      <w:r>
        <w:rPr>
          <w:lang w:val="en-US"/>
        </w:rPr>
        <w:t>_______________</w:t>
      </w:r>
    </w:p>
    <w:p w:rsidR="007D2D05" w:rsidRPr="00896209" w:rsidRDefault="007D2D05">
      <w:pPr>
        <w:pStyle w:val="Normalaftertitle"/>
        <w:rPr>
          <w:lang w:val="en-US"/>
        </w:rPr>
      </w:pPr>
    </w:p>
    <w:sectPr w:rsidR="007D2D05" w:rsidRPr="00896209" w:rsidSect="00A22AAC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17" w:rsidRDefault="00B50F17">
      <w:r>
        <w:separator/>
      </w:r>
    </w:p>
  </w:endnote>
  <w:endnote w:type="continuationSeparator" w:id="0">
    <w:p w:rsidR="00B50F17" w:rsidRDefault="00B5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17" w:rsidRPr="002A5DEB" w:rsidRDefault="002613F5" w:rsidP="002A5DEB">
    <w:pPr>
      <w:pStyle w:val="Footer"/>
    </w:pPr>
    <w:fldSimple w:instr=" FILENAME  \p  \* MERGEFORMAT ">
      <w:r w:rsidR="003462C8">
        <w:t>Y:\APP\BR\CIRCS_DMS\CACE\500\523\523e.docx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50F1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0F17" w:rsidRDefault="00B50F1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50F17" w:rsidRDefault="00B50F1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50F17" w:rsidRDefault="00B50F1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0F17" w:rsidRDefault="00B50F1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50F17">
      <w:trPr>
        <w:cantSplit/>
      </w:trPr>
      <w:tc>
        <w:tcPr>
          <w:tcW w:w="1062" w:type="pct"/>
        </w:tcPr>
        <w:p w:rsidR="00B50F17" w:rsidRDefault="00B50F17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50F17" w:rsidRDefault="00B50F1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50F17" w:rsidRDefault="00B50F1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50F17" w:rsidRDefault="00B50F1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50F17">
      <w:trPr>
        <w:cantSplit/>
      </w:trPr>
      <w:tc>
        <w:tcPr>
          <w:tcW w:w="1062" w:type="pct"/>
        </w:tcPr>
        <w:p w:rsidR="00B50F17" w:rsidRDefault="00B50F17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50F17" w:rsidRDefault="00B50F1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50F17" w:rsidRDefault="00B50F17">
          <w:pPr>
            <w:pStyle w:val="itu"/>
          </w:pPr>
        </w:p>
      </w:tc>
      <w:tc>
        <w:tcPr>
          <w:tcW w:w="1131" w:type="pct"/>
        </w:tcPr>
        <w:p w:rsidR="00B50F17" w:rsidRDefault="00B50F17">
          <w:pPr>
            <w:pStyle w:val="itu"/>
          </w:pPr>
        </w:p>
      </w:tc>
    </w:tr>
  </w:tbl>
  <w:p w:rsidR="00B50F17" w:rsidRPr="009E1957" w:rsidRDefault="00B50F17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17" w:rsidRDefault="00B50F17">
      <w:r>
        <w:t>____________________</w:t>
      </w:r>
    </w:p>
  </w:footnote>
  <w:footnote w:type="continuationSeparator" w:id="0">
    <w:p w:rsidR="00B50F17" w:rsidRDefault="00B5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17" w:rsidRDefault="00B50F17">
    <w:pPr>
      <w:pStyle w:val="Header"/>
      <w:rPr>
        <w:rStyle w:val="PageNumber"/>
      </w:rPr>
    </w:pPr>
    <w:r>
      <w:rPr>
        <w:lang w:val="en-US"/>
      </w:rPr>
      <w:t xml:space="preserve">- </w:t>
    </w:r>
    <w:r w:rsidR="002613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13F5">
      <w:rPr>
        <w:rStyle w:val="PageNumber"/>
      </w:rPr>
      <w:fldChar w:fldCharType="separate"/>
    </w:r>
    <w:r w:rsidR="003462C8">
      <w:rPr>
        <w:rStyle w:val="PageNumber"/>
        <w:noProof/>
      </w:rPr>
      <w:t>4</w:t>
    </w:r>
    <w:r w:rsidR="002613F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7D2D05"/>
    <w:rsid w:val="001A3D9F"/>
    <w:rsid w:val="001C5234"/>
    <w:rsid w:val="00207F2F"/>
    <w:rsid w:val="002613F5"/>
    <w:rsid w:val="002A5DEB"/>
    <w:rsid w:val="003106EF"/>
    <w:rsid w:val="003462C8"/>
    <w:rsid w:val="003A3EAA"/>
    <w:rsid w:val="003C146D"/>
    <w:rsid w:val="003F4A8F"/>
    <w:rsid w:val="003F7464"/>
    <w:rsid w:val="0045610B"/>
    <w:rsid w:val="004927ED"/>
    <w:rsid w:val="004B520C"/>
    <w:rsid w:val="0054694D"/>
    <w:rsid w:val="005530B1"/>
    <w:rsid w:val="006264DA"/>
    <w:rsid w:val="006D1AF9"/>
    <w:rsid w:val="00724C8C"/>
    <w:rsid w:val="0076186C"/>
    <w:rsid w:val="007B4BFF"/>
    <w:rsid w:val="007D2D05"/>
    <w:rsid w:val="00844A59"/>
    <w:rsid w:val="00883260"/>
    <w:rsid w:val="00896209"/>
    <w:rsid w:val="008B265D"/>
    <w:rsid w:val="008C3C9D"/>
    <w:rsid w:val="009F38F9"/>
    <w:rsid w:val="00A22AAC"/>
    <w:rsid w:val="00A5714E"/>
    <w:rsid w:val="00A72A66"/>
    <w:rsid w:val="00AD350D"/>
    <w:rsid w:val="00AD3C08"/>
    <w:rsid w:val="00B50F17"/>
    <w:rsid w:val="00B549DE"/>
    <w:rsid w:val="00B85A31"/>
    <w:rsid w:val="00B9676C"/>
    <w:rsid w:val="00BA6239"/>
    <w:rsid w:val="00BC4660"/>
    <w:rsid w:val="00BD5266"/>
    <w:rsid w:val="00BD74BA"/>
    <w:rsid w:val="00BF18DA"/>
    <w:rsid w:val="00C12B66"/>
    <w:rsid w:val="00C66401"/>
    <w:rsid w:val="00CE57EA"/>
    <w:rsid w:val="00D71715"/>
    <w:rsid w:val="00D947EF"/>
    <w:rsid w:val="00DC13C2"/>
    <w:rsid w:val="00EA7589"/>
    <w:rsid w:val="00F4302D"/>
    <w:rsid w:val="00F71D30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22A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2A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2A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2A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2AAC"/>
    <w:pPr>
      <w:outlineLvl w:val="4"/>
    </w:pPr>
  </w:style>
  <w:style w:type="paragraph" w:styleId="Heading6">
    <w:name w:val="heading 6"/>
    <w:basedOn w:val="Heading4"/>
    <w:next w:val="Normal"/>
    <w:qFormat/>
    <w:rsid w:val="00A22A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2AAC"/>
    <w:pPr>
      <w:outlineLvl w:val="6"/>
    </w:pPr>
  </w:style>
  <w:style w:type="paragraph" w:styleId="Heading8">
    <w:name w:val="heading 8"/>
    <w:basedOn w:val="Heading6"/>
    <w:next w:val="Normal"/>
    <w:qFormat/>
    <w:rsid w:val="00A22AAC"/>
    <w:pPr>
      <w:outlineLvl w:val="7"/>
    </w:pPr>
  </w:style>
  <w:style w:type="paragraph" w:styleId="Heading9">
    <w:name w:val="heading 9"/>
    <w:basedOn w:val="Heading6"/>
    <w:next w:val="Normal"/>
    <w:qFormat/>
    <w:rsid w:val="00A22A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22A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22A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22AAC"/>
  </w:style>
  <w:style w:type="paragraph" w:customStyle="1" w:styleId="Figure">
    <w:name w:val="Figure"/>
    <w:basedOn w:val="Normal"/>
    <w:next w:val="FigureNotitle"/>
    <w:rsid w:val="00A22A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2A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22AA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22A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2AAC"/>
    <w:rPr>
      <w:b w:val="0"/>
    </w:rPr>
  </w:style>
  <w:style w:type="paragraph" w:customStyle="1" w:styleId="ASN1">
    <w:name w:val="ASN.1"/>
    <w:basedOn w:val="Normal"/>
    <w:rsid w:val="00A22A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2AA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A22A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2A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2AA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2AA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A22AA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2A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2A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2AAC"/>
    <w:rPr>
      <w:rFonts w:cs="Times New Roman"/>
    </w:rPr>
  </w:style>
  <w:style w:type="paragraph" w:customStyle="1" w:styleId="RecNoBR">
    <w:name w:val="Rec_No_BR"/>
    <w:basedOn w:val="Normal"/>
    <w:next w:val="Rectitle"/>
    <w:rsid w:val="00A22A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2A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22AAC"/>
  </w:style>
  <w:style w:type="paragraph" w:customStyle="1" w:styleId="Questiontitle">
    <w:name w:val="Question_title"/>
    <w:basedOn w:val="Rectitle"/>
    <w:next w:val="Questionref"/>
    <w:rsid w:val="00A22AAC"/>
  </w:style>
  <w:style w:type="paragraph" w:customStyle="1" w:styleId="Questionref">
    <w:name w:val="Question_ref"/>
    <w:basedOn w:val="Recref"/>
    <w:next w:val="Questiondate"/>
    <w:rsid w:val="00A22AAC"/>
  </w:style>
  <w:style w:type="paragraph" w:customStyle="1" w:styleId="Recref">
    <w:name w:val="Rec_ref"/>
    <w:basedOn w:val="Normal"/>
    <w:next w:val="Recdate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2AAC"/>
  </w:style>
  <w:style w:type="character" w:styleId="EndnoteReference">
    <w:name w:val="endnote reference"/>
    <w:basedOn w:val="DefaultParagraphFont"/>
    <w:semiHidden/>
    <w:rsid w:val="00A22AA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0"/>
    <w:rsid w:val="00A22AAC"/>
    <w:pPr>
      <w:spacing w:before="80"/>
      <w:ind w:left="794" w:hanging="794"/>
    </w:pPr>
  </w:style>
  <w:style w:type="paragraph" w:customStyle="1" w:styleId="enumlev2">
    <w:name w:val="enumlev2"/>
    <w:basedOn w:val="enumlev1"/>
    <w:rsid w:val="00A22AAC"/>
    <w:pPr>
      <w:ind w:left="1191" w:hanging="397"/>
    </w:pPr>
  </w:style>
  <w:style w:type="paragraph" w:customStyle="1" w:styleId="enumlev3">
    <w:name w:val="enumlev3"/>
    <w:basedOn w:val="enumlev2"/>
    <w:rsid w:val="00A22AAC"/>
    <w:pPr>
      <w:ind w:left="1588"/>
    </w:pPr>
  </w:style>
  <w:style w:type="paragraph" w:customStyle="1" w:styleId="Equation">
    <w:name w:val="Equation"/>
    <w:basedOn w:val="Normal"/>
    <w:rsid w:val="00A22A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2A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22AAC"/>
  </w:style>
  <w:style w:type="paragraph" w:customStyle="1" w:styleId="Reptitle">
    <w:name w:val="Rep_title"/>
    <w:basedOn w:val="Rectitle"/>
    <w:next w:val="Repref"/>
    <w:rsid w:val="00A22AAC"/>
  </w:style>
  <w:style w:type="paragraph" w:customStyle="1" w:styleId="Repref">
    <w:name w:val="Rep_ref"/>
    <w:basedOn w:val="Recref"/>
    <w:next w:val="Repdate"/>
    <w:rsid w:val="00A22AAC"/>
  </w:style>
  <w:style w:type="paragraph" w:customStyle="1" w:styleId="Repdate">
    <w:name w:val="Rep_date"/>
    <w:basedOn w:val="Recdate"/>
    <w:next w:val="Normalaftertitle"/>
    <w:rsid w:val="00A22AAC"/>
  </w:style>
  <w:style w:type="paragraph" w:customStyle="1" w:styleId="ResNoBR">
    <w:name w:val="Res_No_BR"/>
    <w:basedOn w:val="RecNoBR"/>
    <w:next w:val="Restitle"/>
    <w:rsid w:val="00A22AAC"/>
  </w:style>
  <w:style w:type="paragraph" w:customStyle="1" w:styleId="Restitle">
    <w:name w:val="Res_title"/>
    <w:basedOn w:val="Rectitle"/>
    <w:next w:val="Resref"/>
    <w:rsid w:val="00A22AAC"/>
  </w:style>
  <w:style w:type="paragraph" w:customStyle="1" w:styleId="Resref">
    <w:name w:val="Res_ref"/>
    <w:basedOn w:val="Recref"/>
    <w:next w:val="Resdate"/>
    <w:rsid w:val="00A22AAC"/>
  </w:style>
  <w:style w:type="paragraph" w:customStyle="1" w:styleId="Resdate">
    <w:name w:val="Res_date"/>
    <w:basedOn w:val="Recdate"/>
    <w:next w:val="Normalaftertitle"/>
    <w:rsid w:val="00A22AAC"/>
  </w:style>
  <w:style w:type="paragraph" w:customStyle="1" w:styleId="Section1">
    <w:name w:val="Section_1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2AAC"/>
    <w:pPr>
      <w:keepLines/>
      <w:spacing w:before="240" w:after="120"/>
      <w:jc w:val="center"/>
    </w:pPr>
  </w:style>
  <w:style w:type="paragraph" w:styleId="Footer">
    <w:name w:val="footer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2A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A22AA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te"/>
    <w:link w:val="FootnoteTextChar"/>
    <w:rsid w:val="00A22A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2AAC"/>
    <w:pPr>
      <w:spacing w:before="80"/>
    </w:pPr>
  </w:style>
  <w:style w:type="paragraph" w:styleId="Header">
    <w:name w:val="header"/>
    <w:basedOn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2A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2A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2AAC"/>
  </w:style>
  <w:style w:type="paragraph" w:styleId="Index2">
    <w:name w:val="index 2"/>
    <w:basedOn w:val="Normal"/>
    <w:next w:val="Normal"/>
    <w:semiHidden/>
    <w:rsid w:val="00A22AAC"/>
    <w:pPr>
      <w:ind w:left="283"/>
    </w:pPr>
  </w:style>
  <w:style w:type="paragraph" w:styleId="Index3">
    <w:name w:val="index 3"/>
    <w:basedOn w:val="Normal"/>
    <w:next w:val="Normal"/>
    <w:semiHidden/>
    <w:rsid w:val="00A22AAC"/>
    <w:pPr>
      <w:ind w:left="566"/>
    </w:pPr>
  </w:style>
  <w:style w:type="paragraph" w:customStyle="1" w:styleId="Section2">
    <w:name w:val="Section_2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2A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2A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2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2A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22A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2A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2A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A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2AA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2AAC"/>
  </w:style>
  <w:style w:type="character" w:customStyle="1" w:styleId="Recdef">
    <w:name w:val="Rec_def"/>
    <w:basedOn w:val="DefaultParagraphFont"/>
    <w:rsid w:val="00A22AAC"/>
    <w:rPr>
      <w:rFonts w:cs="Times New Roman"/>
      <w:b/>
    </w:rPr>
  </w:style>
  <w:style w:type="paragraph" w:customStyle="1" w:styleId="Reftext">
    <w:name w:val="Ref_text"/>
    <w:basedOn w:val="Normal"/>
    <w:rsid w:val="00A22AAC"/>
    <w:pPr>
      <w:ind w:left="794" w:hanging="794"/>
    </w:pPr>
  </w:style>
  <w:style w:type="paragraph" w:customStyle="1" w:styleId="Reftitle">
    <w:name w:val="Ref_title"/>
    <w:basedOn w:val="Normal"/>
    <w:next w:val="Reftext"/>
    <w:rsid w:val="00A22A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2AAC"/>
  </w:style>
  <w:style w:type="character" w:customStyle="1" w:styleId="Resdef">
    <w:name w:val="Res_def"/>
    <w:basedOn w:val="DefaultParagraphFont"/>
    <w:rsid w:val="00A22AA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A22AAC"/>
  </w:style>
  <w:style w:type="paragraph" w:customStyle="1" w:styleId="SectionNo">
    <w:name w:val="Section_No"/>
    <w:basedOn w:val="Normal"/>
    <w:next w:val="Sectiontitle"/>
    <w:rsid w:val="00A22A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2A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2A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2AA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2AAC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A22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22A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22A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2AAC"/>
  </w:style>
  <w:style w:type="paragraph" w:customStyle="1" w:styleId="Title3">
    <w:name w:val="Title 3"/>
    <w:basedOn w:val="Title2"/>
    <w:next w:val="Title4"/>
    <w:rsid w:val="00A22AAC"/>
    <w:rPr>
      <w:caps w:val="0"/>
    </w:rPr>
  </w:style>
  <w:style w:type="paragraph" w:customStyle="1" w:styleId="Title4">
    <w:name w:val="Title 4"/>
    <w:basedOn w:val="Title3"/>
    <w:next w:val="Heading1"/>
    <w:rsid w:val="00A22AAC"/>
    <w:rPr>
      <w:b/>
    </w:rPr>
  </w:style>
  <w:style w:type="paragraph" w:customStyle="1" w:styleId="toc0">
    <w:name w:val="toc 0"/>
    <w:basedOn w:val="Normal"/>
    <w:next w:val="TOC1"/>
    <w:rsid w:val="00A22A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2A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2AAC"/>
    <w:pPr>
      <w:spacing w:before="80"/>
      <w:ind w:left="1531" w:hanging="851"/>
    </w:pPr>
  </w:style>
  <w:style w:type="paragraph" w:styleId="TOC3">
    <w:name w:val="toc 3"/>
    <w:basedOn w:val="TOC2"/>
    <w:semiHidden/>
    <w:rsid w:val="00A22AAC"/>
  </w:style>
  <w:style w:type="paragraph" w:styleId="TOC4">
    <w:name w:val="toc 4"/>
    <w:basedOn w:val="TOC3"/>
    <w:semiHidden/>
    <w:rsid w:val="00A22AAC"/>
  </w:style>
  <w:style w:type="paragraph" w:styleId="TOC5">
    <w:name w:val="toc 5"/>
    <w:basedOn w:val="TOC4"/>
    <w:semiHidden/>
    <w:rsid w:val="00A22AAC"/>
  </w:style>
  <w:style w:type="paragraph" w:styleId="TOC6">
    <w:name w:val="toc 6"/>
    <w:basedOn w:val="TOC4"/>
    <w:semiHidden/>
    <w:rsid w:val="00A22AAC"/>
  </w:style>
  <w:style w:type="paragraph" w:styleId="TOC7">
    <w:name w:val="toc 7"/>
    <w:basedOn w:val="TOC4"/>
    <w:semiHidden/>
    <w:rsid w:val="00A22AAC"/>
  </w:style>
  <w:style w:type="paragraph" w:styleId="TOC8">
    <w:name w:val="toc 8"/>
    <w:basedOn w:val="TOC4"/>
    <w:semiHidden/>
    <w:rsid w:val="00A22AAC"/>
  </w:style>
  <w:style w:type="paragraph" w:customStyle="1" w:styleId="FiguretitleBR">
    <w:name w:val="Figure_title_BR"/>
    <w:basedOn w:val="TabletitleBR"/>
    <w:next w:val="Figurewithouttitle"/>
    <w:rsid w:val="00A22A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2A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2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able">
    <w:name w:val="Table_#"/>
    <w:basedOn w:val="Normal"/>
    <w:next w:val="Normal"/>
    <w:rsid w:val="00A22AA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A22AA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22A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paragraph" w:customStyle="1" w:styleId="AnnexNo">
    <w:name w:val="Annex_No"/>
    <w:basedOn w:val="Normal"/>
    <w:next w:val="Normal"/>
    <w:rsid w:val="00A22AAC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22AAC"/>
    <w:rPr>
      <w:rFonts w:cs="Times New Roma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rsid w:val="00A22AAC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locked/>
    <w:rsid w:val="00A22AAC"/>
    <w:rPr>
      <w:rFonts w:cs="Times New Roman"/>
      <w:i/>
      <w:sz w:val="24"/>
      <w:lang w:val="en-GB" w:eastAsia="en-US" w:bidi="ar-SA"/>
    </w:rPr>
  </w:style>
  <w:style w:type="character" w:customStyle="1" w:styleId="FootnoteTextChar">
    <w:name w:val="Footnote Text Char"/>
    <w:aliases w:val="ALTS FOOTNOTE Char1,Footnote Text Char1 Char1,Footnote Text Char Char1 Char1,Footnote Text Char4 Char Char Char1,Footnote Text Char1 Char1 Char1 Char Char1,Footnote Text Char Char1 Char1 Char Char Char1,DNV-FT Char1,footnote text Char"/>
    <w:basedOn w:val="DefaultParagraphFont"/>
    <w:link w:val="FootnoteText"/>
    <w:locked/>
    <w:rsid w:val="00A22AAC"/>
    <w:rPr>
      <w:rFonts w:cs="Times New Roman"/>
      <w:sz w:val="24"/>
      <w:lang w:val="en-GB" w:eastAsia="en-US" w:bidi="ar-SA"/>
    </w:rPr>
  </w:style>
  <w:style w:type="character" w:styleId="Hyperlink">
    <w:name w:val="Hyperlink"/>
    <w:basedOn w:val="DefaultParagraphFont"/>
    <w:rsid w:val="00A22A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A22AAC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A22AAC"/>
    <w:pPr>
      <w:spacing w:after="120"/>
    </w:pPr>
  </w:style>
  <w:style w:type="paragraph" w:customStyle="1" w:styleId="headfoot">
    <w:name w:val="head_foot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a">
    <w:name w:val="Стиль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call0">
    <w:name w:val="call"/>
    <w:basedOn w:val="Normal"/>
    <w:next w:val="Normal"/>
    <w:rsid w:val="00A22AA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22AAC"/>
    <w:rPr>
      <w:rFonts w:cs="Times New Roman"/>
      <w:sz w:val="24"/>
      <w:lang w:val="en-GB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A22AAC"/>
    <w:rPr>
      <w:rFonts w:cs="Times New Roman"/>
      <w:sz w:val="24"/>
      <w:lang w:val="en-GB" w:eastAsia="en-US" w:bidi="ar-SA"/>
    </w:rPr>
  </w:style>
  <w:style w:type="character" w:customStyle="1" w:styleId="enumlev10">
    <w:name w:val="enumlev1 Знак"/>
    <w:basedOn w:val="DefaultParagraphFont"/>
    <w:link w:val="enumlev1"/>
    <w:locked/>
    <w:rsid w:val="00A22AAC"/>
    <w:rPr>
      <w:rFonts w:cs="Times New Roman"/>
      <w:sz w:val="24"/>
      <w:lang w:val="en-GB" w:eastAsia="en-US" w:bidi="ar-SA"/>
    </w:rPr>
  </w:style>
  <w:style w:type="character" w:customStyle="1" w:styleId="CharChar">
    <w:name w:val="Char Char"/>
    <w:basedOn w:val="DefaultParagraphFont"/>
    <w:semiHidden/>
    <w:rsid w:val="00A22AAC"/>
    <w:rPr>
      <w:sz w:val="24"/>
      <w:lang w:val="en-GB" w:eastAsia="en-US" w:bidi="ar-SA"/>
    </w:rPr>
  </w:style>
  <w:style w:type="character" w:customStyle="1" w:styleId="Title1Char">
    <w:name w:val="Title 1 Char"/>
    <w:basedOn w:val="DefaultParagraphFont"/>
    <w:link w:val="Title1"/>
    <w:rsid w:val="00A22AAC"/>
    <w:rPr>
      <w:caps/>
      <w:sz w:val="2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G01-C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1.219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25</TotalTime>
  <Pages>4</Pages>
  <Words>725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5172</CharactersWithSpaces>
  <SharedDoc>false</SharedDoc>
  <HLinks>
    <vt:vector size="18" baseType="variant"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http://www.itu.int/md/R07-SG01-C-0001/en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15</cp:revision>
  <cp:lastPrinted>2011-01-24T14:14:00Z</cp:lastPrinted>
  <dcterms:created xsi:type="dcterms:W3CDTF">2011-01-14T13:20:00Z</dcterms:created>
  <dcterms:modified xsi:type="dcterms:W3CDTF">2011-01-24T14:14:00Z</dcterms:modified>
</cp:coreProperties>
</file>