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206A4D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93664B">
              <w:rPr>
                <w:b/>
                <w:bCs/>
                <w:lang w:val="en-US" w:bidi="ar-EG"/>
              </w:rPr>
              <w:t>520</w:t>
            </w:r>
          </w:p>
        </w:tc>
        <w:tc>
          <w:tcPr>
            <w:tcW w:w="7502" w:type="dxa"/>
          </w:tcPr>
          <w:p w:rsidR="00AE050F" w:rsidRPr="00206E2B" w:rsidRDefault="0093664B" w:rsidP="0093664B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20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ديسمبر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AE050F">
              <w:rPr>
                <w:lang w:val="en-US" w:bidi="ar-EG"/>
              </w:rPr>
              <w:t>2010</w:t>
            </w:r>
          </w:p>
        </w:tc>
      </w:tr>
    </w:tbl>
    <w:p w:rsidR="00AE050F" w:rsidRPr="006075B8" w:rsidRDefault="00AE050F" w:rsidP="009F72D8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>
        <w:rPr>
          <w:rFonts w:ascii="Times New Roman Bold" w:hAnsi="Times New Roman Bold"/>
          <w:b/>
          <w:bCs/>
          <w:sz w:val="26"/>
          <w:szCs w:val="36"/>
          <w:lang w:val="en-US" w:bidi="ar-EG"/>
        </w:rPr>
        <w:t>4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C00246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Pr="001E5AB0">
        <w:rPr>
          <w:rFonts w:hAnsi="Times New Roman Bold"/>
          <w:b/>
          <w:bCs/>
          <w:spacing w:val="-4"/>
          <w:lang w:val="en-US" w:bidi="ar-EG"/>
        </w:rPr>
        <w:t>4</w:t>
      </w:r>
      <w:r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</w:p>
    <w:p w:rsidR="00AE050F" w:rsidRPr="001E5AB0" w:rsidRDefault="00AE050F" w:rsidP="0093664B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="0093664B">
        <w:rPr>
          <w:rFonts w:hint="cs"/>
          <w:b/>
          <w:bCs/>
          <w:spacing w:val="-2"/>
          <w:rtl/>
          <w:lang w:val="en-US" w:bidi="ar-EG"/>
        </w:rPr>
        <w:t>توصية</w:t>
      </w:r>
      <w:r w:rsidRPr="001E5AB0">
        <w:rPr>
          <w:b/>
          <w:bCs/>
          <w:spacing w:val="-2"/>
          <w:rtl/>
          <w:lang w:val="fr-FR" w:bidi="ar-EG"/>
        </w:rPr>
        <w:t xml:space="preserve"> جديدة </w:t>
      </w:r>
      <w:r w:rsidR="003D4BAC">
        <w:rPr>
          <w:rFonts w:hint="cs"/>
          <w:b/>
          <w:bCs/>
          <w:spacing w:val="-2"/>
          <w:rtl/>
          <w:lang w:val="fr-FR" w:bidi="ar-EG"/>
        </w:rPr>
        <w:t xml:space="preserve">واحدة </w:t>
      </w:r>
      <w:r w:rsidRPr="001E5AB0">
        <w:rPr>
          <w:b/>
          <w:bCs/>
          <w:spacing w:val="-2"/>
          <w:rtl/>
          <w:lang w:val="fr-FR" w:bidi="ar-EG"/>
        </w:rPr>
        <w:t xml:space="preserve">ومراجعة </w:t>
      </w:r>
      <w:r w:rsidR="0093664B">
        <w:rPr>
          <w:rFonts w:hint="cs"/>
          <w:b/>
          <w:bCs/>
          <w:spacing w:val="-2"/>
          <w:rtl/>
          <w:lang w:val="en-US" w:bidi="ar-EG"/>
        </w:rPr>
        <w:t>توصيتين</w:t>
      </w:r>
      <w:r w:rsidRPr="001E5AB0">
        <w:rPr>
          <w:b/>
          <w:bCs/>
          <w:spacing w:val="-2"/>
          <w:rtl/>
          <w:lang w:val="fr-FR" w:bidi="ar-EG"/>
        </w:rPr>
        <w:t xml:space="preserve"> عن طريق المراسلة والموافقة عليها في نفس الوقت وفقاً للفقرة 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ITU-R 1-5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1E5AB0" w:rsidRDefault="00AE050F" w:rsidP="00DA4D2D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b/>
          <w:bCs/>
          <w:spacing w:val="-2"/>
          <w:rtl/>
          <w:lang w:val="en-US" w:bidi="ar-EG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="00DA4D2D">
        <w:rPr>
          <w:b/>
          <w:bCs/>
          <w:spacing w:val="-2"/>
          <w:lang w:val="en-US" w:bidi="ar-EG"/>
        </w:rPr>
        <w:t>5</w:t>
      </w:r>
      <w:r w:rsidR="00DA4D2D">
        <w:rPr>
          <w:rFonts w:hint="cs"/>
          <w:b/>
          <w:bCs/>
          <w:spacing w:val="-2"/>
          <w:rtl/>
          <w:lang w:val="en-US" w:bidi="ar-EG"/>
        </w:rPr>
        <w:t xml:space="preserve"> توصيات</w:t>
      </w:r>
    </w:p>
    <w:p w:rsidR="00AE050F" w:rsidRPr="002750E2" w:rsidRDefault="00AE050F" w:rsidP="002D5FFC">
      <w:pPr>
        <w:jc w:val="center"/>
        <w:rPr>
          <w:b/>
          <w:bCs/>
          <w:sz w:val="26"/>
          <w:szCs w:val="24"/>
          <w:rtl/>
        </w:rPr>
      </w:pPr>
      <w:r w:rsidRPr="002750E2">
        <w:rPr>
          <w:b/>
          <w:bCs/>
          <w:sz w:val="24"/>
          <w:szCs w:val="32"/>
          <w:rtl/>
          <w:lang w:val="en-US" w:bidi="ar-EG"/>
        </w:rPr>
        <w:t xml:space="preserve">الخدمات </w:t>
      </w:r>
      <w:r>
        <w:rPr>
          <w:b/>
          <w:bCs/>
          <w:sz w:val="24"/>
          <w:szCs w:val="32"/>
          <w:rtl/>
          <w:lang w:val="en-US" w:bidi="ar-EG"/>
        </w:rPr>
        <w:t>الساتلية</w:t>
      </w:r>
    </w:p>
    <w:p w:rsidR="00AE050F" w:rsidRPr="0001410A" w:rsidRDefault="00AE050F" w:rsidP="00E938F4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 w:rsidR="00E938F4">
        <w:rPr>
          <w:lang w:val="en-US" w:bidi="ar-EG"/>
        </w:rPr>
        <w:t>299</w:t>
      </w:r>
      <w:r w:rsidRPr="0001410A">
        <w:rPr>
          <w:rtl/>
          <w:lang w:val="en-US" w:bidi="ar-EG"/>
        </w:rPr>
        <w:t xml:space="preserve"> المؤرخة </w:t>
      </w:r>
      <w:r w:rsidR="00E938F4">
        <w:rPr>
          <w:lang w:val="en-US" w:bidi="ar-EG"/>
        </w:rPr>
        <w:t>17</w:t>
      </w:r>
      <w:r w:rsidRPr="0001410A">
        <w:rPr>
          <w:rtl/>
          <w:lang w:val="en-US" w:bidi="ar-EG"/>
        </w:rPr>
        <w:t xml:space="preserve"> </w:t>
      </w:r>
      <w:r w:rsidR="00E938F4">
        <w:rPr>
          <w:rFonts w:hint="cs"/>
          <w:rtl/>
          <w:lang w:val="en-US" w:bidi="ar-EG"/>
        </w:rPr>
        <w:t>سبتمبر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2010</w:t>
      </w:r>
      <w:r w:rsidRPr="0001410A">
        <w:rPr>
          <w:rtl/>
          <w:lang w:val="en-US" w:bidi="ar-EG"/>
        </w:rPr>
        <w:t xml:space="preserve">، تقديم </w:t>
      </w:r>
      <w:r w:rsidR="00E938F4">
        <w:rPr>
          <w:rFonts w:hint="cs"/>
          <w:rtl/>
          <w:lang w:val="en-US" w:bidi="ar-EG"/>
        </w:rPr>
        <w:t>مشروع توصية جديدة</w:t>
      </w:r>
      <w:r w:rsidR="003D4BAC">
        <w:rPr>
          <w:rFonts w:hint="cs"/>
          <w:rtl/>
          <w:lang w:val="en-US" w:bidi="ar-EG"/>
        </w:rPr>
        <w:t xml:space="preserve"> واحدة</w:t>
      </w:r>
      <w:r>
        <w:rPr>
          <w:rtl/>
          <w:lang w:val="en-US" w:bidi="ar-EG"/>
        </w:rPr>
        <w:t xml:space="preserve"> </w:t>
      </w:r>
      <w:r w:rsidR="00E938F4">
        <w:rPr>
          <w:rFonts w:hint="cs"/>
          <w:rtl/>
          <w:lang w:val="en-US" w:bidi="ar-EG"/>
        </w:rPr>
        <w:t>ومشروعي مراجعة توصيتين</w:t>
      </w:r>
      <w:r>
        <w:rPr>
          <w:rtl/>
          <w:lang w:val="fr-FR" w:bidi="ar-EG"/>
        </w:rPr>
        <w:t xml:space="preserve">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). كما اقترحت لجنة الدراسات </w:t>
      </w:r>
      <w:r>
        <w:rPr>
          <w:spacing w:val="-2"/>
          <w:rtl/>
          <w:lang w:val="fr-FR" w:bidi="ar-EG"/>
        </w:rPr>
        <w:t xml:space="preserve">إلغاء </w:t>
      </w:r>
      <w:r w:rsidR="00E938F4">
        <w:rPr>
          <w:spacing w:val="-2"/>
          <w:lang w:val="en-US" w:bidi="ar-EG"/>
        </w:rPr>
        <w:t>5</w:t>
      </w:r>
      <w:r w:rsidR="00E938F4">
        <w:rPr>
          <w:rFonts w:hint="cs"/>
          <w:rtl/>
          <w:lang w:val="en-US" w:bidi="ar-EG"/>
        </w:rPr>
        <w:t xml:space="preserve"> توصيات</w:t>
      </w:r>
      <w:r>
        <w:rPr>
          <w:rtl/>
          <w:lang w:val="en-US" w:bidi="ar-EG"/>
        </w:rPr>
        <w:t>.</w:t>
      </w:r>
    </w:p>
    <w:p w:rsidR="00AE050F" w:rsidRPr="00B55E68" w:rsidRDefault="00AE050F" w:rsidP="007E0116">
      <w:pPr>
        <w:rPr>
          <w:rtl/>
          <w:lang w:val="en-US" w:bidi="ar-EG"/>
        </w:rPr>
      </w:pPr>
      <w:r w:rsidRPr="007E0116">
        <w:rPr>
          <w:spacing w:val="-6"/>
          <w:rtl/>
          <w:lang w:val="en-US" w:bidi="ar-EG"/>
        </w:rPr>
        <w:t xml:space="preserve">وقد استوفيت الشروط التي ينص عليها هذا الإجراء في </w:t>
      </w:r>
      <w:r w:rsidR="00F0314A" w:rsidRPr="007E0116">
        <w:rPr>
          <w:spacing w:val="-6"/>
          <w:lang w:val="en-US" w:bidi="ar-EG"/>
        </w:rPr>
        <w:t>17</w:t>
      </w:r>
      <w:r w:rsidRPr="007E0116">
        <w:rPr>
          <w:spacing w:val="-6"/>
          <w:rtl/>
          <w:lang w:val="en-US" w:bidi="ar-EG"/>
        </w:rPr>
        <w:t xml:space="preserve"> </w:t>
      </w:r>
      <w:r w:rsidR="00F0314A" w:rsidRPr="007E0116">
        <w:rPr>
          <w:rFonts w:hint="cs"/>
          <w:spacing w:val="-6"/>
          <w:rtl/>
          <w:lang w:val="en-US" w:bidi="ar-EG"/>
        </w:rPr>
        <w:t>ديسمبر</w:t>
      </w:r>
      <w:r w:rsidRPr="007E0116">
        <w:rPr>
          <w:spacing w:val="-6"/>
          <w:rtl/>
          <w:lang w:val="en-US" w:bidi="ar-EG"/>
        </w:rPr>
        <w:t xml:space="preserve"> </w:t>
      </w:r>
      <w:r w:rsidRPr="007E0116">
        <w:rPr>
          <w:spacing w:val="-6"/>
          <w:lang w:val="en-US" w:bidi="ar-EG"/>
        </w:rPr>
        <w:t>2010</w:t>
      </w:r>
      <w:r w:rsidR="00F0314A" w:rsidRPr="007E0116">
        <w:rPr>
          <w:rFonts w:hint="cs"/>
          <w:spacing w:val="-6"/>
          <w:rtl/>
          <w:lang w:val="en-US" w:bidi="ar-EG"/>
        </w:rPr>
        <w:t xml:space="preserve">، باستثناء التوصيتين </w:t>
      </w:r>
      <w:r w:rsidR="00F0314A" w:rsidRPr="007E0116">
        <w:rPr>
          <w:spacing w:val="-6"/>
          <w:lang w:val="en-US" w:bidi="ar-EG"/>
        </w:rPr>
        <w:t>ITU-R</w:t>
      </w:r>
      <w:r w:rsidR="007E0116" w:rsidRPr="007E0116">
        <w:rPr>
          <w:spacing w:val="-6"/>
          <w:lang w:val="en-US" w:bidi="ar-EG"/>
        </w:rPr>
        <w:t> </w:t>
      </w:r>
      <w:r w:rsidR="00F0314A" w:rsidRPr="007E0116">
        <w:rPr>
          <w:spacing w:val="-6"/>
          <w:lang w:val="en-US" w:bidi="ar-EG"/>
        </w:rPr>
        <w:t>SF.1482</w:t>
      </w:r>
      <w:r w:rsidR="00F0314A" w:rsidRPr="007E0116">
        <w:rPr>
          <w:rFonts w:hint="cs"/>
          <w:spacing w:val="-6"/>
          <w:rtl/>
          <w:lang w:val="en-US" w:bidi="ar-EG"/>
        </w:rPr>
        <w:t xml:space="preserve"> و</w:t>
      </w:r>
      <w:r w:rsidR="00F0314A" w:rsidRPr="007E0116">
        <w:rPr>
          <w:spacing w:val="-6"/>
          <w:lang w:val="en-US" w:bidi="ar-EG"/>
        </w:rPr>
        <w:t>ITU-R</w:t>
      </w:r>
      <w:r w:rsidR="007E0116" w:rsidRPr="007E0116">
        <w:rPr>
          <w:spacing w:val="-6"/>
          <w:lang w:val="en-US" w:bidi="ar-EG"/>
        </w:rPr>
        <w:t> </w:t>
      </w:r>
      <w:r w:rsidR="00F0314A" w:rsidRPr="007E0116">
        <w:rPr>
          <w:spacing w:val="-6"/>
          <w:lang w:val="en-US" w:bidi="ar-EG"/>
        </w:rPr>
        <w:t>SF.1483</w:t>
      </w:r>
      <w:r w:rsidR="00F0314A" w:rsidRPr="007E0116">
        <w:rPr>
          <w:rFonts w:hint="cs"/>
          <w:spacing w:val="-6"/>
          <w:rtl/>
          <w:lang w:val="en-US" w:bidi="ar-EG"/>
        </w:rPr>
        <w:t xml:space="preserve"> </w:t>
      </w:r>
      <w:r w:rsidR="00F0314A" w:rsidRPr="00B55E68">
        <w:rPr>
          <w:rFonts w:hint="cs"/>
          <w:rtl/>
          <w:lang w:val="en-US" w:bidi="ar-EG"/>
        </w:rPr>
        <w:t>اللتين ستظلان</w:t>
      </w:r>
      <w:r w:rsidR="00330B20" w:rsidRPr="00B55E68">
        <w:rPr>
          <w:rFonts w:hint="cs"/>
          <w:rtl/>
          <w:lang w:val="en-US" w:bidi="ar-EG"/>
        </w:rPr>
        <w:t xml:space="preserve"> بالتالي</w:t>
      </w:r>
      <w:r w:rsidR="00F0314A" w:rsidRPr="00B55E68">
        <w:rPr>
          <w:rFonts w:hint="cs"/>
          <w:rtl/>
          <w:lang w:val="en-US" w:bidi="ar-EG"/>
        </w:rPr>
        <w:t xml:space="preserve"> ساريتا المفعول.</w:t>
      </w:r>
    </w:p>
    <w:p w:rsidR="00AE050F" w:rsidRPr="00506F48" w:rsidRDefault="00AE050F" w:rsidP="005807A0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وسينشر الاتحاد التوصيات الموافق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عناوين التوصيات والأرقام المخصصة لها. ويتضمن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</w:t>
      </w:r>
      <w:r w:rsidR="005807A0">
        <w:rPr>
          <w:rFonts w:hint="cs"/>
          <w:rtl/>
          <w:lang w:val="en-US" w:bidi="ar-EG"/>
        </w:rPr>
        <w:t>قائمة ب</w:t>
      </w:r>
      <w:r>
        <w:rPr>
          <w:rtl/>
          <w:lang w:val="en-US" w:bidi="ar-EG"/>
        </w:rPr>
        <w:t>التوصي</w:t>
      </w:r>
      <w:r w:rsidR="005807A0">
        <w:rPr>
          <w:rFonts w:hint="cs"/>
          <w:rtl/>
          <w:lang w:val="en-US" w:bidi="ar-EG"/>
        </w:rPr>
        <w:t>ات</w:t>
      </w:r>
      <w:r>
        <w:rPr>
          <w:rtl/>
          <w:lang w:val="en-US" w:bidi="ar-EG"/>
        </w:rPr>
        <w:t xml:space="preserve"> الملغاة.</w:t>
      </w:r>
    </w:p>
    <w:p w:rsidR="00AE050F" w:rsidRDefault="00AE050F" w:rsidP="00582519">
      <w:pPr>
        <w:spacing w:before="1320"/>
        <w:ind w:left="6390"/>
        <w:jc w:val="center"/>
        <w:rPr>
          <w:sz w:val="30"/>
          <w:rtl/>
          <w:lang w:val="en-US" w:bidi="ar-EG"/>
        </w:rPr>
      </w:pPr>
      <w:r w:rsidRPr="00CB4CC7">
        <w:rPr>
          <w:sz w:val="30"/>
          <w:rtl/>
          <w:lang w:val="en-US" w:bidi="ar-EG"/>
        </w:rPr>
        <w:t>فاليري تيموفيف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1879A0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>
        <w:rPr>
          <w:szCs w:val="22"/>
          <w:lang w:val="en-US" w:bidi="ar-EG"/>
        </w:rPr>
        <w:t>2</w:t>
      </w:r>
    </w:p>
    <w:p w:rsidR="00AE050F" w:rsidRDefault="00AE050F" w:rsidP="00AB19FA">
      <w:pPr>
        <w:spacing w:before="0"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AB19F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25101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7E5305" w:rsidRDefault="00AE050F" w:rsidP="00BD3B66">
      <w:pPr>
        <w:pStyle w:val="AnnexNo"/>
        <w:spacing w:before="0"/>
        <w:rPr>
          <w:rtl/>
        </w:rPr>
      </w:pPr>
      <w:r>
        <w:rPr>
          <w:rtl/>
        </w:rPr>
        <w:br w:type="page"/>
      </w:r>
      <w:r w:rsidRPr="007E5305">
        <w:rPr>
          <w:rFonts w:hint="eastAsia"/>
          <w:rtl/>
        </w:rPr>
        <w:lastRenderedPageBreak/>
        <w:t>الملحـق</w:t>
      </w:r>
      <w:r w:rsidRPr="007E5305">
        <w:rPr>
          <w:rtl/>
        </w:rPr>
        <w:t xml:space="preserve"> </w:t>
      </w:r>
      <w:r w:rsidRPr="007E5305">
        <w:rPr>
          <w:szCs w:val="40"/>
        </w:rPr>
        <w:t>1</w:t>
      </w:r>
    </w:p>
    <w:p w:rsidR="00AE050F" w:rsidRPr="000F38AE" w:rsidRDefault="00AE050F" w:rsidP="007E5305">
      <w:pPr>
        <w:pStyle w:val="Annextitle"/>
        <w:rPr>
          <w:rtl/>
        </w:rPr>
      </w:pPr>
      <w:r>
        <w:rPr>
          <w:rFonts w:hint="eastAsia"/>
          <w:rtl/>
        </w:rPr>
        <w:t>عناوين</w:t>
      </w:r>
      <w:r w:rsidRPr="000F38AE">
        <w:rPr>
          <w:rtl/>
        </w:rPr>
        <w:t xml:space="preserve"> </w:t>
      </w:r>
      <w:r>
        <w:rPr>
          <w:rFonts w:hint="eastAsia"/>
          <w:rtl/>
        </w:rPr>
        <w:t>التوصيات</w:t>
      </w:r>
      <w:r>
        <w:rPr>
          <w:rtl/>
        </w:rPr>
        <w:t xml:space="preserve"> </w:t>
      </w:r>
      <w:r>
        <w:rPr>
          <w:rFonts w:hint="eastAsia"/>
          <w:rtl/>
        </w:rPr>
        <w:t>الموافق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</w:p>
    <w:p w:rsidR="00AE050F" w:rsidRPr="00416965" w:rsidRDefault="00AE050F" w:rsidP="00536301">
      <w:pPr>
        <w:keepNext/>
        <w:keepLines/>
        <w:tabs>
          <w:tab w:val="right" w:pos="9497"/>
        </w:tabs>
        <w:spacing w:before="24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7D7C2D">
        <w:rPr>
          <w:u w:val="single"/>
        </w:rPr>
        <w:t>S.1878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7D7C2D">
        <w:rPr>
          <w:lang w:val="en-US" w:bidi="ar-EG"/>
        </w:rPr>
        <w:t>136</w:t>
      </w:r>
      <w:r w:rsidRPr="00416965">
        <w:rPr>
          <w:lang w:val="en-US" w:bidi="ar-EG"/>
        </w:rPr>
        <w:t>(Rev.1)</w:t>
      </w:r>
    </w:p>
    <w:p w:rsidR="00AE050F" w:rsidRPr="009B6AEF" w:rsidRDefault="00A3798B" w:rsidP="00F45E6E">
      <w:pPr>
        <w:pStyle w:val="Rectitle"/>
        <w:tabs>
          <w:tab w:val="center" w:pos="4819"/>
        </w:tabs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bidi="ar-EG"/>
        </w:rPr>
        <w:t>تقنيات الإرسال القائم على موجات حاملة متعددة في الأنظمة الساتلية</w:t>
      </w:r>
    </w:p>
    <w:p w:rsidR="00AE050F" w:rsidRPr="008A6806" w:rsidRDefault="00AE050F" w:rsidP="00A3798B">
      <w:pPr>
        <w:tabs>
          <w:tab w:val="clear" w:pos="794"/>
          <w:tab w:val="clear" w:pos="1191"/>
          <w:tab w:val="clear" w:pos="1588"/>
          <w:tab w:val="clear" w:pos="1985"/>
          <w:tab w:val="left" w:pos="5636"/>
        </w:tabs>
        <w:spacing w:before="0"/>
        <w:rPr>
          <w:rtl/>
          <w:lang w:val="en-US" w:bidi="ar-EG"/>
        </w:rPr>
      </w:pPr>
    </w:p>
    <w:p w:rsidR="00AE050F" w:rsidRPr="00416965" w:rsidRDefault="00AE050F" w:rsidP="00536301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A3798B">
        <w:rPr>
          <w:u w:val="single"/>
        </w:rPr>
        <w:t>M.633-4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A3798B">
        <w:rPr>
          <w:lang w:val="en-US" w:bidi="ar-EG"/>
        </w:rPr>
        <w:t>134</w:t>
      </w:r>
      <w:r w:rsidRPr="00416965">
        <w:rPr>
          <w:lang w:val="en-US" w:bidi="ar-EG"/>
        </w:rPr>
        <w:t>(Rev.1)</w:t>
      </w:r>
    </w:p>
    <w:p w:rsidR="00AE050F" w:rsidRPr="00707421" w:rsidRDefault="00707421" w:rsidP="00947C2E">
      <w:pPr>
        <w:pStyle w:val="Rectitle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>خصائص الإرسال لنظام منارات راديوية للاستدلال على موقع الطوارئ بالساتل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br/>
        <w:t xml:space="preserve">(منارات 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EPIRB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ساتلية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(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يعمل بواسطة نظام ساتلي في النطاق 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MHz</w:t>
      </w:r>
      <w:r w:rsidR="00947C2E">
        <w:rPr>
          <w:rFonts w:ascii="Times New Roman Bold" w:hAnsi="Times New Roman Bold"/>
          <w:bCs/>
          <w:sz w:val="26"/>
          <w:szCs w:val="36"/>
          <w:lang w:bidi="ar-EG"/>
        </w:rPr>
        <w:t> 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406</w:t>
      </w:r>
    </w:p>
    <w:p w:rsidR="00AE050F" w:rsidRPr="00C53DD3" w:rsidRDefault="00AE050F" w:rsidP="00F45E6E">
      <w:pPr>
        <w:spacing w:before="0"/>
        <w:rPr>
          <w:rtl/>
          <w:lang w:val="en-US" w:bidi="ar-EG"/>
        </w:rPr>
      </w:pPr>
    </w:p>
    <w:p w:rsidR="00AE050F" w:rsidRPr="00416965" w:rsidRDefault="00AE050F" w:rsidP="00536301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1E6AAE">
        <w:rPr>
          <w:u w:val="single"/>
        </w:rPr>
        <w:t>M.1731-1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1E6AAE">
        <w:rPr>
          <w:lang w:val="en-US" w:bidi="ar-EG"/>
        </w:rPr>
        <w:t>135</w:t>
      </w:r>
      <w:r w:rsidRPr="00416965">
        <w:rPr>
          <w:lang w:val="en-US" w:bidi="ar-EG"/>
        </w:rPr>
        <w:t>(Rev.</w:t>
      </w:r>
      <w:r w:rsidR="001E6AAE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EF73B1" w:rsidRDefault="0056345F" w:rsidP="00865255">
      <w:pPr>
        <w:pStyle w:val="Rectitle"/>
        <w:rPr>
          <w:rFonts w:ascii="Times New Roman Bold" w:hAnsi="Times New Roman Bold"/>
          <w:bCs/>
          <w:sz w:val="26"/>
          <w:szCs w:val="36"/>
          <w:rtl/>
        </w:rPr>
      </w:pP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معايير حماية مطاريف المستعمل المحلي في النظام الساتلي </w:t>
      </w:r>
      <w:r w:rsidRPr="008914F3">
        <w:rPr>
          <w:rFonts w:ascii="Times New Roman Bold" w:hAnsi="Times New Roman Bold"/>
          <w:bCs/>
          <w:sz w:val="26"/>
          <w:szCs w:val="36"/>
        </w:rPr>
        <w:t>Cospas-Sarsat</w:t>
      </w:r>
      <w:r w:rsidR="00865255">
        <w:rPr>
          <w:rFonts w:ascii="Times New Roman Bold" w:hAnsi="Times New Roman Bold"/>
          <w:bCs/>
          <w:sz w:val="26"/>
          <w:szCs w:val="36"/>
          <w:rtl/>
        </w:rPr>
        <w:br/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في النطاق </w:t>
      </w:r>
      <w:r w:rsidRPr="008914F3">
        <w:rPr>
          <w:rFonts w:ascii="Times New Roman Bold" w:hAnsi="Times New Roman Bold"/>
          <w:bCs/>
          <w:sz w:val="26"/>
          <w:szCs w:val="36"/>
        </w:rPr>
        <w:t>MHz</w:t>
      </w:r>
      <w:r>
        <w:rPr>
          <w:rFonts w:ascii="Times New Roman Bold" w:hAnsi="Times New Roman Bold"/>
          <w:bCs/>
          <w:sz w:val="26"/>
          <w:szCs w:val="36"/>
        </w:rPr>
        <w:t> </w:t>
      </w:r>
      <w:r w:rsidRPr="008914F3">
        <w:rPr>
          <w:rFonts w:ascii="Times New Roman Bold" w:hAnsi="Times New Roman Bold"/>
          <w:bCs/>
          <w:sz w:val="26"/>
          <w:szCs w:val="36"/>
        </w:rPr>
        <w:t>1</w:t>
      </w:r>
      <w:r w:rsidR="008355FD">
        <w:rPr>
          <w:rFonts w:ascii="Times New Roman Bold" w:hAnsi="Times New Roman Bold"/>
          <w:bCs/>
          <w:sz w:val="26"/>
          <w:szCs w:val="36"/>
          <w:lang w:val="en-US"/>
        </w:rPr>
        <w:t> </w:t>
      </w:r>
      <w:r w:rsidRPr="008914F3">
        <w:rPr>
          <w:rFonts w:ascii="Times New Roman Bold" w:hAnsi="Times New Roman Bold"/>
          <w:bCs/>
          <w:sz w:val="26"/>
          <w:szCs w:val="36"/>
        </w:rPr>
        <w:t>545-1</w:t>
      </w:r>
      <w:r w:rsidR="008355FD">
        <w:rPr>
          <w:rFonts w:ascii="Times New Roman Bold" w:hAnsi="Times New Roman Bold"/>
          <w:bCs/>
          <w:sz w:val="26"/>
          <w:szCs w:val="36"/>
        </w:rPr>
        <w:t> </w:t>
      </w:r>
      <w:r w:rsidRPr="008914F3">
        <w:rPr>
          <w:rFonts w:ascii="Times New Roman Bold" w:hAnsi="Times New Roman Bold"/>
          <w:bCs/>
          <w:sz w:val="26"/>
          <w:szCs w:val="36"/>
        </w:rPr>
        <w:t>544</w:t>
      </w:r>
    </w:p>
    <w:p w:rsidR="00EF73B1" w:rsidRPr="007B1D6E" w:rsidRDefault="00EF73B1" w:rsidP="00EF73B1">
      <w:pPr>
        <w:pStyle w:val="Normalaftertitle"/>
        <w:bidi w:val="0"/>
        <w:rPr>
          <w:lang w:val="en-US"/>
        </w:rPr>
      </w:pPr>
      <w:r>
        <w:rPr>
          <w:rtl/>
        </w:rPr>
        <w:br w:type="page"/>
      </w:r>
    </w:p>
    <w:p w:rsidR="00AE050F" w:rsidRPr="007B1D6E" w:rsidRDefault="00AE050F" w:rsidP="007B1D6E">
      <w:pPr>
        <w:pStyle w:val="AnnexNo"/>
        <w:rPr>
          <w:rtl/>
        </w:rPr>
      </w:pPr>
      <w:r w:rsidRPr="007B1D6E">
        <w:rPr>
          <w:rFonts w:hint="eastAsia"/>
          <w:rtl/>
        </w:rPr>
        <w:lastRenderedPageBreak/>
        <w:t>الملحـق</w:t>
      </w:r>
      <w:r w:rsidRPr="007B1D6E">
        <w:rPr>
          <w:rtl/>
        </w:rPr>
        <w:t xml:space="preserve"> </w:t>
      </w:r>
      <w:r w:rsidRPr="007B1D6E">
        <w:rPr>
          <w:szCs w:val="28"/>
        </w:rPr>
        <w:t>2</w:t>
      </w:r>
    </w:p>
    <w:p w:rsidR="00AE050F" w:rsidRPr="008753C7" w:rsidRDefault="001B33F8" w:rsidP="00B21CDA">
      <w:pPr>
        <w:pStyle w:val="Annextitle"/>
        <w:rPr>
          <w:rtl/>
        </w:rPr>
      </w:pPr>
      <w:r>
        <w:rPr>
          <w:rFonts w:hint="cs"/>
          <w:rtl/>
        </w:rPr>
        <w:t>قائمة ب</w:t>
      </w:r>
      <w:r w:rsidR="00AE050F" w:rsidRPr="008753C7">
        <w:rPr>
          <w:rFonts w:hint="eastAsia"/>
          <w:rtl/>
        </w:rPr>
        <w:t>التوصيـ</w:t>
      </w:r>
      <w:r>
        <w:rPr>
          <w:rFonts w:hint="cs"/>
          <w:rtl/>
        </w:rPr>
        <w:t>ات</w:t>
      </w:r>
      <w:r w:rsidR="00AE050F" w:rsidRPr="008753C7">
        <w:rPr>
          <w:rtl/>
        </w:rPr>
        <w:t xml:space="preserve"> </w:t>
      </w:r>
      <w:r w:rsidR="00AE050F">
        <w:rPr>
          <w:rFonts w:hint="eastAsia"/>
          <w:rtl/>
        </w:rPr>
        <w:t>الملغاة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8091"/>
      </w:tblGrid>
      <w:tr w:rsidR="00AE050F" w:rsidRPr="00B76B61" w:rsidTr="00A52902">
        <w:trPr>
          <w:cantSplit/>
          <w:tblHeader/>
        </w:trPr>
        <w:tc>
          <w:tcPr>
            <w:tcW w:w="1736" w:type="dxa"/>
          </w:tcPr>
          <w:p w:rsidR="00AE050F" w:rsidRPr="00B76B61" w:rsidRDefault="00AE050F" w:rsidP="00A52902">
            <w:pPr>
              <w:pStyle w:val="Tablehead"/>
              <w:spacing w:before="120" w:after="120"/>
              <w:rPr>
                <w:bCs/>
                <w:sz w:val="20"/>
                <w:szCs w:val="26"/>
                <w:lang w:eastAsia="zh-CN"/>
              </w:rPr>
            </w:pPr>
            <w:r w:rsidRPr="00B76B61">
              <w:rPr>
                <w:rFonts w:hint="eastAsia"/>
                <w:bCs/>
                <w:sz w:val="20"/>
                <w:szCs w:val="26"/>
                <w:rtl/>
              </w:rPr>
              <w:t>التوصية</w:t>
            </w:r>
            <w:r w:rsidRPr="00B76B61">
              <w:rPr>
                <w:bCs/>
                <w:sz w:val="20"/>
                <w:szCs w:val="26"/>
                <w:rtl/>
              </w:rPr>
              <w:br/>
            </w:r>
            <w:r w:rsidRPr="00B76B61">
              <w:rPr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091" w:type="dxa"/>
          </w:tcPr>
          <w:p w:rsidR="00AE050F" w:rsidRPr="00B76B61" w:rsidRDefault="00AE050F" w:rsidP="00A52902">
            <w:pPr>
              <w:pStyle w:val="Tablehead"/>
              <w:spacing w:before="120" w:after="120"/>
              <w:rPr>
                <w:bCs/>
                <w:sz w:val="20"/>
                <w:szCs w:val="26"/>
              </w:rPr>
            </w:pPr>
            <w:r w:rsidRPr="00B76B61">
              <w:rPr>
                <w:rFonts w:hint="eastAsia"/>
                <w:bCs/>
                <w:sz w:val="20"/>
                <w:szCs w:val="26"/>
                <w:rtl/>
              </w:rPr>
              <w:t>العنـوان</w:t>
            </w:r>
          </w:p>
        </w:tc>
      </w:tr>
      <w:tr w:rsidR="00AE050F" w:rsidRPr="00B76B61" w:rsidTr="00631B5F">
        <w:trPr>
          <w:cantSplit/>
        </w:trPr>
        <w:tc>
          <w:tcPr>
            <w:tcW w:w="1736" w:type="dxa"/>
          </w:tcPr>
          <w:p w:rsidR="00AE050F" w:rsidRPr="00B76B61" w:rsidDel="004E5232" w:rsidRDefault="007854C2" w:rsidP="00631B5F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sz w:val="20"/>
                <w:szCs w:val="26"/>
                <w:lang w:val="en-US"/>
              </w:rPr>
            </w:pPr>
            <w:hyperlink r:id="rId9" w:history="1">
              <w:r w:rsidR="00A33BD6" w:rsidRPr="00B76B61">
                <w:rPr>
                  <w:rStyle w:val="Strong"/>
                  <w:rFonts w:cs="Traditional Arabic"/>
                  <w:b w:val="0"/>
                  <w:bCs w:val="0"/>
                  <w:sz w:val="20"/>
                  <w:szCs w:val="26"/>
                </w:rPr>
                <w:t>BO.786</w:t>
              </w:r>
            </w:hyperlink>
          </w:p>
        </w:tc>
        <w:tc>
          <w:tcPr>
            <w:tcW w:w="8091" w:type="dxa"/>
          </w:tcPr>
          <w:p w:rsidR="00AE050F" w:rsidRPr="00B76B61" w:rsidDel="004E5232" w:rsidRDefault="00A33BD6" w:rsidP="00631B5F">
            <w:pPr>
              <w:pStyle w:val="Tabletext"/>
              <w:spacing w:before="120" w:after="120"/>
              <w:rPr>
                <w:sz w:val="20"/>
                <w:szCs w:val="26"/>
                <w:lang w:bidi="ar-EG"/>
              </w:rPr>
            </w:pPr>
            <w:r w:rsidRPr="00B76B61">
              <w:rPr>
                <w:sz w:val="20"/>
                <w:szCs w:val="26"/>
                <w:rtl/>
              </w:rPr>
              <w:t xml:space="preserve">النظام </w:t>
            </w:r>
            <w:r w:rsidRPr="00B76B61">
              <w:rPr>
                <w:sz w:val="20"/>
                <w:szCs w:val="26"/>
              </w:rPr>
              <w:t>MUSE</w:t>
            </w:r>
            <w:r w:rsidRPr="00B76B61">
              <w:rPr>
                <w:sz w:val="20"/>
                <w:szCs w:val="26"/>
                <w:rtl/>
              </w:rPr>
              <w:t xml:space="preserve"> في خدمات الإذاعة الساتلية للتلفزيون عالي الوضوح </w:t>
            </w:r>
            <w:r w:rsidRPr="00B76B61">
              <w:rPr>
                <w:sz w:val="20"/>
                <w:szCs w:val="26"/>
              </w:rPr>
              <w:t>(HDTV)</w:t>
            </w:r>
          </w:p>
        </w:tc>
      </w:tr>
      <w:tr w:rsidR="00A33BD6" w:rsidRPr="00B76B61" w:rsidTr="00631B5F">
        <w:trPr>
          <w:cantSplit/>
        </w:trPr>
        <w:tc>
          <w:tcPr>
            <w:tcW w:w="1736" w:type="dxa"/>
          </w:tcPr>
          <w:p w:rsidR="00A33BD6" w:rsidRPr="00B76B61" w:rsidRDefault="00A33BD6" w:rsidP="00631B5F">
            <w:pPr>
              <w:pStyle w:val="Tabletext"/>
              <w:bidi w:val="0"/>
              <w:spacing w:before="120" w:after="120"/>
              <w:jc w:val="center"/>
              <w:rPr>
                <w:sz w:val="20"/>
                <w:szCs w:val="26"/>
                <w:lang w:val="en-US"/>
              </w:rPr>
            </w:pPr>
            <w:r w:rsidRPr="00B76B61">
              <w:rPr>
                <w:rFonts w:eastAsia="MS Mincho"/>
                <w:sz w:val="20"/>
                <w:szCs w:val="26"/>
              </w:rPr>
              <w:t>SF.1484-1</w:t>
            </w:r>
          </w:p>
        </w:tc>
        <w:tc>
          <w:tcPr>
            <w:tcW w:w="8091" w:type="dxa"/>
          </w:tcPr>
          <w:p w:rsidR="00A33BD6" w:rsidRPr="00B76B61" w:rsidRDefault="00A33BD6" w:rsidP="00EA1FA3">
            <w:pPr>
              <w:pStyle w:val="Tabletext"/>
              <w:spacing w:before="120" w:after="120"/>
              <w:rPr>
                <w:sz w:val="20"/>
                <w:szCs w:val="26"/>
                <w:rtl/>
                <w:lang w:bidi="ar-EG"/>
              </w:rPr>
            </w:pPr>
            <w:r w:rsidRPr="00B76B61">
              <w:rPr>
                <w:rFonts w:hint="cs"/>
                <w:sz w:val="20"/>
                <w:szCs w:val="26"/>
                <w:rtl/>
                <w:lang w:bidi="ar-EG"/>
              </w:rPr>
              <w:t>القيم القصوى المسموح بها لكثافة تدفق القدرة عند سطح الأرض الناتجة عن سواتل غير مستقرة بالنسبة إلى الأرض في</w:t>
            </w:r>
            <w:r w:rsidR="00EA1FA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B76B61">
              <w:rPr>
                <w:rFonts w:hint="cs"/>
                <w:sz w:val="20"/>
                <w:szCs w:val="26"/>
                <w:rtl/>
                <w:lang w:bidi="ar-EG"/>
              </w:rPr>
              <w:t>الخدمة الثابتة الساتلية التي تعمل في النطاق</w:t>
            </w:r>
            <w:r w:rsidR="00B76B61" w:rsidRPr="00B76B61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76B61">
              <w:rPr>
                <w:sz w:val="20"/>
                <w:szCs w:val="26"/>
                <w:lang w:bidi="ar-EG"/>
              </w:rPr>
              <w:t>GHz</w:t>
            </w:r>
            <w:r w:rsidR="00EA1FA3">
              <w:rPr>
                <w:sz w:val="20"/>
                <w:szCs w:val="26"/>
                <w:lang w:bidi="ar-EG"/>
              </w:rPr>
              <w:t> </w:t>
            </w:r>
            <w:r w:rsidRPr="00B76B61">
              <w:rPr>
                <w:sz w:val="20"/>
                <w:szCs w:val="26"/>
                <w:lang w:bidi="ar-EG"/>
              </w:rPr>
              <w:t>42,5-37,5</w:t>
            </w:r>
            <w:r w:rsidRPr="00B76B61">
              <w:rPr>
                <w:rFonts w:hint="cs"/>
                <w:sz w:val="20"/>
                <w:szCs w:val="26"/>
                <w:rtl/>
                <w:lang w:bidi="ar-EG"/>
              </w:rPr>
              <w:t xml:space="preserve"> لحماية الخدمة الثابتة</w:t>
            </w:r>
          </w:p>
        </w:tc>
      </w:tr>
      <w:tr w:rsidR="00A33BD6" w:rsidRPr="00B76B61" w:rsidTr="00631B5F">
        <w:trPr>
          <w:cantSplit/>
        </w:trPr>
        <w:tc>
          <w:tcPr>
            <w:tcW w:w="1736" w:type="dxa"/>
          </w:tcPr>
          <w:p w:rsidR="00A33BD6" w:rsidRPr="00B76B61" w:rsidRDefault="00A33BD6" w:rsidP="00631B5F">
            <w:pPr>
              <w:pStyle w:val="Tabletext"/>
              <w:bidi w:val="0"/>
              <w:spacing w:before="120" w:after="120"/>
              <w:jc w:val="center"/>
              <w:rPr>
                <w:sz w:val="20"/>
                <w:szCs w:val="26"/>
              </w:rPr>
            </w:pPr>
            <w:r w:rsidRPr="00B76B61">
              <w:rPr>
                <w:rFonts w:eastAsia="MS Mincho"/>
                <w:sz w:val="20"/>
                <w:szCs w:val="26"/>
              </w:rPr>
              <w:t>SF.1573</w:t>
            </w:r>
          </w:p>
        </w:tc>
        <w:tc>
          <w:tcPr>
            <w:tcW w:w="8091" w:type="dxa"/>
          </w:tcPr>
          <w:p w:rsidR="00A33BD6" w:rsidRPr="00B76B61" w:rsidRDefault="00A33BD6" w:rsidP="00631B5F">
            <w:pPr>
              <w:pStyle w:val="Tabletext"/>
              <w:spacing w:before="120" w:after="120"/>
              <w:rPr>
                <w:sz w:val="20"/>
                <w:szCs w:val="26"/>
                <w:rtl/>
                <w:lang w:bidi="ar-EG"/>
              </w:rPr>
            </w:pPr>
            <w:r w:rsidRPr="00B76B61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القصوى المسموح بها لكثافة تدفق القدرة على سطح الأرض الناجمة عن سواتل مستقرة بالنسبة إلى الأرض للخدمة الثابتة الساتلية العاملة في النطاق </w:t>
            </w:r>
            <w:r w:rsidRPr="00B76B61">
              <w:rPr>
                <w:sz w:val="20"/>
                <w:szCs w:val="26"/>
                <w:lang w:val="en-US" w:bidi="ar-EG"/>
              </w:rPr>
              <w:t>GHz 42,5-37,5</w:t>
            </w:r>
            <w:r w:rsidRPr="00B76B61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من أجل حماية الخدمة الثابتة</w:t>
            </w:r>
          </w:p>
        </w:tc>
      </w:tr>
    </w:tbl>
    <w:p w:rsidR="00AE050F" w:rsidRDefault="00AE050F" w:rsidP="001307AE">
      <w:pPr>
        <w:spacing w:before="84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58251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0F" w:rsidRDefault="00AE050F">
      <w:r>
        <w:separator/>
      </w:r>
    </w:p>
  </w:endnote>
  <w:endnote w:type="continuationSeparator" w:id="0">
    <w:p w:rsidR="00AE050F" w:rsidRDefault="00AE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78" w:rsidRPr="00006348" w:rsidRDefault="00006348" w:rsidP="00006348">
    <w:pPr>
      <w:pStyle w:val="Footer"/>
    </w:pPr>
    <w:fldSimple w:instr=" FILENAME  \p  \* MERGEFORMAT ">
      <w:r>
        <w:t>Y:\APP\BR\CIRCS_DMS\CACE\500\520\520A.DOCX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E050F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AE050F" w:rsidTr="009A22FA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E050F" w:rsidTr="009A22FA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</w:tr>
  </w:tbl>
  <w:p w:rsidR="00AE050F" w:rsidRPr="005D7A94" w:rsidRDefault="00AE050F" w:rsidP="00AB19FA">
    <w:pPr>
      <w:bidi w:val="0"/>
      <w:spacing w:before="0" w:line="120" w:lineRule="auto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0F" w:rsidRDefault="00AE050F">
      <w:r>
        <w:t>____________________</w:t>
      </w:r>
    </w:p>
  </w:footnote>
  <w:footnote w:type="continuationSeparator" w:id="0">
    <w:p w:rsidR="00AE050F" w:rsidRDefault="00AE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0F" w:rsidRPr="007E5305" w:rsidRDefault="00AE050F" w:rsidP="005D7A94">
    <w:pPr>
      <w:pStyle w:val="Header"/>
      <w:bidi w:val="0"/>
      <w:rPr>
        <w:rStyle w:val="PageNumber"/>
        <w:rFonts w:cs="Traditional Arabic"/>
        <w:sz w:val="22"/>
        <w:szCs w:val="22"/>
      </w:rPr>
    </w:pPr>
    <w:r w:rsidRPr="007E5305">
      <w:rPr>
        <w:sz w:val="22"/>
        <w:szCs w:val="22"/>
        <w:lang w:val="en-US"/>
      </w:rPr>
      <w:t xml:space="preserve">- </w:t>
    </w:r>
    <w:r w:rsidR="007854C2" w:rsidRPr="007E5305">
      <w:rPr>
        <w:rStyle w:val="PageNumber"/>
        <w:rFonts w:cs="Traditional Arabic"/>
        <w:sz w:val="22"/>
        <w:szCs w:val="22"/>
      </w:rPr>
      <w:fldChar w:fldCharType="begin"/>
    </w:r>
    <w:r w:rsidRPr="007E5305">
      <w:rPr>
        <w:rStyle w:val="PageNumber"/>
        <w:rFonts w:cs="Traditional Arabic"/>
        <w:sz w:val="22"/>
        <w:szCs w:val="22"/>
      </w:rPr>
      <w:instrText xml:space="preserve"> PAGE </w:instrText>
    </w:r>
    <w:r w:rsidR="007854C2" w:rsidRPr="007E5305">
      <w:rPr>
        <w:rStyle w:val="PageNumber"/>
        <w:rFonts w:cs="Traditional Arabic"/>
        <w:sz w:val="22"/>
        <w:szCs w:val="22"/>
      </w:rPr>
      <w:fldChar w:fldCharType="separate"/>
    </w:r>
    <w:r w:rsidR="00006348">
      <w:rPr>
        <w:rStyle w:val="PageNumber"/>
        <w:rFonts w:cs="Traditional Arabic"/>
        <w:noProof/>
        <w:sz w:val="22"/>
        <w:szCs w:val="22"/>
      </w:rPr>
      <w:t>3</w:t>
    </w:r>
    <w:r w:rsidR="007854C2" w:rsidRPr="007E5305">
      <w:rPr>
        <w:rStyle w:val="PageNumber"/>
        <w:rFonts w:cs="Traditional Arabic"/>
        <w:sz w:val="22"/>
        <w:szCs w:val="22"/>
      </w:rPr>
      <w:fldChar w:fldCharType="end"/>
    </w:r>
    <w:r w:rsidRPr="007E5305">
      <w:rPr>
        <w:rStyle w:val="PageNumber"/>
        <w:rFonts w:cs="Traditional Arabic"/>
        <w:sz w:val="22"/>
        <w:szCs w:val="2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782"/>
    <w:rsid w:val="00003C28"/>
    <w:rsid w:val="00006348"/>
    <w:rsid w:val="0001410A"/>
    <w:rsid w:val="00016557"/>
    <w:rsid w:val="00017CFE"/>
    <w:rsid w:val="000347DE"/>
    <w:rsid w:val="0004070C"/>
    <w:rsid w:val="00051EEA"/>
    <w:rsid w:val="00054872"/>
    <w:rsid w:val="00076078"/>
    <w:rsid w:val="00082D29"/>
    <w:rsid w:val="000B5C3B"/>
    <w:rsid w:val="000B6E18"/>
    <w:rsid w:val="000C6738"/>
    <w:rsid w:val="000E0EEB"/>
    <w:rsid w:val="000E15C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4668A"/>
    <w:rsid w:val="001541D8"/>
    <w:rsid w:val="001708DB"/>
    <w:rsid w:val="001879A0"/>
    <w:rsid w:val="001B0C6D"/>
    <w:rsid w:val="001B33F8"/>
    <w:rsid w:val="001C02EC"/>
    <w:rsid w:val="001C2DF4"/>
    <w:rsid w:val="001D0B93"/>
    <w:rsid w:val="001E0782"/>
    <w:rsid w:val="001E15AA"/>
    <w:rsid w:val="001E5AB0"/>
    <w:rsid w:val="001E6AAE"/>
    <w:rsid w:val="001F3B2A"/>
    <w:rsid w:val="00206A4D"/>
    <w:rsid w:val="00206E2B"/>
    <w:rsid w:val="00210B45"/>
    <w:rsid w:val="00227F65"/>
    <w:rsid w:val="00234177"/>
    <w:rsid w:val="00244139"/>
    <w:rsid w:val="00251013"/>
    <w:rsid w:val="00253405"/>
    <w:rsid w:val="002620C2"/>
    <w:rsid w:val="00266C81"/>
    <w:rsid w:val="0027032C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307384"/>
    <w:rsid w:val="00310232"/>
    <w:rsid w:val="003250B5"/>
    <w:rsid w:val="00327BB4"/>
    <w:rsid w:val="00330B20"/>
    <w:rsid w:val="00340B5E"/>
    <w:rsid w:val="00343581"/>
    <w:rsid w:val="00344931"/>
    <w:rsid w:val="00352DE6"/>
    <w:rsid w:val="0036292F"/>
    <w:rsid w:val="00376A6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7A8"/>
    <w:rsid w:val="0040383D"/>
    <w:rsid w:val="00411C73"/>
    <w:rsid w:val="004140EA"/>
    <w:rsid w:val="00416965"/>
    <w:rsid w:val="004406E3"/>
    <w:rsid w:val="00441904"/>
    <w:rsid w:val="0044634B"/>
    <w:rsid w:val="00471F5C"/>
    <w:rsid w:val="004826EC"/>
    <w:rsid w:val="004843CC"/>
    <w:rsid w:val="004A5AB1"/>
    <w:rsid w:val="004B1157"/>
    <w:rsid w:val="004C1881"/>
    <w:rsid w:val="004C7217"/>
    <w:rsid w:val="004E5232"/>
    <w:rsid w:val="004E7028"/>
    <w:rsid w:val="004F26AE"/>
    <w:rsid w:val="00506F48"/>
    <w:rsid w:val="005078C6"/>
    <w:rsid w:val="0052066D"/>
    <w:rsid w:val="00533BA0"/>
    <w:rsid w:val="00536301"/>
    <w:rsid w:val="0056345F"/>
    <w:rsid w:val="005807A0"/>
    <w:rsid w:val="005818D3"/>
    <w:rsid w:val="00582519"/>
    <w:rsid w:val="00587A96"/>
    <w:rsid w:val="005933D1"/>
    <w:rsid w:val="00595800"/>
    <w:rsid w:val="005B589A"/>
    <w:rsid w:val="005C2F59"/>
    <w:rsid w:val="005C7A2B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71439"/>
    <w:rsid w:val="00691FF0"/>
    <w:rsid w:val="006B3F95"/>
    <w:rsid w:val="006D323A"/>
    <w:rsid w:val="006D44F6"/>
    <w:rsid w:val="00702A71"/>
    <w:rsid w:val="0070484E"/>
    <w:rsid w:val="0070638A"/>
    <w:rsid w:val="00707421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6553E"/>
    <w:rsid w:val="00767F28"/>
    <w:rsid w:val="00771005"/>
    <w:rsid w:val="0077439C"/>
    <w:rsid w:val="007854C2"/>
    <w:rsid w:val="007953DC"/>
    <w:rsid w:val="007B1D6E"/>
    <w:rsid w:val="007D7C2D"/>
    <w:rsid w:val="007E0116"/>
    <w:rsid w:val="007E5305"/>
    <w:rsid w:val="00811467"/>
    <w:rsid w:val="00827AF6"/>
    <w:rsid w:val="008320D7"/>
    <w:rsid w:val="008355FD"/>
    <w:rsid w:val="008372B0"/>
    <w:rsid w:val="00847B1A"/>
    <w:rsid w:val="00865255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D3645"/>
    <w:rsid w:val="009E14F3"/>
    <w:rsid w:val="009E1957"/>
    <w:rsid w:val="009F72D8"/>
    <w:rsid w:val="00A01D89"/>
    <w:rsid w:val="00A06093"/>
    <w:rsid w:val="00A06F64"/>
    <w:rsid w:val="00A12083"/>
    <w:rsid w:val="00A33BD6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B07C5"/>
    <w:rsid w:val="00AB19FA"/>
    <w:rsid w:val="00AC47DF"/>
    <w:rsid w:val="00AD6E16"/>
    <w:rsid w:val="00AE050F"/>
    <w:rsid w:val="00AE7E78"/>
    <w:rsid w:val="00AF5B54"/>
    <w:rsid w:val="00B01711"/>
    <w:rsid w:val="00B06335"/>
    <w:rsid w:val="00B1030C"/>
    <w:rsid w:val="00B21CD3"/>
    <w:rsid w:val="00B21CDA"/>
    <w:rsid w:val="00B31898"/>
    <w:rsid w:val="00B55E68"/>
    <w:rsid w:val="00B57344"/>
    <w:rsid w:val="00B74977"/>
    <w:rsid w:val="00B758DB"/>
    <w:rsid w:val="00B76590"/>
    <w:rsid w:val="00B76B61"/>
    <w:rsid w:val="00B87E04"/>
    <w:rsid w:val="00BA08FD"/>
    <w:rsid w:val="00BA1358"/>
    <w:rsid w:val="00BA53CC"/>
    <w:rsid w:val="00BB5F44"/>
    <w:rsid w:val="00BC23AD"/>
    <w:rsid w:val="00BD3B66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7D87"/>
    <w:rsid w:val="00C60966"/>
    <w:rsid w:val="00C60F9A"/>
    <w:rsid w:val="00C72584"/>
    <w:rsid w:val="00C90BC5"/>
    <w:rsid w:val="00CA1979"/>
    <w:rsid w:val="00CA4464"/>
    <w:rsid w:val="00CB4CC7"/>
    <w:rsid w:val="00CB73C8"/>
    <w:rsid w:val="00CC2143"/>
    <w:rsid w:val="00CD49E0"/>
    <w:rsid w:val="00CE7DDC"/>
    <w:rsid w:val="00CF523A"/>
    <w:rsid w:val="00D02208"/>
    <w:rsid w:val="00D02FA2"/>
    <w:rsid w:val="00D15681"/>
    <w:rsid w:val="00D231C7"/>
    <w:rsid w:val="00D35752"/>
    <w:rsid w:val="00D45DA3"/>
    <w:rsid w:val="00D463D0"/>
    <w:rsid w:val="00D61395"/>
    <w:rsid w:val="00D61661"/>
    <w:rsid w:val="00D744B4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5F9F"/>
    <w:rsid w:val="00E43B86"/>
    <w:rsid w:val="00E55B49"/>
    <w:rsid w:val="00E642EB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858"/>
    <w:rsid w:val="00EE4CC4"/>
    <w:rsid w:val="00EF73B1"/>
    <w:rsid w:val="00F0314A"/>
    <w:rsid w:val="00F1170C"/>
    <w:rsid w:val="00F42740"/>
    <w:rsid w:val="00F45E6E"/>
    <w:rsid w:val="00F73F2C"/>
    <w:rsid w:val="00F838F2"/>
    <w:rsid w:val="00F9140A"/>
    <w:rsid w:val="00F931BB"/>
    <w:rsid w:val="00FA74ED"/>
    <w:rsid w:val="00FC6453"/>
    <w:rsid w:val="00FD2EF8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rec/recommendation.asp?type=folders&amp;lang=e&amp;parent=R-REC-BO.78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272F-ADC0-4CB3-8CFA-659B8035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0</TotalTime>
  <Pages>3</Pages>
  <Words>392</Words>
  <Characters>2333</Characters>
  <Application>Microsoft Office Word</Application>
  <DocSecurity>0</DocSecurity>
  <Lines>19</Lines>
  <Paragraphs>5</Paragraphs>
  <ScaleCrop>false</ScaleCrop>
  <Company>ITU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fernandv</cp:lastModifiedBy>
  <cp:revision>3</cp:revision>
  <cp:lastPrinted>2010-12-15T13:24:00Z</cp:lastPrinted>
  <dcterms:created xsi:type="dcterms:W3CDTF">2010-12-15T13:24:00Z</dcterms:created>
  <dcterms:modified xsi:type="dcterms:W3CDTF">2010-12-15T13:24:00Z</dcterms:modified>
</cp:coreProperties>
</file>