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02FF7" w14:paraId="3D20DEBA" w14:textId="77777777" w:rsidTr="00306452">
        <w:trPr>
          <w:jc w:val="center"/>
        </w:trPr>
        <w:tc>
          <w:tcPr>
            <w:tcW w:w="9889" w:type="dxa"/>
            <w:gridSpan w:val="3"/>
          </w:tcPr>
          <w:p w14:paraId="769972CF" w14:textId="77777777" w:rsidR="00E53DCE" w:rsidRPr="00702FF7" w:rsidRDefault="00A96D3A" w:rsidP="006160CB">
            <w:pPr>
              <w:spacing w:before="0"/>
              <w:jc w:val="left"/>
              <w:rPr>
                <w:rFonts w:cstheme="minorHAnsi"/>
                <w:b/>
                <w:bCs/>
                <w:color w:val="808080"/>
                <w:sz w:val="28"/>
                <w:szCs w:val="28"/>
                <w:lang w:val="es-ES_tradnl"/>
              </w:rPr>
            </w:pPr>
            <w:r w:rsidRPr="00702FF7">
              <w:rPr>
                <w:rFonts w:cstheme="minorHAnsi"/>
                <w:b/>
                <w:bCs/>
                <w:color w:val="808080"/>
                <w:sz w:val="28"/>
                <w:szCs w:val="28"/>
                <w:lang w:val="es-ES_tradnl"/>
              </w:rPr>
              <w:t>Oficina de Radiocomunicaciones (BR)</w:t>
            </w:r>
          </w:p>
          <w:p w14:paraId="77D663A2" w14:textId="77777777" w:rsidR="00E53DCE" w:rsidRPr="00702FF7" w:rsidRDefault="00E53DCE" w:rsidP="006160CB">
            <w:pPr>
              <w:spacing w:before="0"/>
              <w:jc w:val="left"/>
              <w:rPr>
                <w:rFonts w:cstheme="minorHAnsi"/>
                <w:b/>
                <w:bCs/>
                <w:color w:val="808080"/>
                <w:sz w:val="28"/>
                <w:szCs w:val="28"/>
                <w:lang w:val="es-ES_tradnl"/>
              </w:rPr>
            </w:pPr>
          </w:p>
          <w:p w14:paraId="76B9488A" w14:textId="77777777" w:rsidR="00E53DCE" w:rsidRPr="00702FF7" w:rsidRDefault="00E53DCE" w:rsidP="006160CB">
            <w:pPr>
              <w:spacing w:before="0"/>
              <w:jc w:val="left"/>
              <w:rPr>
                <w:rFonts w:cs="Times New Roman Bold"/>
                <w:b/>
                <w:bCs/>
                <w:color w:val="808080"/>
                <w:sz w:val="28"/>
                <w:szCs w:val="28"/>
                <w:lang w:val="es-ES_tradnl"/>
              </w:rPr>
            </w:pPr>
          </w:p>
        </w:tc>
      </w:tr>
      <w:tr w:rsidR="00E53DCE" w:rsidRPr="00702FF7" w14:paraId="2DCA6E71" w14:textId="77777777" w:rsidTr="00306452">
        <w:trPr>
          <w:jc w:val="center"/>
        </w:trPr>
        <w:tc>
          <w:tcPr>
            <w:tcW w:w="7054" w:type="dxa"/>
            <w:gridSpan w:val="2"/>
          </w:tcPr>
          <w:p w14:paraId="310D6481" w14:textId="6E900996" w:rsidR="00E53DCE" w:rsidRPr="00702FF7" w:rsidRDefault="00A96D3A" w:rsidP="006160CB">
            <w:pPr>
              <w:spacing w:before="0"/>
              <w:jc w:val="left"/>
              <w:rPr>
                <w:szCs w:val="24"/>
                <w:lang w:val="es-ES_tradnl"/>
              </w:rPr>
            </w:pPr>
            <w:r w:rsidRPr="00702FF7">
              <w:rPr>
                <w:szCs w:val="24"/>
                <w:lang w:val="es-ES_tradnl"/>
              </w:rPr>
              <w:t>Circular Administrativa</w:t>
            </w:r>
          </w:p>
          <w:p w14:paraId="69D58805" w14:textId="40C65706" w:rsidR="00E53DCE" w:rsidRPr="00702FF7" w:rsidRDefault="001B3D4D" w:rsidP="006160CB">
            <w:pPr>
              <w:spacing w:before="0"/>
              <w:jc w:val="left"/>
              <w:rPr>
                <w:b/>
                <w:bCs/>
                <w:szCs w:val="24"/>
                <w:lang w:val="es-ES_tradnl"/>
              </w:rPr>
            </w:pPr>
            <w:r w:rsidRPr="00702FF7">
              <w:rPr>
                <w:b/>
                <w:bCs/>
                <w:szCs w:val="24"/>
                <w:lang w:val="es-ES_tradnl"/>
              </w:rPr>
              <w:t>CA/</w:t>
            </w:r>
            <w:r w:rsidR="00545F6B" w:rsidRPr="00702FF7">
              <w:rPr>
                <w:b/>
                <w:bCs/>
                <w:szCs w:val="24"/>
                <w:lang w:val="es-ES_tradnl"/>
              </w:rPr>
              <w:t>281</w:t>
            </w:r>
          </w:p>
        </w:tc>
        <w:tc>
          <w:tcPr>
            <w:tcW w:w="2835" w:type="dxa"/>
          </w:tcPr>
          <w:p w14:paraId="3FD01BE1" w14:textId="4172DCDE" w:rsidR="00E53DCE" w:rsidRPr="00702FF7" w:rsidRDefault="00A96D3A" w:rsidP="006160CB">
            <w:pPr>
              <w:spacing w:before="0"/>
              <w:jc w:val="right"/>
              <w:rPr>
                <w:szCs w:val="24"/>
                <w:lang w:val="es-ES_tradnl"/>
              </w:rPr>
            </w:pPr>
            <w:r w:rsidRPr="00702FF7">
              <w:rPr>
                <w:bCs/>
                <w:szCs w:val="24"/>
                <w:lang w:val="es-ES_tradnl"/>
              </w:rPr>
              <w:t>1</w:t>
            </w:r>
            <w:r w:rsidR="00545F6B" w:rsidRPr="00702FF7">
              <w:rPr>
                <w:bCs/>
                <w:szCs w:val="24"/>
                <w:lang w:val="es-ES_tradnl"/>
              </w:rPr>
              <w:t xml:space="preserve">0 </w:t>
            </w:r>
            <w:r w:rsidRPr="00702FF7">
              <w:rPr>
                <w:bCs/>
                <w:szCs w:val="24"/>
                <w:lang w:val="es-ES_tradnl"/>
              </w:rPr>
              <w:t xml:space="preserve">de </w:t>
            </w:r>
            <w:r w:rsidR="00545F6B" w:rsidRPr="00702FF7">
              <w:rPr>
                <w:bCs/>
                <w:szCs w:val="24"/>
                <w:lang w:val="es-ES_tradnl"/>
              </w:rPr>
              <w:t>abril</w:t>
            </w:r>
            <w:r w:rsidRPr="00702FF7">
              <w:rPr>
                <w:bCs/>
                <w:szCs w:val="24"/>
                <w:lang w:val="es-ES_tradnl"/>
              </w:rPr>
              <w:t xml:space="preserve"> de 20</w:t>
            </w:r>
            <w:r w:rsidR="002B7EE0" w:rsidRPr="00702FF7">
              <w:rPr>
                <w:bCs/>
                <w:szCs w:val="24"/>
                <w:lang w:val="es-ES_tradnl"/>
              </w:rPr>
              <w:t>2</w:t>
            </w:r>
            <w:r w:rsidR="00545F6B" w:rsidRPr="00702FF7">
              <w:rPr>
                <w:bCs/>
                <w:szCs w:val="24"/>
                <w:lang w:val="es-ES_tradnl"/>
              </w:rPr>
              <w:t>6</w:t>
            </w:r>
          </w:p>
        </w:tc>
      </w:tr>
      <w:tr w:rsidR="00E53DCE" w:rsidRPr="00702FF7" w14:paraId="56562AD9" w14:textId="77777777" w:rsidTr="00306452">
        <w:trPr>
          <w:jc w:val="center"/>
        </w:trPr>
        <w:tc>
          <w:tcPr>
            <w:tcW w:w="9889" w:type="dxa"/>
            <w:gridSpan w:val="3"/>
          </w:tcPr>
          <w:p w14:paraId="49FBA783" w14:textId="77777777" w:rsidR="00E53DCE" w:rsidRPr="00702FF7" w:rsidRDefault="00E53DCE" w:rsidP="006160CB">
            <w:pPr>
              <w:spacing w:before="0"/>
              <w:jc w:val="left"/>
              <w:rPr>
                <w:rFonts w:cs="Arial"/>
                <w:szCs w:val="24"/>
                <w:lang w:val="es-ES_tradnl"/>
              </w:rPr>
            </w:pPr>
          </w:p>
        </w:tc>
      </w:tr>
      <w:tr w:rsidR="00E53DCE" w:rsidRPr="00702FF7" w14:paraId="762456CA" w14:textId="77777777" w:rsidTr="00306452">
        <w:trPr>
          <w:jc w:val="center"/>
        </w:trPr>
        <w:tc>
          <w:tcPr>
            <w:tcW w:w="9889" w:type="dxa"/>
            <w:gridSpan w:val="3"/>
          </w:tcPr>
          <w:p w14:paraId="42B6B401" w14:textId="77777777" w:rsidR="00E53DCE" w:rsidRPr="00702FF7" w:rsidRDefault="00E53DCE" w:rsidP="006160CB">
            <w:pPr>
              <w:spacing w:before="0"/>
              <w:jc w:val="left"/>
              <w:rPr>
                <w:szCs w:val="24"/>
                <w:lang w:val="es-ES_tradnl"/>
              </w:rPr>
            </w:pPr>
          </w:p>
        </w:tc>
      </w:tr>
      <w:tr w:rsidR="00E53DCE" w:rsidRPr="00B33A8D" w14:paraId="4BAE9C44" w14:textId="77777777" w:rsidTr="00306452">
        <w:trPr>
          <w:jc w:val="center"/>
        </w:trPr>
        <w:tc>
          <w:tcPr>
            <w:tcW w:w="9889" w:type="dxa"/>
            <w:gridSpan w:val="3"/>
          </w:tcPr>
          <w:p w14:paraId="21F1935A" w14:textId="2B39775B" w:rsidR="00E53DCE" w:rsidRPr="00702FF7" w:rsidRDefault="00FE4822" w:rsidP="00545F6B">
            <w:pPr>
              <w:spacing w:before="0"/>
              <w:jc w:val="left"/>
              <w:rPr>
                <w:b/>
                <w:szCs w:val="24"/>
                <w:lang w:val="es-ES_tradnl"/>
              </w:rPr>
            </w:pPr>
            <w:r w:rsidRPr="00702FF7">
              <w:rPr>
                <w:b/>
                <w:szCs w:val="24"/>
                <w:lang w:val="es-ES_tradnl"/>
              </w:rPr>
              <w:t>A las Administraciones de los Estados Miembros de la UIT</w:t>
            </w:r>
            <w:r w:rsidR="00545F6B" w:rsidRPr="00702FF7">
              <w:rPr>
                <w:b/>
                <w:szCs w:val="24"/>
                <w:lang w:val="es-ES_tradnl"/>
              </w:rPr>
              <w:t xml:space="preserve"> y a los Miembros del Sector de Radiocomunicaciones</w:t>
            </w:r>
          </w:p>
        </w:tc>
      </w:tr>
      <w:tr w:rsidR="00E53DCE" w:rsidRPr="00B33A8D" w14:paraId="180CDAFD" w14:textId="77777777" w:rsidTr="00306452">
        <w:trPr>
          <w:jc w:val="center"/>
        </w:trPr>
        <w:tc>
          <w:tcPr>
            <w:tcW w:w="9889" w:type="dxa"/>
            <w:gridSpan w:val="3"/>
          </w:tcPr>
          <w:p w14:paraId="04ADBBDE" w14:textId="77777777" w:rsidR="00E53DCE" w:rsidRPr="00702FF7" w:rsidRDefault="00E53DCE" w:rsidP="006160CB">
            <w:pPr>
              <w:spacing w:before="0"/>
              <w:jc w:val="left"/>
              <w:rPr>
                <w:szCs w:val="24"/>
                <w:lang w:val="es-ES_tradnl"/>
              </w:rPr>
            </w:pPr>
          </w:p>
        </w:tc>
      </w:tr>
      <w:tr w:rsidR="00E53DCE" w:rsidRPr="00B33A8D" w14:paraId="06E9A2B7" w14:textId="77777777" w:rsidTr="00306452">
        <w:trPr>
          <w:jc w:val="center"/>
        </w:trPr>
        <w:tc>
          <w:tcPr>
            <w:tcW w:w="9889" w:type="dxa"/>
            <w:gridSpan w:val="3"/>
          </w:tcPr>
          <w:p w14:paraId="4039DD3F" w14:textId="77777777" w:rsidR="00E53DCE" w:rsidRPr="00702FF7" w:rsidRDefault="00E53DCE" w:rsidP="006160CB">
            <w:pPr>
              <w:spacing w:before="0"/>
              <w:jc w:val="left"/>
              <w:rPr>
                <w:szCs w:val="24"/>
                <w:lang w:val="es-ES_tradnl"/>
              </w:rPr>
            </w:pPr>
          </w:p>
        </w:tc>
      </w:tr>
      <w:tr w:rsidR="00E53DCE" w:rsidRPr="00533FD9" w14:paraId="021316CA" w14:textId="77777777" w:rsidTr="00306452">
        <w:trPr>
          <w:jc w:val="center"/>
        </w:trPr>
        <w:tc>
          <w:tcPr>
            <w:tcW w:w="1526" w:type="dxa"/>
          </w:tcPr>
          <w:p w14:paraId="4C13FE60" w14:textId="77777777" w:rsidR="00E53DCE" w:rsidRPr="00702FF7" w:rsidRDefault="00311970" w:rsidP="006160CB">
            <w:pPr>
              <w:tabs>
                <w:tab w:val="clear" w:pos="1588"/>
                <w:tab w:val="left" w:pos="1560"/>
              </w:tabs>
              <w:spacing w:before="0"/>
              <w:jc w:val="left"/>
              <w:rPr>
                <w:szCs w:val="24"/>
                <w:lang w:val="es-ES_tradnl"/>
              </w:rPr>
            </w:pPr>
            <w:r w:rsidRPr="00702FF7">
              <w:rPr>
                <w:szCs w:val="24"/>
                <w:lang w:val="es-ES_tradnl"/>
              </w:rPr>
              <w:t>Asunto:</w:t>
            </w:r>
          </w:p>
        </w:tc>
        <w:tc>
          <w:tcPr>
            <w:tcW w:w="8363" w:type="dxa"/>
            <w:gridSpan w:val="2"/>
            <w:vMerge w:val="restart"/>
          </w:tcPr>
          <w:p w14:paraId="3612960C" w14:textId="3E9A7C1F" w:rsidR="00E53DCE" w:rsidRPr="00702FF7" w:rsidRDefault="00545F6B" w:rsidP="00AE3B0C">
            <w:pPr>
              <w:tabs>
                <w:tab w:val="clear" w:pos="1588"/>
                <w:tab w:val="left" w:pos="1560"/>
              </w:tabs>
              <w:spacing w:before="0"/>
              <w:jc w:val="left"/>
              <w:rPr>
                <w:b/>
                <w:bCs/>
                <w:szCs w:val="24"/>
                <w:lang w:val="es-ES_tradnl"/>
              </w:rPr>
            </w:pPr>
            <w:r w:rsidRPr="00702FF7">
              <w:rPr>
                <w:b/>
                <w:bCs/>
                <w:szCs w:val="24"/>
                <w:lang w:val="es-ES_tradnl"/>
              </w:rPr>
              <w:t>Resumen de las conclusiones de la 33.ª reunión del Grupo Asesor de Radiocomunicaciones</w:t>
            </w:r>
          </w:p>
        </w:tc>
      </w:tr>
      <w:tr w:rsidR="00E53DCE" w:rsidRPr="00533FD9" w14:paraId="4081CB4E" w14:textId="77777777" w:rsidTr="00306452">
        <w:trPr>
          <w:jc w:val="center"/>
        </w:trPr>
        <w:tc>
          <w:tcPr>
            <w:tcW w:w="1526" w:type="dxa"/>
          </w:tcPr>
          <w:p w14:paraId="315E015A" w14:textId="77777777" w:rsidR="00E53DCE" w:rsidRPr="00702FF7" w:rsidRDefault="00E53DCE" w:rsidP="006160CB">
            <w:pPr>
              <w:tabs>
                <w:tab w:val="clear" w:pos="1588"/>
                <w:tab w:val="left" w:pos="1560"/>
              </w:tabs>
              <w:spacing w:before="0"/>
              <w:jc w:val="left"/>
              <w:rPr>
                <w:b/>
                <w:bCs/>
                <w:szCs w:val="24"/>
                <w:lang w:val="es-ES_tradnl"/>
              </w:rPr>
            </w:pPr>
          </w:p>
        </w:tc>
        <w:tc>
          <w:tcPr>
            <w:tcW w:w="8363" w:type="dxa"/>
            <w:gridSpan w:val="2"/>
            <w:vMerge/>
          </w:tcPr>
          <w:p w14:paraId="7E66957D" w14:textId="77777777" w:rsidR="00E53DCE" w:rsidRPr="00702FF7" w:rsidRDefault="00E53DCE" w:rsidP="006160CB">
            <w:pPr>
              <w:tabs>
                <w:tab w:val="clear" w:pos="1588"/>
                <w:tab w:val="left" w:pos="1560"/>
              </w:tabs>
              <w:spacing w:before="0"/>
              <w:rPr>
                <w:b/>
                <w:bCs/>
                <w:szCs w:val="24"/>
                <w:lang w:val="es-ES_tradnl"/>
              </w:rPr>
            </w:pPr>
          </w:p>
        </w:tc>
      </w:tr>
      <w:tr w:rsidR="00E53DCE" w:rsidRPr="00533FD9" w14:paraId="449BD3D4" w14:textId="77777777" w:rsidTr="00306452">
        <w:trPr>
          <w:jc w:val="center"/>
        </w:trPr>
        <w:tc>
          <w:tcPr>
            <w:tcW w:w="1526" w:type="dxa"/>
          </w:tcPr>
          <w:p w14:paraId="4E614295" w14:textId="77777777" w:rsidR="00E53DCE" w:rsidRPr="00702FF7" w:rsidRDefault="00E53DCE" w:rsidP="006160CB">
            <w:pPr>
              <w:tabs>
                <w:tab w:val="clear" w:pos="1588"/>
                <w:tab w:val="left" w:pos="1560"/>
              </w:tabs>
              <w:spacing w:before="0"/>
              <w:jc w:val="left"/>
              <w:rPr>
                <w:b/>
                <w:bCs/>
                <w:szCs w:val="24"/>
                <w:lang w:val="es-ES_tradnl"/>
              </w:rPr>
            </w:pPr>
          </w:p>
        </w:tc>
        <w:tc>
          <w:tcPr>
            <w:tcW w:w="8363" w:type="dxa"/>
            <w:gridSpan w:val="2"/>
            <w:vMerge/>
          </w:tcPr>
          <w:p w14:paraId="04442067" w14:textId="77777777" w:rsidR="00E53DCE" w:rsidRPr="00702FF7" w:rsidRDefault="00E53DCE" w:rsidP="006160CB">
            <w:pPr>
              <w:tabs>
                <w:tab w:val="clear" w:pos="1588"/>
                <w:tab w:val="left" w:pos="1560"/>
              </w:tabs>
              <w:spacing w:before="0"/>
              <w:rPr>
                <w:b/>
                <w:bCs/>
                <w:szCs w:val="24"/>
                <w:lang w:val="es-ES_tradnl"/>
              </w:rPr>
            </w:pPr>
          </w:p>
        </w:tc>
      </w:tr>
      <w:tr w:rsidR="00E53DCE" w:rsidRPr="00533FD9" w14:paraId="6F081EF6" w14:textId="77777777" w:rsidTr="00306452">
        <w:trPr>
          <w:jc w:val="center"/>
        </w:trPr>
        <w:tc>
          <w:tcPr>
            <w:tcW w:w="9889" w:type="dxa"/>
            <w:gridSpan w:val="3"/>
          </w:tcPr>
          <w:p w14:paraId="291A3FA3" w14:textId="77777777" w:rsidR="00E53DCE" w:rsidRPr="00702FF7" w:rsidRDefault="00E53DCE" w:rsidP="00E53DCE">
            <w:pPr>
              <w:tabs>
                <w:tab w:val="clear" w:pos="1588"/>
                <w:tab w:val="left" w:pos="1560"/>
              </w:tabs>
              <w:spacing w:before="0"/>
              <w:jc w:val="left"/>
              <w:rPr>
                <w:szCs w:val="24"/>
                <w:lang w:val="es-ES_tradnl"/>
              </w:rPr>
            </w:pPr>
          </w:p>
        </w:tc>
      </w:tr>
      <w:tr w:rsidR="00E53DCE" w:rsidRPr="00533FD9" w14:paraId="7006B032" w14:textId="77777777" w:rsidTr="00306452">
        <w:trPr>
          <w:jc w:val="center"/>
        </w:trPr>
        <w:tc>
          <w:tcPr>
            <w:tcW w:w="9889" w:type="dxa"/>
            <w:gridSpan w:val="3"/>
          </w:tcPr>
          <w:p w14:paraId="2598BFE6" w14:textId="77777777" w:rsidR="00E53DCE" w:rsidRPr="00702FF7" w:rsidRDefault="00E53DCE" w:rsidP="006160CB">
            <w:pPr>
              <w:spacing w:before="0"/>
              <w:jc w:val="left"/>
              <w:rPr>
                <w:b/>
                <w:bCs/>
                <w:szCs w:val="24"/>
                <w:lang w:val="es-ES_tradnl"/>
              </w:rPr>
            </w:pPr>
          </w:p>
        </w:tc>
      </w:tr>
    </w:tbl>
    <w:p w14:paraId="0CC68852" w14:textId="77777777" w:rsidR="00AE3B0C" w:rsidRPr="00702FF7" w:rsidRDefault="00AE3B0C" w:rsidP="00AE3B0C">
      <w:pPr>
        <w:jc w:val="left"/>
        <w:rPr>
          <w:rFonts w:asciiTheme="minorHAnsi" w:hAnsiTheme="minorHAnsi"/>
          <w:lang w:val="es-ES_tradnl"/>
        </w:rPr>
      </w:pPr>
      <w:r w:rsidRPr="00702FF7">
        <w:rPr>
          <w:rFonts w:asciiTheme="minorHAnsi" w:hAnsiTheme="minorHAnsi"/>
          <w:lang w:val="es-ES_tradnl"/>
        </w:rPr>
        <w:t>El Grupo Asesor de Radiocomunicaciones (GAR) celebró su 33.ª reunión del 30 de marzo al 2 de abril de 2026.</w:t>
      </w:r>
    </w:p>
    <w:p w14:paraId="37685AB3" w14:textId="77777777" w:rsidR="00AE3B0C" w:rsidRPr="00702FF7" w:rsidRDefault="00AE3B0C" w:rsidP="00AE3B0C">
      <w:pPr>
        <w:jc w:val="left"/>
        <w:rPr>
          <w:rFonts w:asciiTheme="minorHAnsi" w:hAnsiTheme="minorHAnsi"/>
          <w:lang w:val="es-ES_tradnl"/>
        </w:rPr>
      </w:pPr>
      <w:r w:rsidRPr="00702FF7">
        <w:rPr>
          <w:rFonts w:asciiTheme="minorHAnsi" w:hAnsiTheme="minorHAnsi"/>
          <w:lang w:val="es-ES_tradnl"/>
        </w:rPr>
        <w:t>El resumen de las conclusiones de la reunión figura en el Adjunto a la presente carta.</w:t>
      </w:r>
    </w:p>
    <w:p w14:paraId="396C659C" w14:textId="77777777" w:rsidR="00AE3B0C" w:rsidRPr="00702FF7" w:rsidRDefault="00AE3B0C" w:rsidP="00AE3B0C">
      <w:pPr>
        <w:jc w:val="left"/>
        <w:rPr>
          <w:rFonts w:asciiTheme="minorHAnsi" w:hAnsiTheme="minorHAnsi"/>
          <w:szCs w:val="24"/>
          <w:lang w:val="es-ES_tradnl"/>
        </w:rPr>
      </w:pPr>
      <w:r w:rsidRPr="00702FF7">
        <w:rPr>
          <w:rFonts w:asciiTheme="minorHAnsi" w:hAnsiTheme="minorHAnsi"/>
          <w:lang w:val="es-ES_tradnl"/>
        </w:rPr>
        <w:t>Encontrará más información sobre esta reunión en el sitio web del GAR, en la dirección</w:t>
      </w:r>
      <w:r w:rsidRPr="00702FF7">
        <w:rPr>
          <w:rFonts w:asciiTheme="minorHAnsi" w:hAnsiTheme="minorHAnsi"/>
          <w:szCs w:val="24"/>
          <w:lang w:val="es-ES_tradnl"/>
        </w:rPr>
        <w:t>:</w:t>
      </w:r>
    </w:p>
    <w:p w14:paraId="0E82F0AF" w14:textId="6E569E3A" w:rsidR="00AE3B0C" w:rsidRPr="00702FF7" w:rsidRDefault="00AE3B0C" w:rsidP="00AE3B0C">
      <w:pPr>
        <w:jc w:val="center"/>
        <w:rPr>
          <w:rFonts w:asciiTheme="minorHAnsi" w:hAnsiTheme="minorHAnsi" w:cstheme="minorHAnsi"/>
          <w:szCs w:val="24"/>
          <w:lang w:val="es-ES_tradnl"/>
        </w:rPr>
      </w:pPr>
      <w:hyperlink r:id="rId8" w:anchor="/es" w:history="1">
        <w:r w:rsidRPr="00702FF7">
          <w:rPr>
            <w:rStyle w:val="Hyperlink"/>
            <w:lang w:val="es-ES_tradnl"/>
          </w:rPr>
          <w:t>https://www.itu.int/rag/</w:t>
        </w:r>
      </w:hyperlink>
      <w:r w:rsidRPr="00702FF7">
        <w:rPr>
          <w:rFonts w:asciiTheme="minorHAnsi" w:hAnsiTheme="minorHAnsi"/>
          <w:szCs w:val="24"/>
          <w:lang w:val="es-ES_tradnl"/>
        </w:rPr>
        <w:t>.</w:t>
      </w:r>
    </w:p>
    <w:p w14:paraId="50582956" w14:textId="77777777" w:rsidR="00AE3B0C" w:rsidRPr="00702FF7" w:rsidRDefault="00AE3B0C" w:rsidP="00AE3B0C">
      <w:pPr>
        <w:spacing w:before="1200" w:line="240" w:lineRule="auto"/>
        <w:jc w:val="left"/>
        <w:rPr>
          <w:rFonts w:asciiTheme="minorHAnsi" w:hAnsiTheme="minorHAnsi" w:cstheme="minorHAnsi"/>
          <w:szCs w:val="24"/>
          <w:lang w:val="es-ES_tradnl"/>
        </w:rPr>
      </w:pPr>
      <w:r w:rsidRPr="00702FF7">
        <w:rPr>
          <w:rFonts w:asciiTheme="minorHAnsi" w:hAnsiTheme="minorHAnsi" w:cstheme="minorHAnsi"/>
          <w:lang w:val="es-ES_tradnl"/>
        </w:rPr>
        <w:t>Mario Maniewicz</w:t>
      </w:r>
    </w:p>
    <w:p w14:paraId="6136B82F" w14:textId="77777777" w:rsidR="00AE3B0C" w:rsidRPr="00702FF7" w:rsidRDefault="00AE3B0C" w:rsidP="00AE3B0C">
      <w:pPr>
        <w:spacing w:before="0" w:line="240" w:lineRule="auto"/>
        <w:jc w:val="left"/>
        <w:rPr>
          <w:rFonts w:asciiTheme="minorHAnsi" w:hAnsiTheme="minorHAnsi" w:cstheme="minorHAnsi"/>
          <w:szCs w:val="24"/>
          <w:lang w:val="es-ES_tradnl"/>
        </w:rPr>
      </w:pPr>
      <w:r w:rsidRPr="00702FF7">
        <w:rPr>
          <w:rFonts w:asciiTheme="minorHAnsi" w:hAnsiTheme="minorHAnsi" w:cstheme="minorHAnsi"/>
          <w:szCs w:val="24"/>
          <w:lang w:val="es-ES_tradnl"/>
        </w:rPr>
        <w:t>Director</w:t>
      </w:r>
    </w:p>
    <w:p w14:paraId="6932561B" w14:textId="06E5FC2F" w:rsidR="00AE3B0C" w:rsidRPr="00702FF7" w:rsidRDefault="00AE3B0C" w:rsidP="00B33A8D">
      <w:pPr>
        <w:spacing w:before="1800"/>
        <w:rPr>
          <w:lang w:val="es-ES_tradnl"/>
        </w:rPr>
        <w:sectPr w:rsidR="00AE3B0C" w:rsidRPr="00702FF7" w:rsidSect="00AE3B0C">
          <w:headerReference w:type="even" r:id="rId9"/>
          <w:headerReference w:type="default" r:id="rId10"/>
          <w:headerReference w:type="first" r:id="rId11"/>
          <w:footerReference w:type="first" r:id="rId12"/>
          <w:pgSz w:w="11907" w:h="16834"/>
          <w:pgMar w:top="1418" w:right="1134" w:bottom="1418" w:left="1134" w:header="720" w:footer="720" w:gutter="0"/>
          <w:paperSrc w:first="15" w:other="15"/>
          <w:cols w:space="720"/>
          <w:titlePg/>
          <w:docGrid w:linePitch="326"/>
        </w:sectPr>
      </w:pPr>
      <w:r w:rsidRPr="00702FF7">
        <w:rPr>
          <w:lang w:val="es-ES_tradnl"/>
        </w:rPr>
        <w:t>Adjunto:</w:t>
      </w:r>
      <w:r w:rsidRPr="00702FF7">
        <w:rPr>
          <w:lang w:val="es-ES_tradnl"/>
        </w:rPr>
        <w:tab/>
        <w:t>1</w:t>
      </w:r>
    </w:p>
    <w:p w14:paraId="4B1E39D3" w14:textId="77777777" w:rsidR="00AE3B0C" w:rsidRPr="00702FF7" w:rsidRDefault="00AE3B0C" w:rsidP="00AE3B0C">
      <w:pPr>
        <w:pStyle w:val="AnnexNo"/>
        <w:rPr>
          <w:lang w:val="es-ES_tradnl"/>
        </w:rPr>
      </w:pPr>
      <w:r w:rsidRPr="00702FF7">
        <w:rPr>
          <w:lang w:val="es-ES_tradnl"/>
        </w:rPr>
        <w:lastRenderedPageBreak/>
        <w:t>ADJUNTO</w:t>
      </w:r>
    </w:p>
    <w:p w14:paraId="691487D8" w14:textId="2586AC21" w:rsidR="00AE3B0C" w:rsidRPr="00702FF7" w:rsidRDefault="00AE3B0C" w:rsidP="000C15DE">
      <w:pPr>
        <w:pStyle w:val="Annextitle"/>
        <w:rPr>
          <w:lang w:val="es-ES_tradnl"/>
        </w:rPr>
      </w:pPr>
      <w:r w:rsidRPr="00702FF7">
        <w:rPr>
          <w:lang w:val="es-ES_tradnl"/>
        </w:rPr>
        <w:t>RESUMEN DE LAS CONCLUSIONES DE LA</w:t>
      </w:r>
      <w:r w:rsidRPr="00702FF7">
        <w:rPr>
          <w:lang w:val="es-ES_tradnl"/>
        </w:rPr>
        <w:br/>
        <w:t>33.ª REUNIÓN DEL GRUPO ASESOR DE RADIOCOMUNICACIONES</w:t>
      </w:r>
    </w:p>
    <w:tbl>
      <w:tblPr>
        <w:tblpPr w:leftFromText="180" w:rightFromText="180" w:vertAnchor="text" w:tblpXSpec="center" w:tblpY="1"/>
        <w:tblOverlap w:val="never"/>
        <w:tblW w:w="153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0"/>
        <w:gridCol w:w="2268"/>
        <w:gridCol w:w="11623"/>
      </w:tblGrid>
      <w:tr w:rsidR="00AE3B0C" w:rsidRPr="00702FF7" w14:paraId="1BF7912E" w14:textId="77777777" w:rsidTr="000C15DE">
        <w:trPr>
          <w:cantSplit/>
          <w:tblHeader/>
        </w:trPr>
        <w:tc>
          <w:tcPr>
            <w:tcW w:w="1410" w:type="dxa"/>
            <w:vAlign w:val="center"/>
          </w:tcPr>
          <w:p w14:paraId="53AC59DC" w14:textId="77777777" w:rsidR="00AE3B0C" w:rsidRPr="00702FF7" w:rsidRDefault="00AE3B0C" w:rsidP="000C15DE">
            <w:pPr>
              <w:pStyle w:val="Tablehead"/>
              <w:rPr>
                <w:sz w:val="24"/>
                <w:szCs w:val="28"/>
                <w:lang w:val="es-ES_tradnl"/>
              </w:rPr>
            </w:pPr>
            <w:r w:rsidRPr="00702FF7">
              <w:rPr>
                <w:sz w:val="24"/>
                <w:szCs w:val="28"/>
                <w:lang w:val="es-ES_tradnl"/>
              </w:rPr>
              <w:br w:type="page"/>
              <w:t>Punto del orden del día</w:t>
            </w:r>
          </w:p>
        </w:tc>
        <w:tc>
          <w:tcPr>
            <w:tcW w:w="2268" w:type="dxa"/>
            <w:vAlign w:val="center"/>
          </w:tcPr>
          <w:p w14:paraId="16003872" w14:textId="77777777" w:rsidR="00AE3B0C" w:rsidRPr="00702FF7" w:rsidRDefault="00AE3B0C" w:rsidP="00AE3B0C">
            <w:pPr>
              <w:pStyle w:val="Tablehead"/>
              <w:rPr>
                <w:sz w:val="24"/>
                <w:szCs w:val="28"/>
                <w:lang w:val="es-ES_tradnl"/>
              </w:rPr>
            </w:pPr>
            <w:r w:rsidRPr="00702FF7">
              <w:rPr>
                <w:sz w:val="24"/>
                <w:szCs w:val="28"/>
                <w:lang w:val="es-ES_tradnl"/>
              </w:rPr>
              <w:t>Asunto/</w:t>
            </w:r>
            <w:r w:rsidRPr="00702FF7">
              <w:rPr>
                <w:sz w:val="24"/>
                <w:szCs w:val="28"/>
                <w:lang w:val="es-ES_tradnl"/>
              </w:rPr>
              <w:br/>
              <w:t>Documento(s)</w:t>
            </w:r>
          </w:p>
        </w:tc>
        <w:tc>
          <w:tcPr>
            <w:tcW w:w="11623" w:type="dxa"/>
            <w:vAlign w:val="center"/>
          </w:tcPr>
          <w:p w14:paraId="218239FE" w14:textId="77777777" w:rsidR="00AE3B0C" w:rsidRPr="00702FF7" w:rsidRDefault="00AE3B0C" w:rsidP="00AE3B0C">
            <w:pPr>
              <w:pStyle w:val="Tablehead"/>
              <w:rPr>
                <w:sz w:val="24"/>
                <w:szCs w:val="28"/>
                <w:lang w:val="es-ES_tradnl"/>
              </w:rPr>
            </w:pPr>
            <w:r w:rsidRPr="00702FF7">
              <w:rPr>
                <w:sz w:val="24"/>
                <w:szCs w:val="28"/>
                <w:lang w:val="es-ES_tradnl"/>
              </w:rPr>
              <w:t>Conclusiones</w:t>
            </w:r>
          </w:p>
        </w:tc>
      </w:tr>
      <w:tr w:rsidR="00AE3B0C" w:rsidRPr="00B33A8D" w14:paraId="15E3EA31" w14:textId="77777777" w:rsidTr="000C15DE">
        <w:tc>
          <w:tcPr>
            <w:tcW w:w="1410" w:type="dxa"/>
          </w:tcPr>
          <w:p w14:paraId="03894544" w14:textId="77777777" w:rsidR="00AE3B0C" w:rsidRPr="00702FF7" w:rsidRDefault="00AE3B0C" w:rsidP="000C15DE">
            <w:pPr>
              <w:pStyle w:val="Tabletext"/>
              <w:rPr>
                <w:b/>
                <w:bCs/>
                <w:lang w:val="es-ES_tradnl"/>
              </w:rPr>
            </w:pPr>
            <w:r w:rsidRPr="00702FF7">
              <w:rPr>
                <w:b/>
                <w:bCs/>
                <w:lang w:val="es-ES_tradnl"/>
              </w:rPr>
              <w:t>1</w:t>
            </w:r>
          </w:p>
        </w:tc>
        <w:tc>
          <w:tcPr>
            <w:tcW w:w="2268" w:type="dxa"/>
          </w:tcPr>
          <w:p w14:paraId="4432F3FB" w14:textId="77777777" w:rsidR="00AE3B0C" w:rsidRPr="00702FF7" w:rsidRDefault="00AE3B0C" w:rsidP="000C15DE">
            <w:pPr>
              <w:pStyle w:val="Tabletext"/>
              <w:rPr>
                <w:b/>
                <w:bCs/>
                <w:lang w:val="es-ES_tradnl"/>
              </w:rPr>
            </w:pPr>
            <w:r w:rsidRPr="00702FF7">
              <w:rPr>
                <w:b/>
                <w:bCs/>
                <w:lang w:val="es-ES_tradnl"/>
              </w:rPr>
              <w:t>Discursos de apertura</w:t>
            </w:r>
          </w:p>
        </w:tc>
        <w:tc>
          <w:tcPr>
            <w:tcW w:w="11623" w:type="dxa"/>
          </w:tcPr>
          <w:p w14:paraId="71C6B973" w14:textId="07B2BD0D" w:rsidR="00AE3B0C" w:rsidRPr="00702FF7" w:rsidRDefault="00AE3B0C" w:rsidP="000C15DE">
            <w:pPr>
              <w:pStyle w:val="Tabletext"/>
              <w:rPr>
                <w:rFonts w:eastAsia="Calibri" w:cstheme="minorBidi"/>
                <w:color w:val="000000" w:themeColor="text1"/>
                <w:lang w:val="es-ES_tradnl"/>
              </w:rPr>
            </w:pPr>
            <w:r w:rsidRPr="00702FF7">
              <w:rPr>
                <w:rFonts w:eastAsia="Calibri"/>
                <w:lang w:val="es-ES_tradnl"/>
              </w:rPr>
              <w:t xml:space="preserve">El Presidente del GAR, </w:t>
            </w:r>
            <w:r w:rsidR="00CA406A" w:rsidRPr="00702FF7">
              <w:rPr>
                <w:rFonts w:eastAsia="Calibri"/>
                <w:lang w:val="es-ES_tradnl"/>
              </w:rPr>
              <w:t>Sr. </w:t>
            </w:r>
            <w:r w:rsidRPr="00702FF7">
              <w:rPr>
                <w:rFonts w:eastAsia="Calibri"/>
                <w:lang w:val="es-ES_tradnl"/>
              </w:rPr>
              <w:t>Mohammed Aljanoobi (Arabia Saudita), declaró abierta la reunión</w:t>
            </w:r>
            <w:r w:rsidRPr="00702FF7">
              <w:rPr>
                <w:rFonts w:eastAsia="Calibri" w:cstheme="minorBidi"/>
                <w:color w:val="000000" w:themeColor="text1"/>
                <w:lang w:val="es-ES_tradnl"/>
              </w:rPr>
              <w:t xml:space="preserve">. </w:t>
            </w:r>
          </w:p>
          <w:p w14:paraId="6FC565BD" w14:textId="439EBC73" w:rsidR="00AE3B0C" w:rsidRPr="00702FF7" w:rsidRDefault="00AE3B0C" w:rsidP="000C15DE">
            <w:pPr>
              <w:pStyle w:val="Tabletext"/>
              <w:rPr>
                <w:rFonts w:eastAsia="Calibri" w:cstheme="minorBidi"/>
                <w:color w:val="000000" w:themeColor="text1"/>
                <w:lang w:val="es-ES_tradnl"/>
              </w:rPr>
            </w:pPr>
            <w:r w:rsidRPr="00702FF7">
              <w:rPr>
                <w:rFonts w:eastAsia="Calibri" w:cstheme="minorBidi"/>
                <w:color w:val="000000" w:themeColor="text1"/>
                <w:lang w:val="es-ES_tradnl"/>
              </w:rPr>
              <w:t xml:space="preserve">La </w:t>
            </w:r>
            <w:r w:rsidR="00CA406A" w:rsidRPr="00702FF7">
              <w:rPr>
                <w:rFonts w:eastAsia="Calibri" w:cstheme="minorBidi"/>
                <w:color w:val="000000" w:themeColor="text1"/>
                <w:lang w:val="es-ES_tradnl"/>
              </w:rPr>
              <w:t>Sra. </w:t>
            </w:r>
            <w:r w:rsidRPr="00702FF7">
              <w:rPr>
                <w:rFonts w:eastAsia="Calibri" w:cstheme="minorBidi"/>
                <w:color w:val="000000" w:themeColor="text1"/>
                <w:lang w:val="es-ES_tradnl"/>
              </w:rPr>
              <w:t xml:space="preserve">Doreen Bogdan-Martin, Secretaria General de la UIT, pronunció un discurso de bienvenida en el que destacó </w:t>
            </w:r>
            <w:r w:rsidRPr="00702FF7">
              <w:rPr>
                <w:rFonts w:eastAsia="Calibri"/>
                <w:lang w:val="es-ES_tradnl"/>
              </w:rPr>
              <w:t>la importancia que seguía revistiendo la cooperación internacional en el marco del dinámico Reglamento de Radiocomunicaciones, y recalcó que la colaboración y la innovación a escala mundial (especialmente en materia de inteligencia artificial y conectividad) era</w:t>
            </w:r>
            <w:r w:rsidR="00126725">
              <w:rPr>
                <w:rFonts w:eastAsia="Calibri"/>
                <w:lang w:val="es-ES_tradnl"/>
              </w:rPr>
              <w:t>n</w:t>
            </w:r>
            <w:r w:rsidRPr="00702FF7">
              <w:rPr>
                <w:rFonts w:eastAsia="Calibri"/>
                <w:lang w:val="es-ES_tradnl"/>
              </w:rPr>
              <w:t xml:space="preserve"> esenciales para construir un mundo resiliente y conectado.</w:t>
            </w:r>
          </w:p>
          <w:p w14:paraId="02DCF255" w14:textId="1F07136B" w:rsidR="00AE3B0C" w:rsidRPr="00702FF7" w:rsidRDefault="00AE3B0C" w:rsidP="000C15DE">
            <w:pPr>
              <w:pStyle w:val="Tabletext"/>
              <w:rPr>
                <w:rFonts w:eastAsia="Calibri" w:cstheme="minorBidi"/>
                <w:color w:val="000000" w:themeColor="text1"/>
                <w:lang w:val="es-ES_tradnl"/>
              </w:rPr>
            </w:pPr>
            <w:r w:rsidRPr="00702FF7">
              <w:rPr>
                <w:rFonts w:eastAsia="Calibri" w:cstheme="minorBidi"/>
                <w:color w:val="000000" w:themeColor="text1"/>
                <w:lang w:val="es-ES_tradnl"/>
              </w:rPr>
              <w:t xml:space="preserve">El </w:t>
            </w:r>
            <w:r w:rsidR="00CA406A" w:rsidRPr="00702FF7">
              <w:rPr>
                <w:rFonts w:eastAsia="Calibri" w:cstheme="minorBidi"/>
                <w:color w:val="000000" w:themeColor="text1"/>
                <w:lang w:val="es-ES_tradnl"/>
              </w:rPr>
              <w:t>Sr. </w:t>
            </w:r>
            <w:r w:rsidRPr="00702FF7">
              <w:rPr>
                <w:rFonts w:eastAsia="Calibri" w:cstheme="minorBidi"/>
                <w:color w:val="000000" w:themeColor="text1"/>
                <w:lang w:val="es-ES_tradnl"/>
              </w:rPr>
              <w:t xml:space="preserve">Seizo Onoe, Director de la TSB, pronunció unas palabras y </w:t>
            </w:r>
            <w:r w:rsidRPr="00702FF7">
              <w:rPr>
                <w:rFonts w:eastAsia="Calibri"/>
                <w:lang w:val="es-ES_tradnl"/>
              </w:rPr>
              <w:t>destacó la confianza que se había depositado en la UIT para que encauzara la evolución de las radiocomunicaciones en beneficio de todos, haciendo hincapié en su relevancia mundial y en el enfoque inclusivo que aplicaba a las tecnologías.</w:t>
            </w:r>
          </w:p>
          <w:p w14:paraId="7149654B" w14:textId="7DC4BF72" w:rsidR="00AE3B0C" w:rsidRPr="00702FF7" w:rsidRDefault="00AE3B0C" w:rsidP="000C15DE">
            <w:pPr>
              <w:pStyle w:val="Tabletext"/>
              <w:rPr>
                <w:rFonts w:eastAsia="Calibri"/>
                <w:lang w:val="es-ES_tradnl"/>
              </w:rPr>
            </w:pPr>
            <w:r w:rsidRPr="00702FF7">
              <w:rPr>
                <w:rFonts w:eastAsia="Calibri" w:cstheme="minorBidi"/>
                <w:color w:val="000000" w:themeColor="text1"/>
                <w:lang w:val="es-ES_tradnl"/>
              </w:rPr>
              <w:t xml:space="preserve">El </w:t>
            </w:r>
            <w:r w:rsidR="00CA406A" w:rsidRPr="00702FF7">
              <w:rPr>
                <w:rFonts w:eastAsia="Calibri" w:cstheme="minorBidi"/>
                <w:color w:val="000000" w:themeColor="text1"/>
                <w:lang w:val="es-ES_tradnl"/>
              </w:rPr>
              <w:t>Sr. </w:t>
            </w:r>
            <w:r w:rsidRPr="00702FF7">
              <w:rPr>
                <w:rFonts w:eastAsia="Calibri" w:cstheme="minorBidi"/>
                <w:color w:val="000000" w:themeColor="text1"/>
                <w:lang w:val="es-ES_tradnl"/>
              </w:rPr>
              <w:t xml:space="preserve">Cosmas Luckyson Zavazava, Director de la BDT, pronunció unas palabras y destacó </w:t>
            </w:r>
            <w:r w:rsidRPr="00702FF7">
              <w:rPr>
                <w:rFonts w:eastAsia="Calibri"/>
                <w:lang w:val="es-ES_tradnl"/>
              </w:rPr>
              <w:t>el papel central de las tecnologías inalámbricas y el espectro para lograr la conectividad global, especialmente en los países en desarrollo.</w:t>
            </w:r>
          </w:p>
          <w:p w14:paraId="27BFD3DA" w14:textId="6C6B25A1" w:rsidR="00AE3B0C" w:rsidRPr="00702FF7" w:rsidRDefault="00AE3B0C" w:rsidP="000C15DE">
            <w:pPr>
              <w:pStyle w:val="Tabletext"/>
              <w:rPr>
                <w:rFonts w:eastAsia="Calibri"/>
                <w:lang w:val="es-ES_tradnl"/>
              </w:rPr>
            </w:pPr>
            <w:r w:rsidRPr="00702FF7">
              <w:rPr>
                <w:rFonts w:eastAsia="Calibri" w:cstheme="minorBidi"/>
                <w:color w:val="000000" w:themeColor="text1"/>
                <w:lang w:val="es-ES_tradnl"/>
              </w:rPr>
              <w:t xml:space="preserve">El </w:t>
            </w:r>
            <w:r w:rsidR="00CA406A" w:rsidRPr="00702FF7">
              <w:rPr>
                <w:rFonts w:eastAsia="Calibri" w:cstheme="minorBidi"/>
                <w:color w:val="000000" w:themeColor="text1"/>
                <w:lang w:val="es-ES_tradnl"/>
              </w:rPr>
              <w:t>Sr. </w:t>
            </w:r>
            <w:r w:rsidRPr="00702FF7">
              <w:rPr>
                <w:rFonts w:eastAsia="Calibri" w:cstheme="minorBidi"/>
                <w:color w:val="000000" w:themeColor="text1"/>
                <w:lang w:val="es-ES_tradnl"/>
              </w:rPr>
              <w:t xml:space="preserve">Mario Maniewicz, Director de </w:t>
            </w:r>
            <w:r w:rsidRPr="00702FF7">
              <w:rPr>
                <w:rFonts w:eastAsia="Calibri"/>
                <w:lang w:val="es-ES_tradnl"/>
              </w:rPr>
              <w:t>la</w:t>
            </w:r>
            <w:r w:rsidRPr="00702FF7">
              <w:rPr>
                <w:rFonts w:eastAsia="Calibri" w:cstheme="minorBidi"/>
                <w:color w:val="000000" w:themeColor="text1"/>
                <w:lang w:val="es-ES_tradnl"/>
              </w:rPr>
              <w:t xml:space="preserve"> BR, pronunció un discurso de apertura </w:t>
            </w:r>
            <w:r w:rsidRPr="00702FF7">
              <w:rPr>
                <w:rFonts w:eastAsia="Calibri"/>
                <w:lang w:val="es-ES_tradnl"/>
              </w:rPr>
              <w:t>en el que destacó el mandato del Grupo Asesor de Radiocomunicaciones (GAR), el cual consistía en examinar las prioridades, los programas, las operaciones y las estrategias, evaluar su ejecución y asesorar al Director, abordando al mismo tiempo los retos operativos y los preparativos para la CMR-27.</w:t>
            </w:r>
          </w:p>
          <w:p w14:paraId="7D2F2D25" w14:textId="09025A2D" w:rsidR="00AE3B0C" w:rsidRPr="00702FF7" w:rsidRDefault="00AE3B0C" w:rsidP="000C15DE">
            <w:pPr>
              <w:pStyle w:val="Tabletext"/>
              <w:rPr>
                <w:rFonts w:eastAsia="Calibri"/>
                <w:lang w:val="es-ES_tradnl"/>
              </w:rPr>
            </w:pPr>
            <w:r w:rsidRPr="00702FF7">
              <w:rPr>
                <w:rFonts w:eastAsia="Calibri" w:cstheme="minorBidi"/>
                <w:color w:val="000000" w:themeColor="text1"/>
                <w:lang w:val="es-ES_tradnl"/>
              </w:rPr>
              <w:t xml:space="preserve">El </w:t>
            </w:r>
            <w:r w:rsidR="00CA406A" w:rsidRPr="00702FF7">
              <w:rPr>
                <w:rFonts w:eastAsia="Calibri" w:cstheme="minorBidi"/>
                <w:color w:val="000000" w:themeColor="text1"/>
                <w:lang w:val="es-ES_tradnl"/>
              </w:rPr>
              <w:t>Sr. </w:t>
            </w:r>
            <w:r w:rsidRPr="00702FF7">
              <w:rPr>
                <w:rFonts w:eastAsia="Calibri" w:cstheme="minorBidi"/>
                <w:color w:val="000000" w:themeColor="text1"/>
                <w:lang w:val="es-ES_tradnl"/>
              </w:rPr>
              <w:t>Mohammed Alj</w:t>
            </w:r>
            <w:r w:rsidR="000A6987">
              <w:rPr>
                <w:rFonts w:eastAsia="Calibri" w:cstheme="minorBidi"/>
                <w:color w:val="000000" w:themeColor="text1"/>
                <w:lang w:val="es-ES_tradnl"/>
              </w:rPr>
              <w:t>a</w:t>
            </w:r>
            <w:r w:rsidRPr="00702FF7">
              <w:rPr>
                <w:rFonts w:eastAsia="Calibri" w:cstheme="minorBidi"/>
                <w:color w:val="000000" w:themeColor="text1"/>
                <w:lang w:val="es-ES_tradnl"/>
              </w:rPr>
              <w:t xml:space="preserve">noobi (Arabia Saudita), Presidente del GAR, pronunció un discurso de apertura en el que destacó </w:t>
            </w:r>
            <w:r w:rsidRPr="00702FF7">
              <w:rPr>
                <w:rFonts w:eastAsia="Calibri"/>
                <w:lang w:val="es-ES_tradnl"/>
              </w:rPr>
              <w:t>la labor realizada por el GAR y la BR con miras a reforzar la gestión del espectro, prestar apoyo a nuevas tecnologías, preparar la</w:t>
            </w:r>
            <w:r w:rsidR="005F4522" w:rsidRPr="00702FF7">
              <w:rPr>
                <w:rFonts w:eastAsia="Calibri"/>
                <w:lang w:val="es-ES_tradnl"/>
              </w:rPr>
              <w:t> </w:t>
            </w:r>
            <w:r w:rsidRPr="00702FF7">
              <w:rPr>
                <w:rFonts w:eastAsia="Calibri"/>
                <w:lang w:val="es-ES_tradnl"/>
              </w:rPr>
              <w:t>CMR</w:t>
            </w:r>
            <w:r w:rsidR="000C15DE" w:rsidRPr="00702FF7">
              <w:rPr>
                <w:rFonts w:eastAsia="Calibri"/>
                <w:lang w:val="es-ES_tradnl"/>
              </w:rPr>
              <w:noBreakHyphen/>
            </w:r>
            <w:r w:rsidRPr="00702FF7">
              <w:rPr>
                <w:rFonts w:eastAsia="Calibri"/>
                <w:lang w:val="es-ES_tradnl"/>
              </w:rPr>
              <w:t>27 y las reuniones conexas, mejorar la coordinación entre Comisiones de Estudio, afrontar los desafíos relacionados con los recursos orbitales y espectrales, y promover la sostenibilidad espacial. El Presidente también</w:t>
            </w:r>
            <w:r w:rsidR="003D461A" w:rsidRPr="00702FF7">
              <w:rPr>
                <w:rFonts w:eastAsia="Calibri"/>
                <w:lang w:val="es-ES_tradnl"/>
              </w:rPr>
              <w:t xml:space="preserve"> </w:t>
            </w:r>
            <w:r w:rsidRPr="00702FF7">
              <w:rPr>
                <w:rFonts w:eastAsia="Calibri"/>
                <w:lang w:val="es-ES_tradnl"/>
              </w:rPr>
              <w:t>valoró y alabó la capacidad de liderazgo que había demostrado el Director de la BR durante su mandato.</w:t>
            </w:r>
          </w:p>
        </w:tc>
      </w:tr>
      <w:tr w:rsidR="00AE3B0C" w:rsidRPr="00533FD9" w14:paraId="093FA4BD" w14:textId="77777777" w:rsidTr="000C15DE">
        <w:trPr>
          <w:cantSplit/>
          <w:trHeight w:val="82"/>
        </w:trPr>
        <w:tc>
          <w:tcPr>
            <w:tcW w:w="1410" w:type="dxa"/>
          </w:tcPr>
          <w:p w14:paraId="639C161E" w14:textId="77777777" w:rsidR="00AE3B0C" w:rsidRPr="00702FF7" w:rsidDel="002A034D" w:rsidRDefault="00AE3B0C" w:rsidP="000C15DE">
            <w:pPr>
              <w:pStyle w:val="Tabletext"/>
              <w:rPr>
                <w:b/>
                <w:bCs/>
                <w:lang w:val="es-ES_tradnl"/>
              </w:rPr>
            </w:pPr>
            <w:r w:rsidRPr="00702FF7">
              <w:rPr>
                <w:b/>
                <w:bCs/>
                <w:lang w:val="es-ES_tradnl"/>
              </w:rPr>
              <w:t>2</w:t>
            </w:r>
          </w:p>
        </w:tc>
        <w:tc>
          <w:tcPr>
            <w:tcW w:w="2268" w:type="dxa"/>
          </w:tcPr>
          <w:p w14:paraId="76095F34" w14:textId="77777777" w:rsidR="00AE3B0C" w:rsidRPr="00702FF7" w:rsidRDefault="00AE3B0C" w:rsidP="000C15DE">
            <w:pPr>
              <w:pStyle w:val="Tabletext"/>
              <w:rPr>
                <w:rFonts w:eastAsia="SimSun" w:cstheme="minorHAnsi"/>
                <w:b/>
                <w:bCs/>
                <w:color w:val="000000"/>
                <w:shd w:val="clear" w:color="auto" w:fill="FFFFFF"/>
                <w:lang w:val="es-ES_tradnl"/>
              </w:rPr>
            </w:pPr>
            <w:r w:rsidRPr="00702FF7">
              <w:rPr>
                <w:rFonts w:eastAsia="SimSun" w:cstheme="minorHAnsi"/>
                <w:b/>
                <w:bCs/>
                <w:color w:val="000000"/>
                <w:shd w:val="clear" w:color="auto" w:fill="FFFFFF"/>
                <w:lang w:val="es-ES_tradnl"/>
              </w:rPr>
              <w:t>Aprobación del orden del día</w:t>
            </w:r>
          </w:p>
          <w:p w14:paraId="609633B7" w14:textId="519BFA53" w:rsidR="00AE3B0C" w:rsidRPr="00702FF7" w:rsidRDefault="00AE3B0C" w:rsidP="000C15DE">
            <w:pPr>
              <w:pStyle w:val="Tabletext"/>
              <w:rPr>
                <w:rFonts w:eastAsia="SimSun" w:cstheme="minorHAnsi"/>
                <w:color w:val="000000"/>
                <w:shd w:val="clear" w:color="auto" w:fill="FFFFFF"/>
                <w:lang w:val="es-ES_tradnl"/>
              </w:rPr>
            </w:pPr>
            <w:hyperlink r:id="rId13" w:history="1">
              <w:r w:rsidRPr="00533FD9">
                <w:rPr>
                  <w:rStyle w:val="Hyperlink"/>
                  <w:rFonts w:asciiTheme="minorHAnsi" w:hAnsiTheme="minorHAnsi" w:cstheme="minorHAnsi"/>
                  <w:lang w:val="es-ES_tradnl"/>
                </w:rPr>
                <w:t>ADM/4</w:t>
              </w:r>
              <w:r w:rsidR="00533FD9" w:rsidRPr="00533FD9">
                <w:rPr>
                  <w:rStyle w:val="Hyperlink"/>
                  <w:lang w:val="es-ES_tradnl"/>
                </w:rPr>
                <w:t>(</w:t>
              </w:r>
              <w:r w:rsidRPr="00533FD9">
                <w:rPr>
                  <w:rStyle w:val="Hyperlink"/>
                  <w:lang w:val="es-ES_tradnl"/>
                </w:rPr>
                <w:t>Rev.1</w:t>
              </w:r>
              <w:r w:rsidR="00533FD9" w:rsidRPr="00533FD9">
                <w:rPr>
                  <w:rStyle w:val="Hyperlink"/>
                  <w:lang w:val="es-ES_tradnl"/>
                </w:rPr>
                <w:t>)</w:t>
              </w:r>
            </w:hyperlink>
          </w:p>
        </w:tc>
        <w:tc>
          <w:tcPr>
            <w:tcW w:w="11623" w:type="dxa"/>
          </w:tcPr>
          <w:p w14:paraId="7D4AEDFC" w14:textId="77777777" w:rsidR="00AE3B0C" w:rsidRPr="00702FF7" w:rsidRDefault="00AE3B0C" w:rsidP="000C15DE">
            <w:pPr>
              <w:pStyle w:val="Tabletext"/>
              <w:rPr>
                <w:rFonts w:cstheme="minorBidi"/>
                <w:lang w:val="es-ES_tradnl"/>
              </w:rPr>
            </w:pPr>
            <w:r w:rsidRPr="00702FF7">
              <w:rPr>
                <w:rFonts w:cstheme="minorBidi"/>
                <w:lang w:val="es-ES_tradnl"/>
              </w:rPr>
              <w:t xml:space="preserve">El GAR tomó nota de que el Documento RAG/80 se había presentado fuera de plazo y, por tanto, acordó publicarlo en el sitio SharePoint del GC-RPC del GAR. El GAR tomó nota además de que, en el Documento RAG/78, se abordaban cuestiones reglamentarias que excedían su mandato y, en consecuencia, lo incluyó en el orden del día únicamente a título informativo. </w:t>
            </w:r>
          </w:p>
          <w:p w14:paraId="3E98DC13" w14:textId="77777777" w:rsidR="00AE3B0C" w:rsidRPr="00702FF7" w:rsidRDefault="00AE3B0C" w:rsidP="000C15DE">
            <w:pPr>
              <w:pStyle w:val="Tabletext"/>
              <w:rPr>
                <w:rFonts w:cstheme="minorBidi"/>
                <w:lang w:val="es-ES_tradnl"/>
              </w:rPr>
            </w:pPr>
            <w:r w:rsidRPr="00702FF7">
              <w:rPr>
                <w:rFonts w:cstheme="minorBidi"/>
                <w:lang w:val="es-ES_tradnl"/>
              </w:rPr>
              <w:t xml:space="preserve">Se aprobó el orden del día que figura en el Documento RAG/ADM/4-Rev.1, con los cambios mencionados. </w:t>
            </w:r>
          </w:p>
        </w:tc>
      </w:tr>
      <w:tr w:rsidR="00AE3B0C" w:rsidRPr="00B33A8D" w14:paraId="26ABD42A" w14:textId="77777777" w:rsidTr="000C15DE">
        <w:trPr>
          <w:cantSplit/>
          <w:trHeight w:val="948"/>
        </w:trPr>
        <w:tc>
          <w:tcPr>
            <w:tcW w:w="1410" w:type="dxa"/>
          </w:tcPr>
          <w:p w14:paraId="699FA659" w14:textId="77777777" w:rsidR="00AE3B0C" w:rsidRPr="00702FF7" w:rsidRDefault="00AE3B0C" w:rsidP="000C15DE">
            <w:pPr>
              <w:pStyle w:val="Tabletext"/>
              <w:rPr>
                <w:b/>
                <w:bCs/>
                <w:lang w:val="es-ES_tradnl"/>
              </w:rPr>
            </w:pPr>
            <w:r w:rsidRPr="00702FF7">
              <w:rPr>
                <w:b/>
                <w:bCs/>
                <w:lang w:val="es-ES_tradnl"/>
              </w:rPr>
              <w:lastRenderedPageBreak/>
              <w:t>3</w:t>
            </w:r>
          </w:p>
        </w:tc>
        <w:tc>
          <w:tcPr>
            <w:tcW w:w="2268" w:type="dxa"/>
          </w:tcPr>
          <w:p w14:paraId="2CBD8D4F" w14:textId="34A1BDD7" w:rsidR="00AE3B0C" w:rsidRPr="00702FF7" w:rsidRDefault="00AE3B0C" w:rsidP="000C15DE">
            <w:pPr>
              <w:pStyle w:val="Tabletext"/>
              <w:rPr>
                <w:b/>
                <w:bCs/>
                <w:color w:val="000000"/>
                <w:shd w:val="clear" w:color="auto" w:fill="FFFFFF"/>
                <w:lang w:val="es-ES_tradnl"/>
              </w:rPr>
            </w:pPr>
            <w:r w:rsidRPr="00702FF7">
              <w:rPr>
                <w:b/>
                <w:bCs/>
                <w:color w:val="000000"/>
                <w:shd w:val="clear" w:color="auto" w:fill="FFFFFF"/>
                <w:lang w:val="es-ES_tradnl"/>
              </w:rPr>
              <w:t>Informe a la 33.ª</w:t>
            </w:r>
            <w:r w:rsidR="00CA406A" w:rsidRPr="00702FF7">
              <w:rPr>
                <w:b/>
                <w:bCs/>
                <w:color w:val="000000"/>
                <w:shd w:val="clear" w:color="auto" w:fill="FFFFFF"/>
                <w:lang w:val="es-ES_tradnl"/>
              </w:rPr>
              <w:t> </w:t>
            </w:r>
            <w:r w:rsidRPr="00702FF7">
              <w:rPr>
                <w:b/>
                <w:bCs/>
                <w:color w:val="000000"/>
                <w:shd w:val="clear" w:color="auto" w:fill="FFFFFF"/>
                <w:lang w:val="es-ES_tradnl"/>
              </w:rPr>
              <w:t>reunión del GAR</w:t>
            </w:r>
          </w:p>
          <w:p w14:paraId="7EE2D587" w14:textId="799A2B58" w:rsidR="00AE3B0C" w:rsidRPr="00702FF7" w:rsidRDefault="00AE3B0C" w:rsidP="000C15DE">
            <w:pPr>
              <w:pStyle w:val="Tabletext"/>
              <w:rPr>
                <w:rFonts w:eastAsia="SimSun" w:cstheme="minorHAnsi"/>
                <w:color w:val="000000"/>
                <w:shd w:val="clear" w:color="auto" w:fill="FFFFFF"/>
                <w:lang w:val="es-ES_tradnl"/>
              </w:rPr>
            </w:pPr>
            <w:hyperlink r:id="rId14" w:history="1">
              <w:r w:rsidRPr="00702FF7">
                <w:rPr>
                  <w:rStyle w:val="Hyperlink"/>
                  <w:rFonts w:asciiTheme="minorHAnsi" w:hAnsiTheme="minorHAnsi" w:cstheme="minorHAnsi"/>
                  <w:lang w:val="es-ES_tradnl"/>
                </w:rPr>
                <w:t>58</w:t>
              </w:r>
            </w:hyperlink>
          </w:p>
        </w:tc>
        <w:tc>
          <w:tcPr>
            <w:tcW w:w="11623" w:type="dxa"/>
          </w:tcPr>
          <w:p w14:paraId="5F26A755" w14:textId="77777777" w:rsidR="00AE3B0C" w:rsidRPr="00702FF7" w:rsidRDefault="00AE3B0C" w:rsidP="000C15DE">
            <w:pPr>
              <w:pStyle w:val="Tabletext"/>
              <w:rPr>
                <w:rFonts w:cstheme="minorBidi"/>
                <w:lang w:val="es-ES_tradnl"/>
              </w:rPr>
            </w:pPr>
            <w:r w:rsidRPr="00702FF7">
              <w:rPr>
                <w:lang w:val="es-ES_tradnl"/>
              </w:rPr>
              <w:t>El Director presentó brevemente el informe contenido en el Documento RAG/58, que se analizó posteriormente sección por sección.</w:t>
            </w:r>
          </w:p>
          <w:p w14:paraId="68EE5B7E" w14:textId="77777777" w:rsidR="00AE3B0C" w:rsidRPr="00702FF7" w:rsidRDefault="00AE3B0C" w:rsidP="000C15DE">
            <w:pPr>
              <w:pStyle w:val="Tabletext"/>
              <w:rPr>
                <w:rFonts w:cstheme="minorBidi"/>
                <w:lang w:val="es-ES_tradnl"/>
              </w:rPr>
            </w:pPr>
            <w:r w:rsidRPr="00702FF7">
              <w:rPr>
                <w:rFonts w:cstheme="minorBidi"/>
                <w:lang w:val="es-ES_tradnl"/>
              </w:rPr>
              <w:t>El Director destacó la necesidad de que la BR dispusiera de recursos suficientes para cumplir su mandato.</w:t>
            </w:r>
          </w:p>
          <w:p w14:paraId="1B38D508" w14:textId="76CD692E" w:rsidR="00AE3B0C" w:rsidRPr="00702FF7" w:rsidRDefault="00AE3B0C" w:rsidP="000C15DE">
            <w:pPr>
              <w:pStyle w:val="Tabletext"/>
              <w:rPr>
                <w:rFonts w:cstheme="minorBidi"/>
                <w:lang w:val="es-ES_tradnl"/>
              </w:rPr>
            </w:pPr>
            <w:r w:rsidRPr="00702FF7">
              <w:rPr>
                <w:rFonts w:cstheme="minorBidi"/>
                <w:lang w:val="es-ES_tradnl"/>
              </w:rPr>
              <w:t>El GAR reconoció las dificultades a las que se enfrentaba la Oficina en relación con los retrasos en la tramitación de las notificaciones esp</w:t>
            </w:r>
            <w:r w:rsidR="008D3347">
              <w:rPr>
                <w:rFonts w:cstheme="minorBidi"/>
                <w:lang w:val="es-ES_tradnl"/>
              </w:rPr>
              <w:t>a</w:t>
            </w:r>
            <w:r w:rsidRPr="00702FF7">
              <w:rPr>
                <w:rFonts w:cstheme="minorBidi"/>
                <w:lang w:val="es-ES_tradnl"/>
              </w:rPr>
              <w:t xml:space="preserve">ciales, pues los plazos actuales triplicaban lo previsto en el Reglamento de Radiocomunicaciones debido a la falta de expertos y a la necesidad de modernizar el </w:t>
            </w:r>
            <w:r w:rsidRPr="006D63F0">
              <w:rPr>
                <w:rFonts w:cstheme="minorBidi"/>
                <w:i/>
                <w:iCs/>
                <w:lang w:val="es-ES_tradnl"/>
              </w:rPr>
              <w:t>software</w:t>
            </w:r>
            <w:r w:rsidRPr="00702FF7">
              <w:rPr>
                <w:rFonts w:cstheme="minorBidi"/>
                <w:lang w:val="es-ES_tradnl"/>
              </w:rPr>
              <w:t xml:space="preserve">. </w:t>
            </w:r>
          </w:p>
          <w:p w14:paraId="6E5148BA" w14:textId="77777777" w:rsidR="00AE3B0C" w:rsidRPr="00702FF7" w:rsidRDefault="00AE3B0C" w:rsidP="000C15DE">
            <w:pPr>
              <w:pStyle w:val="Tabletext"/>
              <w:rPr>
                <w:lang w:val="es-ES_tradnl"/>
              </w:rPr>
            </w:pPr>
            <w:r w:rsidRPr="00702FF7">
              <w:rPr>
                <w:lang w:val="es-ES_tradnl"/>
              </w:rPr>
              <w:t>El GAR acordó presentar una nota de su Presidente a la reunión de 2026 del Consejo, a fin de solicitar a este último que adoptase las medidas necesarias para resolver la cuestión (véase el Anexo 1 al presente documento).</w:t>
            </w:r>
          </w:p>
          <w:p w14:paraId="626A64D9" w14:textId="31EDB7AA" w:rsidR="00AE3B0C" w:rsidRPr="00702FF7" w:rsidRDefault="00AE3B0C" w:rsidP="000C15DE">
            <w:pPr>
              <w:pStyle w:val="Tabletext"/>
              <w:rPr>
                <w:rFonts w:cstheme="minorBidi"/>
                <w:lang w:val="es-ES_tradnl"/>
              </w:rPr>
            </w:pPr>
            <w:r w:rsidRPr="00702FF7">
              <w:rPr>
                <w:rFonts w:cstheme="minorBidi"/>
                <w:lang w:val="es-ES_tradnl"/>
              </w:rPr>
              <w:t>El GAR alentó a las Administraciones a participar y a presentar contribuciones por escrito a ese respecto directamente al Consejo.</w:t>
            </w:r>
          </w:p>
        </w:tc>
      </w:tr>
      <w:tr w:rsidR="00AE3B0C" w:rsidRPr="00702FF7" w14:paraId="25BC6F10" w14:textId="77777777" w:rsidTr="000C15DE">
        <w:trPr>
          <w:cantSplit/>
          <w:trHeight w:val="540"/>
        </w:trPr>
        <w:tc>
          <w:tcPr>
            <w:tcW w:w="1410" w:type="dxa"/>
          </w:tcPr>
          <w:p w14:paraId="28F72859" w14:textId="77777777" w:rsidR="00AE3B0C" w:rsidRPr="00702FF7" w:rsidRDefault="00AE3B0C" w:rsidP="000C15DE">
            <w:pPr>
              <w:pStyle w:val="Tabletext"/>
              <w:rPr>
                <w:b/>
                <w:bCs/>
                <w:lang w:val="es-ES_tradnl"/>
              </w:rPr>
            </w:pPr>
            <w:r w:rsidRPr="00702FF7">
              <w:rPr>
                <w:b/>
                <w:bCs/>
                <w:lang w:val="es-ES_tradnl"/>
              </w:rPr>
              <w:t>4</w:t>
            </w:r>
          </w:p>
        </w:tc>
        <w:tc>
          <w:tcPr>
            <w:tcW w:w="2268" w:type="dxa"/>
          </w:tcPr>
          <w:p w14:paraId="2CD3B70C" w14:textId="77777777" w:rsidR="00AE3B0C" w:rsidRPr="00702FF7" w:rsidRDefault="00AE3B0C" w:rsidP="000C15DE">
            <w:pPr>
              <w:pStyle w:val="Tabletext"/>
              <w:rPr>
                <w:b/>
                <w:bCs/>
                <w:color w:val="000000" w:themeColor="text1"/>
                <w:lang w:val="es-ES_tradnl"/>
              </w:rPr>
            </w:pPr>
            <w:r w:rsidRPr="00702FF7">
              <w:rPr>
                <w:rFonts w:eastAsia="SimSun" w:cstheme="minorHAnsi"/>
                <w:b/>
                <w:bCs/>
                <w:color w:val="000000" w:themeColor="text1"/>
                <w:lang w:val="es-ES_tradnl"/>
              </w:rPr>
              <w:t>Asuntos relativos al Consejo</w:t>
            </w:r>
          </w:p>
        </w:tc>
        <w:tc>
          <w:tcPr>
            <w:tcW w:w="11623" w:type="dxa"/>
          </w:tcPr>
          <w:p w14:paraId="51222398" w14:textId="77777777" w:rsidR="00AE3B0C" w:rsidRPr="00702FF7" w:rsidRDefault="00AE3B0C" w:rsidP="000C15DE">
            <w:pPr>
              <w:pStyle w:val="Tabletext"/>
              <w:rPr>
                <w:lang w:val="es-ES_tradnl"/>
              </w:rPr>
            </w:pPr>
          </w:p>
        </w:tc>
      </w:tr>
      <w:tr w:rsidR="00AE3B0C" w:rsidRPr="00B33A8D" w14:paraId="40020232" w14:textId="77777777" w:rsidTr="000C15DE">
        <w:trPr>
          <w:cantSplit/>
        </w:trPr>
        <w:tc>
          <w:tcPr>
            <w:tcW w:w="1410" w:type="dxa"/>
          </w:tcPr>
          <w:p w14:paraId="48FD816B" w14:textId="77777777" w:rsidR="00AE3B0C" w:rsidRPr="00702FF7" w:rsidRDefault="00AE3B0C" w:rsidP="000C15DE">
            <w:pPr>
              <w:pStyle w:val="Tabletext"/>
              <w:rPr>
                <w:lang w:val="es-ES_tradnl"/>
              </w:rPr>
            </w:pPr>
          </w:p>
        </w:tc>
        <w:tc>
          <w:tcPr>
            <w:tcW w:w="2268" w:type="dxa"/>
          </w:tcPr>
          <w:p w14:paraId="1AC8823A" w14:textId="4A5033E2" w:rsidR="00AE3B0C" w:rsidRPr="00702FF7" w:rsidRDefault="00AE3B0C" w:rsidP="000C15DE">
            <w:pPr>
              <w:pStyle w:val="Tabletext"/>
              <w:rPr>
                <w:rFonts w:eastAsia="SimSun" w:cstheme="minorHAnsi"/>
                <w:color w:val="000000" w:themeColor="text1"/>
                <w:lang w:val="es-ES_tradnl"/>
              </w:rPr>
            </w:pPr>
            <w:hyperlink r:id="rId15" w:history="1">
              <w:r w:rsidRPr="00702FF7">
                <w:rPr>
                  <w:rStyle w:val="Hyperlink"/>
                  <w:rFonts w:asciiTheme="minorHAnsi" w:hAnsiTheme="minorHAnsi" w:cstheme="minorHAnsi"/>
                  <w:lang w:val="es-ES_tradnl"/>
                </w:rPr>
                <w:t>58</w:t>
              </w:r>
            </w:hyperlink>
            <w:r w:rsidRPr="00702FF7">
              <w:rPr>
                <w:lang w:val="es-ES_tradnl"/>
              </w:rPr>
              <w:t xml:space="preserve"> </w:t>
            </w:r>
            <w:r w:rsidRPr="00702FF7">
              <w:rPr>
                <w:rFonts w:eastAsia="SimSun" w:cstheme="minorHAnsi"/>
                <w:shd w:val="clear" w:color="auto" w:fill="FFFFFF"/>
                <w:lang w:val="es-ES_tradnl"/>
              </w:rPr>
              <w:t>(§ 2.1)</w:t>
            </w:r>
          </w:p>
        </w:tc>
        <w:tc>
          <w:tcPr>
            <w:tcW w:w="11623" w:type="dxa"/>
          </w:tcPr>
          <w:p w14:paraId="1938BB52" w14:textId="626A920C" w:rsidR="00AE3B0C" w:rsidRPr="00702FF7" w:rsidRDefault="00AE3B0C" w:rsidP="00DB04C8">
            <w:pPr>
              <w:pStyle w:val="Tabletext"/>
              <w:spacing w:after="120"/>
              <w:rPr>
                <w:b/>
                <w:bCs/>
                <w:lang w:val="es-ES_tradnl"/>
              </w:rPr>
            </w:pPr>
            <w:r w:rsidRPr="00702FF7">
              <w:rPr>
                <w:b/>
                <w:bCs/>
                <w:lang w:val="es-ES_tradnl"/>
              </w:rPr>
              <w:t>Recuperación de costes aplicable a las notificaciones de redes de satélites</w:t>
            </w:r>
            <w:r w:rsidR="00291AA5" w:rsidRPr="00702FF7">
              <w:rPr>
                <w:b/>
                <w:bCs/>
                <w:lang w:val="es-ES_tradnl"/>
              </w:rPr>
              <w:t>:</w:t>
            </w:r>
          </w:p>
          <w:p w14:paraId="307700DF" w14:textId="77777777" w:rsidR="00AE3B0C" w:rsidRPr="00702FF7" w:rsidRDefault="00AE3B0C" w:rsidP="000C15DE">
            <w:pPr>
              <w:pStyle w:val="Tabletext"/>
              <w:rPr>
                <w:lang w:val="es-ES_tradnl"/>
              </w:rPr>
            </w:pPr>
            <w:r w:rsidRPr="00702FF7">
              <w:rPr>
                <w:lang w:val="es-ES_tradnl"/>
              </w:rPr>
              <w:t>El GAR examinó la sección 2.1 del informe del Director, relativa a la recuperación de costes aplicable a las notificaciones de redes de satélites, y tomó nota de que el Consejo, en su reunión de 2025, había aprobado todas las propuestas formuladas por el Grupo de Expertos sobre el Acuerdo 482 a efectos de la revisión de dicho Acuerdo. Habida cuenta del gran número de modificaciones necesarias, el Consejo decidió que el Acuerdo revisado entrara en vigor el 1 de enero de 2026.</w:t>
            </w:r>
          </w:p>
          <w:p w14:paraId="60693ACF" w14:textId="77777777" w:rsidR="00AE3B0C" w:rsidRPr="00702FF7" w:rsidRDefault="00AE3B0C" w:rsidP="000C15DE">
            <w:pPr>
              <w:pStyle w:val="Tabletext"/>
              <w:rPr>
                <w:rFonts w:cstheme="minorBidi"/>
                <w:lang w:val="es-ES_tradnl"/>
              </w:rPr>
            </w:pPr>
            <w:r w:rsidRPr="00702FF7">
              <w:rPr>
                <w:lang w:val="es-ES_tradnl"/>
              </w:rPr>
              <w:t xml:space="preserve">El GAR debatió la cuestión de los costes directos e indirectos que conllevaba la tramitación de notificaciones y se planteó si estos debían sufragarse con cargo al presupuesto ordinario o a la recuperación de costes. El GAR concluyó que los debates relativos a los costes indirectos excedían su mandato y, por tanto, debían abordarse a través de contribuciones al Consejo y a la Conferencia de Plenipotenciarios (PP). </w:t>
            </w:r>
          </w:p>
        </w:tc>
      </w:tr>
      <w:tr w:rsidR="00AE3B0C" w:rsidRPr="00B33A8D" w14:paraId="7780B89D" w14:textId="77777777" w:rsidTr="000C15DE">
        <w:trPr>
          <w:cantSplit/>
        </w:trPr>
        <w:tc>
          <w:tcPr>
            <w:tcW w:w="1410" w:type="dxa"/>
          </w:tcPr>
          <w:p w14:paraId="281B20B1" w14:textId="77777777" w:rsidR="00AE3B0C" w:rsidRPr="00702FF7" w:rsidRDefault="00AE3B0C" w:rsidP="000C15DE">
            <w:pPr>
              <w:pStyle w:val="Tabletext"/>
              <w:rPr>
                <w:lang w:val="es-ES_tradnl"/>
              </w:rPr>
            </w:pPr>
          </w:p>
        </w:tc>
        <w:tc>
          <w:tcPr>
            <w:tcW w:w="2268" w:type="dxa"/>
          </w:tcPr>
          <w:p w14:paraId="31087F3B" w14:textId="20F0C7E6" w:rsidR="00AE3B0C" w:rsidRPr="00702FF7" w:rsidRDefault="00AE3B0C" w:rsidP="000C15DE">
            <w:pPr>
              <w:pStyle w:val="Tabletext"/>
              <w:rPr>
                <w:shd w:val="clear" w:color="auto" w:fill="FFFFFF"/>
                <w:lang w:val="es-ES_tradnl"/>
              </w:rPr>
            </w:pPr>
            <w:hyperlink r:id="rId16" w:history="1">
              <w:r w:rsidRPr="00702FF7">
                <w:rPr>
                  <w:rStyle w:val="Hyperlink"/>
                  <w:rFonts w:asciiTheme="minorHAnsi" w:hAnsiTheme="minorHAnsi" w:cstheme="minorHAnsi"/>
                  <w:lang w:val="es-ES_tradnl"/>
                </w:rPr>
                <w:t>58</w:t>
              </w:r>
            </w:hyperlink>
            <w:r w:rsidRPr="00702FF7">
              <w:rPr>
                <w:lang w:val="es-ES_tradnl"/>
              </w:rPr>
              <w:t xml:space="preserve"> </w:t>
            </w:r>
            <w:r w:rsidRPr="00702FF7">
              <w:rPr>
                <w:rFonts w:eastAsia="SimSun" w:cstheme="minorHAnsi"/>
                <w:shd w:val="clear" w:color="auto" w:fill="FFFFFF"/>
                <w:lang w:val="es-ES_tradnl"/>
              </w:rPr>
              <w:t>(§2.2)</w:t>
            </w:r>
          </w:p>
        </w:tc>
        <w:tc>
          <w:tcPr>
            <w:tcW w:w="11623" w:type="dxa"/>
          </w:tcPr>
          <w:p w14:paraId="2E05C55D" w14:textId="3346ADF7" w:rsidR="00AE3B0C" w:rsidRPr="00702FF7" w:rsidRDefault="00AE3B0C" w:rsidP="00291AA5">
            <w:pPr>
              <w:pStyle w:val="Tabletext"/>
              <w:spacing w:after="120"/>
              <w:rPr>
                <w:b/>
                <w:bCs/>
                <w:lang w:val="es-ES_tradnl"/>
              </w:rPr>
            </w:pPr>
            <w:r w:rsidRPr="00702FF7">
              <w:rPr>
                <w:b/>
                <w:bCs/>
                <w:lang w:val="es-ES_tradnl"/>
              </w:rPr>
              <w:t>Presupuesto para 2024-2025 y presupuesto para 2026-2027</w:t>
            </w:r>
            <w:r w:rsidR="00291AA5" w:rsidRPr="00702FF7">
              <w:rPr>
                <w:b/>
                <w:bCs/>
                <w:lang w:val="es-ES_tradnl"/>
              </w:rPr>
              <w:t>:</w:t>
            </w:r>
          </w:p>
          <w:p w14:paraId="2E714CD7" w14:textId="77777777" w:rsidR="00AE3B0C" w:rsidRPr="00702FF7" w:rsidRDefault="00AE3B0C" w:rsidP="000C15DE">
            <w:pPr>
              <w:pStyle w:val="Tabletext"/>
              <w:rPr>
                <w:lang w:val="es-ES_tradnl"/>
              </w:rPr>
            </w:pPr>
            <w:r w:rsidRPr="00702FF7">
              <w:rPr>
                <w:lang w:val="es-ES_tradnl"/>
              </w:rPr>
              <w:t>El GAR examinó la sección 2.2 del informe del Director, relativa a los presupuestos para 2024-2025 y 2026-2027. El Grupo tomó nota de que el examen anual de los ingresos y gastos de la ejecución del presupuesto de 2026, incluida la reducción global del presupuesto para 2026-2027, se presentaría en la reunión de 2026 del Consejo por conducto del Documento C26/9.</w:t>
            </w:r>
          </w:p>
          <w:p w14:paraId="4B9D9598" w14:textId="77777777" w:rsidR="00AE3B0C" w:rsidRPr="00702FF7" w:rsidRDefault="00AE3B0C" w:rsidP="000C15DE">
            <w:pPr>
              <w:pStyle w:val="Tabletext"/>
              <w:rPr>
                <w:lang w:val="es-ES_tradnl"/>
              </w:rPr>
            </w:pPr>
            <w:r w:rsidRPr="00702FF7">
              <w:rPr>
                <w:lang w:val="es-ES_tradnl"/>
              </w:rPr>
              <w:t xml:space="preserve">El GAR hizo hincapié en la necesidad de respetar la Decisión 5 (Rev. Bucarest, 2022) sobre los ingresos y gastos de la Unión para el periodo 2024-2027, ya que el presupuesto debía atribuirse de tal manera que las actividades relacionadas con el uso del espectro de radiofrecuencias gozasen de la financiación necesaria y se evitasen recortes de recursos que afectasen a las </w:t>
            </w:r>
            <w:r w:rsidRPr="00702FF7">
              <w:rPr>
                <w:lang w:val="es-ES_tradnl"/>
              </w:rPr>
              <w:lastRenderedPageBreak/>
              <w:t xml:space="preserve">notificaciones de la UIT directamente relacionadas con la aplicación del Reglamento de Radiocomunicaciones y los estudios conexos. </w:t>
            </w:r>
          </w:p>
        </w:tc>
      </w:tr>
      <w:tr w:rsidR="00AE3B0C" w:rsidRPr="00B33A8D" w14:paraId="043F5D56" w14:textId="77777777" w:rsidTr="000C15DE">
        <w:trPr>
          <w:cantSplit/>
        </w:trPr>
        <w:tc>
          <w:tcPr>
            <w:tcW w:w="1410" w:type="dxa"/>
          </w:tcPr>
          <w:p w14:paraId="20375B6B" w14:textId="77777777" w:rsidR="00AE3B0C" w:rsidRPr="00702FF7" w:rsidRDefault="00AE3B0C" w:rsidP="000C15DE">
            <w:pPr>
              <w:pStyle w:val="Tabletext"/>
              <w:rPr>
                <w:lang w:val="es-ES_tradnl"/>
              </w:rPr>
            </w:pPr>
          </w:p>
        </w:tc>
        <w:tc>
          <w:tcPr>
            <w:tcW w:w="2268" w:type="dxa"/>
          </w:tcPr>
          <w:p w14:paraId="06BADF6E" w14:textId="6D5CA74E" w:rsidR="00AE3B0C" w:rsidRPr="00702FF7" w:rsidRDefault="00AE3B0C" w:rsidP="000C15DE">
            <w:pPr>
              <w:pStyle w:val="Tabletext"/>
              <w:rPr>
                <w:rFonts w:eastAsia="SimSun" w:cstheme="minorHAnsi"/>
                <w:shd w:val="clear" w:color="auto" w:fill="FFFFFF"/>
                <w:lang w:val="es-ES_tradnl"/>
              </w:rPr>
            </w:pPr>
            <w:hyperlink r:id="rId17" w:history="1">
              <w:r w:rsidRPr="00702FF7">
                <w:rPr>
                  <w:rStyle w:val="Hyperlink"/>
                  <w:rFonts w:asciiTheme="minorHAnsi" w:hAnsiTheme="minorHAnsi" w:cstheme="minorHAnsi"/>
                  <w:lang w:val="es-ES_tradnl"/>
                </w:rPr>
                <w:t>58</w:t>
              </w:r>
            </w:hyperlink>
            <w:r w:rsidRPr="00702FF7">
              <w:rPr>
                <w:lang w:val="es-ES_tradnl"/>
              </w:rPr>
              <w:t xml:space="preserve"> (§2.3)</w:t>
            </w:r>
            <w:r w:rsidRPr="00702FF7">
              <w:rPr>
                <w:rFonts w:eastAsia="SimSun" w:cstheme="minorHAnsi"/>
                <w:shd w:val="clear" w:color="auto" w:fill="FFFFFF"/>
                <w:lang w:val="es-ES_tradnl"/>
              </w:rPr>
              <w:t xml:space="preserve"> </w:t>
            </w:r>
          </w:p>
        </w:tc>
        <w:tc>
          <w:tcPr>
            <w:tcW w:w="11623" w:type="dxa"/>
          </w:tcPr>
          <w:p w14:paraId="4A1A4458" w14:textId="65A3D7F4" w:rsidR="00AE3B0C" w:rsidRPr="00702FF7" w:rsidRDefault="00AE3B0C" w:rsidP="00291AA5">
            <w:pPr>
              <w:pStyle w:val="Tabletext"/>
              <w:spacing w:after="120"/>
              <w:rPr>
                <w:b/>
                <w:bCs/>
                <w:lang w:val="es-ES_tradnl"/>
              </w:rPr>
            </w:pPr>
            <w:r w:rsidRPr="00702FF7">
              <w:rPr>
                <w:b/>
                <w:bCs/>
                <w:lang w:val="es-ES_tradnl"/>
              </w:rPr>
              <w:t>Utilización de los seis idiomas oficiales de la Unión en igualdad de condiciones</w:t>
            </w:r>
            <w:r w:rsidR="00291AA5" w:rsidRPr="00702FF7">
              <w:rPr>
                <w:b/>
                <w:bCs/>
                <w:lang w:val="es-ES_tradnl"/>
              </w:rPr>
              <w:t>:</w:t>
            </w:r>
          </w:p>
          <w:p w14:paraId="6CBCC573" w14:textId="4B4039D0" w:rsidR="00AE3B0C" w:rsidRPr="00702FF7" w:rsidRDefault="00AE3B0C" w:rsidP="000C15DE">
            <w:pPr>
              <w:pStyle w:val="Tabletext"/>
              <w:rPr>
                <w:lang w:val="es-ES_tradnl"/>
              </w:rPr>
            </w:pPr>
            <w:r w:rsidRPr="00702FF7">
              <w:rPr>
                <w:lang w:val="es-ES_tradnl"/>
              </w:rPr>
              <w:t xml:space="preserve">El GAR examinó la sección 2.3 del informe del Director, relativa a la utilización de los seis idiomas oficiales de la Unión en igualdad de condiciones, que explicó con más detalle la </w:t>
            </w:r>
            <w:r w:rsidR="00CA406A" w:rsidRPr="00702FF7">
              <w:rPr>
                <w:lang w:val="es-ES_tradnl"/>
              </w:rPr>
              <w:t>Sra. </w:t>
            </w:r>
            <w:r w:rsidRPr="00702FF7">
              <w:rPr>
                <w:lang w:val="es-ES_tradnl"/>
              </w:rPr>
              <w:t>Negar Takesh (Jefa Adjunta del Departamento de Conferencias y Publicaciones).</w:t>
            </w:r>
          </w:p>
          <w:p w14:paraId="20EFB2AF" w14:textId="77777777" w:rsidR="00AE3B0C" w:rsidRPr="00702FF7" w:rsidRDefault="00AE3B0C" w:rsidP="000C15DE">
            <w:pPr>
              <w:pStyle w:val="Tabletext"/>
              <w:rPr>
                <w:lang w:val="es-ES_tradnl"/>
              </w:rPr>
            </w:pPr>
            <w:r w:rsidRPr="00702FF7">
              <w:rPr>
                <w:lang w:val="es-ES_tradnl"/>
              </w:rPr>
              <w:t>El GAR tomó nota de la presentación sobre la utilización de los seis idiomas oficiales de la Unión en igualdad de condiciones, así como de la situación relativa a la traducción de las páginas web del UIT-R.</w:t>
            </w:r>
          </w:p>
          <w:p w14:paraId="26A69840" w14:textId="77777777" w:rsidR="00AE3B0C" w:rsidRPr="00702FF7" w:rsidRDefault="00AE3B0C" w:rsidP="000C15DE">
            <w:pPr>
              <w:pStyle w:val="Tabletext"/>
              <w:rPr>
                <w:lang w:val="es-ES_tradnl"/>
              </w:rPr>
            </w:pPr>
            <w:r w:rsidRPr="00702FF7">
              <w:rPr>
                <w:lang w:val="es-ES_tradnl"/>
              </w:rPr>
              <w:t xml:space="preserve">El GAR señaló que, en ese momento, ciertas páginas web de la UIT estaban disponibles únicamente en inglés, francés y español, puesto que la infraestructura existente era limitada y no admitía los conjuntos de caracteres necesarios para el ruso, el árabe y el chino. Se señaló además que estaba previsto resolver dicha limitación en el nuevo sitio web que se estaba desarrollando para la PP-26. </w:t>
            </w:r>
          </w:p>
          <w:p w14:paraId="602B9D53" w14:textId="41B3C70D" w:rsidR="00AE3B0C" w:rsidRPr="00702FF7" w:rsidRDefault="00AE3B0C" w:rsidP="000C15DE">
            <w:pPr>
              <w:pStyle w:val="Tabletext"/>
              <w:rPr>
                <w:lang w:val="es-ES_tradnl"/>
              </w:rPr>
            </w:pPr>
            <w:r w:rsidRPr="00702FF7">
              <w:rPr>
                <w:webHidden/>
                <w:lang w:val="es-ES_tradnl"/>
              </w:rPr>
              <w:t xml:space="preserve">El GAR tomó nota de </w:t>
            </w:r>
            <w:r w:rsidRPr="00702FF7">
              <w:rPr>
                <w:lang w:val="es-ES_tradnl"/>
              </w:rPr>
              <w:t xml:space="preserve">que, en ese momento, </w:t>
            </w:r>
            <w:r w:rsidRPr="00702FF7">
              <w:rPr>
                <w:webHidden/>
                <w:lang w:val="es-ES_tradnl"/>
              </w:rPr>
              <w:t>se estaba poniendo a prueba la traducción automática de informes en el UIT-T. El</w:t>
            </w:r>
            <w:r w:rsidR="000C15DE" w:rsidRPr="00702FF7">
              <w:rPr>
                <w:webHidden/>
                <w:lang w:val="es-ES_tradnl"/>
              </w:rPr>
              <w:t> </w:t>
            </w:r>
            <w:r w:rsidRPr="00702FF7">
              <w:rPr>
                <w:webHidden/>
                <w:lang w:val="es-ES_tradnl"/>
              </w:rPr>
              <w:t xml:space="preserve">GAR hizo hincapié en la importancia de seguir utilizando </w:t>
            </w:r>
            <w:r w:rsidRPr="00702FF7">
              <w:rPr>
                <w:lang w:val="es-ES_tradnl"/>
              </w:rPr>
              <w:t>los seis idiomas oficiales de la Unión en igualdad de condiciones</w:t>
            </w:r>
            <w:r w:rsidRPr="00702FF7">
              <w:rPr>
                <w:webHidden/>
                <w:lang w:val="es-ES_tradnl"/>
              </w:rPr>
              <w:t xml:space="preserve"> y en que debía demostrarse un nivel de precisión suficiente antes de poder traducir automáticamente textos</w:t>
            </w:r>
            <w:r w:rsidR="003D461A" w:rsidRPr="00702FF7">
              <w:rPr>
                <w:webHidden/>
                <w:lang w:val="es-ES_tradnl"/>
              </w:rPr>
              <w:t xml:space="preserve"> </w:t>
            </w:r>
            <w:r w:rsidRPr="00702FF7">
              <w:rPr>
                <w:webHidden/>
                <w:lang w:val="es-ES_tradnl"/>
              </w:rPr>
              <w:t xml:space="preserve">del UIT-R </w:t>
            </w:r>
            <w:r w:rsidRPr="00702FF7">
              <w:rPr>
                <w:lang w:val="es-ES_tradnl"/>
              </w:rPr>
              <w:t>con rango de tratado</w:t>
            </w:r>
            <w:r w:rsidRPr="00702FF7">
              <w:rPr>
                <w:webHidden/>
                <w:lang w:val="es-ES_tradnl"/>
              </w:rPr>
              <w:t>, aunque ello supusiera un ahorro de costes.</w:t>
            </w:r>
          </w:p>
        </w:tc>
      </w:tr>
      <w:tr w:rsidR="00AE3B0C" w:rsidRPr="00B33A8D" w14:paraId="3BD9EB26" w14:textId="77777777" w:rsidTr="000C15DE">
        <w:trPr>
          <w:cantSplit/>
          <w:trHeight w:val="2484"/>
        </w:trPr>
        <w:tc>
          <w:tcPr>
            <w:tcW w:w="1410" w:type="dxa"/>
          </w:tcPr>
          <w:p w14:paraId="0DEC5A1A" w14:textId="77777777" w:rsidR="00AE3B0C" w:rsidRPr="00702FF7" w:rsidRDefault="00AE3B0C" w:rsidP="000C15DE">
            <w:pPr>
              <w:pStyle w:val="Tabletext"/>
              <w:rPr>
                <w:lang w:val="es-ES_tradnl"/>
              </w:rPr>
            </w:pPr>
          </w:p>
        </w:tc>
        <w:tc>
          <w:tcPr>
            <w:tcW w:w="2268" w:type="dxa"/>
          </w:tcPr>
          <w:p w14:paraId="53DF5AFC" w14:textId="7C57C3D6" w:rsidR="00AE3B0C" w:rsidRPr="00702FF7" w:rsidRDefault="00AE3B0C" w:rsidP="005F4522">
            <w:pPr>
              <w:pStyle w:val="Tabletext"/>
              <w:spacing w:after="720"/>
              <w:rPr>
                <w:lang w:val="es-ES_tradnl"/>
              </w:rPr>
            </w:pPr>
            <w:hyperlink r:id="rId18" w:history="1">
              <w:r w:rsidRPr="00533FD9">
                <w:rPr>
                  <w:rStyle w:val="Hyperlink"/>
                  <w:rFonts w:asciiTheme="minorHAnsi" w:hAnsiTheme="minorHAnsi" w:cstheme="minorHAnsi"/>
                  <w:lang w:val="es-ES_tradnl"/>
                </w:rPr>
                <w:t>58</w:t>
              </w:r>
              <w:r w:rsidR="000C15DE" w:rsidRPr="00533FD9">
                <w:rPr>
                  <w:rStyle w:val="Hyperlink"/>
                  <w:lang w:val="es-ES_tradnl"/>
                </w:rPr>
                <w:t xml:space="preserve"> </w:t>
              </w:r>
              <w:r w:rsidR="006A3612" w:rsidRPr="00533FD9">
                <w:rPr>
                  <w:rStyle w:val="Hyperlink"/>
                  <w:lang w:val="es-ES_tradnl"/>
                </w:rPr>
                <w:t>(</w:t>
              </w:r>
              <w:r w:rsidRPr="00533FD9">
                <w:rPr>
                  <w:rStyle w:val="Hyperlink"/>
                  <w:lang w:val="es-ES_tradnl"/>
                </w:rPr>
                <w:t>Add.2</w:t>
              </w:r>
              <w:r w:rsidR="006A3612" w:rsidRPr="00533FD9">
                <w:rPr>
                  <w:rStyle w:val="Hyperlink"/>
                  <w:lang w:val="es-ES_tradnl"/>
                </w:rPr>
                <w:t>)</w:t>
              </w:r>
            </w:hyperlink>
          </w:p>
          <w:p w14:paraId="4F77FF85" w14:textId="3A251FC8" w:rsidR="00AE3B0C" w:rsidRPr="00702FF7" w:rsidRDefault="00AE3B0C" w:rsidP="000C15DE">
            <w:pPr>
              <w:pStyle w:val="Tabletext"/>
              <w:rPr>
                <w:rFonts w:eastAsia="Aptos"/>
                <w:color w:val="000000" w:themeColor="text1"/>
                <w:lang w:val="es-ES_tradnl"/>
              </w:rPr>
            </w:pPr>
            <w:hyperlink r:id="rId19">
              <w:r w:rsidRPr="00702FF7">
                <w:rPr>
                  <w:rStyle w:val="Hyperlink"/>
                  <w:rFonts w:asciiTheme="minorHAnsi" w:eastAsia="Aptos" w:hAnsiTheme="minorHAnsi" w:cstheme="minorHAnsi"/>
                  <w:lang w:val="es-ES_tradnl"/>
                </w:rPr>
                <w:t>75</w:t>
              </w:r>
            </w:hyperlink>
            <w:r w:rsidRPr="00702FF7">
              <w:rPr>
                <w:rFonts w:eastAsia="Aptos"/>
                <w:color w:val="000000" w:themeColor="text1"/>
                <w:lang w:val="es-ES_tradnl"/>
              </w:rPr>
              <w:t xml:space="preserve"> (Federación de</w:t>
            </w:r>
            <w:r w:rsidR="000C15DE" w:rsidRPr="00702FF7">
              <w:rPr>
                <w:rFonts w:eastAsia="Aptos"/>
                <w:color w:val="000000" w:themeColor="text1"/>
                <w:lang w:val="es-ES_tradnl"/>
              </w:rPr>
              <w:t> </w:t>
            </w:r>
            <w:r w:rsidRPr="00702FF7">
              <w:rPr>
                <w:rFonts w:eastAsia="Aptos"/>
                <w:color w:val="000000" w:themeColor="text1"/>
                <w:lang w:val="es-ES_tradnl"/>
              </w:rPr>
              <w:t>Rusia)</w:t>
            </w:r>
          </w:p>
        </w:tc>
        <w:tc>
          <w:tcPr>
            <w:tcW w:w="11623" w:type="dxa"/>
          </w:tcPr>
          <w:p w14:paraId="49927678" w14:textId="398CB260" w:rsidR="00AE3B0C" w:rsidRPr="00702FF7" w:rsidRDefault="00AE3B0C" w:rsidP="00291AA5">
            <w:pPr>
              <w:pStyle w:val="Tabletext"/>
              <w:spacing w:after="120"/>
              <w:rPr>
                <w:b/>
                <w:bCs/>
                <w:lang w:val="es-ES_tradnl"/>
              </w:rPr>
            </w:pPr>
            <w:r w:rsidRPr="00702FF7">
              <w:rPr>
                <w:b/>
                <w:bCs/>
                <w:lang w:val="es-ES_tradnl"/>
              </w:rPr>
              <w:t>Situación relativa a la traducción de las páginas web del UIT-R</w:t>
            </w:r>
            <w:r w:rsidR="00291AA5" w:rsidRPr="00702FF7">
              <w:rPr>
                <w:b/>
                <w:bCs/>
                <w:lang w:val="es-ES_tradnl"/>
              </w:rPr>
              <w:t>:</w:t>
            </w:r>
          </w:p>
          <w:p w14:paraId="12D7BBAE" w14:textId="77777777" w:rsidR="00AE3B0C" w:rsidRPr="00702FF7" w:rsidRDefault="00AE3B0C" w:rsidP="000C15DE">
            <w:pPr>
              <w:pStyle w:val="Tabletext"/>
              <w:rPr>
                <w:lang w:val="es-ES_tradnl"/>
              </w:rPr>
            </w:pPr>
            <w:r w:rsidRPr="00702FF7">
              <w:rPr>
                <w:lang w:val="es-ES_tradnl"/>
              </w:rPr>
              <w:t xml:space="preserve">El GAR </w:t>
            </w:r>
            <w:r w:rsidRPr="00702FF7">
              <w:rPr>
                <w:color w:val="000000" w:themeColor="text1"/>
                <w:lang w:val="es-ES_tradnl"/>
              </w:rPr>
              <w:t>examinó la situación relativa a la traducción de las páginas web del UIT-R, conforme a lo indicado en el Addéndum 2 al informe del Director.</w:t>
            </w:r>
            <w:r w:rsidRPr="00702FF7">
              <w:rPr>
                <w:lang w:val="es-ES_tradnl"/>
              </w:rPr>
              <w:t xml:space="preserve"> El GAR señaló los avances logrados a ese respecto.</w:t>
            </w:r>
          </w:p>
          <w:p w14:paraId="4DBBE200" w14:textId="55E18875" w:rsidR="00AE3B0C" w:rsidRPr="00702FF7" w:rsidRDefault="00AE3B0C" w:rsidP="000C15DE">
            <w:pPr>
              <w:pStyle w:val="Tabletext"/>
              <w:rPr>
                <w:lang w:val="es-ES_tradnl"/>
              </w:rPr>
            </w:pPr>
            <w:r w:rsidRPr="00702FF7">
              <w:rPr>
                <w:lang w:val="es-ES_tradnl"/>
              </w:rPr>
              <w:t>El GAR tomó nota de la contribución de la Federación de Rusia, atinente a la armonización de diversas Resoluciones del UIT-R relacionadas con la utilización de los seis idiomas oficiales de la Unión en igualdad de condiciones. Por último, el GAR tomó nota de la recopilación de Resoluciones de la PP y del Sector sobre el mismo tema, así como de la propuesta de considerar la revisión o derogación de la Resolución UIT-R 36-6.</w:t>
            </w:r>
          </w:p>
        </w:tc>
      </w:tr>
      <w:tr w:rsidR="00AE3B0C" w:rsidRPr="00533FD9" w14:paraId="3C816617" w14:textId="77777777" w:rsidTr="000C15DE">
        <w:trPr>
          <w:cantSplit/>
        </w:trPr>
        <w:tc>
          <w:tcPr>
            <w:tcW w:w="1410" w:type="dxa"/>
          </w:tcPr>
          <w:p w14:paraId="321EDFC8" w14:textId="77777777" w:rsidR="00AE3B0C" w:rsidRPr="00702FF7" w:rsidRDefault="00AE3B0C" w:rsidP="000C15DE">
            <w:pPr>
              <w:pStyle w:val="Tabletext"/>
              <w:rPr>
                <w:lang w:val="es-ES_tradnl"/>
              </w:rPr>
            </w:pPr>
          </w:p>
        </w:tc>
        <w:tc>
          <w:tcPr>
            <w:tcW w:w="2268" w:type="dxa"/>
          </w:tcPr>
          <w:p w14:paraId="578F9F47" w14:textId="2AE9C811" w:rsidR="00AE3B0C" w:rsidRPr="00702FF7" w:rsidRDefault="00AE3B0C" w:rsidP="000C15DE">
            <w:pPr>
              <w:pStyle w:val="Tabletext"/>
              <w:rPr>
                <w:lang w:val="es-ES_tradnl"/>
              </w:rPr>
            </w:pPr>
            <w:hyperlink r:id="rId20" w:history="1">
              <w:r w:rsidRPr="00702FF7">
                <w:rPr>
                  <w:rStyle w:val="Hyperlink"/>
                  <w:rFonts w:asciiTheme="minorHAnsi" w:hAnsiTheme="minorHAnsi" w:cstheme="minorHAnsi"/>
                  <w:lang w:val="es-ES_tradnl"/>
                </w:rPr>
                <w:t>58</w:t>
              </w:r>
            </w:hyperlink>
            <w:r w:rsidRPr="00702FF7">
              <w:rPr>
                <w:lang w:val="es-ES_tradnl"/>
              </w:rPr>
              <w:t xml:space="preserve"> (§2.4) </w:t>
            </w:r>
          </w:p>
        </w:tc>
        <w:tc>
          <w:tcPr>
            <w:tcW w:w="11623" w:type="dxa"/>
          </w:tcPr>
          <w:p w14:paraId="3BDE4B6C" w14:textId="59A085A1" w:rsidR="00AE3B0C" w:rsidRPr="00702FF7" w:rsidRDefault="00AE3B0C" w:rsidP="00291AA5">
            <w:pPr>
              <w:pStyle w:val="Tabletext"/>
              <w:spacing w:after="120"/>
              <w:rPr>
                <w:b/>
                <w:bCs/>
                <w:lang w:val="es-ES_tradnl"/>
              </w:rPr>
            </w:pPr>
            <w:r w:rsidRPr="00702FF7">
              <w:rPr>
                <w:b/>
                <w:bCs/>
                <w:lang w:val="es-ES_tradnl"/>
              </w:rPr>
              <w:t>Participación a distancia</w:t>
            </w:r>
            <w:r w:rsidR="00291AA5" w:rsidRPr="00702FF7">
              <w:rPr>
                <w:b/>
                <w:bCs/>
                <w:lang w:val="es-ES_tradnl"/>
              </w:rPr>
              <w:t>:</w:t>
            </w:r>
          </w:p>
          <w:p w14:paraId="5A0045E6" w14:textId="0956F339" w:rsidR="00AE3B0C" w:rsidRPr="00702FF7" w:rsidRDefault="00AE3B0C" w:rsidP="000C15DE">
            <w:pPr>
              <w:pStyle w:val="Tabletext"/>
              <w:rPr>
                <w:lang w:val="es-ES_tradnl"/>
              </w:rPr>
            </w:pPr>
            <w:r w:rsidRPr="00702FF7">
              <w:rPr>
                <w:lang w:val="es-ES_tradnl"/>
              </w:rPr>
              <w:t xml:space="preserve">El GAR examinó la sección 2.4 del informe del Director, relativa a la participación a distancia, que explicó con más detalle la </w:t>
            </w:r>
            <w:r w:rsidR="00CA406A" w:rsidRPr="00702FF7">
              <w:rPr>
                <w:lang w:val="es-ES_tradnl"/>
              </w:rPr>
              <w:t>Sra. </w:t>
            </w:r>
            <w:r w:rsidRPr="00702FF7">
              <w:rPr>
                <w:lang w:val="es-ES_tradnl"/>
              </w:rPr>
              <w:t xml:space="preserve">Negar Takesh (Jefa Adjunta del Departamento de Conferencias y Publicaciones). </w:t>
            </w:r>
          </w:p>
          <w:p w14:paraId="5C762BF6" w14:textId="48B660CB" w:rsidR="00AE3B0C" w:rsidRPr="00702FF7" w:rsidRDefault="00AE3B0C" w:rsidP="000C15DE">
            <w:pPr>
              <w:pStyle w:val="Tabletext"/>
              <w:rPr>
                <w:rFonts w:cstheme="minorBidi"/>
                <w:lang w:val="es-ES_tradnl"/>
              </w:rPr>
            </w:pPr>
            <w:r w:rsidRPr="00702FF7">
              <w:rPr>
                <w:rFonts w:cstheme="minorBidi"/>
                <w:lang w:val="es-ES_tradnl"/>
              </w:rPr>
              <w:t>El GAR señaló que toda propuesta de modificación debía plantearse durante el Consejo y/o la PP.</w:t>
            </w:r>
          </w:p>
        </w:tc>
      </w:tr>
      <w:tr w:rsidR="00AE3B0C" w:rsidRPr="00B33A8D" w14:paraId="22BB02EA" w14:textId="77777777" w:rsidTr="000C15DE">
        <w:trPr>
          <w:cantSplit/>
        </w:trPr>
        <w:tc>
          <w:tcPr>
            <w:tcW w:w="1410" w:type="dxa"/>
          </w:tcPr>
          <w:p w14:paraId="4B366582" w14:textId="77777777" w:rsidR="00AE3B0C" w:rsidRPr="00702FF7" w:rsidRDefault="00AE3B0C" w:rsidP="000C15DE">
            <w:pPr>
              <w:pStyle w:val="Tabletext"/>
              <w:rPr>
                <w:lang w:val="es-ES_tradnl"/>
              </w:rPr>
            </w:pPr>
          </w:p>
        </w:tc>
        <w:tc>
          <w:tcPr>
            <w:tcW w:w="2268" w:type="dxa"/>
          </w:tcPr>
          <w:p w14:paraId="2515EFEC" w14:textId="0D6C7ACC" w:rsidR="00AE3B0C" w:rsidRPr="00702FF7" w:rsidRDefault="00AE3B0C" w:rsidP="005F4522">
            <w:pPr>
              <w:pStyle w:val="Tabletext"/>
              <w:spacing w:after="1440"/>
              <w:rPr>
                <w:lang w:val="es-ES_tradnl"/>
              </w:rPr>
            </w:pPr>
            <w:hyperlink r:id="rId21" w:history="1">
              <w:r w:rsidRPr="00702FF7">
                <w:rPr>
                  <w:rStyle w:val="Hyperlink"/>
                  <w:rFonts w:asciiTheme="minorHAnsi" w:hAnsiTheme="minorHAnsi" w:cstheme="minorHAnsi"/>
                  <w:lang w:val="es-ES_tradnl"/>
                </w:rPr>
                <w:t>58</w:t>
              </w:r>
            </w:hyperlink>
            <w:r w:rsidRPr="00702FF7">
              <w:rPr>
                <w:lang w:val="es-ES_tradnl"/>
              </w:rPr>
              <w:t xml:space="preserve"> (§2.5), </w:t>
            </w:r>
            <w:r w:rsidRPr="00702FF7">
              <w:rPr>
                <w:lang w:val="es-ES_tradnl"/>
              </w:rPr>
              <w:br/>
            </w:r>
            <w:hyperlink r:id="rId22" w:history="1">
              <w:r w:rsidRPr="00702FF7">
                <w:rPr>
                  <w:rStyle w:val="Hyperlink"/>
                  <w:rFonts w:asciiTheme="minorHAnsi" w:hAnsiTheme="minorHAnsi" w:cstheme="minorHAnsi"/>
                  <w:lang w:val="es-ES_tradnl"/>
                </w:rPr>
                <w:t>55</w:t>
              </w:r>
            </w:hyperlink>
            <w:r w:rsidRPr="00702FF7">
              <w:rPr>
                <w:lang w:val="es-ES_tradnl"/>
              </w:rPr>
              <w:t xml:space="preserve"> (GTC-PEF), </w:t>
            </w:r>
          </w:p>
          <w:p w14:paraId="55A1F0CC" w14:textId="400FD5ED" w:rsidR="00AE3B0C" w:rsidRPr="00702FF7" w:rsidRDefault="00AE3B0C" w:rsidP="000C15DE">
            <w:pPr>
              <w:pStyle w:val="Tabletext"/>
              <w:rPr>
                <w:lang w:val="es-ES_tradnl"/>
              </w:rPr>
            </w:pPr>
            <w:hyperlink r:id="rId23">
              <w:r w:rsidRPr="00702FF7">
                <w:rPr>
                  <w:rStyle w:val="Hyperlink"/>
                  <w:rFonts w:asciiTheme="minorHAnsi" w:hAnsiTheme="minorHAnsi" w:cstheme="minorHAnsi"/>
                  <w:lang w:val="es-ES_tradnl"/>
                </w:rPr>
                <w:t>74</w:t>
              </w:r>
            </w:hyperlink>
            <w:r w:rsidRPr="00702FF7">
              <w:rPr>
                <w:lang w:val="es-ES_tradnl"/>
              </w:rPr>
              <w:t xml:space="preserve"> (Federación de Rusia)</w:t>
            </w:r>
          </w:p>
          <w:p w14:paraId="409FA790" w14:textId="77777777" w:rsidR="00AE3B0C" w:rsidRPr="00702FF7" w:rsidRDefault="00AE3B0C" w:rsidP="000C15DE">
            <w:pPr>
              <w:pStyle w:val="Tabletext"/>
              <w:rPr>
                <w:lang w:val="es-ES_tradnl"/>
              </w:rPr>
            </w:pPr>
          </w:p>
        </w:tc>
        <w:tc>
          <w:tcPr>
            <w:tcW w:w="11623" w:type="dxa"/>
          </w:tcPr>
          <w:p w14:paraId="47EC16E7" w14:textId="7E335118" w:rsidR="00AE3B0C" w:rsidRPr="00702FF7" w:rsidRDefault="00AE3B0C" w:rsidP="00291AA5">
            <w:pPr>
              <w:pStyle w:val="Tabletext"/>
              <w:spacing w:after="120"/>
              <w:rPr>
                <w:b/>
                <w:bCs/>
                <w:lang w:val="es-ES_tradnl"/>
              </w:rPr>
            </w:pPr>
            <w:r w:rsidRPr="00702FF7">
              <w:rPr>
                <w:b/>
                <w:bCs/>
                <w:lang w:val="es-ES_tradnl"/>
              </w:rPr>
              <w:t>Planes Estratégico y Financiero para 2028-2031</w:t>
            </w:r>
            <w:r w:rsidR="00291AA5" w:rsidRPr="00702FF7">
              <w:rPr>
                <w:b/>
                <w:bCs/>
                <w:lang w:val="es-ES_tradnl"/>
              </w:rPr>
              <w:t>:</w:t>
            </w:r>
          </w:p>
          <w:p w14:paraId="473782B8" w14:textId="6AFF3F6E" w:rsidR="00AE3B0C" w:rsidRPr="00702FF7" w:rsidRDefault="00AE3B0C" w:rsidP="000C15DE">
            <w:pPr>
              <w:pStyle w:val="Tabletext"/>
              <w:rPr>
                <w:lang w:val="es-ES_tradnl"/>
              </w:rPr>
            </w:pPr>
            <w:r w:rsidRPr="00702FF7">
              <w:rPr>
                <w:lang w:val="es-ES_tradnl"/>
              </w:rPr>
              <w:t>El GAR tomó nota de la sección 2.5 del informe del</w:t>
            </w:r>
            <w:r w:rsidR="003D461A" w:rsidRPr="00702FF7">
              <w:rPr>
                <w:lang w:val="es-ES_tradnl"/>
              </w:rPr>
              <w:t xml:space="preserve"> </w:t>
            </w:r>
            <w:r w:rsidRPr="00702FF7">
              <w:rPr>
                <w:lang w:val="es-ES_tradnl"/>
              </w:rPr>
              <w:t xml:space="preserve">Director, relativa a los Planes Estratégico y Financiero para 2028-2031, así como de la declaración de coordinación del Grupo de Trabajo del Consejo sobre los Planes Estratégico y Financiero (GTC-PEF) referente a los resultados de la cuarta reunión, recogida en el Documento RAG/55, que explicó con más detalle el </w:t>
            </w:r>
            <w:r w:rsidR="00CA406A" w:rsidRPr="00702FF7">
              <w:rPr>
                <w:lang w:val="es-ES_tradnl"/>
              </w:rPr>
              <w:t>Sr. </w:t>
            </w:r>
            <w:r w:rsidRPr="00702FF7">
              <w:rPr>
                <w:lang w:val="es-ES_tradnl"/>
              </w:rPr>
              <w:t xml:space="preserve">Catalin Marinescu (Jefe de la División de Estrategia y Planificación, SPM) en nombre del </w:t>
            </w:r>
            <w:r w:rsidR="00CA406A" w:rsidRPr="00702FF7">
              <w:rPr>
                <w:lang w:val="es-ES_tradnl"/>
              </w:rPr>
              <w:t>Sr. </w:t>
            </w:r>
            <w:r w:rsidRPr="00702FF7">
              <w:rPr>
                <w:lang w:val="es-ES_tradnl"/>
              </w:rPr>
              <w:t xml:space="preserve">Mansour AI-Qurashi (Arabia Saudita), Presidente del GTC-PEF. </w:t>
            </w:r>
          </w:p>
          <w:p w14:paraId="379EAEC7" w14:textId="42C44A04" w:rsidR="00AE3B0C" w:rsidRPr="00702FF7" w:rsidRDefault="00AE3B0C" w:rsidP="000C15DE">
            <w:pPr>
              <w:pStyle w:val="Tabletext"/>
              <w:rPr>
                <w:rFonts w:cstheme="minorBidi"/>
                <w:lang w:val="es-ES_tradnl"/>
              </w:rPr>
            </w:pPr>
            <w:r w:rsidRPr="00702FF7">
              <w:rPr>
                <w:rFonts w:cstheme="minorBidi"/>
                <w:lang w:val="es-ES_tradnl"/>
              </w:rPr>
              <w:t xml:space="preserve">El GAR tomó nota del Documento </w:t>
            </w:r>
            <w:hyperlink r:id="rId24">
              <w:r w:rsidRPr="00702FF7">
                <w:rPr>
                  <w:rFonts w:cstheme="minorBidi"/>
                  <w:lang w:val="es-ES_tradnl"/>
                </w:rPr>
                <w:t>RAG/55 (GTC-PEF)</w:t>
              </w:r>
            </w:hyperlink>
            <w:r w:rsidRPr="00702FF7">
              <w:rPr>
                <w:rFonts w:cstheme="minorBidi"/>
                <w:lang w:val="es-ES_tradnl"/>
              </w:rPr>
              <w:t xml:space="preserve"> y de la presentación del </w:t>
            </w:r>
            <w:r w:rsidR="00CA406A" w:rsidRPr="00702FF7">
              <w:rPr>
                <w:rFonts w:cstheme="minorBidi"/>
                <w:lang w:val="es-ES_tradnl"/>
              </w:rPr>
              <w:t>Sr. </w:t>
            </w:r>
            <w:r w:rsidRPr="00702FF7">
              <w:rPr>
                <w:rFonts w:cstheme="minorBidi"/>
                <w:lang w:val="es-ES_tradnl"/>
              </w:rPr>
              <w:t xml:space="preserve">Marinescu. </w:t>
            </w:r>
          </w:p>
          <w:p w14:paraId="5DA3CB47" w14:textId="70E8F28D" w:rsidR="00AE3B0C" w:rsidRPr="00702FF7" w:rsidRDefault="00AE3B0C" w:rsidP="000C15DE">
            <w:pPr>
              <w:pStyle w:val="Tabletext"/>
              <w:rPr>
                <w:lang w:val="es-ES_tradnl"/>
              </w:rPr>
            </w:pPr>
            <w:r w:rsidRPr="00702FF7">
              <w:rPr>
                <w:lang w:val="es-ES_tradnl"/>
              </w:rPr>
              <w:t xml:space="preserve">El GAR examinó una propuesta presentada por la Federación de Rusia con miras a la adopción de nuevos indicadores relacionados con el mantenimiento </w:t>
            </w:r>
            <w:r w:rsidRPr="00702FF7">
              <w:rPr>
                <w:color w:val="000000"/>
                <w:lang w:val="es-ES_tradnl"/>
              </w:rPr>
              <w:t xml:space="preserve">del Registro Internacional de Frecuencias (véase </w:t>
            </w:r>
            <w:r w:rsidRPr="00702FF7">
              <w:rPr>
                <w:lang w:val="es-ES_tradnl"/>
              </w:rPr>
              <w:t xml:space="preserve">el Documento RAG/74) y consideró importante dar mayor visibilidad al trabajo de la BR. El GAR acordó añadir los indicadores propuestos a la declaración de coordinación de respuesta al GTC-PEF. </w:t>
            </w:r>
          </w:p>
          <w:p w14:paraId="6FBA4B77" w14:textId="4861F3EC" w:rsidR="00AE3B0C" w:rsidRPr="00702FF7" w:rsidRDefault="00AE3B0C" w:rsidP="000C15DE">
            <w:pPr>
              <w:pStyle w:val="Tabletext"/>
              <w:rPr>
                <w:lang w:val="es-ES_tradnl"/>
              </w:rPr>
            </w:pPr>
            <w:r w:rsidRPr="00702FF7">
              <w:rPr>
                <w:lang w:val="es-ES_tradnl"/>
              </w:rPr>
              <w:t>El GAR debatió la propuesta presentada por el GTC-PEF en relación con una serie de indicadores de referencia sobre el «espacio para el desarrollo». Se expresaron opiniones sobre el primer indicador («abonos a la banda ancha por satélite») y la categoría a la que convenía asignarlo (objetivo 1 u objetivo 2). En cuanto al segundo indicador («países con asociaciones</w:t>
            </w:r>
            <w:r w:rsidR="003D461A" w:rsidRPr="00702FF7">
              <w:rPr>
                <w:lang w:val="es-ES_tradnl"/>
              </w:rPr>
              <w:t xml:space="preserve"> </w:t>
            </w:r>
            <w:r w:rsidRPr="00702FF7">
              <w:rPr>
                <w:lang w:val="es-ES_tradnl"/>
              </w:rPr>
              <w:t xml:space="preserve">para la conexión de teléfonos móviles vía satélite, por situación (según datos de la </w:t>
            </w:r>
            <w:r w:rsidRPr="00702FF7">
              <w:rPr>
                <w:i/>
                <w:iCs/>
                <w:lang w:val="es-ES_tradnl"/>
              </w:rPr>
              <w:t>Global mobile Suppliers Association</w:t>
            </w:r>
            <w:r w:rsidRPr="00702FF7">
              <w:rPr>
                <w:lang w:val="es-ES_tradnl"/>
              </w:rPr>
              <w:t xml:space="preserve">)»), el GAR reconoció la dificultad de incluir un indicador que a) remitiera a datos de la </w:t>
            </w:r>
            <w:r w:rsidRPr="00702FF7">
              <w:rPr>
                <w:i/>
                <w:iCs/>
                <w:lang w:val="es-ES_tradnl"/>
              </w:rPr>
              <w:t>Global mobile Suppliers Association y</w:t>
            </w:r>
            <w:r w:rsidRPr="00702FF7">
              <w:rPr>
                <w:lang w:val="es-ES_tradnl"/>
              </w:rPr>
              <w:t xml:space="preserve"> b) abordara el fondo de la tecnología «D2D», bautizada DC-MSS-IMT en el seno del UIT-R y prevista actualmente para debate en el marco del punto 1.13 del orden del día de la CMR-27. </w:t>
            </w:r>
          </w:p>
          <w:p w14:paraId="3F25A86C" w14:textId="75D11E8A" w:rsidR="00AE3B0C" w:rsidRPr="00702FF7" w:rsidRDefault="00AE3B0C" w:rsidP="000C15DE">
            <w:pPr>
              <w:pStyle w:val="Tabletext"/>
              <w:rPr>
                <w:lang w:val="es-ES_tradnl"/>
              </w:rPr>
            </w:pPr>
            <w:r w:rsidRPr="00702FF7">
              <w:rPr>
                <w:lang w:val="es-ES_tradnl"/>
              </w:rPr>
              <w:t>El GAR concluyó con la aprobación de la declaración de coordinación de respuesta al GTC-PEF que figura en el Anexo 2 al presente documento.</w:t>
            </w:r>
          </w:p>
        </w:tc>
      </w:tr>
      <w:tr w:rsidR="00AE3B0C" w:rsidRPr="00B33A8D" w14:paraId="328445E9" w14:textId="77777777" w:rsidTr="000C15DE">
        <w:trPr>
          <w:cantSplit/>
        </w:trPr>
        <w:tc>
          <w:tcPr>
            <w:tcW w:w="1410" w:type="dxa"/>
          </w:tcPr>
          <w:p w14:paraId="7B6B9003" w14:textId="77777777" w:rsidR="00AE3B0C" w:rsidRPr="00702FF7" w:rsidRDefault="00AE3B0C" w:rsidP="000C15DE">
            <w:pPr>
              <w:pStyle w:val="Tabletext"/>
              <w:rPr>
                <w:lang w:val="es-ES_tradnl"/>
              </w:rPr>
            </w:pPr>
          </w:p>
        </w:tc>
        <w:tc>
          <w:tcPr>
            <w:tcW w:w="2268" w:type="dxa"/>
          </w:tcPr>
          <w:p w14:paraId="307D32A6" w14:textId="79517BB8" w:rsidR="00AE3B0C" w:rsidRPr="00702FF7" w:rsidRDefault="00AE3B0C" w:rsidP="000C15DE">
            <w:pPr>
              <w:pStyle w:val="Tabletext"/>
              <w:rPr>
                <w:lang w:val="es-ES_tradnl"/>
              </w:rPr>
            </w:pPr>
            <w:r w:rsidRPr="00702FF7">
              <w:rPr>
                <w:lang w:val="es-ES_tradnl"/>
              </w:rPr>
              <w:t>Para más información:</w:t>
            </w:r>
            <w:r w:rsidRPr="00702FF7">
              <w:rPr>
                <w:lang w:val="es-ES_tradnl"/>
              </w:rPr>
              <w:br/>
            </w:r>
            <w:hyperlink r:id="rId25" w:history="1">
              <w:r w:rsidRPr="00702FF7">
                <w:rPr>
                  <w:rStyle w:val="Hyperlink"/>
                  <w:rFonts w:asciiTheme="minorHAnsi" w:hAnsiTheme="minorHAnsi" w:cstheme="minorHAnsi"/>
                  <w:lang w:val="es-ES_tradnl"/>
                </w:rPr>
                <w:t xml:space="preserve">54 </w:t>
              </w:r>
              <w:r w:rsidRPr="00702FF7">
                <w:rPr>
                  <w:lang w:val="es-ES_tradnl"/>
                </w:rPr>
                <w:t>(GTC-PEF)</w:t>
              </w:r>
            </w:hyperlink>
            <w:r w:rsidRPr="00702FF7">
              <w:rPr>
                <w:lang w:val="es-ES_tradnl"/>
              </w:rPr>
              <w:t xml:space="preserve">, </w:t>
            </w:r>
            <w:r w:rsidRPr="00702FF7">
              <w:rPr>
                <w:lang w:val="es-ES_tradnl"/>
              </w:rPr>
              <w:br/>
            </w:r>
            <w:hyperlink r:id="rId26" w:history="1">
              <w:r w:rsidRPr="00702FF7">
                <w:rPr>
                  <w:rStyle w:val="Hyperlink"/>
                  <w:rFonts w:asciiTheme="minorHAnsi" w:hAnsiTheme="minorHAnsi" w:cstheme="minorHAnsi"/>
                  <w:lang w:val="es-ES_tradnl"/>
                </w:rPr>
                <w:t xml:space="preserve">59 </w:t>
              </w:r>
              <w:r w:rsidRPr="00702FF7">
                <w:rPr>
                  <w:lang w:val="es-ES_tradnl"/>
                </w:rPr>
                <w:t>(GTC-PEF)</w:t>
              </w:r>
            </w:hyperlink>
            <w:r w:rsidRPr="00702FF7">
              <w:rPr>
                <w:lang w:val="es-ES_tradnl"/>
              </w:rPr>
              <w:t xml:space="preserve">, </w:t>
            </w:r>
            <w:r w:rsidRPr="00702FF7">
              <w:rPr>
                <w:lang w:val="es-ES_tradnl"/>
              </w:rPr>
              <w:br/>
            </w:r>
            <w:hyperlink r:id="rId27" w:history="1">
              <w:r w:rsidRPr="00702FF7">
                <w:rPr>
                  <w:rStyle w:val="Hyperlink"/>
                  <w:rFonts w:asciiTheme="minorHAnsi" w:hAnsiTheme="minorHAnsi" w:cstheme="minorHAnsi"/>
                  <w:lang w:val="es-ES_tradnl"/>
                </w:rPr>
                <w:t xml:space="preserve">60 </w:t>
              </w:r>
              <w:r w:rsidRPr="00702FF7">
                <w:rPr>
                  <w:lang w:val="es-ES_tradnl"/>
                </w:rPr>
                <w:t>(GTC-PEF)</w:t>
              </w:r>
            </w:hyperlink>
            <w:r w:rsidRPr="00702FF7">
              <w:rPr>
                <w:lang w:val="es-ES_tradnl"/>
              </w:rPr>
              <w:t xml:space="preserve">, </w:t>
            </w:r>
            <w:r w:rsidRPr="00702FF7">
              <w:rPr>
                <w:lang w:val="es-ES_tradnl"/>
              </w:rPr>
              <w:br/>
            </w:r>
            <w:hyperlink r:id="rId28" w:history="1">
              <w:r w:rsidRPr="00702FF7">
                <w:rPr>
                  <w:rStyle w:val="Hyperlink"/>
                  <w:rFonts w:asciiTheme="minorHAnsi" w:hAnsiTheme="minorHAnsi" w:cstheme="minorHAnsi"/>
                  <w:lang w:val="es-ES_tradnl"/>
                </w:rPr>
                <w:t xml:space="preserve">64 </w:t>
              </w:r>
              <w:r w:rsidRPr="00702FF7">
                <w:rPr>
                  <w:lang w:val="es-ES_tradnl"/>
                </w:rPr>
                <w:t>(GANT)</w:t>
              </w:r>
            </w:hyperlink>
            <w:r w:rsidRPr="00702FF7">
              <w:rPr>
                <w:lang w:val="es-ES_tradnl"/>
              </w:rPr>
              <w:t>,</w:t>
            </w:r>
            <w:r w:rsidRPr="00702FF7">
              <w:rPr>
                <w:lang w:val="es-ES_tradnl"/>
              </w:rPr>
              <w:br/>
            </w:r>
            <w:hyperlink r:id="rId29" w:history="1">
              <w:r w:rsidRPr="00702FF7">
                <w:rPr>
                  <w:rStyle w:val="Hyperlink"/>
                  <w:rFonts w:asciiTheme="minorHAnsi" w:hAnsiTheme="minorHAnsi" w:cstheme="minorHAnsi"/>
                  <w:lang w:val="es-ES_tradnl"/>
                </w:rPr>
                <w:t xml:space="preserve">68 </w:t>
              </w:r>
              <w:r w:rsidRPr="00702FF7">
                <w:rPr>
                  <w:lang w:val="es-ES_tradnl"/>
                </w:rPr>
                <w:t>(GANT)</w:t>
              </w:r>
            </w:hyperlink>
          </w:p>
        </w:tc>
        <w:tc>
          <w:tcPr>
            <w:tcW w:w="11623" w:type="dxa"/>
          </w:tcPr>
          <w:p w14:paraId="5F7F5247" w14:textId="728D95C2" w:rsidR="00AE3B0C" w:rsidRPr="00702FF7" w:rsidRDefault="00AE3B0C" w:rsidP="000C15DE">
            <w:pPr>
              <w:pStyle w:val="Tabletext"/>
              <w:rPr>
                <w:lang w:val="es-ES_tradnl"/>
              </w:rPr>
            </w:pPr>
            <w:r w:rsidRPr="00702FF7">
              <w:rPr>
                <w:lang w:val="es-ES_tradnl"/>
              </w:rPr>
              <w:t xml:space="preserve">El GAR tomó nota de las cinco declaraciones de coordinación presentadas a título informativo al GAR. </w:t>
            </w:r>
          </w:p>
        </w:tc>
      </w:tr>
      <w:tr w:rsidR="00AE3B0C" w:rsidRPr="00B33A8D" w14:paraId="0928AF47" w14:textId="77777777" w:rsidTr="000C15DE">
        <w:trPr>
          <w:cantSplit/>
        </w:trPr>
        <w:tc>
          <w:tcPr>
            <w:tcW w:w="1410" w:type="dxa"/>
          </w:tcPr>
          <w:p w14:paraId="177AC680" w14:textId="77777777" w:rsidR="00AE3B0C" w:rsidRPr="00702FF7" w:rsidRDefault="00AE3B0C" w:rsidP="000C15DE">
            <w:pPr>
              <w:pStyle w:val="Tabletext"/>
              <w:keepNext/>
              <w:keepLines/>
              <w:rPr>
                <w:lang w:val="es-ES_tradnl"/>
              </w:rPr>
            </w:pPr>
          </w:p>
        </w:tc>
        <w:tc>
          <w:tcPr>
            <w:tcW w:w="2268" w:type="dxa"/>
          </w:tcPr>
          <w:p w14:paraId="0163FD1B" w14:textId="445CD0B2" w:rsidR="00AE3B0C" w:rsidRPr="00702FF7" w:rsidRDefault="00AE3B0C" w:rsidP="00CA406A">
            <w:pPr>
              <w:pStyle w:val="Tabletext"/>
              <w:keepNext/>
              <w:keepLines/>
              <w:rPr>
                <w:lang w:val="es-ES_tradnl"/>
              </w:rPr>
            </w:pPr>
            <w:hyperlink r:id="rId30" w:history="1">
              <w:r w:rsidRPr="00702FF7">
                <w:rPr>
                  <w:rStyle w:val="Hyperlink"/>
                  <w:rFonts w:asciiTheme="minorHAnsi" w:hAnsiTheme="minorHAnsi" w:cstheme="minorHAnsi"/>
                  <w:lang w:val="es-ES_tradnl"/>
                </w:rPr>
                <w:t>58</w:t>
              </w:r>
            </w:hyperlink>
            <w:r w:rsidRPr="00702FF7">
              <w:rPr>
                <w:lang w:val="es-ES_tradnl"/>
              </w:rPr>
              <w:t xml:space="preserve"> (§2.6) </w:t>
            </w:r>
          </w:p>
        </w:tc>
        <w:tc>
          <w:tcPr>
            <w:tcW w:w="11623" w:type="dxa"/>
          </w:tcPr>
          <w:p w14:paraId="73F19E77" w14:textId="11BAFD3C" w:rsidR="00AE3B0C" w:rsidRPr="00702FF7" w:rsidRDefault="00AE3B0C" w:rsidP="00291AA5">
            <w:pPr>
              <w:pStyle w:val="Tabletext"/>
              <w:keepNext/>
              <w:keepLines/>
              <w:spacing w:after="120"/>
              <w:rPr>
                <w:b/>
                <w:bCs/>
                <w:lang w:val="es-ES_tradnl"/>
              </w:rPr>
            </w:pPr>
            <w:r w:rsidRPr="00702FF7">
              <w:rPr>
                <w:b/>
                <w:bCs/>
                <w:lang w:val="es-ES_tradnl"/>
              </w:rPr>
              <w:t>Continuidad de las actividades</w:t>
            </w:r>
            <w:r w:rsidR="00291AA5" w:rsidRPr="00702FF7">
              <w:rPr>
                <w:b/>
                <w:bCs/>
                <w:lang w:val="es-ES_tradnl"/>
              </w:rPr>
              <w:t>:</w:t>
            </w:r>
          </w:p>
          <w:p w14:paraId="17593B23" w14:textId="3D664189" w:rsidR="00AE3B0C" w:rsidRPr="00702FF7" w:rsidRDefault="00AE3B0C" w:rsidP="00CA406A">
            <w:pPr>
              <w:pStyle w:val="Tabletext"/>
              <w:keepNext/>
              <w:keepLines/>
              <w:rPr>
                <w:lang w:val="es-ES_tradnl"/>
              </w:rPr>
            </w:pPr>
            <w:r w:rsidRPr="00702FF7">
              <w:rPr>
                <w:lang w:val="es-ES_tradnl"/>
              </w:rPr>
              <w:t>El GAR examinó la sección 2.</w:t>
            </w:r>
            <w:r w:rsidR="000A6987">
              <w:rPr>
                <w:lang w:val="es-ES_tradnl"/>
              </w:rPr>
              <w:t>6</w:t>
            </w:r>
            <w:r w:rsidRPr="00702FF7">
              <w:rPr>
                <w:lang w:val="es-ES_tradnl"/>
              </w:rPr>
              <w:t xml:space="preserve"> del informe del</w:t>
            </w:r>
            <w:r w:rsidR="003D461A" w:rsidRPr="00702FF7">
              <w:rPr>
                <w:lang w:val="es-ES_tradnl"/>
              </w:rPr>
              <w:t xml:space="preserve"> </w:t>
            </w:r>
            <w:r w:rsidRPr="00702FF7">
              <w:rPr>
                <w:lang w:val="es-ES_tradnl"/>
              </w:rPr>
              <w:t xml:space="preserve">Director, relativa a la continuidad de las actividades, que explicó con más detalle la </w:t>
            </w:r>
            <w:r w:rsidR="00CA406A" w:rsidRPr="00702FF7">
              <w:rPr>
                <w:lang w:val="es-ES_tradnl"/>
              </w:rPr>
              <w:t>Sra. </w:t>
            </w:r>
            <w:r w:rsidRPr="00702FF7">
              <w:rPr>
                <w:lang w:val="es-ES_tradnl"/>
              </w:rPr>
              <w:t>Negar Takesh (Jefa Adjunta del Departamento de Conferencias y Publicaciones).</w:t>
            </w:r>
            <w:r w:rsidR="003D461A" w:rsidRPr="00702FF7">
              <w:rPr>
                <w:lang w:val="es-ES_tradnl"/>
              </w:rPr>
              <w:t xml:space="preserve"> </w:t>
            </w:r>
          </w:p>
          <w:p w14:paraId="553E6F20" w14:textId="77777777" w:rsidR="00AE3B0C" w:rsidRPr="00702FF7" w:rsidRDefault="00AE3B0C" w:rsidP="00CA406A">
            <w:pPr>
              <w:pStyle w:val="Tabletext"/>
              <w:keepNext/>
              <w:keepLines/>
              <w:rPr>
                <w:rFonts w:cstheme="minorBidi"/>
                <w:lang w:val="es-ES_tradnl"/>
              </w:rPr>
            </w:pPr>
            <w:r w:rsidRPr="00702FF7">
              <w:rPr>
                <w:rFonts w:cstheme="minorBidi"/>
                <w:lang w:val="es-ES_tradnl"/>
              </w:rPr>
              <w:lastRenderedPageBreak/>
              <w:t xml:space="preserve">El GAR tomó nota de las interrupciones que se preveía sufrieran las reuniones habituales entre el 1 de octubre de 2028 y el 31 de agosto de 2029, es decir, durante la construcción del nuevo edificio de la UIT en Ginebra. El GAR tomó nota además de que Suiza había confirmado generosamente una exención de dos años en las amortizaciones de los préstamos inmobiliarios, lo que supondría un ahorro de 2,7 millones CHF. Esos recursos se destinarían al fondo de continuidad de las actividades para ayudar a sufragar los gastos inherentes a la celebración de reuniones en Suiza durante la fase de construcción. En el Documento </w:t>
            </w:r>
            <w:hyperlink r:id="rId31" w:history="1">
              <w:r w:rsidRPr="00702FF7">
                <w:rPr>
                  <w:rFonts w:cstheme="minorBidi"/>
                  <w:lang w:val="es-ES_tradnl"/>
                </w:rPr>
                <w:t>C26/65</w:t>
              </w:r>
            </w:hyperlink>
            <w:r w:rsidRPr="00702FF7">
              <w:rPr>
                <w:rFonts w:cstheme="minorBidi"/>
                <w:lang w:val="es-ES_tradnl"/>
              </w:rPr>
              <w:t xml:space="preserve"> se proporcionaba más información sobre la continuidad de las actividades relativas a las reuniones de la UIT durante la fase de construcción del nuevo edificio de la UIT.</w:t>
            </w:r>
          </w:p>
          <w:p w14:paraId="6947F902" w14:textId="55280937" w:rsidR="00AE3B0C" w:rsidRPr="00702FF7" w:rsidRDefault="00AE3B0C" w:rsidP="00CA406A">
            <w:pPr>
              <w:pStyle w:val="Tabletext"/>
              <w:keepNext/>
              <w:keepLines/>
              <w:rPr>
                <w:rFonts w:cstheme="minorBidi"/>
                <w:lang w:val="es-ES_tradnl"/>
              </w:rPr>
            </w:pPr>
            <w:r w:rsidRPr="00702FF7">
              <w:rPr>
                <w:rFonts w:cstheme="minorBidi"/>
                <w:lang w:val="es-ES_tradnl"/>
              </w:rPr>
              <w:t>El GAR observó que, si bien la mayor parte de las reuniones del UIT-R podría seguir celebrándose en Ginebra, cabía la posibilidad de que los Estados Miembros acogieran ciertas sesiones, con arreglo a lo dispuesto en la Resolución 5 de la PP. El</w:t>
            </w:r>
            <w:r w:rsidR="000C15DE" w:rsidRPr="00702FF7">
              <w:rPr>
                <w:rFonts w:cstheme="minorBidi"/>
                <w:lang w:val="es-ES_tradnl"/>
              </w:rPr>
              <w:t> </w:t>
            </w:r>
            <w:r w:rsidRPr="00702FF7">
              <w:rPr>
                <w:rFonts w:cstheme="minorBidi"/>
                <w:lang w:val="es-ES_tradnl"/>
              </w:rPr>
              <w:t>GAR hizo hincapié en la necesidad de hacer todo lo posible por mantener las reuniones del UIT-R en Ginebra.</w:t>
            </w:r>
          </w:p>
        </w:tc>
      </w:tr>
      <w:tr w:rsidR="00AE3B0C" w:rsidRPr="00B33A8D" w14:paraId="78396D6C" w14:textId="77777777" w:rsidTr="000C15DE">
        <w:trPr>
          <w:cantSplit/>
        </w:trPr>
        <w:tc>
          <w:tcPr>
            <w:tcW w:w="1410" w:type="dxa"/>
            <w:tcBorders>
              <w:bottom w:val="single" w:sz="6" w:space="0" w:color="auto"/>
            </w:tcBorders>
          </w:tcPr>
          <w:p w14:paraId="78D8D955" w14:textId="77777777" w:rsidR="00AE3B0C" w:rsidRPr="00702FF7" w:rsidRDefault="00AE3B0C" w:rsidP="000C15DE">
            <w:pPr>
              <w:pStyle w:val="Tabletext"/>
              <w:rPr>
                <w:rFonts w:cstheme="minorBidi"/>
                <w:b/>
                <w:bCs/>
                <w:lang w:val="es-ES_tradnl"/>
              </w:rPr>
            </w:pPr>
            <w:r w:rsidRPr="00702FF7">
              <w:rPr>
                <w:rFonts w:cstheme="minorBidi"/>
                <w:b/>
                <w:bCs/>
                <w:lang w:val="es-ES_tradnl"/>
              </w:rPr>
              <w:lastRenderedPageBreak/>
              <w:t>5</w:t>
            </w:r>
          </w:p>
        </w:tc>
        <w:tc>
          <w:tcPr>
            <w:tcW w:w="2268" w:type="dxa"/>
            <w:tcBorders>
              <w:bottom w:val="single" w:sz="6" w:space="0" w:color="auto"/>
            </w:tcBorders>
          </w:tcPr>
          <w:p w14:paraId="321687F8" w14:textId="4B6CC323" w:rsidR="00AE3B0C" w:rsidRPr="00702FF7" w:rsidRDefault="00AE3B0C" w:rsidP="000C15DE">
            <w:pPr>
              <w:pStyle w:val="Tabletext"/>
              <w:rPr>
                <w:rFonts w:cstheme="minorBidi"/>
                <w:b/>
                <w:bCs/>
                <w:lang w:val="es-ES_tradnl"/>
              </w:rPr>
            </w:pPr>
            <w:r w:rsidRPr="00702FF7">
              <w:rPr>
                <w:rFonts w:cstheme="minorBidi"/>
                <w:b/>
                <w:bCs/>
                <w:lang w:val="es-ES_tradnl"/>
              </w:rPr>
              <w:t>Plan Operacional del</w:t>
            </w:r>
            <w:r w:rsidR="000C15DE" w:rsidRPr="00702FF7">
              <w:rPr>
                <w:rFonts w:cstheme="minorBidi"/>
                <w:b/>
                <w:bCs/>
                <w:lang w:val="es-ES_tradnl"/>
              </w:rPr>
              <w:t> </w:t>
            </w:r>
            <w:r w:rsidRPr="00702FF7">
              <w:rPr>
                <w:rFonts w:cstheme="minorBidi"/>
                <w:b/>
                <w:bCs/>
                <w:lang w:val="es-ES_tradnl"/>
              </w:rPr>
              <w:t>UIT-R</w:t>
            </w:r>
          </w:p>
          <w:p w14:paraId="12EFE920" w14:textId="22EACE59" w:rsidR="00AE3B0C" w:rsidRPr="00702FF7" w:rsidRDefault="00AE3B0C" w:rsidP="000C15DE">
            <w:pPr>
              <w:pStyle w:val="Tabletext"/>
              <w:rPr>
                <w:lang w:val="es-ES_tradnl"/>
              </w:rPr>
            </w:pPr>
            <w:hyperlink r:id="rId32" w:history="1">
              <w:r w:rsidRPr="00702FF7">
                <w:rPr>
                  <w:rStyle w:val="Hyperlink"/>
                  <w:rFonts w:asciiTheme="minorHAnsi" w:hAnsiTheme="minorHAnsi" w:cstheme="minorBidi"/>
                  <w:lang w:val="es-ES_tradnl"/>
                </w:rPr>
                <w:t xml:space="preserve">58 </w:t>
              </w:r>
              <w:r w:rsidRPr="00702FF7">
                <w:rPr>
                  <w:lang w:val="es-ES_tradnl"/>
                </w:rPr>
                <w:t>(§6)</w:t>
              </w:r>
            </w:hyperlink>
            <w:r w:rsidRPr="00702FF7">
              <w:rPr>
                <w:rFonts w:cstheme="minorBidi"/>
                <w:lang w:val="es-ES_tradnl"/>
              </w:rPr>
              <w:t xml:space="preserve">, </w:t>
            </w:r>
            <w:r w:rsidRPr="00702FF7">
              <w:rPr>
                <w:lang w:val="es-ES_tradnl"/>
              </w:rPr>
              <w:br/>
            </w:r>
            <w:hyperlink r:id="rId33">
              <w:r w:rsidRPr="00702FF7">
                <w:rPr>
                  <w:rStyle w:val="Hyperlink"/>
                  <w:rFonts w:asciiTheme="minorHAnsi" w:hAnsiTheme="minorHAnsi" w:cstheme="minorBidi"/>
                  <w:lang w:val="es-ES_tradnl"/>
                </w:rPr>
                <w:t>62</w:t>
              </w:r>
            </w:hyperlink>
            <w:r w:rsidRPr="00702FF7">
              <w:rPr>
                <w:rFonts w:cstheme="minorBidi"/>
                <w:lang w:val="es-ES_tradnl"/>
              </w:rPr>
              <w:t xml:space="preserve"> (Director, BR) </w:t>
            </w:r>
          </w:p>
        </w:tc>
        <w:tc>
          <w:tcPr>
            <w:tcW w:w="11623" w:type="dxa"/>
            <w:tcBorders>
              <w:bottom w:val="single" w:sz="6" w:space="0" w:color="auto"/>
            </w:tcBorders>
          </w:tcPr>
          <w:p w14:paraId="18CF32A4" w14:textId="77777777" w:rsidR="00AE3B0C" w:rsidRPr="00702FF7" w:rsidRDefault="00AE3B0C" w:rsidP="000C15DE">
            <w:pPr>
              <w:pStyle w:val="Tabletext"/>
              <w:rPr>
                <w:rFonts w:cstheme="minorBidi"/>
                <w:lang w:val="es-ES_tradnl"/>
              </w:rPr>
            </w:pPr>
            <w:r w:rsidRPr="00702FF7">
              <w:rPr>
                <w:rFonts w:cstheme="minorBidi"/>
                <w:lang w:val="es-ES_tradnl"/>
              </w:rPr>
              <w:t>El GAR tomó nota del Plan Operacional del UIT-R, presentado en la sección 6 del informe del Director y recogido en el Documento RAG/62, y celebró la inclusión de una nueva sección relativa a la evaluación de riesgos.</w:t>
            </w:r>
          </w:p>
          <w:p w14:paraId="5FD67207" w14:textId="77777777" w:rsidR="00AE3B0C" w:rsidRPr="00702FF7" w:rsidRDefault="00AE3B0C" w:rsidP="000C15DE">
            <w:pPr>
              <w:pStyle w:val="Tabletext"/>
              <w:rPr>
                <w:lang w:val="es-ES_tradnl"/>
              </w:rPr>
            </w:pPr>
            <w:r w:rsidRPr="00702FF7">
              <w:rPr>
                <w:lang w:val="es-ES_tradnl"/>
              </w:rPr>
              <w:t>El GAR tomó asimismo nota de que la Secretaría General estaba elaborando una nueva metodología para el Plan Operacional de la UIT y abogó por que se garantizara una clara separación entre el Plan Operacional de la UIT y los distintos Planes Operacionales de cada Sector, así como por que se facilitara al grupo asesor cada año el Plan Operacional renovable y el informe de resultados del año anterior.</w:t>
            </w:r>
          </w:p>
          <w:p w14:paraId="40E15614" w14:textId="614DFC0C" w:rsidR="00AE3B0C" w:rsidRPr="00702FF7" w:rsidRDefault="00AE3B0C" w:rsidP="000C15DE">
            <w:pPr>
              <w:pStyle w:val="Tabletext"/>
              <w:rPr>
                <w:lang w:val="es-ES_tradnl"/>
              </w:rPr>
            </w:pPr>
            <w:r w:rsidRPr="00702FF7">
              <w:rPr>
                <w:lang w:val="es-ES_tradnl"/>
              </w:rPr>
              <w:t>En respuesta a la cuestión de los retrasos/prórrogas de los plazos reglamentarios aplicables a la tramitación de notificaciones satelitales (véase la sección 2.1 del Documento RAG/62), el GAR recordó que dichos plazos constituían</w:t>
            </w:r>
            <w:r w:rsidR="003D461A" w:rsidRPr="00702FF7">
              <w:rPr>
                <w:lang w:val="es-ES_tradnl"/>
              </w:rPr>
              <w:t xml:space="preserve"> </w:t>
            </w:r>
            <w:r w:rsidRPr="00702FF7">
              <w:rPr>
                <w:lang w:val="es-ES_tradnl"/>
              </w:rPr>
              <w:t xml:space="preserve">obligaciones dimanantes de un tratado y recomendó que se expusieran los motivos de las demoras y se consideraran planes u opciones para resolver el problema (y que fueran aplicables, en el futuro, a cualquier meta que no pudiera alcanzarse). </w:t>
            </w:r>
          </w:p>
          <w:p w14:paraId="1FB00772" w14:textId="77777777" w:rsidR="00AE3B0C" w:rsidRPr="00702FF7" w:rsidRDefault="00AE3B0C" w:rsidP="000C15DE">
            <w:pPr>
              <w:pStyle w:val="Tabletext"/>
              <w:rPr>
                <w:lang w:val="es-ES_tradnl"/>
              </w:rPr>
            </w:pPr>
            <w:r w:rsidRPr="00702FF7">
              <w:rPr>
                <w:lang w:val="es-ES_tradnl"/>
              </w:rPr>
              <w:t xml:space="preserve">Habida cuenta de lo anterior y de la actual falta de personal de la BR en general, también se expresaron inquietudes con respecto a la reducción de personal prevista para 2030, el aumento de la participación de la BR en diversas organizaciones regionales y los importantes cambios que cabía introducir en el </w:t>
            </w:r>
            <w:r w:rsidRPr="006D63F0">
              <w:rPr>
                <w:i/>
                <w:iCs/>
                <w:lang w:val="es-ES_tradnl"/>
              </w:rPr>
              <w:t>software</w:t>
            </w:r>
            <w:r w:rsidRPr="00702FF7">
              <w:rPr>
                <w:lang w:val="es-ES_tradnl"/>
              </w:rPr>
              <w:t xml:space="preserve"> a raíz de las decisiones de la CMR-23 y las posibles decisiones de la CMR-27 (lo que podría dar lugar a un retraso adicional o mayor de lo previsto con respecto al plazo reglamentario, así como al riesgo de errores en la validación). </w:t>
            </w:r>
          </w:p>
          <w:p w14:paraId="3F1A7383" w14:textId="77777777" w:rsidR="00AE3B0C" w:rsidRPr="00702FF7" w:rsidRDefault="00AE3B0C" w:rsidP="000C15DE">
            <w:pPr>
              <w:pStyle w:val="Tabletext"/>
              <w:rPr>
                <w:lang w:val="es-ES_tradnl"/>
              </w:rPr>
            </w:pPr>
            <w:r w:rsidRPr="00702FF7">
              <w:rPr>
                <w:lang w:val="es-ES_tradnl"/>
              </w:rPr>
              <w:t xml:space="preserve">La Secretaría de la BR confirmó que, en la sección 3, se esbozaban distintas medidas de mitigación para cada riesgo y que se habían solicitado al Consejo recursos específicos para la modernización del </w:t>
            </w:r>
            <w:r w:rsidRPr="006D63F0">
              <w:rPr>
                <w:i/>
                <w:iCs/>
                <w:lang w:val="es-ES_tradnl"/>
              </w:rPr>
              <w:t>software</w:t>
            </w:r>
            <w:r w:rsidRPr="00702FF7">
              <w:rPr>
                <w:lang w:val="es-ES_tradnl"/>
              </w:rPr>
              <w:t xml:space="preserve">. La BR tomó nota de la inquietud que suscitaba la reducción de personal prevista y declaró que revisaría las correspondientes previsiones. </w:t>
            </w:r>
          </w:p>
          <w:p w14:paraId="74CE2CEC" w14:textId="783360DA" w:rsidR="00AE3B0C" w:rsidRPr="00702FF7" w:rsidRDefault="00AE3B0C" w:rsidP="000C15DE">
            <w:pPr>
              <w:pStyle w:val="Tabletext"/>
              <w:rPr>
                <w:lang w:val="es-ES_tradnl"/>
              </w:rPr>
            </w:pPr>
            <w:r w:rsidRPr="00702FF7">
              <w:rPr>
                <w:lang w:val="es-ES_tradnl"/>
              </w:rPr>
              <w:t xml:space="preserve">En cuanto a la continuidad de las actividades durante la fase de reconstrucción del edificio de la sede en Ginebra, el GAR recomendó que, en el futuro, se incluyera en el Plan Operacional un plan detallado de continuidad de las actividades, en el que </w:t>
            </w:r>
            <w:r w:rsidRPr="00702FF7">
              <w:rPr>
                <w:lang w:val="es-ES_tradnl"/>
              </w:rPr>
              <w:lastRenderedPageBreak/>
              <w:t>se destacara la necesidad de garantizar la continuidad de las actividades de las Comisiones de Estudio del UIT-R, se reconociera que las cuestiones relacionadas con el edificio de la Sede y otros costes incumbían al Consejo, y se abordaran cuestiones ref</w:t>
            </w:r>
            <w:r w:rsidR="00126725">
              <w:rPr>
                <w:lang w:val="es-ES_tradnl"/>
              </w:rPr>
              <w:t>e</w:t>
            </w:r>
            <w:r w:rsidRPr="00702FF7">
              <w:rPr>
                <w:lang w:val="es-ES_tradnl"/>
              </w:rPr>
              <w:t>rentes a la mitigación de la pérdida de espacio de trabajo en la sede de la UIT.</w:t>
            </w:r>
            <w:r w:rsidR="003D461A" w:rsidRPr="00702FF7">
              <w:rPr>
                <w:lang w:val="es-ES_tradnl"/>
              </w:rPr>
              <w:t xml:space="preserve"> </w:t>
            </w:r>
          </w:p>
          <w:p w14:paraId="249E4CC0" w14:textId="77777777" w:rsidR="00AE3B0C" w:rsidRPr="00702FF7" w:rsidRDefault="00AE3B0C" w:rsidP="000C15DE">
            <w:pPr>
              <w:pStyle w:val="Tabletext"/>
              <w:rPr>
                <w:lang w:val="es-ES_tradnl"/>
              </w:rPr>
            </w:pPr>
            <w:r w:rsidRPr="00702FF7">
              <w:rPr>
                <w:lang w:val="es-ES_tradnl"/>
              </w:rPr>
              <w:t xml:space="preserve">El GAR debatió la posible inclusión de información/datos sobre las repercusiones financieras de las actividades de la Oficina (tal y como se hacía o se hace en todos los Sectores de la UIT). El GAR también señaló que la relación entre los Planes Financiero, Estratégico y Operacional se recogía en la Resolución 151. </w:t>
            </w:r>
          </w:p>
          <w:p w14:paraId="67F334B2" w14:textId="77777777" w:rsidR="00AE3B0C" w:rsidRPr="00702FF7" w:rsidRDefault="00AE3B0C" w:rsidP="000C15DE">
            <w:pPr>
              <w:pStyle w:val="Tabletext"/>
              <w:rPr>
                <w:lang w:val="es-ES_tradnl"/>
              </w:rPr>
            </w:pPr>
            <w:r w:rsidRPr="00702FF7">
              <w:rPr>
                <w:lang w:val="es-ES_tradnl"/>
              </w:rPr>
              <w:t xml:space="preserve">El GAR reconoció/reiteró la necesidad de garantizar la coherencia entre el Plan Operacional y el informe de la Oficina a la RRB. </w:t>
            </w:r>
          </w:p>
        </w:tc>
      </w:tr>
      <w:tr w:rsidR="00AE3B0C" w:rsidRPr="00B33A8D" w14:paraId="7A75624B" w14:textId="77777777" w:rsidTr="000C15DE">
        <w:trPr>
          <w:cantSplit/>
        </w:trPr>
        <w:tc>
          <w:tcPr>
            <w:tcW w:w="1410" w:type="dxa"/>
            <w:tcBorders>
              <w:bottom w:val="single" w:sz="4" w:space="0" w:color="auto"/>
            </w:tcBorders>
          </w:tcPr>
          <w:p w14:paraId="4E27C37E" w14:textId="77777777" w:rsidR="00AE3B0C" w:rsidRPr="00702FF7" w:rsidRDefault="00AE3B0C" w:rsidP="000C15DE">
            <w:pPr>
              <w:pStyle w:val="Tabletext"/>
              <w:rPr>
                <w:b/>
                <w:bCs/>
                <w:lang w:val="es-ES_tradnl"/>
              </w:rPr>
            </w:pPr>
            <w:r w:rsidRPr="00702FF7">
              <w:rPr>
                <w:b/>
                <w:bCs/>
                <w:lang w:val="es-ES_tradnl"/>
              </w:rPr>
              <w:lastRenderedPageBreak/>
              <w:t>6</w:t>
            </w:r>
          </w:p>
        </w:tc>
        <w:tc>
          <w:tcPr>
            <w:tcW w:w="2268" w:type="dxa"/>
            <w:tcBorders>
              <w:bottom w:val="single" w:sz="4" w:space="0" w:color="auto"/>
            </w:tcBorders>
          </w:tcPr>
          <w:p w14:paraId="66838AF8" w14:textId="77777777" w:rsidR="00AE3B0C" w:rsidRPr="00702FF7" w:rsidRDefault="00AE3B0C" w:rsidP="000C15DE">
            <w:pPr>
              <w:pStyle w:val="Tabletext"/>
              <w:rPr>
                <w:b/>
                <w:bCs/>
                <w:lang w:val="es-ES_tradnl"/>
              </w:rPr>
            </w:pPr>
            <w:r w:rsidRPr="00702FF7">
              <w:rPr>
                <w:b/>
                <w:bCs/>
                <w:lang w:val="es-ES_tradnl"/>
              </w:rPr>
              <w:t>Aplicación de las decisiones de la AR-23</w:t>
            </w:r>
          </w:p>
        </w:tc>
        <w:tc>
          <w:tcPr>
            <w:tcW w:w="11623" w:type="dxa"/>
            <w:tcBorders>
              <w:bottom w:val="single" w:sz="4" w:space="0" w:color="auto"/>
            </w:tcBorders>
          </w:tcPr>
          <w:p w14:paraId="5F772FE6" w14:textId="77777777" w:rsidR="00AE3B0C" w:rsidRPr="00702FF7" w:rsidRDefault="00AE3B0C" w:rsidP="000C15DE">
            <w:pPr>
              <w:pStyle w:val="Tabletext"/>
              <w:rPr>
                <w:lang w:val="es-ES_tradnl"/>
              </w:rPr>
            </w:pPr>
          </w:p>
        </w:tc>
      </w:tr>
      <w:tr w:rsidR="00AE3B0C" w:rsidRPr="00B33A8D" w14:paraId="740C90FC" w14:textId="77777777" w:rsidTr="000C15DE">
        <w:trPr>
          <w:cantSplit/>
        </w:trPr>
        <w:tc>
          <w:tcPr>
            <w:tcW w:w="1410" w:type="dxa"/>
            <w:tcBorders>
              <w:top w:val="single" w:sz="4" w:space="0" w:color="auto"/>
            </w:tcBorders>
          </w:tcPr>
          <w:p w14:paraId="0448CBFD" w14:textId="77777777" w:rsidR="00AE3B0C" w:rsidRPr="00702FF7" w:rsidRDefault="00AE3B0C" w:rsidP="000C15DE">
            <w:pPr>
              <w:pStyle w:val="Tabletext"/>
              <w:rPr>
                <w:lang w:val="es-ES_tradnl"/>
              </w:rPr>
            </w:pPr>
          </w:p>
        </w:tc>
        <w:tc>
          <w:tcPr>
            <w:tcW w:w="2268" w:type="dxa"/>
            <w:tcBorders>
              <w:top w:val="single" w:sz="4" w:space="0" w:color="auto"/>
            </w:tcBorders>
          </w:tcPr>
          <w:p w14:paraId="6ED92146" w14:textId="0255FE97" w:rsidR="00AE3B0C" w:rsidRPr="00702FF7" w:rsidRDefault="00AE3B0C" w:rsidP="005F4522">
            <w:pPr>
              <w:pStyle w:val="Tabletext"/>
              <w:spacing w:after="1200"/>
              <w:rPr>
                <w:lang w:val="es-ES_tradnl"/>
              </w:rPr>
            </w:pPr>
            <w:hyperlink r:id="rId34" w:history="1">
              <w:r w:rsidRPr="00702FF7">
                <w:rPr>
                  <w:rStyle w:val="Hyperlink"/>
                  <w:rFonts w:asciiTheme="minorHAnsi" w:hAnsiTheme="minorHAnsi" w:cstheme="minorHAnsi"/>
                  <w:lang w:val="es-ES_tradnl"/>
                </w:rPr>
                <w:t>65</w:t>
              </w:r>
            </w:hyperlink>
            <w:r w:rsidRPr="00702FF7">
              <w:rPr>
                <w:lang w:val="es-ES_tradnl"/>
              </w:rPr>
              <w:t xml:space="preserve">, </w:t>
            </w:r>
            <w:hyperlink r:id="rId35" w:history="1">
              <w:r w:rsidRPr="00702FF7">
                <w:rPr>
                  <w:rStyle w:val="Hyperlink"/>
                  <w:rFonts w:asciiTheme="minorHAnsi" w:hAnsiTheme="minorHAnsi" w:cstheme="minorHAnsi"/>
                  <w:lang w:val="es-ES_tradnl"/>
                </w:rPr>
                <w:t>DT/7</w:t>
              </w:r>
            </w:hyperlink>
            <w:r w:rsidR="00DF18A4">
              <w:rPr>
                <w:lang w:val="es-ES_tradnl"/>
              </w:rPr>
              <w:t xml:space="preserve"> </w:t>
            </w:r>
            <w:r w:rsidRPr="00702FF7">
              <w:rPr>
                <w:lang w:val="es-ES_tradnl"/>
              </w:rPr>
              <w:t>(Presidente,</w:t>
            </w:r>
            <w:r w:rsidR="000C15DE" w:rsidRPr="00702FF7">
              <w:rPr>
                <w:lang w:val="es-ES_tradnl"/>
              </w:rPr>
              <w:t xml:space="preserve"> </w:t>
            </w:r>
            <w:r w:rsidRPr="00702FF7">
              <w:rPr>
                <w:lang w:val="es-ES_tradnl"/>
              </w:rPr>
              <w:t>GC-RPC del GAR)</w:t>
            </w:r>
          </w:p>
          <w:p w14:paraId="1ADE644E" w14:textId="75CDE7E7" w:rsidR="00AE3B0C" w:rsidRPr="00702FF7" w:rsidRDefault="00AE3B0C" w:rsidP="000C15DE">
            <w:pPr>
              <w:pStyle w:val="Tabletext"/>
              <w:rPr>
                <w:rFonts w:eastAsia="Aptos"/>
                <w:color w:val="000000" w:themeColor="text1"/>
                <w:lang w:val="es-ES_tradnl"/>
              </w:rPr>
            </w:pPr>
            <w:hyperlink r:id="rId36">
              <w:r w:rsidRPr="00702FF7">
                <w:rPr>
                  <w:rStyle w:val="Hyperlink"/>
                  <w:rFonts w:asciiTheme="minorHAnsi" w:eastAsia="Aptos" w:hAnsiTheme="minorHAnsi" w:cstheme="minorHAnsi"/>
                  <w:lang w:val="es-ES_tradnl"/>
                </w:rPr>
                <w:t>72</w:t>
              </w:r>
            </w:hyperlink>
            <w:r w:rsidRPr="00702FF7">
              <w:rPr>
                <w:rFonts w:eastAsia="Aptos"/>
                <w:color w:val="000000" w:themeColor="text1"/>
                <w:lang w:val="es-ES_tradnl"/>
              </w:rPr>
              <w:t xml:space="preserve"> (Arabia Saudita)</w:t>
            </w:r>
            <w:r w:rsidR="000C15DE" w:rsidRPr="00702FF7">
              <w:rPr>
                <w:rFonts w:eastAsia="Aptos"/>
                <w:color w:val="000000" w:themeColor="text1"/>
                <w:lang w:val="es-ES_tradnl"/>
              </w:rPr>
              <w:t xml:space="preserve"> </w:t>
            </w:r>
          </w:p>
          <w:p w14:paraId="6F4B3E3A" w14:textId="35F15D28" w:rsidR="00AE3B0C" w:rsidRPr="00702FF7" w:rsidRDefault="00AE3B0C" w:rsidP="000C15DE">
            <w:pPr>
              <w:pStyle w:val="Tabletext"/>
              <w:rPr>
                <w:lang w:val="es-ES_tradnl"/>
              </w:rPr>
            </w:pPr>
            <w:hyperlink r:id="rId37">
              <w:r w:rsidRPr="00702FF7">
                <w:rPr>
                  <w:rStyle w:val="Hyperlink"/>
                  <w:rFonts w:asciiTheme="minorHAnsi" w:eastAsia="Aptos" w:hAnsiTheme="minorHAnsi" w:cstheme="minorHAnsi"/>
                  <w:lang w:val="es-ES_tradnl"/>
                </w:rPr>
                <w:t>73</w:t>
              </w:r>
            </w:hyperlink>
            <w:r w:rsidRPr="00702FF7">
              <w:rPr>
                <w:rFonts w:eastAsia="Aptos"/>
                <w:color w:val="000000" w:themeColor="text1"/>
                <w:lang w:val="es-ES_tradnl"/>
              </w:rPr>
              <w:t xml:space="preserve"> (China) </w:t>
            </w:r>
          </w:p>
        </w:tc>
        <w:tc>
          <w:tcPr>
            <w:tcW w:w="11623" w:type="dxa"/>
            <w:tcBorders>
              <w:top w:val="single" w:sz="4" w:space="0" w:color="auto"/>
            </w:tcBorders>
          </w:tcPr>
          <w:p w14:paraId="349F3746" w14:textId="44059EB3" w:rsidR="00AE3B0C" w:rsidRPr="00702FF7" w:rsidRDefault="00AE3B0C" w:rsidP="00291AA5">
            <w:pPr>
              <w:pStyle w:val="Tabletext"/>
              <w:spacing w:after="120"/>
              <w:rPr>
                <w:b/>
                <w:bCs/>
                <w:lang w:val="es-ES_tradnl"/>
              </w:rPr>
            </w:pPr>
            <w:r w:rsidRPr="00702FF7">
              <w:rPr>
                <w:b/>
                <w:bCs/>
                <w:lang w:val="es-ES_tradnl"/>
              </w:rPr>
              <w:t>Informe del Grupo por Correspondencia del GAR sobre la mejora del proceso de la Reunión Preparatoria de la Conferencia (RPC)</w:t>
            </w:r>
            <w:r w:rsidR="00291AA5" w:rsidRPr="00702FF7">
              <w:rPr>
                <w:b/>
                <w:bCs/>
                <w:lang w:val="es-ES_tradnl"/>
              </w:rPr>
              <w:t>:</w:t>
            </w:r>
          </w:p>
          <w:p w14:paraId="5B184A2D" w14:textId="394AC70B" w:rsidR="00AE3B0C" w:rsidRPr="00702FF7" w:rsidRDefault="00AE3B0C" w:rsidP="000C15DE">
            <w:pPr>
              <w:pStyle w:val="Tabletext"/>
              <w:rPr>
                <w:lang w:val="es-ES_tradnl"/>
              </w:rPr>
            </w:pPr>
            <w:r w:rsidRPr="00702FF7">
              <w:rPr>
                <w:lang w:val="es-ES_tradnl"/>
              </w:rPr>
              <w:t>El GAR tomó nota del informe</w:t>
            </w:r>
            <w:r w:rsidRPr="00702FF7">
              <w:rPr>
                <w:color w:val="000000"/>
                <w:shd w:val="clear" w:color="auto" w:fill="FFFFFF"/>
                <w:lang w:val="es-ES_tradnl"/>
              </w:rPr>
              <w:t xml:space="preserve"> del Presidente </w:t>
            </w:r>
            <w:r w:rsidRPr="00702FF7">
              <w:rPr>
                <w:lang w:val="es-ES_tradnl"/>
              </w:rPr>
              <w:t xml:space="preserve">del Grupo por Correspondencia del GAR sobre la mejora del proceso de la Reunión Preparatoria de la Conferencia </w:t>
            </w:r>
            <w:r w:rsidRPr="00702FF7">
              <w:rPr>
                <w:color w:val="000000"/>
                <w:lang w:val="es-ES_tradnl"/>
              </w:rPr>
              <w:t>(GC-RPC del GAR)</w:t>
            </w:r>
            <w:r w:rsidRPr="00702FF7">
              <w:rPr>
                <w:lang w:val="es-ES_tradnl"/>
              </w:rPr>
              <w:t xml:space="preserve"> a la 33.ª reunión del GAR, incluido en el Documento RAG/65, así como de un documento de trabajo que contenía un anteproyecto de revisión de la Resolución UIT-R 2-9 (véase el Documento</w:t>
            </w:r>
            <w:r w:rsidR="000C15DE" w:rsidRPr="00702FF7">
              <w:rPr>
                <w:lang w:val="es-ES_tradnl"/>
              </w:rPr>
              <w:t> </w:t>
            </w:r>
            <w:r w:rsidRPr="00702FF7">
              <w:rPr>
                <w:lang w:val="es-ES_tradnl"/>
              </w:rPr>
              <w:t>DT/7).</w:t>
            </w:r>
          </w:p>
          <w:p w14:paraId="4DE280B4" w14:textId="77777777" w:rsidR="00AE3B0C" w:rsidRPr="00702FF7" w:rsidRDefault="00AE3B0C" w:rsidP="000C15DE">
            <w:pPr>
              <w:pStyle w:val="Tabletext"/>
              <w:rPr>
                <w:lang w:val="es-ES_tradnl"/>
              </w:rPr>
            </w:pPr>
            <w:r w:rsidRPr="00702FF7">
              <w:rPr>
                <w:lang w:val="es-ES_tradnl"/>
              </w:rPr>
              <w:t xml:space="preserve">El GAR </w:t>
            </w:r>
            <w:r w:rsidRPr="00702FF7">
              <w:rPr>
                <w:color w:val="000000" w:themeColor="text1"/>
                <w:lang w:val="es-ES_tradnl"/>
              </w:rPr>
              <w:t>expresó su agradecimiento al Presidente del</w:t>
            </w:r>
            <w:r w:rsidRPr="00702FF7">
              <w:rPr>
                <w:color w:val="000000"/>
                <w:lang w:val="es-ES_tradnl"/>
              </w:rPr>
              <w:t xml:space="preserve"> GC-RPC del GAR</w:t>
            </w:r>
            <w:r w:rsidRPr="00702FF7">
              <w:rPr>
                <w:color w:val="000000" w:themeColor="text1"/>
                <w:lang w:val="es-ES_tradnl"/>
              </w:rPr>
              <w:t>.</w:t>
            </w:r>
          </w:p>
          <w:p w14:paraId="057069DD" w14:textId="77777777" w:rsidR="00AE3B0C" w:rsidRPr="00702FF7" w:rsidRDefault="00AE3B0C" w:rsidP="000C15DE">
            <w:pPr>
              <w:pStyle w:val="Tabletext"/>
              <w:rPr>
                <w:rFonts w:eastAsia="Calibri"/>
                <w:lang w:val="es-ES_tradnl"/>
              </w:rPr>
            </w:pPr>
            <w:r w:rsidRPr="00702FF7">
              <w:rPr>
                <w:rFonts w:eastAsia="Calibri"/>
                <w:color w:val="000000"/>
                <w:lang w:val="es-ES_tradnl"/>
              </w:rPr>
              <w:t xml:space="preserve">El GAR acordó examinar el mandato actualizado que se proponía para el GC-RPC del GAR, incluido en el Documento RAG/72, así como </w:t>
            </w:r>
            <w:r w:rsidRPr="00702FF7">
              <w:rPr>
                <w:rFonts w:eastAsia="Calibri"/>
                <w:color w:val="000000" w:themeColor="text1"/>
                <w:lang w:val="es-ES_tradnl"/>
              </w:rPr>
              <w:t>las modificaciones propuestas al formato del informe de la RPC, que podían consultarse en el Documento RAG/73.</w:t>
            </w:r>
          </w:p>
          <w:p w14:paraId="5F8E602D" w14:textId="69EB8AC3" w:rsidR="00AE3B0C" w:rsidRPr="00702FF7" w:rsidRDefault="00AE3B0C" w:rsidP="000C15DE">
            <w:pPr>
              <w:pStyle w:val="Tabletext"/>
              <w:rPr>
                <w:lang w:val="es-ES_tradnl"/>
              </w:rPr>
            </w:pPr>
            <w:r w:rsidRPr="00702FF7">
              <w:rPr>
                <w:rFonts w:cstheme="minorBidi"/>
                <w:lang w:val="es-ES_tradnl"/>
              </w:rPr>
              <w:t xml:space="preserve">El GAR convino en ampliar los trabajos del Grupo por Correspondencia. Tras un debate fuera de línea, dirigido por Arabia Saudita, </w:t>
            </w:r>
            <w:r w:rsidRPr="00702FF7">
              <w:rPr>
                <w:lang w:val="es-ES_tradnl"/>
              </w:rPr>
              <w:t>el GAR aprobó el mandato revisado de su GC-RPC (disponible en el Anexo 3 al presente Documento) y acordó mantener todas las contribuciones aportadas al GC-RPC desde su creación en 2024, así como a las reuniones del GAR de 2025 y</w:t>
            </w:r>
            <w:r w:rsidR="000C15DE" w:rsidRPr="00702FF7">
              <w:rPr>
                <w:lang w:val="es-ES_tradnl"/>
              </w:rPr>
              <w:t> </w:t>
            </w:r>
            <w:r w:rsidRPr="00702FF7">
              <w:rPr>
                <w:lang w:val="es-ES_tradnl"/>
              </w:rPr>
              <w:t>2026, para su futura consideración en el seno de este grupo con miras a la preparación de la próxima reunión del GAR en</w:t>
            </w:r>
            <w:r w:rsidR="000C15DE" w:rsidRPr="00702FF7">
              <w:rPr>
                <w:lang w:val="es-ES_tradnl"/>
              </w:rPr>
              <w:t> </w:t>
            </w:r>
            <w:r w:rsidRPr="00702FF7">
              <w:rPr>
                <w:lang w:val="es-ES_tradnl"/>
              </w:rPr>
              <w:t>2027.</w:t>
            </w:r>
          </w:p>
        </w:tc>
      </w:tr>
      <w:tr w:rsidR="00AE3B0C" w:rsidRPr="00B33A8D" w14:paraId="44DFEE66" w14:textId="77777777" w:rsidTr="000C15DE">
        <w:trPr>
          <w:cantSplit/>
          <w:trHeight w:val="3309"/>
        </w:trPr>
        <w:tc>
          <w:tcPr>
            <w:tcW w:w="1410" w:type="dxa"/>
          </w:tcPr>
          <w:p w14:paraId="2123104E" w14:textId="77777777" w:rsidR="00AE3B0C" w:rsidRPr="00702FF7" w:rsidRDefault="00AE3B0C" w:rsidP="000C15DE">
            <w:pPr>
              <w:pStyle w:val="Tabletext"/>
              <w:rPr>
                <w:b/>
                <w:bCs/>
                <w:lang w:val="es-ES_tradnl"/>
              </w:rPr>
            </w:pPr>
            <w:r w:rsidRPr="00702FF7">
              <w:rPr>
                <w:b/>
                <w:bCs/>
                <w:lang w:val="es-ES_tradnl"/>
              </w:rPr>
              <w:lastRenderedPageBreak/>
              <w:t>7</w:t>
            </w:r>
          </w:p>
        </w:tc>
        <w:tc>
          <w:tcPr>
            <w:tcW w:w="2268" w:type="dxa"/>
          </w:tcPr>
          <w:p w14:paraId="59354472" w14:textId="0A4E8DB8" w:rsidR="00AE3B0C" w:rsidRPr="00702FF7" w:rsidRDefault="00AE3B0C" w:rsidP="000C15DE">
            <w:pPr>
              <w:pStyle w:val="Tabletext"/>
              <w:rPr>
                <w:b/>
                <w:bCs/>
                <w:lang w:val="es-ES_tradnl"/>
              </w:rPr>
            </w:pPr>
            <w:r w:rsidRPr="00702FF7">
              <w:rPr>
                <w:b/>
                <w:bCs/>
                <w:lang w:val="es-ES_tradnl"/>
              </w:rPr>
              <w:t>Aplicación de las decisiones de la CMR</w:t>
            </w:r>
            <w:r w:rsidR="00CA406A" w:rsidRPr="00702FF7">
              <w:rPr>
                <w:b/>
                <w:bCs/>
                <w:lang w:val="es-ES_tradnl"/>
              </w:rPr>
              <w:noBreakHyphen/>
            </w:r>
            <w:r w:rsidRPr="00702FF7">
              <w:rPr>
                <w:b/>
                <w:bCs/>
                <w:lang w:val="es-ES_tradnl"/>
              </w:rPr>
              <w:t>23</w:t>
            </w:r>
          </w:p>
          <w:p w14:paraId="011A9EEB" w14:textId="3FA4CEDE" w:rsidR="00AE3B0C" w:rsidRPr="00702FF7" w:rsidRDefault="00AE3B0C" w:rsidP="00B44C74">
            <w:pPr>
              <w:pStyle w:val="Tabletext"/>
              <w:spacing w:after="600"/>
              <w:rPr>
                <w:lang w:val="es-ES_tradnl"/>
              </w:rPr>
            </w:pPr>
            <w:hyperlink r:id="rId38" w:history="1">
              <w:r w:rsidRPr="00702FF7">
                <w:rPr>
                  <w:rStyle w:val="Hyperlink"/>
                  <w:rFonts w:asciiTheme="minorHAnsi" w:hAnsiTheme="minorHAnsi" w:cstheme="minorHAnsi"/>
                  <w:lang w:val="es-ES_tradnl"/>
                </w:rPr>
                <w:t>58</w:t>
              </w:r>
            </w:hyperlink>
            <w:r w:rsidRPr="00702FF7">
              <w:rPr>
                <w:lang w:val="es-ES_tradnl"/>
              </w:rPr>
              <w:t xml:space="preserve"> (§3) </w:t>
            </w:r>
          </w:p>
          <w:p w14:paraId="43FE273A" w14:textId="3259CCD9" w:rsidR="00AE3B0C" w:rsidRPr="00702FF7" w:rsidRDefault="00AE3B0C" w:rsidP="000C15DE">
            <w:pPr>
              <w:pStyle w:val="Tabletext"/>
              <w:rPr>
                <w:lang w:val="es-ES_tradnl"/>
              </w:rPr>
            </w:pPr>
            <w:hyperlink r:id="rId39" w:history="1">
              <w:r w:rsidRPr="00702FF7">
                <w:rPr>
                  <w:rStyle w:val="Hyperlink"/>
                  <w:rFonts w:asciiTheme="minorHAnsi" w:hAnsiTheme="minorHAnsi" w:cstheme="minorHAnsi"/>
                  <w:lang w:val="es-ES_tradnl"/>
                </w:rPr>
                <w:t xml:space="preserve">57 </w:t>
              </w:r>
              <w:r w:rsidRPr="00702FF7">
                <w:rPr>
                  <w:lang w:val="es-ES_tradnl"/>
                </w:rPr>
                <w:t>(GTC-RHF)</w:t>
              </w:r>
            </w:hyperlink>
          </w:p>
        </w:tc>
        <w:tc>
          <w:tcPr>
            <w:tcW w:w="11623" w:type="dxa"/>
          </w:tcPr>
          <w:p w14:paraId="0833B636" w14:textId="77777777" w:rsidR="00AE3B0C" w:rsidRPr="00702FF7" w:rsidRDefault="00AE3B0C" w:rsidP="000C15DE">
            <w:pPr>
              <w:pStyle w:val="Tabletext"/>
              <w:rPr>
                <w:lang w:val="es-ES_tradnl"/>
              </w:rPr>
            </w:pPr>
            <w:r w:rsidRPr="00702FF7">
              <w:rPr>
                <w:lang w:val="es-ES_tradnl"/>
              </w:rPr>
              <w:t xml:space="preserve">El GAR tomó nota de la sección 3 del informe del Director, relativa a la aplicación de las decisiones de la CMR-23. </w:t>
            </w:r>
          </w:p>
          <w:p w14:paraId="42E1FCCD" w14:textId="77777777" w:rsidR="00AE3B0C" w:rsidRPr="00702FF7" w:rsidRDefault="00AE3B0C" w:rsidP="000C15DE">
            <w:pPr>
              <w:pStyle w:val="Tabletext"/>
              <w:rPr>
                <w:lang w:val="es-ES_tradnl"/>
              </w:rPr>
            </w:pPr>
            <w:r w:rsidRPr="00702FF7">
              <w:rPr>
                <w:lang w:val="es-ES_tradnl"/>
              </w:rPr>
              <w:t>El GAR examinó la declaración de coordinación enviada por el GTC-RHF a los distintos grupos asesores sectoriales y al Grupo de Coordinación Intersectorial (GCIS) sobre un proceso para estimar las repercusiones financieras de las decisiones y resoluciones propuestas en las conferencias y asambleas de la UIT (véase el Documento RAG/57), en el que se solicitaba a los grupos asesores sectoriales y al GCIS que formulasen observaciones en la materia con miras a incluirlas en una contribución a la próxima reunión del Consejo.</w:t>
            </w:r>
          </w:p>
          <w:p w14:paraId="72AC0D60" w14:textId="1AAD9491" w:rsidR="00AE3B0C" w:rsidRPr="00702FF7" w:rsidRDefault="00AE3B0C" w:rsidP="000C15DE">
            <w:pPr>
              <w:pStyle w:val="Tabletext"/>
              <w:rPr>
                <w:lang w:val="es-ES_tradnl"/>
              </w:rPr>
            </w:pPr>
            <w:r w:rsidRPr="00702FF7">
              <w:rPr>
                <w:lang w:val="es-ES_tradnl"/>
              </w:rPr>
              <w:t>El GAR reconoció la importancia del tema y evocó las dificultades que entrañaba el cálculo de dichas estimaciones en el contexto de las CMR. El GAR convino en que, dada la complejidad que revestían los temas, los puntos del orden del día y las decisiones y resoluciones conexas, tal vez resultara difícil aplicar la metodología de estimación de costes propuesta antes de la</w:t>
            </w:r>
            <w:r w:rsidR="000C15DE" w:rsidRPr="00702FF7">
              <w:rPr>
                <w:lang w:val="es-ES_tradnl"/>
              </w:rPr>
              <w:t> </w:t>
            </w:r>
            <w:r w:rsidRPr="00702FF7">
              <w:rPr>
                <w:lang w:val="es-ES_tradnl"/>
              </w:rPr>
              <w:t xml:space="preserve">CMR-27. </w:t>
            </w:r>
          </w:p>
          <w:p w14:paraId="4D8A11F6" w14:textId="77777777" w:rsidR="00AE3B0C" w:rsidRPr="00702FF7" w:rsidRDefault="00AE3B0C" w:rsidP="000C15DE">
            <w:pPr>
              <w:pStyle w:val="Tabletext"/>
              <w:rPr>
                <w:lang w:val="es-ES_tradnl"/>
              </w:rPr>
            </w:pPr>
            <w:r w:rsidRPr="00702FF7">
              <w:rPr>
                <w:lang w:val="es-ES_tradnl"/>
              </w:rPr>
              <w:t>El GAR acordó enviar la nota del Presidente del GAR al GTC-RHF de 2026 que figura en el Anexo 4.</w:t>
            </w:r>
          </w:p>
        </w:tc>
      </w:tr>
      <w:tr w:rsidR="00AE3B0C" w:rsidRPr="00B33A8D" w14:paraId="0489FFDF" w14:textId="77777777" w:rsidTr="000C15DE">
        <w:trPr>
          <w:cantSplit/>
        </w:trPr>
        <w:tc>
          <w:tcPr>
            <w:tcW w:w="1410" w:type="dxa"/>
          </w:tcPr>
          <w:p w14:paraId="170D1C9F" w14:textId="1FB13284" w:rsidR="00AE3B0C" w:rsidRPr="00702FF7" w:rsidRDefault="00AE3B0C" w:rsidP="00CA406A">
            <w:pPr>
              <w:pStyle w:val="Tabletext"/>
              <w:rPr>
                <w:b/>
                <w:bCs/>
                <w:lang w:val="es-ES_tradnl"/>
              </w:rPr>
            </w:pPr>
            <w:r w:rsidRPr="00702FF7">
              <w:rPr>
                <w:b/>
                <w:bCs/>
                <w:lang w:val="es-ES_tradnl"/>
              </w:rPr>
              <w:t>8</w:t>
            </w:r>
          </w:p>
        </w:tc>
        <w:tc>
          <w:tcPr>
            <w:tcW w:w="2268" w:type="dxa"/>
          </w:tcPr>
          <w:p w14:paraId="6D0FB436" w14:textId="5A1AEACC" w:rsidR="00AE3B0C" w:rsidRPr="00702FF7" w:rsidRDefault="00AE3B0C" w:rsidP="00291AA5">
            <w:pPr>
              <w:pStyle w:val="Tabletext"/>
              <w:rPr>
                <w:rFonts w:eastAsia="SimSun"/>
                <w:b/>
                <w:bCs/>
                <w:lang w:val="es-ES_tradnl"/>
              </w:rPr>
            </w:pPr>
            <w:r w:rsidRPr="00702FF7">
              <w:rPr>
                <w:b/>
                <w:bCs/>
                <w:lang w:val="es-ES_tradnl"/>
              </w:rPr>
              <w:t>Preparativos</w:t>
            </w:r>
            <w:r w:rsidRPr="00702FF7">
              <w:rPr>
                <w:rFonts w:eastAsia="SimSun"/>
                <w:b/>
                <w:bCs/>
                <w:szCs w:val="24"/>
                <w:lang w:val="es-ES_tradnl"/>
              </w:rPr>
              <w:t xml:space="preserve"> de la AR/CMR-27</w:t>
            </w:r>
          </w:p>
          <w:p w14:paraId="5D79668A" w14:textId="66E14FC8" w:rsidR="00AE3B0C" w:rsidRPr="00702FF7" w:rsidRDefault="00AE3B0C" w:rsidP="00B44C74">
            <w:pPr>
              <w:pStyle w:val="Tabletext"/>
              <w:spacing w:after="600"/>
              <w:rPr>
                <w:lang w:val="es-ES_tradnl"/>
              </w:rPr>
            </w:pPr>
            <w:hyperlink r:id="rId40" w:history="1">
              <w:r w:rsidRPr="00702FF7">
                <w:rPr>
                  <w:rStyle w:val="Hyperlink"/>
                  <w:rFonts w:asciiTheme="minorHAnsi" w:hAnsiTheme="minorHAnsi" w:cstheme="minorHAnsi"/>
                  <w:lang w:val="es-ES_tradnl"/>
                </w:rPr>
                <w:t>58</w:t>
              </w:r>
            </w:hyperlink>
            <w:r w:rsidRPr="00702FF7">
              <w:rPr>
                <w:lang w:val="es-ES_tradnl"/>
              </w:rPr>
              <w:t xml:space="preserve"> (§4.1)</w:t>
            </w:r>
          </w:p>
          <w:p w14:paraId="24A57675" w14:textId="36E40C1A" w:rsidR="00AE3B0C" w:rsidRPr="00702FF7" w:rsidRDefault="00AE3B0C" w:rsidP="00B44C74">
            <w:pPr>
              <w:pStyle w:val="Tabletext"/>
              <w:spacing w:after="600"/>
              <w:rPr>
                <w:lang w:val="es-ES_tradnl"/>
              </w:rPr>
            </w:pPr>
            <w:hyperlink r:id="rId41">
              <w:r w:rsidRPr="00702FF7">
                <w:rPr>
                  <w:rStyle w:val="Hyperlink"/>
                  <w:rFonts w:asciiTheme="minorHAnsi" w:hAnsiTheme="minorHAnsi" w:cstheme="minorHAnsi"/>
                  <w:lang w:val="es-ES_tradnl"/>
                </w:rPr>
                <w:t>58</w:t>
              </w:r>
              <w:r w:rsidRPr="00702FF7">
                <w:rPr>
                  <w:rStyle w:val="Hyperlink"/>
                  <w:color w:val="auto"/>
                  <w:u w:val="none"/>
                  <w:lang w:val="es-ES_tradnl"/>
                </w:rPr>
                <w:t xml:space="preserve"> </w:t>
              </w:r>
              <w:r w:rsidRPr="00702FF7">
                <w:rPr>
                  <w:lang w:val="es-ES_tradnl"/>
                </w:rPr>
                <w:t>(§4.2)</w:t>
              </w:r>
            </w:hyperlink>
          </w:p>
          <w:p w14:paraId="6F94C331" w14:textId="38E8EEB6" w:rsidR="00AE3B0C" w:rsidRPr="00702FF7" w:rsidRDefault="00AE3B0C" w:rsidP="00CA406A">
            <w:pPr>
              <w:pStyle w:val="Tabletext"/>
              <w:rPr>
                <w:rFonts w:eastAsia="SimSun"/>
                <w:lang w:val="es-ES_tradnl"/>
              </w:rPr>
            </w:pPr>
            <w:hyperlink r:id="rId42">
              <w:r w:rsidRPr="00702FF7">
                <w:rPr>
                  <w:rStyle w:val="Hyperlink"/>
                  <w:rFonts w:asciiTheme="minorHAnsi" w:hAnsiTheme="minorHAnsi" w:cstheme="minorHAnsi"/>
                  <w:lang w:val="es-ES_tradnl"/>
                </w:rPr>
                <w:t>71</w:t>
              </w:r>
            </w:hyperlink>
            <w:r w:rsidRPr="00702FF7">
              <w:rPr>
                <w:rFonts w:eastAsia="Aptos"/>
                <w:lang w:val="es-ES_tradnl"/>
              </w:rPr>
              <w:t xml:space="preserve"> (Arabia Saudita)</w:t>
            </w:r>
          </w:p>
        </w:tc>
        <w:tc>
          <w:tcPr>
            <w:tcW w:w="11623" w:type="dxa"/>
          </w:tcPr>
          <w:p w14:paraId="3911136E" w14:textId="78DE8629" w:rsidR="00AE3B0C" w:rsidRPr="00702FF7" w:rsidRDefault="00AE3B0C" w:rsidP="00CA406A">
            <w:pPr>
              <w:pStyle w:val="Tabletext"/>
              <w:rPr>
                <w:lang w:val="es-ES_tradnl"/>
              </w:rPr>
            </w:pPr>
            <w:r w:rsidRPr="00702FF7">
              <w:rPr>
                <w:lang w:val="es-ES_tradnl"/>
              </w:rPr>
              <w:t xml:space="preserve">El GAR tomó nota de la información relativa a los preparativos de la AR-27 y la CMR-27, así como a otros preparativos conexos, que figura en las secciones 4.1 y 4.2 del informe del Director, respectivamente. El GAR valoró positivamente la organización de la 1ª Sesión Interregional de Información (SII) sobre los preparativos de la CMR-27, sobre la base de las conclusiones de la anterior reunión del GAR, y agradeció al </w:t>
            </w:r>
            <w:r w:rsidR="00CA406A" w:rsidRPr="00702FF7">
              <w:rPr>
                <w:lang w:val="es-ES_tradnl"/>
              </w:rPr>
              <w:t>Sr. </w:t>
            </w:r>
            <w:r w:rsidRPr="00702FF7">
              <w:rPr>
                <w:lang w:val="es-ES_tradnl"/>
              </w:rPr>
              <w:t xml:space="preserve">Aubineau su participación en la organización del evento. </w:t>
            </w:r>
          </w:p>
          <w:p w14:paraId="5F233AB3" w14:textId="77777777" w:rsidR="00AE3B0C" w:rsidRPr="00702FF7" w:rsidRDefault="00AE3B0C" w:rsidP="00CA406A">
            <w:pPr>
              <w:pStyle w:val="Tabletext"/>
              <w:rPr>
                <w:lang w:val="es-ES_tradnl"/>
              </w:rPr>
            </w:pPr>
            <w:r w:rsidRPr="00702FF7">
              <w:rPr>
                <w:lang w:val="es-ES_tradnl"/>
              </w:rPr>
              <w:t xml:space="preserve">El GAR tomó nota asimismo de los preparativos en curso para la segunda sesión de la Reunión Preparatoria de la Conferencia para la CMR-27 (RPC27-2), así como para la 2ª y la 3ª SII. Si bien reconoció lo útil que resultaba la presencia de representantes de la BR en las reuniones de los grupos regionales que se ocupaban de los preparativos de la CMR-27, siempre que fuera posible, el GAR alentó la participación virtual de más expertos de las BR en dichas reuniones, en la medida de lo posible. </w:t>
            </w:r>
          </w:p>
          <w:p w14:paraId="658FD9C3" w14:textId="77777777" w:rsidR="00AE3B0C" w:rsidRPr="00702FF7" w:rsidRDefault="00AE3B0C" w:rsidP="00CA406A">
            <w:pPr>
              <w:pStyle w:val="Tabletext"/>
              <w:rPr>
                <w:rFonts w:eastAsia="Calibri"/>
                <w:lang w:val="es-ES_tradnl"/>
              </w:rPr>
            </w:pPr>
            <w:r w:rsidRPr="00702FF7">
              <w:rPr>
                <w:rFonts w:eastAsia="Calibri"/>
                <w:lang w:val="es-ES_tradnl"/>
              </w:rPr>
              <w:t>El GAR examinó las propuestas relacionadas con la organización de las SII que figuraban en el Documento RAG/71. El GAR también examinó otras propuestas formuladas durante la reunión, entre ellas, propuestas encaminadas a:</w:t>
            </w:r>
          </w:p>
          <w:p w14:paraId="5AA20DE4" w14:textId="2AD92C43" w:rsidR="00AE3B0C" w:rsidRPr="00702FF7" w:rsidRDefault="00B44C74" w:rsidP="00CA406A">
            <w:pPr>
              <w:pStyle w:val="Tabletext"/>
              <w:rPr>
                <w:rFonts w:eastAsia="Calibri"/>
                <w:lang w:val="es-ES_tradnl"/>
              </w:rPr>
            </w:pPr>
            <w:r w:rsidRPr="00702FF7">
              <w:rPr>
                <w:rFonts w:eastAsia="Calibri"/>
                <w:lang w:val="es-ES_tradnl"/>
              </w:rPr>
              <w:t>•</w:t>
            </w:r>
            <w:r w:rsidRPr="00702FF7">
              <w:rPr>
                <w:rFonts w:eastAsia="Calibri"/>
                <w:lang w:val="es-ES_tradnl"/>
              </w:rPr>
              <w:tab/>
            </w:r>
            <w:r w:rsidR="00AE3B0C" w:rsidRPr="00702FF7">
              <w:rPr>
                <w:rFonts w:eastAsia="Calibri"/>
                <w:lang w:val="es-ES_tradnl"/>
              </w:rPr>
              <w:t xml:space="preserve">centrar el programa de las SII en un cierto número de temas o puntos del orden del día importantes; </w:t>
            </w:r>
          </w:p>
          <w:p w14:paraId="15FBCDEE" w14:textId="226AC25B" w:rsidR="00AE3B0C" w:rsidRPr="00702FF7" w:rsidRDefault="00B44C74" w:rsidP="00CA406A">
            <w:pPr>
              <w:pStyle w:val="Tabletext"/>
              <w:rPr>
                <w:rFonts w:eastAsia="Calibri"/>
                <w:lang w:val="es-ES_tradnl"/>
              </w:rPr>
            </w:pPr>
            <w:r w:rsidRPr="00702FF7">
              <w:rPr>
                <w:rFonts w:eastAsia="Calibri"/>
                <w:lang w:val="es-ES_tradnl"/>
              </w:rPr>
              <w:t>•</w:t>
            </w:r>
            <w:r w:rsidRPr="00702FF7">
              <w:rPr>
                <w:rFonts w:eastAsia="Calibri"/>
                <w:lang w:val="es-ES_tradnl"/>
              </w:rPr>
              <w:tab/>
            </w:r>
            <w:r w:rsidR="00AE3B0C" w:rsidRPr="00702FF7">
              <w:rPr>
                <w:rFonts w:eastAsia="Calibri"/>
                <w:lang w:val="es-ES_tradnl"/>
              </w:rPr>
              <w:t xml:space="preserve">ampliar las SII para facilitar un mayor debate entre los grupos regionales; </w:t>
            </w:r>
          </w:p>
          <w:p w14:paraId="7817DEBA" w14:textId="74AEE42A" w:rsidR="00AE3B0C" w:rsidRPr="00702FF7" w:rsidRDefault="00B44C74" w:rsidP="00CA406A">
            <w:pPr>
              <w:pStyle w:val="Tabletext"/>
              <w:rPr>
                <w:rFonts w:eastAsia="Calibri"/>
                <w:lang w:val="es-ES_tradnl"/>
              </w:rPr>
            </w:pPr>
            <w:r w:rsidRPr="00702FF7">
              <w:rPr>
                <w:rFonts w:eastAsia="Calibri"/>
                <w:lang w:val="es-ES_tradnl"/>
              </w:rPr>
              <w:t>•</w:t>
            </w:r>
            <w:r w:rsidRPr="00702FF7">
              <w:rPr>
                <w:rFonts w:eastAsia="Calibri"/>
                <w:lang w:val="es-ES_tradnl"/>
              </w:rPr>
              <w:tab/>
            </w:r>
            <w:r w:rsidR="00AE3B0C" w:rsidRPr="00702FF7">
              <w:rPr>
                <w:rFonts w:eastAsia="Calibri"/>
                <w:lang w:val="es-ES_tradnl"/>
              </w:rPr>
              <w:t xml:space="preserve">mantener la flexibilidad que ofrecen las SII para favorecer el intercambio de información e ideas antes de las CMR; </w:t>
            </w:r>
          </w:p>
          <w:p w14:paraId="46C87969" w14:textId="7474078E" w:rsidR="00AE3B0C" w:rsidRPr="00702FF7" w:rsidRDefault="00B44C74" w:rsidP="00B44C74">
            <w:pPr>
              <w:pStyle w:val="Tabletext"/>
              <w:ind w:left="284" w:hanging="284"/>
              <w:rPr>
                <w:rFonts w:eastAsia="Calibri"/>
                <w:lang w:val="es-ES_tradnl"/>
              </w:rPr>
            </w:pPr>
            <w:r w:rsidRPr="00702FF7">
              <w:rPr>
                <w:rFonts w:eastAsia="Calibri"/>
                <w:lang w:val="es-ES_tradnl"/>
              </w:rPr>
              <w:t>•</w:t>
            </w:r>
            <w:r w:rsidRPr="00702FF7">
              <w:rPr>
                <w:rFonts w:eastAsia="Calibri"/>
                <w:lang w:val="es-ES_tradnl"/>
              </w:rPr>
              <w:tab/>
            </w:r>
            <w:r w:rsidR="00AE3B0C" w:rsidRPr="00702FF7">
              <w:rPr>
                <w:rFonts w:eastAsia="Calibri"/>
                <w:lang w:val="es-ES_tradnl"/>
              </w:rPr>
              <w:t>considerar la posibilidad de dividir el evento en sesiones paralelas centradas en temas concretos, por ejemplo, cuestiones terrenales, satelitales o reglamentarias, con arreglo a los recursos disponibles y las limitaciones financieras existentes.</w:t>
            </w:r>
          </w:p>
          <w:p w14:paraId="13E68418" w14:textId="77777777" w:rsidR="00AE3B0C" w:rsidRPr="00702FF7" w:rsidRDefault="00AE3B0C" w:rsidP="00CA406A">
            <w:pPr>
              <w:pStyle w:val="Tabletext"/>
              <w:rPr>
                <w:rFonts w:eastAsia="Calibri"/>
                <w:lang w:val="es-ES_tradnl"/>
              </w:rPr>
            </w:pPr>
            <w:r w:rsidRPr="00702FF7">
              <w:rPr>
                <w:rFonts w:eastAsia="Calibri"/>
                <w:lang w:val="es-ES_tradnl"/>
              </w:rPr>
              <w:t>El GAR convino en que no competía a la Oficina ni proporcionar un resumen de los estudios preparatorios de la CMR, ni evaluar su estado.</w:t>
            </w:r>
          </w:p>
          <w:p w14:paraId="2729AACB" w14:textId="55AE8806" w:rsidR="00AE3B0C" w:rsidRPr="00702FF7" w:rsidRDefault="00AE3B0C" w:rsidP="00CA406A">
            <w:pPr>
              <w:pStyle w:val="Tabletext"/>
              <w:rPr>
                <w:rFonts w:eastAsia="Calibri"/>
                <w:lang w:val="es-ES_tradnl"/>
              </w:rPr>
            </w:pPr>
            <w:r w:rsidRPr="00702FF7">
              <w:rPr>
                <w:rFonts w:eastAsia="Calibri"/>
                <w:lang w:val="es-ES_tradnl"/>
              </w:rPr>
              <w:lastRenderedPageBreak/>
              <w:t>El GAR tomó nota de todas las propuestas antes mencionadas y recomendó al Director de la BR que las tuviera en cuenta al preparar futuras SII durante el ciclo de estudios en curso, o el siguiente, según procediera, y que facilitase información al respecto en las próximas reuniones del GAR.</w:t>
            </w:r>
          </w:p>
        </w:tc>
      </w:tr>
      <w:tr w:rsidR="00AE3B0C" w:rsidRPr="00B33A8D" w14:paraId="47E6CFFB" w14:textId="77777777" w:rsidTr="000C15DE">
        <w:trPr>
          <w:cantSplit/>
        </w:trPr>
        <w:tc>
          <w:tcPr>
            <w:tcW w:w="1410" w:type="dxa"/>
          </w:tcPr>
          <w:p w14:paraId="3D29C47C" w14:textId="77777777" w:rsidR="00AE3B0C" w:rsidRPr="00702FF7" w:rsidRDefault="00AE3B0C" w:rsidP="000C15DE">
            <w:pPr>
              <w:pStyle w:val="Tabletext"/>
              <w:rPr>
                <w:b/>
                <w:bCs/>
                <w:lang w:val="es-ES_tradnl"/>
              </w:rPr>
            </w:pPr>
            <w:r w:rsidRPr="00702FF7">
              <w:rPr>
                <w:b/>
                <w:bCs/>
                <w:lang w:val="es-ES_tradnl"/>
              </w:rPr>
              <w:lastRenderedPageBreak/>
              <w:t>9</w:t>
            </w:r>
          </w:p>
        </w:tc>
        <w:tc>
          <w:tcPr>
            <w:tcW w:w="2268" w:type="dxa"/>
            <w:tcBorders>
              <w:bottom w:val="single" w:sz="6" w:space="0" w:color="auto"/>
            </w:tcBorders>
          </w:tcPr>
          <w:p w14:paraId="0663A4EA" w14:textId="23A527F2" w:rsidR="00AE3B0C" w:rsidRPr="00702FF7" w:rsidRDefault="00AE3B0C" w:rsidP="000C15DE">
            <w:pPr>
              <w:pStyle w:val="Tabletext"/>
              <w:spacing w:after="240"/>
              <w:rPr>
                <w:rFonts w:eastAsia="SimSun" w:cstheme="minorBidi"/>
                <w:b/>
                <w:bCs/>
                <w:color w:val="000000"/>
                <w:shd w:val="clear" w:color="auto" w:fill="FFFFFF"/>
                <w:lang w:val="es-ES_tradnl"/>
              </w:rPr>
            </w:pPr>
            <w:r w:rsidRPr="00702FF7">
              <w:rPr>
                <w:rFonts w:eastAsia="SimSun" w:cstheme="minorBidi"/>
                <w:b/>
                <w:bCs/>
                <w:color w:val="000000"/>
                <w:shd w:val="clear" w:color="auto" w:fill="FFFFFF"/>
                <w:lang w:val="es-ES_tradnl"/>
              </w:rPr>
              <w:t>Actividades de las Comisiones de Estudio</w:t>
            </w:r>
          </w:p>
          <w:p w14:paraId="37BA4CA5" w14:textId="185BEEFA" w:rsidR="00AE3B0C" w:rsidRPr="00702FF7" w:rsidRDefault="00AE3B0C" w:rsidP="000C15DE">
            <w:pPr>
              <w:pStyle w:val="Tabletext"/>
              <w:rPr>
                <w:rFonts w:eastAsia="SimSun" w:cstheme="minorHAnsi"/>
                <w:lang w:val="es-ES_tradnl"/>
              </w:rPr>
            </w:pPr>
            <w:hyperlink r:id="rId43" w:history="1">
              <w:r w:rsidRPr="00702FF7">
                <w:rPr>
                  <w:rStyle w:val="Hyperlink"/>
                  <w:rFonts w:asciiTheme="minorHAnsi" w:hAnsiTheme="minorHAnsi" w:cstheme="minorHAnsi"/>
                  <w:lang w:val="es-ES_tradnl"/>
                </w:rPr>
                <w:t>58</w:t>
              </w:r>
            </w:hyperlink>
            <w:r w:rsidRPr="00702FF7">
              <w:rPr>
                <w:lang w:val="es-ES_tradnl"/>
              </w:rPr>
              <w:t xml:space="preserve"> (§5)</w:t>
            </w:r>
            <w:r w:rsidR="00533FD9">
              <w:rPr>
                <w:lang w:val="es-ES_tradnl"/>
              </w:rPr>
              <w:t xml:space="preserve">, </w:t>
            </w:r>
            <w:hyperlink r:id="rId44" w:history="1">
              <w:r w:rsidRPr="00533FD9">
                <w:rPr>
                  <w:rStyle w:val="Hyperlink"/>
                  <w:rFonts w:asciiTheme="minorHAnsi" w:hAnsiTheme="minorHAnsi" w:cstheme="minorHAnsi"/>
                  <w:lang w:val="es-ES_tradnl"/>
                </w:rPr>
                <w:t>58</w:t>
              </w:r>
              <w:r w:rsidRPr="00533FD9">
                <w:rPr>
                  <w:rStyle w:val="Hyperlink"/>
                  <w:lang w:val="es-ES_tradnl"/>
                </w:rPr>
                <w:t xml:space="preserve"> (Add.1)</w:t>
              </w:r>
            </w:hyperlink>
          </w:p>
        </w:tc>
        <w:tc>
          <w:tcPr>
            <w:tcW w:w="11623" w:type="dxa"/>
            <w:tcBorders>
              <w:bottom w:val="single" w:sz="6" w:space="0" w:color="auto"/>
            </w:tcBorders>
          </w:tcPr>
          <w:p w14:paraId="011B3328" w14:textId="77777777" w:rsidR="00AE3B0C" w:rsidRPr="00702FF7" w:rsidRDefault="00AE3B0C" w:rsidP="000C15DE">
            <w:pPr>
              <w:pStyle w:val="Tabletext"/>
              <w:rPr>
                <w:rFonts w:cstheme="minorBidi"/>
                <w:lang w:val="es-ES_tradnl"/>
              </w:rPr>
            </w:pPr>
            <w:r w:rsidRPr="00702FF7">
              <w:rPr>
                <w:rFonts w:cstheme="minorBidi"/>
                <w:lang w:val="es-ES_tradnl"/>
              </w:rPr>
              <w:t>El GAR tomó nota con satisfacción de las presentaciones de los Presidentes de las Comisiones de Estudio (CE) del UIT-R y del Comité de Coordinación de Vocabulario (CCV) sobre las actividades de sus respectivos grupos y llegó a las siguientes conclusiones:</w:t>
            </w:r>
          </w:p>
          <w:p w14:paraId="0B863783" w14:textId="0329F277" w:rsidR="00AE3B0C" w:rsidRPr="00702FF7" w:rsidRDefault="00B44C74" w:rsidP="00B44C74">
            <w:pPr>
              <w:pStyle w:val="Tabletext"/>
              <w:ind w:left="284" w:hanging="284"/>
              <w:rPr>
                <w:rFonts w:eastAsia="Calibri"/>
                <w:color w:val="000000"/>
                <w:lang w:val="es-ES_tradnl"/>
              </w:rPr>
            </w:pPr>
            <w:r w:rsidRPr="00702FF7">
              <w:rPr>
                <w:rFonts w:eastAsia="Calibri"/>
                <w:lang w:val="es-ES_tradnl"/>
              </w:rPr>
              <w:t>•</w:t>
            </w:r>
            <w:r w:rsidRPr="00702FF7">
              <w:rPr>
                <w:rFonts w:eastAsia="Calibri"/>
                <w:lang w:val="es-ES_tradnl"/>
              </w:rPr>
              <w:tab/>
            </w:r>
            <w:r w:rsidR="00AE3B0C" w:rsidRPr="00702FF7">
              <w:rPr>
                <w:rFonts w:cstheme="minorBidi"/>
                <w:lang w:val="es-ES_tradnl"/>
              </w:rPr>
              <w:t>En vista de la Circular</w:t>
            </w:r>
            <w:r w:rsidR="00AE3B0C" w:rsidRPr="00702FF7">
              <w:rPr>
                <w:rFonts w:eastAsia="Calibri"/>
                <w:color w:val="000000"/>
                <w:lang w:val="es-ES_tradnl"/>
              </w:rPr>
              <w:t xml:space="preserve"> CACE/1151, el GAR reconoció la importante labor de la CE 3 y alentó a las administraciones a facilitar la participación de expertos de sus países en las actividades de dicha Comisión, desde un punto de vista tanto técnico como financiero.</w:t>
            </w:r>
          </w:p>
          <w:p w14:paraId="370C55FD" w14:textId="7B476823" w:rsidR="00AE3B0C" w:rsidRPr="00702FF7" w:rsidDel="00B07A95" w:rsidRDefault="00B44C74" w:rsidP="00B44C74">
            <w:pPr>
              <w:pStyle w:val="Tabletext"/>
              <w:ind w:left="284" w:hanging="284"/>
              <w:rPr>
                <w:rFonts w:eastAsia="Calibri"/>
                <w:color w:val="000000"/>
                <w:lang w:val="es-ES_tradnl"/>
              </w:rPr>
            </w:pPr>
            <w:r w:rsidRPr="00702FF7">
              <w:rPr>
                <w:rFonts w:eastAsia="Calibri"/>
                <w:lang w:val="es-ES_tradnl"/>
              </w:rPr>
              <w:t>•</w:t>
            </w:r>
            <w:r w:rsidRPr="00702FF7">
              <w:rPr>
                <w:rFonts w:eastAsia="Calibri"/>
                <w:lang w:val="es-ES_tradnl"/>
              </w:rPr>
              <w:tab/>
            </w:r>
            <w:r w:rsidR="00AE3B0C" w:rsidRPr="00702FF7">
              <w:rPr>
                <w:rFonts w:eastAsia="Calibri"/>
                <w:color w:val="000000"/>
                <w:lang w:val="es-ES_tradnl"/>
              </w:rPr>
              <w:t>El GAR invitó a los Presidentes a proporcionar información sobre las Resoluciones de la UIT-R que se pretendía modificar o suprimir en la próxima AR.</w:t>
            </w:r>
          </w:p>
          <w:p w14:paraId="6F4B8F21" w14:textId="7D730DA9" w:rsidR="00AE3B0C" w:rsidRPr="00702FF7" w:rsidRDefault="00B44C74" w:rsidP="00B44C74">
            <w:pPr>
              <w:pStyle w:val="Tabletext"/>
              <w:ind w:left="284" w:hanging="284"/>
              <w:rPr>
                <w:rFonts w:eastAsia="Calibri"/>
                <w:color w:val="000000"/>
                <w:lang w:val="es-ES_tradnl"/>
              </w:rPr>
            </w:pPr>
            <w:r w:rsidRPr="00702FF7">
              <w:rPr>
                <w:rFonts w:eastAsia="Calibri"/>
                <w:lang w:val="es-ES_tradnl"/>
              </w:rPr>
              <w:t>•</w:t>
            </w:r>
            <w:r w:rsidRPr="00702FF7">
              <w:rPr>
                <w:rFonts w:eastAsia="Calibri"/>
                <w:lang w:val="es-ES_tradnl"/>
              </w:rPr>
              <w:tab/>
            </w:r>
            <w:r w:rsidR="00AE3B0C" w:rsidRPr="00702FF7">
              <w:rPr>
                <w:rFonts w:eastAsia="Calibri"/>
                <w:color w:val="000000"/>
                <w:lang w:val="es-ES_tradnl"/>
              </w:rPr>
              <w:t>El GAR recomendó a los Presidentes de las CE que avisaran a la BR en los casos en que previeran que sus reuniones iban a durar menos días de lo previsto, a fin de liberar salas disponibles para otras reuniones.</w:t>
            </w:r>
          </w:p>
          <w:p w14:paraId="40BEE0C5" w14:textId="41E00268" w:rsidR="00AE3B0C" w:rsidRPr="00702FF7" w:rsidRDefault="00B44C74" w:rsidP="00B44C74">
            <w:pPr>
              <w:pStyle w:val="Tabletext"/>
              <w:ind w:left="284" w:hanging="284"/>
              <w:rPr>
                <w:rFonts w:eastAsia="Calibri"/>
                <w:color w:val="000000"/>
                <w:lang w:val="es-ES_tradnl"/>
              </w:rPr>
            </w:pPr>
            <w:r w:rsidRPr="00702FF7">
              <w:rPr>
                <w:rFonts w:eastAsia="Calibri"/>
                <w:lang w:val="es-ES_tradnl"/>
              </w:rPr>
              <w:t>•</w:t>
            </w:r>
            <w:r w:rsidRPr="00702FF7">
              <w:rPr>
                <w:rFonts w:eastAsia="Calibri"/>
                <w:lang w:val="es-ES_tradnl"/>
              </w:rPr>
              <w:tab/>
            </w:r>
            <w:r w:rsidR="00AE3B0C" w:rsidRPr="00702FF7">
              <w:rPr>
                <w:rFonts w:eastAsia="Calibri"/>
                <w:color w:val="000000"/>
                <w:lang w:val="es-ES_tradnl"/>
              </w:rPr>
              <w:t xml:space="preserve">El GAR tomó nota de las incoherencias evocadas en los preámbulos de diferentes Recomendaciones, consideró necesario introducir mejoras adicionales en la plantilla aplicable a las Recomendaciones y recomendó al Director de la BR que tuviera en cuenta ese particular en la próxima versión de las Directrices. </w:t>
            </w:r>
          </w:p>
          <w:p w14:paraId="75C1C21A" w14:textId="49C92CEB" w:rsidR="00AE3B0C" w:rsidRPr="00702FF7" w:rsidRDefault="00B44C74" w:rsidP="000C15DE">
            <w:pPr>
              <w:pStyle w:val="Tabletext"/>
              <w:rPr>
                <w:rFonts w:eastAsia="Calibri"/>
                <w:color w:val="000000"/>
                <w:lang w:val="es-ES_tradnl"/>
              </w:rPr>
            </w:pPr>
            <w:r w:rsidRPr="00702FF7">
              <w:rPr>
                <w:rFonts w:eastAsia="Calibri"/>
                <w:lang w:val="es-ES_tradnl"/>
              </w:rPr>
              <w:t>•</w:t>
            </w:r>
            <w:r w:rsidRPr="00702FF7">
              <w:rPr>
                <w:rFonts w:eastAsia="Calibri"/>
                <w:lang w:val="es-ES_tradnl"/>
              </w:rPr>
              <w:tab/>
            </w:r>
            <w:r w:rsidR="00AE3B0C" w:rsidRPr="00702FF7">
              <w:rPr>
                <w:rFonts w:eastAsia="Calibri"/>
                <w:color w:val="000000"/>
                <w:lang w:val="es-ES_tradnl"/>
              </w:rPr>
              <w:t>El GAR reconoció que las propuestas presentadas en el marco de reuniones del UIT-R debían</w:t>
            </w:r>
            <w:r w:rsidR="00AE3B0C" w:rsidRPr="00702FF7">
              <w:rPr>
                <w:lang w:val="es-ES_tradnl"/>
              </w:rPr>
              <w:t xml:space="preserve"> </w:t>
            </w:r>
            <w:r w:rsidR="00AE3B0C" w:rsidRPr="00702FF7">
              <w:rPr>
                <w:rFonts w:eastAsia="Calibri"/>
                <w:color w:val="000000"/>
                <w:lang w:val="es-ES_tradnl"/>
              </w:rPr>
              <w:t xml:space="preserve">abordarse de forma positiva. </w:t>
            </w:r>
          </w:p>
          <w:p w14:paraId="254045CD" w14:textId="67FAF07D" w:rsidR="00AE3B0C" w:rsidRPr="00702FF7" w:rsidRDefault="00DB04C8" w:rsidP="00B44C74">
            <w:pPr>
              <w:pStyle w:val="Tabletext"/>
              <w:ind w:left="284" w:hanging="284"/>
              <w:rPr>
                <w:lang w:val="es-ES_tradnl"/>
              </w:rPr>
            </w:pPr>
            <w:r w:rsidRPr="00702FF7">
              <w:rPr>
                <w:rFonts w:eastAsia="Calibri"/>
                <w:lang w:val="es-ES_tradnl"/>
              </w:rPr>
              <w:t>•</w:t>
            </w:r>
            <w:r w:rsidRPr="00702FF7">
              <w:rPr>
                <w:rFonts w:eastAsia="Calibri"/>
                <w:lang w:val="es-ES_tradnl"/>
              </w:rPr>
              <w:tab/>
            </w:r>
            <w:r w:rsidR="00AE3B0C" w:rsidRPr="00702FF7">
              <w:rPr>
                <w:rFonts w:eastAsia="Calibri"/>
                <w:color w:val="000000"/>
                <w:lang w:val="es-ES_tradnl"/>
              </w:rPr>
              <w:t>El GAR recomendó a las Comisiones de Estudio que, de cara a la elaboración de proyectos de textos para la RPC</w:t>
            </w:r>
            <w:r w:rsidR="00AE3B0C" w:rsidRPr="00702FF7">
              <w:rPr>
                <w:lang w:val="es-ES_tradnl"/>
              </w:rPr>
              <w:t xml:space="preserve"> (por ejemplo, textos reglamentarios), evitasen repetir las disposiciones de un artículo del Reglamento de Radiocomunicaciones en propuestas de modificación de otro artículo. </w:t>
            </w:r>
          </w:p>
          <w:p w14:paraId="2DC281BF" w14:textId="77777777" w:rsidR="00AE3B0C" w:rsidRPr="00702FF7" w:rsidRDefault="00AE3B0C" w:rsidP="000C15DE">
            <w:pPr>
              <w:pStyle w:val="Tabletext"/>
              <w:rPr>
                <w:rFonts w:cstheme="minorBidi"/>
                <w:lang w:val="es-ES_tradnl"/>
              </w:rPr>
            </w:pPr>
            <w:r w:rsidRPr="00702FF7">
              <w:rPr>
                <w:rFonts w:cstheme="minorBidi"/>
                <w:lang w:val="es-ES_tradnl"/>
              </w:rPr>
              <w:t>El GAR tomó nota con satisfacción del informe del Departamento de Comisiones de Estudio (SGD) del UIT-R que figura en el Documento RAG/58 (sección 5)</w:t>
            </w:r>
            <w:r w:rsidRPr="00702FF7">
              <w:rPr>
                <w:lang w:val="es-ES_tradnl"/>
              </w:rPr>
              <w:t xml:space="preserve"> </w:t>
            </w:r>
            <w:r w:rsidRPr="00702FF7">
              <w:rPr>
                <w:rFonts w:cstheme="minorBidi"/>
                <w:lang w:val="es-ES_tradnl"/>
              </w:rPr>
              <w:t xml:space="preserve">y su Addéndum 1, y formuló las siguientes observaciones: </w:t>
            </w:r>
          </w:p>
          <w:p w14:paraId="19F83FAD" w14:textId="2845EC49" w:rsidR="00AE3B0C" w:rsidRPr="00702FF7" w:rsidRDefault="00B44C74" w:rsidP="00B44C74">
            <w:pPr>
              <w:pStyle w:val="Tabletext"/>
              <w:ind w:left="284" w:hanging="284"/>
              <w:rPr>
                <w:lang w:val="es-ES_tradnl"/>
              </w:rPr>
            </w:pPr>
            <w:r w:rsidRPr="00702FF7">
              <w:rPr>
                <w:rFonts w:eastAsia="Calibri"/>
                <w:lang w:val="es-ES_tradnl"/>
              </w:rPr>
              <w:t>•</w:t>
            </w:r>
            <w:r w:rsidRPr="00702FF7">
              <w:rPr>
                <w:rFonts w:eastAsia="Calibri"/>
                <w:lang w:val="es-ES_tradnl"/>
              </w:rPr>
              <w:tab/>
            </w:r>
            <w:r w:rsidR="00AE3B0C" w:rsidRPr="00702FF7">
              <w:rPr>
                <w:lang w:val="es-ES_tradnl"/>
              </w:rPr>
              <w:t xml:space="preserve">El GAR reiteró </w:t>
            </w:r>
            <w:r w:rsidR="00AE3B0C" w:rsidRPr="00702FF7">
              <w:rPr>
                <w:rFonts w:eastAsia="Calibri"/>
                <w:color w:val="000000"/>
                <w:lang w:val="es-ES_tradnl"/>
              </w:rPr>
              <w:t>que, a tenor del</w:t>
            </w:r>
            <w:r w:rsidR="00AE3B0C" w:rsidRPr="00702FF7">
              <w:rPr>
                <w:lang w:val="es-ES_tradnl"/>
              </w:rPr>
              <w:t xml:space="preserve"> § A2.2.4.1b) de la Resolución UIT-R 1-9, </w:t>
            </w:r>
            <w:r w:rsidR="003D461A" w:rsidRPr="00702FF7">
              <w:rPr>
                <w:lang w:val="es-ES_tradnl"/>
              </w:rPr>
              <w:t>«</w:t>
            </w:r>
            <w:r w:rsidR="00AE3B0C" w:rsidRPr="00702FF7">
              <w:rPr>
                <w:lang w:val="es-ES_tradnl"/>
              </w:rPr>
              <w:t>[…]</w:t>
            </w:r>
            <w:r w:rsidR="00AE3B0C" w:rsidRPr="00702FF7">
              <w:rPr>
                <w:i/>
                <w:iCs/>
                <w:lang w:val="es-ES_tradnl"/>
              </w:rPr>
              <w:t xml:space="preserve"> las contribuciones (incluidas sus revisiones, addenda y corrigenda) se han de recibir a más tardar 12 días naturales (16.00 horas (UTC)) antes de la fecha de la apertura de la reunión para que pueda disponerse de las mismas al comienzo de la reunión. Este plazo se aplica exclusivamente a las contribuciones de los Miembros. […]</w:t>
            </w:r>
            <w:r w:rsidR="00D107D5">
              <w:rPr>
                <w:i/>
                <w:iCs/>
                <w:lang w:val="es-ES_tradnl"/>
              </w:rPr>
              <w:t xml:space="preserve"> </w:t>
            </w:r>
            <w:r w:rsidR="00AE3B0C" w:rsidRPr="00702FF7">
              <w:rPr>
                <w:i/>
                <w:iCs/>
                <w:lang w:val="es-ES_tradnl"/>
              </w:rPr>
              <w:t>La Secretaría no aceptará las contribuciones que se reciban fuera de plazo. Los documentos que no estén disponibles al comenzar la reunión no podrán debatirse en la misma</w:t>
            </w:r>
            <w:r w:rsidR="003D461A" w:rsidRPr="00702FF7">
              <w:rPr>
                <w:lang w:val="es-ES_tradnl"/>
              </w:rPr>
              <w:t>»</w:t>
            </w:r>
            <w:r w:rsidR="00AE3B0C" w:rsidRPr="00702FF7">
              <w:rPr>
                <w:lang w:val="es-ES_tradnl"/>
              </w:rPr>
              <w:t>.</w:t>
            </w:r>
          </w:p>
          <w:p w14:paraId="63AF87AB" w14:textId="06FEDAE8" w:rsidR="00AE3B0C" w:rsidRPr="00702FF7" w:rsidRDefault="00B44C74" w:rsidP="00B44C74">
            <w:pPr>
              <w:pStyle w:val="Tabletext"/>
              <w:ind w:left="284" w:hanging="284"/>
              <w:rPr>
                <w:lang w:val="es-ES_tradnl"/>
              </w:rPr>
            </w:pPr>
            <w:r w:rsidRPr="00702FF7">
              <w:rPr>
                <w:rFonts w:eastAsia="Calibri"/>
                <w:lang w:val="es-ES_tradnl"/>
              </w:rPr>
              <w:t>•</w:t>
            </w:r>
            <w:r w:rsidRPr="00702FF7">
              <w:rPr>
                <w:rFonts w:eastAsia="Calibri"/>
                <w:lang w:val="es-ES_tradnl"/>
              </w:rPr>
              <w:tab/>
            </w:r>
            <w:r w:rsidR="00AE3B0C" w:rsidRPr="00702FF7">
              <w:rPr>
                <w:lang w:val="es-ES_tradnl"/>
              </w:rPr>
              <w:t xml:space="preserve">El GAR constató que se había alentado a </w:t>
            </w:r>
            <w:r w:rsidR="00AE3B0C" w:rsidRPr="00702FF7">
              <w:rPr>
                <w:rFonts w:eastAsia="Calibri"/>
                <w:color w:val="000000"/>
                <w:lang w:val="es-ES_tradnl"/>
              </w:rPr>
              <w:t>las CE</w:t>
            </w:r>
            <w:r w:rsidR="00AE3B0C" w:rsidRPr="00702FF7">
              <w:rPr>
                <w:lang w:val="es-ES_tradnl"/>
              </w:rPr>
              <w:t xml:space="preserve"> del UIT-R y a sus grupos subordinados a examinar detenidamente la Carta</w:t>
            </w:r>
            <w:r w:rsidR="00DB04C8">
              <w:rPr>
                <w:lang w:val="es-ES_tradnl"/>
              </w:rPr>
              <w:t> </w:t>
            </w:r>
            <w:r w:rsidR="00AE3B0C" w:rsidRPr="00702FF7">
              <w:rPr>
                <w:lang w:val="es-ES_tradnl"/>
              </w:rPr>
              <w:t xml:space="preserve">Circular </w:t>
            </w:r>
            <w:hyperlink r:id="rId45" w:history="1">
              <w:r w:rsidR="00AE3B0C" w:rsidRPr="00702FF7">
                <w:rPr>
                  <w:rStyle w:val="Hyperlink"/>
                  <w:rFonts w:asciiTheme="minorHAnsi" w:hAnsiTheme="minorHAnsi" w:cstheme="minorHAnsi"/>
                  <w:lang w:val="es-ES_tradnl"/>
                </w:rPr>
                <w:t>CR/504</w:t>
              </w:r>
            </w:hyperlink>
            <w:r w:rsidR="00AE3B0C" w:rsidRPr="00702FF7">
              <w:rPr>
                <w:lang w:val="es-ES_tradnl"/>
              </w:rPr>
              <w:t xml:space="preserve">, así como las conclusiones de la RPC27-1 en la materia (véase la Circular Administrativa </w:t>
            </w:r>
            <w:hyperlink r:id="rId46" w:history="1">
              <w:r w:rsidR="00AE3B0C" w:rsidRPr="00702FF7">
                <w:rPr>
                  <w:rStyle w:val="Hyperlink"/>
                  <w:rFonts w:asciiTheme="minorHAnsi" w:hAnsiTheme="minorHAnsi" w:cstheme="minorHAnsi"/>
                  <w:lang w:val="es-ES_tradnl"/>
                </w:rPr>
                <w:t>CA/270</w:t>
              </w:r>
            </w:hyperlink>
            <w:r w:rsidR="00AE3B0C" w:rsidRPr="00702FF7">
              <w:rPr>
                <w:lang w:val="es-ES_tradnl"/>
              </w:rPr>
              <w:t xml:space="preserve"> (Anexo 4)), y a realizar los estudios oportunos con arreglo a la misma, según fuera necesario.</w:t>
            </w:r>
          </w:p>
          <w:p w14:paraId="4477EDB3" w14:textId="1955BCC6" w:rsidR="00AE3B0C" w:rsidRPr="00702FF7" w:rsidRDefault="00AE3B0C" w:rsidP="000C15DE">
            <w:pPr>
              <w:pStyle w:val="Tabletext"/>
              <w:rPr>
                <w:color w:val="000000"/>
                <w:shd w:val="clear" w:color="auto" w:fill="FFFFFF"/>
                <w:lang w:val="es-ES_tradnl"/>
              </w:rPr>
            </w:pPr>
            <w:r w:rsidRPr="00702FF7">
              <w:rPr>
                <w:color w:val="000000"/>
                <w:shd w:val="clear" w:color="auto" w:fill="FFFFFF"/>
                <w:lang w:val="es-ES_tradnl"/>
              </w:rPr>
              <w:lastRenderedPageBreak/>
              <w:t xml:space="preserve">El GAR recomendó además al Director </w:t>
            </w:r>
            <w:r w:rsidRPr="00702FF7">
              <w:rPr>
                <w:rFonts w:eastAsia="Calibri"/>
                <w:color w:val="000000"/>
                <w:lang w:val="es-ES_tradnl"/>
              </w:rPr>
              <w:t xml:space="preserve">de la BR </w:t>
            </w:r>
            <w:r w:rsidRPr="00702FF7">
              <w:rPr>
                <w:color w:val="000000"/>
                <w:shd w:val="clear" w:color="auto" w:fill="FFFFFF"/>
                <w:lang w:val="es-ES_tradnl"/>
              </w:rPr>
              <w:t>que incluyera, en el marco del punto 9.2 del orden del día de la CMR-27, el informe del Director sobre las dificultades que habían planteado ciertos términos ambiguos utilizados en Resoluciones de la</w:t>
            </w:r>
            <w:r w:rsidR="000C15DE" w:rsidRPr="00702FF7">
              <w:rPr>
                <w:color w:val="000000"/>
                <w:shd w:val="clear" w:color="auto" w:fill="FFFFFF"/>
                <w:lang w:val="es-ES_tradnl"/>
              </w:rPr>
              <w:t> </w:t>
            </w:r>
            <w:r w:rsidRPr="00702FF7">
              <w:rPr>
                <w:color w:val="000000"/>
                <w:shd w:val="clear" w:color="auto" w:fill="FFFFFF"/>
                <w:lang w:val="es-ES_tradnl"/>
              </w:rPr>
              <w:t>CMR-23 que formaban parte de otros puntos del orden del día.</w:t>
            </w:r>
          </w:p>
        </w:tc>
      </w:tr>
      <w:tr w:rsidR="00AE3B0C" w:rsidRPr="00B33A8D" w14:paraId="09321B3D" w14:textId="77777777" w:rsidTr="000C15DE">
        <w:trPr>
          <w:cantSplit/>
        </w:trPr>
        <w:tc>
          <w:tcPr>
            <w:tcW w:w="1410" w:type="dxa"/>
            <w:vMerge w:val="restart"/>
          </w:tcPr>
          <w:p w14:paraId="7CC5B5DC" w14:textId="77777777" w:rsidR="00AE3B0C" w:rsidRPr="00702FF7" w:rsidRDefault="00AE3B0C" w:rsidP="000C15DE">
            <w:pPr>
              <w:pStyle w:val="Tabletext"/>
              <w:rPr>
                <w:lang w:val="es-ES_tradnl"/>
              </w:rPr>
            </w:pPr>
          </w:p>
        </w:tc>
        <w:tc>
          <w:tcPr>
            <w:tcW w:w="2268" w:type="dxa"/>
            <w:tcBorders>
              <w:bottom w:val="nil"/>
            </w:tcBorders>
          </w:tcPr>
          <w:p w14:paraId="47DEA56B" w14:textId="7729D52B" w:rsidR="00AE3B0C" w:rsidRPr="00702FF7" w:rsidRDefault="00AE3B0C" w:rsidP="000C15DE">
            <w:pPr>
              <w:pStyle w:val="Tabletext"/>
              <w:rPr>
                <w:rFonts w:eastAsia="SimSun" w:cstheme="minorHAnsi"/>
                <w:b/>
                <w:bCs/>
                <w:color w:val="000000"/>
                <w:shd w:val="clear" w:color="auto" w:fill="FFFFFF"/>
                <w:lang w:val="es-ES_tradnl"/>
              </w:rPr>
            </w:pPr>
            <w:hyperlink r:id="rId47" w:history="1">
              <w:r w:rsidRPr="00702FF7">
                <w:rPr>
                  <w:rStyle w:val="Hyperlink"/>
                  <w:rFonts w:asciiTheme="minorHAnsi" w:hAnsiTheme="minorHAnsi" w:cstheme="minorHAnsi"/>
                  <w:lang w:val="es-ES_tradnl"/>
                </w:rPr>
                <w:t>58</w:t>
              </w:r>
              <w:r w:rsidR="00533FD9">
                <w:rPr>
                  <w:rStyle w:val="Hyperlink"/>
                  <w:rFonts w:asciiTheme="minorHAnsi" w:hAnsiTheme="minorHAnsi" w:cstheme="minorHAnsi"/>
                  <w:lang w:val="es-ES_tradnl"/>
                </w:rPr>
                <w:t>(</w:t>
              </w:r>
              <w:r w:rsidRPr="00702FF7">
                <w:rPr>
                  <w:rStyle w:val="Hyperlink"/>
                  <w:rFonts w:asciiTheme="minorHAnsi" w:hAnsiTheme="minorHAnsi" w:cstheme="minorHAnsi"/>
                  <w:lang w:val="es-ES_tradnl"/>
                </w:rPr>
                <w:t>Add</w:t>
              </w:r>
              <w:r w:rsidR="00533FD9">
                <w:rPr>
                  <w:rStyle w:val="Hyperlink"/>
                  <w:rFonts w:asciiTheme="minorHAnsi" w:hAnsiTheme="minorHAnsi" w:cstheme="minorHAnsi"/>
                  <w:lang w:val="es-ES_tradnl"/>
                </w:rPr>
                <w:t>.</w:t>
              </w:r>
              <w:r w:rsidRPr="00702FF7">
                <w:rPr>
                  <w:rStyle w:val="Hyperlink"/>
                  <w:rFonts w:asciiTheme="minorHAnsi" w:hAnsiTheme="minorHAnsi" w:cstheme="minorHAnsi"/>
                  <w:lang w:val="es-ES_tradnl"/>
                </w:rPr>
                <w:t>1</w:t>
              </w:r>
              <w:r w:rsidR="00533FD9">
                <w:rPr>
                  <w:rStyle w:val="Hyperlink"/>
                  <w:rFonts w:asciiTheme="minorHAnsi" w:hAnsiTheme="minorHAnsi" w:cstheme="minorHAnsi"/>
                  <w:lang w:val="es-ES_tradnl"/>
                </w:rPr>
                <w:t xml:space="preserve">) </w:t>
              </w:r>
              <w:r w:rsidR="00533FD9" w:rsidRPr="00533FD9">
                <w:rPr>
                  <w:rStyle w:val="Hyperlink"/>
                  <w:rFonts w:asciiTheme="minorHAnsi" w:hAnsiTheme="minorHAnsi" w:cstheme="minorHAnsi"/>
                  <w:lang w:val="es-ES_tradnl"/>
                </w:rPr>
                <w:t>–</w:t>
              </w:r>
              <w:r w:rsidR="00533FD9">
                <w:rPr>
                  <w:rStyle w:val="Hyperlink"/>
                  <w:rFonts w:asciiTheme="minorHAnsi" w:hAnsiTheme="minorHAnsi" w:cstheme="minorHAnsi"/>
                  <w:lang w:val="es-ES_tradnl"/>
                </w:rPr>
                <w:t xml:space="preserve"> </w:t>
              </w:r>
              <w:r w:rsidRPr="00702FF7">
                <w:rPr>
                  <w:rStyle w:val="Hyperlink"/>
                  <w:rFonts w:asciiTheme="minorHAnsi" w:hAnsiTheme="minorHAnsi" w:cstheme="minorHAnsi"/>
                  <w:lang w:val="es-ES_tradnl"/>
                </w:rPr>
                <w:t>Anexo 1</w:t>
              </w:r>
            </w:hyperlink>
          </w:p>
        </w:tc>
        <w:tc>
          <w:tcPr>
            <w:tcW w:w="11623" w:type="dxa"/>
            <w:tcBorders>
              <w:bottom w:val="nil"/>
            </w:tcBorders>
          </w:tcPr>
          <w:p w14:paraId="437CD44F" w14:textId="11C950F9" w:rsidR="00AE3B0C" w:rsidRPr="00702FF7" w:rsidRDefault="00AE3B0C" w:rsidP="00DB04C8">
            <w:pPr>
              <w:pStyle w:val="Tabletext"/>
              <w:spacing w:after="120"/>
              <w:rPr>
                <w:b/>
                <w:bCs/>
                <w:lang w:val="es-ES_tradnl"/>
              </w:rPr>
            </w:pPr>
            <w:r w:rsidRPr="00702FF7">
              <w:rPr>
                <w:b/>
                <w:bCs/>
                <w:lang w:val="es-ES_tradnl"/>
              </w:rPr>
              <w:t>Directrices asociadas a la Resolución UIT-R 1-9</w:t>
            </w:r>
            <w:r w:rsidR="00B44C74" w:rsidRPr="00702FF7">
              <w:rPr>
                <w:b/>
                <w:bCs/>
                <w:lang w:val="es-ES_tradnl"/>
              </w:rPr>
              <w:t>:</w:t>
            </w:r>
          </w:p>
          <w:p w14:paraId="26E9BDC2" w14:textId="1C27CF4D" w:rsidR="00AE3B0C" w:rsidRPr="00702FF7" w:rsidRDefault="00AE3B0C" w:rsidP="000C15DE">
            <w:pPr>
              <w:pStyle w:val="Tabletext"/>
              <w:rPr>
                <w:lang w:val="es-ES_tradnl"/>
              </w:rPr>
            </w:pPr>
            <w:r w:rsidRPr="00702FF7">
              <w:rPr>
                <w:lang w:val="es-ES_tradnl"/>
              </w:rPr>
              <w:t>El GAR examinó las Directrices asociadas a la Resolución UIT-R 1-9, que figuran en el Anexo 1 al Addéndum 1 al Documento</w:t>
            </w:r>
            <w:r w:rsidR="00CA406A" w:rsidRPr="00702FF7">
              <w:rPr>
                <w:lang w:val="es-ES_tradnl"/>
              </w:rPr>
              <w:t> </w:t>
            </w:r>
            <w:r w:rsidRPr="00702FF7">
              <w:rPr>
                <w:lang w:val="es-ES_tradnl"/>
              </w:rPr>
              <w:t xml:space="preserve">RAG/58. El GAR planteó y debatió diversas cuestiones relacionadas con puntos de las secciones 2.5.1 y 8. </w:t>
            </w:r>
          </w:p>
          <w:p w14:paraId="702173E5" w14:textId="77777777" w:rsidR="00AE3B0C" w:rsidRPr="00702FF7" w:rsidRDefault="00AE3B0C" w:rsidP="000C15DE">
            <w:pPr>
              <w:pStyle w:val="Tabletext"/>
              <w:rPr>
                <w:lang w:val="es-ES_tradnl"/>
              </w:rPr>
            </w:pPr>
            <w:r w:rsidRPr="00702FF7">
              <w:rPr>
                <w:lang w:val="es-ES_tradnl"/>
              </w:rPr>
              <w:t xml:space="preserve">Con respecto a la sección 3.5.8, en la que se abordaba la práctica actual de acordar el envío de declaraciones de coordinación por consenso, el GAR concluyó que las Directrices no debían modificarse en esa fase. Cualquier propuesta conexa podía someterse a la AR o ser planteada directamente por los Estados Miembros en dicha Asamblea. </w:t>
            </w:r>
          </w:p>
          <w:p w14:paraId="4E680FC7" w14:textId="77777777" w:rsidR="00AE3B0C" w:rsidRPr="00702FF7" w:rsidRDefault="00AE3B0C" w:rsidP="000C15DE">
            <w:pPr>
              <w:pStyle w:val="Tabletext"/>
              <w:rPr>
                <w:lang w:val="es-ES_tradnl"/>
              </w:rPr>
            </w:pPr>
            <w:r w:rsidRPr="00702FF7">
              <w:rPr>
                <w:lang w:val="es-ES_tradnl"/>
              </w:rPr>
              <w:t xml:space="preserve">El GAR propuso que la BR aplicara las Directrices con carácter provisional e invitó a los Estados Miembros a revisarlas en su 34ª reunión. </w:t>
            </w:r>
          </w:p>
        </w:tc>
      </w:tr>
      <w:tr w:rsidR="00AE3B0C" w:rsidRPr="00B33A8D" w14:paraId="0F76AA8A" w14:textId="77777777" w:rsidTr="000C15DE">
        <w:trPr>
          <w:cantSplit/>
        </w:trPr>
        <w:tc>
          <w:tcPr>
            <w:tcW w:w="1410" w:type="dxa"/>
            <w:vMerge/>
          </w:tcPr>
          <w:p w14:paraId="624BB3BF" w14:textId="77777777" w:rsidR="00AE3B0C" w:rsidRPr="00702FF7" w:rsidRDefault="00AE3B0C" w:rsidP="000C15DE">
            <w:pPr>
              <w:pStyle w:val="Tabletext"/>
              <w:rPr>
                <w:lang w:val="es-ES_tradnl"/>
              </w:rPr>
            </w:pPr>
          </w:p>
        </w:tc>
        <w:tc>
          <w:tcPr>
            <w:tcW w:w="2268" w:type="dxa"/>
            <w:tcBorders>
              <w:top w:val="nil"/>
            </w:tcBorders>
          </w:tcPr>
          <w:p w14:paraId="42001CB8" w14:textId="658B2382" w:rsidR="00AE3B0C" w:rsidRPr="00702FF7" w:rsidRDefault="00AE3B0C" w:rsidP="00B44C74">
            <w:pPr>
              <w:pStyle w:val="Tabletext"/>
              <w:rPr>
                <w:lang w:val="es-ES_tradnl"/>
              </w:rPr>
            </w:pPr>
            <w:hyperlink r:id="rId48">
              <w:r w:rsidRPr="00702FF7">
                <w:rPr>
                  <w:rStyle w:val="Hyperlink"/>
                  <w:rFonts w:asciiTheme="minorHAnsi" w:eastAsia="Aptos" w:hAnsiTheme="minorHAnsi" w:cstheme="minorHAnsi"/>
                  <w:lang w:val="es-ES_tradnl"/>
                </w:rPr>
                <w:t>79</w:t>
              </w:r>
            </w:hyperlink>
            <w:r w:rsidRPr="00702FF7">
              <w:rPr>
                <w:rFonts w:eastAsia="Aptos"/>
                <w:color w:val="000000" w:themeColor="text1"/>
                <w:lang w:val="es-ES_tradnl"/>
              </w:rPr>
              <w:t xml:space="preserve"> (Canadá)</w:t>
            </w:r>
          </w:p>
        </w:tc>
        <w:tc>
          <w:tcPr>
            <w:tcW w:w="11623" w:type="dxa"/>
            <w:tcBorders>
              <w:top w:val="nil"/>
            </w:tcBorders>
          </w:tcPr>
          <w:p w14:paraId="45F62859" w14:textId="25DE0EB1" w:rsidR="00AE3B0C" w:rsidRPr="00702FF7" w:rsidRDefault="00AE3B0C" w:rsidP="00B44C74">
            <w:pPr>
              <w:pStyle w:val="Tabletext"/>
              <w:rPr>
                <w:rFonts w:eastAsia="Calibri"/>
                <w:color w:val="000000"/>
                <w:lang w:val="es-ES_tradnl"/>
              </w:rPr>
            </w:pPr>
            <w:r w:rsidRPr="00702FF7">
              <w:rPr>
                <w:rFonts w:eastAsia="Calibri"/>
                <w:color w:val="000000"/>
                <w:lang w:val="es-ES_tradnl"/>
              </w:rPr>
              <w:t>Al debatir la propuesta de creación de un Grupo por Correspondencia encargado de examinar posibles modificaciones de la Resolución UIT-R 1-9, el GAR valoró la contribución incluida en el Documento RAG/79 e invitó a las Administraciones a tener en cuenta el contenido del mismo en el marco de los preparativos para la Asamblea de Radiocomunicaciones.</w:t>
            </w:r>
          </w:p>
        </w:tc>
      </w:tr>
      <w:tr w:rsidR="00AE3B0C" w:rsidRPr="00B33A8D" w14:paraId="4AEED213" w14:textId="77777777" w:rsidTr="005F4522">
        <w:trPr>
          <w:cantSplit/>
          <w:trHeight w:val="2178"/>
        </w:trPr>
        <w:tc>
          <w:tcPr>
            <w:tcW w:w="1410" w:type="dxa"/>
          </w:tcPr>
          <w:p w14:paraId="56791931" w14:textId="77777777" w:rsidR="00AE3B0C" w:rsidRPr="00702FF7" w:rsidRDefault="00AE3B0C" w:rsidP="000C15DE">
            <w:pPr>
              <w:pStyle w:val="Tabletext"/>
              <w:rPr>
                <w:lang w:val="es-ES_tradnl"/>
              </w:rPr>
            </w:pPr>
          </w:p>
        </w:tc>
        <w:tc>
          <w:tcPr>
            <w:tcW w:w="2268" w:type="dxa"/>
          </w:tcPr>
          <w:p w14:paraId="3EBEF482" w14:textId="46D7374E" w:rsidR="00AE3B0C" w:rsidRPr="00702FF7" w:rsidRDefault="00AE3B0C" w:rsidP="00DB04C8">
            <w:pPr>
              <w:pStyle w:val="Tabletext"/>
              <w:spacing w:after="1200"/>
              <w:rPr>
                <w:lang w:val="es-ES_tradnl"/>
              </w:rPr>
            </w:pPr>
            <w:hyperlink r:id="rId49" w:history="1">
              <w:r w:rsidRPr="00702FF7">
                <w:rPr>
                  <w:rStyle w:val="Hyperlink"/>
                  <w:rFonts w:asciiTheme="minorHAnsi" w:hAnsiTheme="minorHAnsi" w:cstheme="minorHAnsi"/>
                  <w:lang w:val="es-ES_tradnl"/>
                </w:rPr>
                <w:t>58</w:t>
              </w:r>
              <w:r w:rsidR="00533FD9">
                <w:rPr>
                  <w:rStyle w:val="Hyperlink"/>
                  <w:rFonts w:asciiTheme="minorHAnsi" w:hAnsiTheme="minorHAnsi" w:cstheme="minorHAnsi"/>
                  <w:lang w:val="es-ES_tradnl"/>
                </w:rPr>
                <w:t>(</w:t>
              </w:r>
              <w:r w:rsidRPr="00702FF7">
                <w:rPr>
                  <w:rStyle w:val="Hyperlink"/>
                  <w:rFonts w:asciiTheme="minorHAnsi" w:hAnsiTheme="minorHAnsi" w:cstheme="minorHAnsi"/>
                  <w:lang w:val="es-ES_tradnl"/>
                </w:rPr>
                <w:t>Add</w:t>
              </w:r>
              <w:r w:rsidR="00533FD9">
                <w:rPr>
                  <w:rStyle w:val="Hyperlink"/>
                  <w:rFonts w:asciiTheme="minorHAnsi" w:hAnsiTheme="minorHAnsi" w:cstheme="minorHAnsi"/>
                  <w:lang w:val="es-ES_tradnl"/>
                </w:rPr>
                <w:t>.</w:t>
              </w:r>
              <w:r w:rsidRPr="00702FF7">
                <w:rPr>
                  <w:rStyle w:val="Hyperlink"/>
                  <w:rFonts w:asciiTheme="minorHAnsi" w:hAnsiTheme="minorHAnsi" w:cstheme="minorHAnsi"/>
                  <w:lang w:val="es-ES_tradnl"/>
                </w:rPr>
                <w:t>1</w:t>
              </w:r>
              <w:r w:rsidR="00533FD9">
                <w:rPr>
                  <w:rStyle w:val="Hyperlink"/>
                  <w:rFonts w:asciiTheme="minorHAnsi" w:hAnsiTheme="minorHAnsi" w:cstheme="minorHAnsi"/>
                  <w:lang w:val="es-ES_tradnl"/>
                </w:rPr>
                <w:t xml:space="preserve">) </w:t>
              </w:r>
              <w:r w:rsidR="00533FD9" w:rsidRPr="00533FD9">
                <w:rPr>
                  <w:rStyle w:val="Hyperlink"/>
                  <w:rFonts w:asciiTheme="minorHAnsi" w:hAnsiTheme="minorHAnsi" w:cstheme="minorHAnsi"/>
                  <w:lang w:val="es-ES_tradnl"/>
                </w:rPr>
                <w:t>–</w:t>
              </w:r>
              <w:r w:rsidR="00533FD9">
                <w:rPr>
                  <w:rStyle w:val="Hyperlink"/>
                  <w:rFonts w:asciiTheme="minorHAnsi" w:hAnsiTheme="minorHAnsi" w:cstheme="minorHAnsi"/>
                  <w:lang w:val="es-ES_tradnl"/>
                </w:rPr>
                <w:t xml:space="preserve"> </w:t>
              </w:r>
              <w:r w:rsidRPr="00702FF7">
                <w:rPr>
                  <w:rStyle w:val="Hyperlink"/>
                  <w:rFonts w:asciiTheme="minorHAnsi" w:hAnsiTheme="minorHAnsi" w:cstheme="minorHAnsi"/>
                  <w:lang w:val="es-ES_tradnl"/>
                </w:rPr>
                <w:t>Anexo 2</w:t>
              </w:r>
            </w:hyperlink>
          </w:p>
          <w:p w14:paraId="3EB6FC37" w14:textId="70AD7E62" w:rsidR="00AE3B0C" w:rsidRPr="00702FF7" w:rsidRDefault="00AE3B0C" w:rsidP="000C15DE">
            <w:pPr>
              <w:pStyle w:val="Tabletext"/>
              <w:rPr>
                <w:lang w:val="es-ES_tradnl"/>
              </w:rPr>
            </w:pPr>
            <w:hyperlink r:id="rId50">
              <w:r w:rsidRPr="00702FF7">
                <w:rPr>
                  <w:rStyle w:val="Hyperlink"/>
                  <w:rFonts w:asciiTheme="minorHAnsi" w:eastAsia="Aptos" w:hAnsiTheme="minorHAnsi" w:cstheme="minorHAnsi"/>
                  <w:lang w:val="es-ES_tradnl"/>
                </w:rPr>
                <w:t>77</w:t>
              </w:r>
            </w:hyperlink>
            <w:r w:rsidRPr="00702FF7">
              <w:rPr>
                <w:rFonts w:eastAsia="Aptos"/>
                <w:color w:val="000000" w:themeColor="text1"/>
                <w:lang w:val="es-ES_tradnl"/>
              </w:rPr>
              <w:t xml:space="preserve"> (varios países)</w:t>
            </w:r>
          </w:p>
        </w:tc>
        <w:tc>
          <w:tcPr>
            <w:tcW w:w="11623" w:type="dxa"/>
          </w:tcPr>
          <w:p w14:paraId="0CF68D6B" w14:textId="614A7049" w:rsidR="00AE3B0C" w:rsidRPr="00702FF7" w:rsidRDefault="00AE3B0C" w:rsidP="00DB04C8">
            <w:pPr>
              <w:pStyle w:val="Tabletext"/>
              <w:spacing w:after="120"/>
              <w:rPr>
                <w:b/>
                <w:bCs/>
                <w:lang w:val="es-ES_tradnl"/>
              </w:rPr>
            </w:pPr>
            <w:r w:rsidRPr="00702FF7">
              <w:rPr>
                <w:b/>
                <w:bCs/>
                <w:lang w:val="es-ES_tradnl"/>
              </w:rPr>
              <w:t>Métodos de trabajo de las Comisiones de Estudio del UIT-R</w:t>
            </w:r>
            <w:r w:rsidR="000163F1" w:rsidRPr="00702FF7">
              <w:rPr>
                <w:b/>
                <w:bCs/>
                <w:lang w:val="es-ES_tradnl"/>
              </w:rPr>
              <w:t>:</w:t>
            </w:r>
          </w:p>
          <w:p w14:paraId="699C07A1" w14:textId="77777777" w:rsidR="00AE3B0C" w:rsidRPr="00702FF7" w:rsidRDefault="00AE3B0C" w:rsidP="000C15DE">
            <w:pPr>
              <w:pStyle w:val="Tabletext"/>
              <w:rPr>
                <w:rFonts w:eastAsia="Calibri"/>
                <w:color w:val="000000" w:themeColor="text1"/>
                <w:lang w:val="es-ES_tradnl"/>
              </w:rPr>
            </w:pPr>
            <w:r w:rsidRPr="00702FF7">
              <w:rPr>
                <w:lang w:val="es-ES_tradnl"/>
              </w:rPr>
              <w:t>El GAR examinó y debatió el Anexo 2 al Addéndum 1 al Documento 58 sobre el examen de los métodos y el ámbito de trabajo de las Comisiones de Estudio del UIT-R, junto con el Documento RAG/77 sobre la mejora de la estructura de las Comisiones de Estudio de Radiocomunicaciones</w:t>
            </w:r>
            <w:r w:rsidRPr="00702FF7">
              <w:rPr>
                <w:rFonts w:eastAsia="Calibri"/>
                <w:color w:val="000000" w:themeColor="text1"/>
                <w:lang w:val="es-ES_tradnl"/>
              </w:rPr>
              <w:t xml:space="preserve">, y acordó crear un grupo por correspondencia (GC) que desempeñase su labor sin necesidad de celebrar reuniones. </w:t>
            </w:r>
          </w:p>
          <w:p w14:paraId="21DD8973" w14:textId="77777777" w:rsidR="00AE3B0C" w:rsidRPr="00702FF7" w:rsidRDefault="00AE3B0C" w:rsidP="000C15DE">
            <w:pPr>
              <w:pStyle w:val="Tabletext"/>
              <w:rPr>
                <w:rFonts w:cstheme="minorBidi"/>
                <w:lang w:val="es-ES_tradnl"/>
              </w:rPr>
            </w:pPr>
            <w:r w:rsidRPr="00702FF7">
              <w:rPr>
                <w:rFonts w:eastAsia="Calibri"/>
                <w:color w:val="000000" w:themeColor="text1"/>
                <w:lang w:val="es-ES_tradnl"/>
              </w:rPr>
              <w:t>El GAR recomendó que el GC trabajara por correspondencia entre las reuniones 33.ª</w:t>
            </w:r>
            <w:r w:rsidRPr="00702FF7">
              <w:rPr>
                <w:rFonts w:eastAsia="Calibri"/>
                <w:color w:val="000000" w:themeColor="text1"/>
                <w:vertAlign w:val="superscript"/>
                <w:lang w:val="es-ES_tradnl"/>
              </w:rPr>
              <w:t xml:space="preserve"> </w:t>
            </w:r>
            <w:r w:rsidRPr="00702FF7">
              <w:rPr>
                <w:rFonts w:eastAsia="Calibri"/>
                <w:color w:val="000000" w:themeColor="text1"/>
                <w:lang w:val="es-ES_tradnl"/>
              </w:rPr>
              <w:t>y 34.ª del GAR (véase el mandato de dicho Grupo en el Anexo 5).</w:t>
            </w:r>
          </w:p>
        </w:tc>
      </w:tr>
      <w:tr w:rsidR="00AE3B0C" w:rsidRPr="00702FF7" w14:paraId="666A739F" w14:textId="77777777" w:rsidTr="000C15DE">
        <w:trPr>
          <w:cantSplit/>
          <w:tblHeader/>
        </w:trPr>
        <w:tc>
          <w:tcPr>
            <w:tcW w:w="1410" w:type="dxa"/>
          </w:tcPr>
          <w:p w14:paraId="46FDFFD0" w14:textId="77777777" w:rsidR="00AE3B0C" w:rsidRPr="00702FF7" w:rsidRDefault="00AE3B0C" w:rsidP="000C15DE">
            <w:pPr>
              <w:pStyle w:val="Tabletext"/>
              <w:rPr>
                <w:b/>
                <w:bCs/>
                <w:lang w:val="es-ES_tradnl"/>
              </w:rPr>
            </w:pPr>
            <w:r w:rsidRPr="00702FF7">
              <w:rPr>
                <w:b/>
                <w:bCs/>
                <w:lang w:val="es-ES_tradnl"/>
              </w:rPr>
              <w:t>10</w:t>
            </w:r>
          </w:p>
        </w:tc>
        <w:tc>
          <w:tcPr>
            <w:tcW w:w="2268" w:type="dxa"/>
          </w:tcPr>
          <w:p w14:paraId="194BB165" w14:textId="77777777" w:rsidR="00AE3B0C" w:rsidRPr="00702FF7" w:rsidRDefault="00AE3B0C" w:rsidP="000C15DE">
            <w:pPr>
              <w:pStyle w:val="Tabletext"/>
              <w:rPr>
                <w:b/>
                <w:bCs/>
                <w:lang w:val="es-ES_tradnl"/>
              </w:rPr>
            </w:pPr>
            <w:r w:rsidRPr="00702FF7">
              <w:rPr>
                <w:b/>
                <w:bCs/>
                <w:lang w:val="es-ES_tradnl"/>
              </w:rPr>
              <w:t>Actividades intersectoriales</w:t>
            </w:r>
          </w:p>
        </w:tc>
        <w:tc>
          <w:tcPr>
            <w:tcW w:w="11623" w:type="dxa"/>
          </w:tcPr>
          <w:p w14:paraId="07E13993" w14:textId="77777777" w:rsidR="00AE3B0C" w:rsidRPr="00702FF7" w:rsidRDefault="00AE3B0C" w:rsidP="000C15DE">
            <w:pPr>
              <w:pStyle w:val="Tabletext"/>
              <w:rPr>
                <w:lang w:val="es-ES_tradnl"/>
              </w:rPr>
            </w:pPr>
          </w:p>
        </w:tc>
      </w:tr>
      <w:tr w:rsidR="00AE3B0C" w:rsidRPr="00B33A8D" w14:paraId="394A110A" w14:textId="77777777" w:rsidTr="000C15DE">
        <w:trPr>
          <w:cantSplit/>
          <w:tblHeader/>
        </w:trPr>
        <w:tc>
          <w:tcPr>
            <w:tcW w:w="1410" w:type="dxa"/>
          </w:tcPr>
          <w:p w14:paraId="1CE295F2" w14:textId="77777777" w:rsidR="00AE3B0C" w:rsidRPr="00702FF7" w:rsidRDefault="00AE3B0C" w:rsidP="000C15DE">
            <w:pPr>
              <w:pStyle w:val="Tabletext"/>
              <w:rPr>
                <w:lang w:val="es-ES_tradnl"/>
              </w:rPr>
            </w:pPr>
          </w:p>
        </w:tc>
        <w:tc>
          <w:tcPr>
            <w:tcW w:w="2268" w:type="dxa"/>
          </w:tcPr>
          <w:p w14:paraId="6503DD22" w14:textId="67728367" w:rsidR="00AE3B0C" w:rsidRPr="00702FF7" w:rsidRDefault="00AE3B0C" w:rsidP="00DB04C8">
            <w:pPr>
              <w:pStyle w:val="Tabletext"/>
              <w:spacing w:after="120"/>
              <w:rPr>
                <w:rFonts w:cstheme="minorBidi"/>
                <w:lang w:val="es-ES_tradnl"/>
              </w:rPr>
            </w:pPr>
            <w:hyperlink r:id="rId51" w:history="1">
              <w:r w:rsidRPr="00702FF7">
                <w:rPr>
                  <w:rStyle w:val="Hyperlink"/>
                  <w:rFonts w:asciiTheme="minorHAnsi" w:hAnsiTheme="minorHAnsi" w:cstheme="minorBidi"/>
                  <w:lang w:val="es-ES_tradnl"/>
                </w:rPr>
                <w:t xml:space="preserve">58 </w:t>
              </w:r>
              <w:r w:rsidRPr="00702FF7">
                <w:rPr>
                  <w:lang w:val="es-ES_tradnl"/>
                </w:rPr>
                <w:t>(§8.4)</w:t>
              </w:r>
            </w:hyperlink>
          </w:p>
          <w:p w14:paraId="0BBEDAD3" w14:textId="62F6947B" w:rsidR="00AE3B0C" w:rsidRPr="00702FF7" w:rsidRDefault="00AE3B0C" w:rsidP="00DB04C8">
            <w:pPr>
              <w:pStyle w:val="Tabletext"/>
              <w:spacing w:after="1080"/>
              <w:rPr>
                <w:lang w:val="es-ES_tradnl"/>
              </w:rPr>
            </w:pPr>
            <w:hyperlink r:id="rId52" w:history="1">
              <w:r w:rsidRPr="00702FF7">
                <w:rPr>
                  <w:rStyle w:val="Hyperlink"/>
                  <w:rFonts w:asciiTheme="minorHAnsi" w:hAnsiTheme="minorHAnsi" w:cstheme="minorHAnsi"/>
                  <w:lang w:val="es-ES_tradnl"/>
                </w:rPr>
                <w:t xml:space="preserve">56 </w:t>
              </w:r>
              <w:r w:rsidRPr="00702FF7">
                <w:rPr>
                  <w:lang w:val="es-ES_tradnl"/>
                </w:rPr>
                <w:t>(GTC-RHF)</w:t>
              </w:r>
            </w:hyperlink>
          </w:p>
          <w:p w14:paraId="33DD7D50" w14:textId="1204E824" w:rsidR="00AE3B0C" w:rsidRPr="00702FF7" w:rsidRDefault="00AE3B0C" w:rsidP="000163F1">
            <w:pPr>
              <w:pStyle w:val="Tabletext"/>
              <w:spacing w:before="360" w:after="120"/>
              <w:rPr>
                <w:lang w:val="es-ES_tradnl"/>
              </w:rPr>
            </w:pPr>
            <w:hyperlink r:id="rId53" w:history="1">
              <w:r w:rsidRPr="00702FF7">
                <w:rPr>
                  <w:rStyle w:val="Hyperlink"/>
                  <w:rFonts w:asciiTheme="minorHAnsi" w:hAnsiTheme="minorHAnsi" w:cstheme="minorHAnsi"/>
                  <w:lang w:val="es-ES_tradnl"/>
                </w:rPr>
                <w:t>67</w:t>
              </w:r>
            </w:hyperlink>
            <w:r w:rsidRPr="00702FF7">
              <w:rPr>
                <w:lang w:val="es-ES_tradnl"/>
              </w:rPr>
              <w:t xml:space="preserve"> (GCIS)</w:t>
            </w:r>
          </w:p>
        </w:tc>
        <w:tc>
          <w:tcPr>
            <w:tcW w:w="11623" w:type="dxa"/>
          </w:tcPr>
          <w:p w14:paraId="531D236E" w14:textId="7FC29E19" w:rsidR="00AE3B0C" w:rsidRPr="00702FF7" w:rsidRDefault="00AE3B0C" w:rsidP="00DB04C8">
            <w:pPr>
              <w:pStyle w:val="Tabletext"/>
              <w:spacing w:after="120"/>
              <w:rPr>
                <w:rFonts w:eastAsia="Calibri"/>
                <w:b/>
                <w:bCs/>
                <w:lang w:val="es-ES_tradnl"/>
              </w:rPr>
            </w:pPr>
            <w:r w:rsidRPr="00702FF7">
              <w:rPr>
                <w:rFonts w:eastAsia="Calibri"/>
                <w:b/>
                <w:bCs/>
                <w:lang w:val="es-ES_tradnl"/>
              </w:rPr>
              <w:lastRenderedPageBreak/>
              <w:t>Grupo de Coordinación Intersectorial (</w:t>
            </w:r>
            <w:r w:rsidRPr="00DB04C8">
              <w:rPr>
                <w:b/>
                <w:bCs/>
                <w:lang w:val="es-ES_tradnl"/>
              </w:rPr>
              <w:t>GCIS</w:t>
            </w:r>
            <w:r w:rsidRPr="00702FF7">
              <w:rPr>
                <w:rFonts w:eastAsia="Calibri"/>
                <w:b/>
                <w:bCs/>
                <w:lang w:val="es-ES_tradnl"/>
              </w:rPr>
              <w:t>)</w:t>
            </w:r>
            <w:r w:rsidR="000163F1" w:rsidRPr="00702FF7">
              <w:rPr>
                <w:rFonts w:eastAsia="Calibri"/>
                <w:b/>
                <w:bCs/>
                <w:lang w:val="es-ES_tradnl"/>
              </w:rPr>
              <w:t>:</w:t>
            </w:r>
          </w:p>
          <w:p w14:paraId="1FE503BC" w14:textId="77777777" w:rsidR="00AE3B0C" w:rsidRPr="00702FF7" w:rsidRDefault="00AE3B0C" w:rsidP="000163F1">
            <w:pPr>
              <w:pStyle w:val="Tabletext"/>
              <w:rPr>
                <w:lang w:val="es-ES_tradnl"/>
              </w:rPr>
            </w:pPr>
            <w:r w:rsidRPr="00702FF7">
              <w:rPr>
                <w:lang w:val="es-ES_tradnl"/>
              </w:rPr>
              <w:t>El GAR examinó la sección 8.4 del informe del Director, relativa a los seminarios, los talleres y otros eventos, y tomó nota con satisfacción de la información facilitada.</w:t>
            </w:r>
          </w:p>
          <w:p w14:paraId="2FCD15CB" w14:textId="77777777" w:rsidR="00AE3B0C" w:rsidRPr="00702FF7" w:rsidDel="007A3CAF" w:rsidRDefault="00AE3B0C" w:rsidP="000C15DE">
            <w:pPr>
              <w:pStyle w:val="Tabletext"/>
              <w:rPr>
                <w:rFonts w:cstheme="minorBidi"/>
                <w:lang w:val="es-ES_tradnl"/>
              </w:rPr>
            </w:pPr>
            <w:r w:rsidRPr="00702FF7">
              <w:rPr>
                <w:rFonts w:cstheme="minorBidi"/>
                <w:lang w:val="es-ES_tradnl"/>
              </w:rPr>
              <w:lastRenderedPageBreak/>
              <w:t>El GAR tomó nota de la declaración de coordinación del GTC-RHF contenida en el Documento RAG/56, en la que se invitaba a los grupos asesores sectoriales, al GCIS, al Comité de Coordinación y al GAEM a facilitar al Consejo, en su reunión de 2026, recomendaciones para mejorar la aplicación de la Resolución 191 (Rev. Bucarest 2022), a fin de armonizarla con las resoluciones sectoriales pertinentes, en la medida de lo posible y cuando fuera necesario y apropiado, y propuso que se considerara la posibilidad de revisar o suprimir la Resolución 75 del UIT-R.</w:t>
            </w:r>
          </w:p>
          <w:p w14:paraId="69C9E60F" w14:textId="77777777" w:rsidR="00AE3B0C" w:rsidRPr="00702FF7" w:rsidRDefault="00AE3B0C" w:rsidP="000C15DE">
            <w:pPr>
              <w:pStyle w:val="Tabletext"/>
              <w:rPr>
                <w:rFonts w:eastAsia="Calibri" w:cstheme="minorBidi"/>
                <w:lang w:val="es-ES_tradnl"/>
              </w:rPr>
            </w:pPr>
            <w:r w:rsidRPr="00702FF7">
              <w:rPr>
                <w:rFonts w:eastAsia="Calibri" w:cstheme="minorBidi"/>
                <w:lang w:val="es-ES_tradnl"/>
              </w:rPr>
              <w:t xml:space="preserve">El GAR examinó el informe sobre la marcha de los trabajos del GCIS, en el que se abordaban temas relacionados con la accesibilidad, el cambio climático, la participación a distancia y la transformación digital sostenible, y tomó nota de que el GCIS había empezado a trabajar en dos nuevos ámbitos: la participación de la industria y la racionalización de las resoluciones. </w:t>
            </w:r>
          </w:p>
          <w:p w14:paraId="018BBB13" w14:textId="58C8789B" w:rsidR="00AE3B0C" w:rsidRPr="00702FF7" w:rsidRDefault="00AE3B0C" w:rsidP="000C15DE">
            <w:pPr>
              <w:pStyle w:val="Tabletext"/>
              <w:rPr>
                <w:rFonts w:cstheme="minorBidi"/>
                <w:lang w:val="es-ES_tradnl"/>
              </w:rPr>
            </w:pPr>
            <w:r w:rsidRPr="00702FF7">
              <w:rPr>
                <w:rFonts w:cstheme="minorBidi"/>
                <w:lang w:val="es-ES_tradnl"/>
              </w:rPr>
              <w:t xml:space="preserve">El </w:t>
            </w:r>
            <w:r w:rsidR="00CB4ED0">
              <w:rPr>
                <w:rFonts w:cstheme="minorBidi"/>
                <w:lang w:val="es-ES_tradnl"/>
              </w:rPr>
              <w:t>P</w:t>
            </w:r>
            <w:r w:rsidRPr="00702FF7">
              <w:rPr>
                <w:rFonts w:cstheme="minorBidi"/>
                <w:lang w:val="es-ES_tradnl"/>
              </w:rPr>
              <w:t xml:space="preserve">residente del GCIS invitó al GAR a presentar observaciones y propuestas sobre los temas presentados, así como sobre cualquier otra posible actividad conjunta o mecanismo que pudiera afianzar la cooperación. La próxima reunión del GCIS se celebraría en paralelo a la GADT, el 10 de abril de 2026. Se facilitaría más información al respecto en el </w:t>
            </w:r>
            <w:hyperlink r:id="rId54" w:anchor="/es" w:history="1">
              <w:r w:rsidRPr="00702FF7">
                <w:rPr>
                  <w:rStyle w:val="Hyperlink"/>
                  <w:rFonts w:asciiTheme="minorHAnsi" w:hAnsiTheme="minorHAnsi" w:cstheme="minorBidi"/>
                  <w:lang w:val="es-ES_tradnl"/>
                </w:rPr>
                <w:t>sitio web del GCIS</w:t>
              </w:r>
            </w:hyperlink>
            <w:r w:rsidRPr="00702FF7">
              <w:rPr>
                <w:rFonts w:cstheme="minorBidi"/>
                <w:lang w:val="es-ES_tradnl"/>
              </w:rPr>
              <w:t>. El Presidente del GCIS agradeció a los miembros del GAR que le hubiesen brindado la oportunidad de presentar el informe y los invitó a presentar contribuciones a las actividades del GCIS y a participar en sus reuniones.</w:t>
            </w:r>
          </w:p>
          <w:p w14:paraId="21CFBB1D" w14:textId="3F0756C5" w:rsidR="00AE3B0C" w:rsidRPr="00702FF7" w:rsidRDefault="00AE3B0C" w:rsidP="00CA406A">
            <w:pPr>
              <w:pStyle w:val="Tabletext"/>
              <w:rPr>
                <w:rFonts w:cstheme="minorBidi"/>
                <w:lang w:val="es-ES_tradnl"/>
              </w:rPr>
            </w:pPr>
            <w:r w:rsidRPr="00702FF7">
              <w:rPr>
                <w:rFonts w:cstheme="minorBidi"/>
                <w:lang w:val="es-ES_tradnl"/>
              </w:rPr>
              <w:t xml:space="preserve">El GAR tomó nota de que, con frecuencia, se detectaban duplicaciones entre los trabajos del UIT-R y el UIT-T en materia de espectro radioeléctrico, y reconoció la necesidad de crear conciencia y mejorar la coordinación en el seno de las Administraciones, con el objetivo de que toda cuestión que fuese competencia del UIT-R se remitiera a dicho Sector. El GAR hizo hincapié en la importancia que revestía la Resolución 191 e invitó a los Miembros a aplicarla. </w:t>
            </w:r>
          </w:p>
        </w:tc>
      </w:tr>
      <w:tr w:rsidR="00AE3B0C" w:rsidRPr="00B33A8D" w14:paraId="0662A8F4" w14:textId="77777777" w:rsidTr="000C15DE">
        <w:trPr>
          <w:cantSplit/>
          <w:tblHeader/>
        </w:trPr>
        <w:tc>
          <w:tcPr>
            <w:tcW w:w="1410" w:type="dxa"/>
          </w:tcPr>
          <w:p w14:paraId="697C8DBD" w14:textId="77777777" w:rsidR="00AE3B0C" w:rsidRPr="00702FF7" w:rsidRDefault="00AE3B0C" w:rsidP="000C15DE">
            <w:pPr>
              <w:pStyle w:val="Tabletext"/>
              <w:rPr>
                <w:lang w:val="es-ES_tradnl"/>
              </w:rPr>
            </w:pPr>
          </w:p>
        </w:tc>
        <w:tc>
          <w:tcPr>
            <w:tcW w:w="2268" w:type="dxa"/>
          </w:tcPr>
          <w:p w14:paraId="6A567515" w14:textId="2ABCC0B3" w:rsidR="00AE3B0C" w:rsidRPr="00702FF7" w:rsidRDefault="00AE3B0C" w:rsidP="000C15DE">
            <w:pPr>
              <w:pStyle w:val="Tabletext"/>
              <w:rPr>
                <w:lang w:val="es-ES_tradnl"/>
              </w:rPr>
            </w:pPr>
            <w:hyperlink r:id="rId55" w:history="1">
              <w:r w:rsidRPr="00533FD9">
                <w:rPr>
                  <w:rStyle w:val="Hyperlink"/>
                  <w:rFonts w:asciiTheme="minorHAnsi" w:hAnsiTheme="minorHAnsi" w:cstheme="minorHAnsi"/>
                  <w:lang w:val="es-ES_tradnl"/>
                </w:rPr>
                <w:t>66</w:t>
              </w:r>
              <w:r w:rsidR="00533FD9" w:rsidRPr="00533FD9">
                <w:rPr>
                  <w:rStyle w:val="Hyperlink"/>
                  <w:lang w:val="es-ES_tradnl"/>
                </w:rPr>
                <w:t>(</w:t>
              </w:r>
              <w:r w:rsidRPr="00533FD9">
                <w:rPr>
                  <w:rStyle w:val="Hyperlink"/>
                  <w:lang w:val="es-ES_tradnl"/>
                </w:rPr>
                <w:t>Rev.1</w:t>
              </w:r>
              <w:r w:rsidR="00533FD9" w:rsidRPr="00533FD9">
                <w:rPr>
                  <w:rStyle w:val="Hyperlink"/>
                  <w:lang w:val="es-ES_tradnl"/>
                </w:rPr>
                <w:t>)</w:t>
              </w:r>
            </w:hyperlink>
          </w:p>
        </w:tc>
        <w:tc>
          <w:tcPr>
            <w:tcW w:w="11623" w:type="dxa"/>
          </w:tcPr>
          <w:p w14:paraId="11D69646" w14:textId="02D5475B" w:rsidR="00AE3B0C" w:rsidRPr="00702FF7" w:rsidRDefault="00AE3B0C" w:rsidP="00DB04C8">
            <w:pPr>
              <w:pStyle w:val="Tabletext"/>
              <w:spacing w:after="120"/>
              <w:rPr>
                <w:rFonts w:eastAsia="Calibri"/>
                <w:b/>
                <w:bCs/>
                <w:lang w:val="es-ES_tradnl"/>
              </w:rPr>
            </w:pPr>
            <w:r w:rsidRPr="00702FF7">
              <w:rPr>
                <w:rFonts w:eastAsia="Calibri"/>
                <w:b/>
                <w:bCs/>
                <w:lang w:val="es-ES_tradnl"/>
              </w:rPr>
              <w:t>Presencia regional</w:t>
            </w:r>
            <w:r w:rsidR="000163F1" w:rsidRPr="00702FF7">
              <w:rPr>
                <w:rFonts w:eastAsia="Calibri"/>
                <w:b/>
                <w:bCs/>
                <w:lang w:val="es-ES_tradnl"/>
              </w:rPr>
              <w:t>:</w:t>
            </w:r>
          </w:p>
          <w:p w14:paraId="3FAA6147" w14:textId="66D3BF81" w:rsidR="00AE3B0C" w:rsidRPr="00702FF7" w:rsidRDefault="00AE3B0C" w:rsidP="00CA406A">
            <w:pPr>
              <w:pStyle w:val="Tabletext"/>
              <w:rPr>
                <w:rFonts w:cstheme="minorBidi"/>
                <w:lang w:val="es-ES_tradnl"/>
              </w:rPr>
            </w:pPr>
            <w:r w:rsidRPr="00702FF7">
              <w:rPr>
                <w:rFonts w:eastAsia="Calibri" w:cstheme="minorBidi"/>
                <w:lang w:val="es-ES_tradnl"/>
              </w:rPr>
              <w:t xml:space="preserve">El GAR tomó nota con satisfacción del </w:t>
            </w:r>
            <w:r w:rsidR="00B4491F">
              <w:rPr>
                <w:rFonts w:eastAsia="Calibri" w:cstheme="minorBidi"/>
                <w:lang w:val="es-ES_tradnl"/>
              </w:rPr>
              <w:t>d</w:t>
            </w:r>
            <w:r w:rsidRPr="00702FF7">
              <w:rPr>
                <w:rFonts w:eastAsia="Calibri" w:cstheme="minorBidi"/>
                <w:lang w:val="es-ES_tradnl"/>
              </w:rPr>
              <w:t>ocumento y de la presentación sobre e</w:t>
            </w:r>
            <w:r w:rsidRPr="00702FF7">
              <w:rPr>
                <w:lang w:val="es-ES_tradnl"/>
              </w:rPr>
              <w:t>l informe relativo al examen de la presencia regional de la UIT (</w:t>
            </w:r>
            <w:hyperlink r:id="rId56" w:history="1">
              <w:r w:rsidRPr="00702FF7">
                <w:rPr>
                  <w:rStyle w:val="Hyperlink"/>
                  <w:rFonts w:asciiTheme="minorHAnsi" w:hAnsiTheme="minorHAnsi" w:cstheme="minorHAnsi"/>
                  <w:lang w:val="es-ES_tradnl"/>
                </w:rPr>
                <w:t>C26/24</w:t>
              </w:r>
            </w:hyperlink>
            <w:r w:rsidRPr="00702FF7">
              <w:rPr>
                <w:lang w:val="es-ES_tradnl"/>
              </w:rPr>
              <w:t xml:space="preserve">), </w:t>
            </w:r>
            <w:r w:rsidRPr="00702FF7">
              <w:rPr>
                <w:rFonts w:cstheme="minorBidi"/>
                <w:lang w:val="es-ES_tradnl"/>
              </w:rPr>
              <w:t xml:space="preserve">que se sometería al Consejo en su reunión de 2026. </w:t>
            </w:r>
          </w:p>
        </w:tc>
      </w:tr>
      <w:tr w:rsidR="00AE3B0C" w:rsidRPr="00B33A8D" w14:paraId="1A269D7D" w14:textId="77777777" w:rsidTr="000C15DE">
        <w:trPr>
          <w:cantSplit/>
          <w:tblHeader/>
        </w:trPr>
        <w:tc>
          <w:tcPr>
            <w:tcW w:w="1410" w:type="dxa"/>
          </w:tcPr>
          <w:p w14:paraId="11F8490C" w14:textId="77777777" w:rsidR="00AE3B0C" w:rsidRPr="00702FF7" w:rsidRDefault="00AE3B0C" w:rsidP="000C15DE">
            <w:pPr>
              <w:pStyle w:val="Tabletext"/>
              <w:rPr>
                <w:lang w:val="es-ES_tradnl"/>
              </w:rPr>
            </w:pPr>
          </w:p>
        </w:tc>
        <w:tc>
          <w:tcPr>
            <w:tcW w:w="2268" w:type="dxa"/>
          </w:tcPr>
          <w:p w14:paraId="7D1711DF" w14:textId="24F39F0C" w:rsidR="00AE3B0C" w:rsidRPr="00702FF7" w:rsidRDefault="00AE3B0C" w:rsidP="000C15DE">
            <w:pPr>
              <w:pStyle w:val="Tabletext"/>
              <w:rPr>
                <w:lang w:val="es-ES_tradnl"/>
              </w:rPr>
            </w:pPr>
            <w:hyperlink r:id="rId57">
              <w:r w:rsidRPr="00702FF7">
                <w:rPr>
                  <w:rStyle w:val="Hyperlink"/>
                  <w:rFonts w:asciiTheme="minorHAnsi" w:hAnsiTheme="minorHAnsi" w:cstheme="minorHAnsi"/>
                  <w:lang w:val="es-ES_tradnl"/>
                </w:rPr>
                <w:t>48</w:t>
              </w:r>
            </w:hyperlink>
            <w:r w:rsidRPr="00702FF7">
              <w:rPr>
                <w:lang w:val="es-ES_tradnl"/>
              </w:rPr>
              <w:t xml:space="preserve"> (GANT)</w:t>
            </w:r>
          </w:p>
        </w:tc>
        <w:tc>
          <w:tcPr>
            <w:tcW w:w="11623" w:type="dxa"/>
          </w:tcPr>
          <w:p w14:paraId="791580E8" w14:textId="63CCECC9" w:rsidR="00AE3B0C" w:rsidRPr="00702FF7" w:rsidRDefault="00AE3B0C" w:rsidP="00DB04C8">
            <w:pPr>
              <w:pStyle w:val="Tabletext"/>
              <w:spacing w:after="120"/>
              <w:rPr>
                <w:b/>
                <w:bCs/>
                <w:lang w:val="es-ES_tradnl"/>
              </w:rPr>
            </w:pPr>
            <w:r w:rsidRPr="00DB04C8">
              <w:rPr>
                <w:rFonts w:eastAsia="Calibri"/>
                <w:b/>
                <w:bCs/>
                <w:lang w:val="es-ES_tradnl"/>
              </w:rPr>
              <w:t>Transformación</w:t>
            </w:r>
            <w:r w:rsidRPr="00702FF7">
              <w:rPr>
                <w:b/>
                <w:bCs/>
                <w:lang w:val="es-ES_tradnl"/>
              </w:rPr>
              <w:t xml:space="preserve"> digital sostenible</w:t>
            </w:r>
            <w:r w:rsidR="000163F1" w:rsidRPr="00702FF7">
              <w:rPr>
                <w:b/>
                <w:bCs/>
                <w:lang w:val="es-ES_tradnl"/>
              </w:rPr>
              <w:t>:</w:t>
            </w:r>
          </w:p>
          <w:p w14:paraId="05A80724" w14:textId="03E1E7F2" w:rsidR="00AE3B0C" w:rsidRPr="00702FF7" w:rsidRDefault="00AE3B0C" w:rsidP="00CA406A">
            <w:pPr>
              <w:pStyle w:val="Tabletext"/>
              <w:rPr>
                <w:lang w:val="es-ES_tradnl"/>
              </w:rPr>
            </w:pPr>
            <w:r w:rsidRPr="00702FF7">
              <w:rPr>
                <w:lang w:val="es-ES_tradnl"/>
              </w:rPr>
              <w:t xml:space="preserve">El GAR tomó nota de la declaración de coordinación del GANT sobre las actividades y los estudios relativos a la transformación digital sostenible, incluida en el Documento RAG/48, que se sometió al GAR a título informativo. </w:t>
            </w:r>
          </w:p>
        </w:tc>
      </w:tr>
      <w:tr w:rsidR="00AE3B0C" w:rsidRPr="00533FD9" w14:paraId="7589D2BC" w14:textId="77777777" w:rsidTr="000C15DE">
        <w:trPr>
          <w:cantSplit/>
          <w:trHeight w:val="769"/>
        </w:trPr>
        <w:tc>
          <w:tcPr>
            <w:tcW w:w="1410" w:type="dxa"/>
          </w:tcPr>
          <w:p w14:paraId="56747ABB" w14:textId="77777777" w:rsidR="00AE3B0C" w:rsidRPr="00702FF7" w:rsidRDefault="00AE3B0C" w:rsidP="000163F1">
            <w:pPr>
              <w:pStyle w:val="Tabletext"/>
              <w:keepNext/>
              <w:keepLines/>
              <w:rPr>
                <w:b/>
                <w:bCs/>
                <w:lang w:val="es-ES_tradnl"/>
              </w:rPr>
            </w:pPr>
            <w:r w:rsidRPr="00702FF7">
              <w:rPr>
                <w:b/>
                <w:bCs/>
                <w:lang w:val="es-ES_tradnl"/>
              </w:rPr>
              <w:t>11</w:t>
            </w:r>
          </w:p>
        </w:tc>
        <w:tc>
          <w:tcPr>
            <w:tcW w:w="2268" w:type="dxa"/>
          </w:tcPr>
          <w:p w14:paraId="4D954C39" w14:textId="77777777" w:rsidR="00AE3B0C" w:rsidRPr="00702FF7" w:rsidRDefault="00AE3B0C" w:rsidP="000163F1">
            <w:pPr>
              <w:pStyle w:val="Tabletext"/>
              <w:keepNext/>
              <w:keepLines/>
              <w:rPr>
                <w:b/>
                <w:bCs/>
                <w:lang w:val="es-ES_tradnl"/>
              </w:rPr>
            </w:pPr>
            <w:r w:rsidRPr="00702FF7">
              <w:rPr>
                <w:b/>
                <w:bCs/>
                <w:lang w:val="es-ES_tradnl"/>
              </w:rPr>
              <w:t xml:space="preserve">Sistema de información de la BR </w:t>
            </w:r>
          </w:p>
        </w:tc>
        <w:tc>
          <w:tcPr>
            <w:tcW w:w="11623" w:type="dxa"/>
          </w:tcPr>
          <w:p w14:paraId="7399FCF2" w14:textId="77777777" w:rsidR="00AE3B0C" w:rsidRPr="00702FF7" w:rsidRDefault="00AE3B0C" w:rsidP="000163F1">
            <w:pPr>
              <w:pStyle w:val="Tabletext"/>
              <w:keepNext/>
              <w:keepLines/>
              <w:rPr>
                <w:rFonts w:eastAsia="Calibri"/>
                <w:lang w:val="es-ES_tradnl"/>
              </w:rPr>
            </w:pPr>
          </w:p>
        </w:tc>
      </w:tr>
      <w:tr w:rsidR="00AE3B0C" w:rsidRPr="00B33A8D" w14:paraId="60F77F39" w14:textId="77777777" w:rsidTr="000C15DE">
        <w:trPr>
          <w:cantSplit/>
        </w:trPr>
        <w:tc>
          <w:tcPr>
            <w:tcW w:w="1410" w:type="dxa"/>
          </w:tcPr>
          <w:p w14:paraId="43667C32" w14:textId="77777777" w:rsidR="00AE3B0C" w:rsidRPr="00702FF7" w:rsidRDefault="00AE3B0C" w:rsidP="000163F1">
            <w:pPr>
              <w:pStyle w:val="Tabletext"/>
              <w:keepNext/>
              <w:keepLines/>
              <w:rPr>
                <w:lang w:val="es-ES_tradnl"/>
              </w:rPr>
            </w:pPr>
          </w:p>
        </w:tc>
        <w:tc>
          <w:tcPr>
            <w:tcW w:w="2268" w:type="dxa"/>
          </w:tcPr>
          <w:p w14:paraId="0D2E66F0" w14:textId="1E57BDBA" w:rsidR="00AE3B0C" w:rsidRPr="00702FF7" w:rsidRDefault="00AE3B0C" w:rsidP="00DB04C8">
            <w:pPr>
              <w:pStyle w:val="Tabletext"/>
              <w:keepNext/>
              <w:keepLines/>
              <w:spacing w:after="1560"/>
              <w:rPr>
                <w:rFonts w:eastAsia="SimSun" w:cstheme="minorBidi"/>
                <w:b/>
                <w:bCs/>
                <w:color w:val="000000" w:themeColor="text1"/>
                <w:lang w:val="es-ES_tradnl"/>
              </w:rPr>
            </w:pPr>
            <w:hyperlink r:id="rId58" w:history="1">
              <w:r w:rsidRPr="00702FF7">
                <w:rPr>
                  <w:rStyle w:val="Hyperlink"/>
                  <w:rFonts w:asciiTheme="minorHAnsi" w:hAnsiTheme="minorHAnsi" w:cstheme="minorBidi"/>
                  <w:lang w:val="es-ES_tradnl"/>
                </w:rPr>
                <w:t>58</w:t>
              </w:r>
            </w:hyperlink>
            <w:r w:rsidRPr="00702FF7">
              <w:rPr>
                <w:rFonts w:cstheme="minorBidi"/>
                <w:lang w:val="es-ES_tradnl"/>
              </w:rPr>
              <w:t xml:space="preserve"> (§7.1)</w:t>
            </w:r>
          </w:p>
          <w:p w14:paraId="6CE19A5F" w14:textId="62088006" w:rsidR="00AE3B0C" w:rsidRPr="00702FF7" w:rsidRDefault="000163F1" w:rsidP="00DB04C8">
            <w:pPr>
              <w:pStyle w:val="Tabletext"/>
              <w:keepNext/>
              <w:keepLines/>
              <w:spacing w:before="120" w:after="480"/>
              <w:rPr>
                <w:rFonts w:cstheme="minorBidi"/>
                <w:shd w:val="clear" w:color="auto" w:fill="FFFFFF"/>
                <w:lang w:val="es-ES_tradnl"/>
              </w:rPr>
            </w:pPr>
            <w:hyperlink r:id="rId59">
              <w:r w:rsidRPr="00702FF7">
                <w:rPr>
                  <w:rStyle w:val="Hyperlink"/>
                  <w:rFonts w:asciiTheme="minorHAnsi" w:hAnsiTheme="minorHAnsi" w:cstheme="minorBidi"/>
                  <w:lang w:val="es-ES_tradnl"/>
                </w:rPr>
                <w:t>58</w:t>
              </w:r>
            </w:hyperlink>
            <w:r w:rsidRPr="00702FF7">
              <w:rPr>
                <w:rFonts w:cstheme="minorBidi"/>
                <w:lang w:val="es-ES_tradnl"/>
              </w:rPr>
              <w:t xml:space="preserve"> (§7.2)</w:t>
            </w:r>
          </w:p>
        </w:tc>
        <w:tc>
          <w:tcPr>
            <w:tcW w:w="11623" w:type="dxa"/>
          </w:tcPr>
          <w:p w14:paraId="25EC1B4F" w14:textId="47A4CF88" w:rsidR="00AE3B0C" w:rsidRPr="00702FF7" w:rsidRDefault="00AE3B0C" w:rsidP="00DB04C8">
            <w:pPr>
              <w:pStyle w:val="Tabletext"/>
              <w:spacing w:after="120"/>
              <w:rPr>
                <w:b/>
                <w:bCs/>
                <w:lang w:val="es-ES_tradnl"/>
              </w:rPr>
            </w:pPr>
            <w:r w:rsidRPr="006D63F0">
              <w:rPr>
                <w:b/>
                <w:bCs/>
                <w:i/>
                <w:iCs/>
                <w:lang w:val="es-ES_tradnl"/>
              </w:rPr>
              <w:t>Software</w:t>
            </w:r>
            <w:r w:rsidRPr="00702FF7">
              <w:rPr>
                <w:b/>
                <w:bCs/>
                <w:lang w:val="es-ES_tradnl"/>
              </w:rPr>
              <w:t xml:space="preserve"> y herramientas terrenales</w:t>
            </w:r>
            <w:r w:rsidR="000163F1" w:rsidRPr="00702FF7">
              <w:rPr>
                <w:b/>
                <w:bCs/>
                <w:lang w:val="es-ES_tradnl"/>
              </w:rPr>
              <w:t>:</w:t>
            </w:r>
          </w:p>
          <w:p w14:paraId="6DE075A5" w14:textId="77777777" w:rsidR="00AE3B0C" w:rsidRPr="00702FF7" w:rsidRDefault="00AE3B0C" w:rsidP="000163F1">
            <w:pPr>
              <w:pStyle w:val="Tabletext"/>
              <w:keepNext/>
              <w:keepLines/>
              <w:rPr>
                <w:rFonts w:cstheme="minorBidi"/>
                <w:lang w:val="es-ES_tradnl"/>
              </w:rPr>
            </w:pPr>
            <w:r w:rsidRPr="00702FF7">
              <w:rPr>
                <w:rFonts w:cstheme="minorBidi"/>
                <w:lang w:val="es-ES_tradnl"/>
              </w:rPr>
              <w:t xml:space="preserve">El GAR tomó nota con satisfacción de la sección 7.1 del informe del Director, relativa al sistema de información, el software y las herramientas terrenales de la BR. </w:t>
            </w:r>
          </w:p>
          <w:p w14:paraId="570E33E0" w14:textId="39F3326F" w:rsidR="00AE3B0C" w:rsidRPr="00702FF7" w:rsidRDefault="00AE3B0C" w:rsidP="000163F1">
            <w:pPr>
              <w:pStyle w:val="Tabletext"/>
              <w:keepNext/>
              <w:keepLines/>
              <w:rPr>
                <w:rFonts w:cstheme="minorBidi"/>
                <w:lang w:val="es-ES_tradnl"/>
              </w:rPr>
            </w:pPr>
            <w:r w:rsidRPr="00702FF7">
              <w:rPr>
                <w:rFonts w:cstheme="minorBidi"/>
                <w:lang w:val="es-ES_tradnl"/>
              </w:rPr>
              <w:t>El GAR tomó nota de una propuesta referente a una posible replicación de las herramientas existentes en el sistema operativo de Linux. La BR señaló que, al disponer de recursos limitados, en ese momento no se preveía la compatibilidad con sistemas operativos distintos de Windows.</w:t>
            </w:r>
            <w:r w:rsidR="003D461A" w:rsidRPr="00702FF7">
              <w:rPr>
                <w:rFonts w:cstheme="minorBidi"/>
                <w:lang w:val="es-ES_tradnl"/>
              </w:rPr>
              <w:t xml:space="preserve"> </w:t>
            </w:r>
          </w:p>
          <w:p w14:paraId="429DEE46" w14:textId="596F46FB" w:rsidR="00AE3B0C" w:rsidRPr="00702FF7" w:rsidRDefault="00AE3B0C" w:rsidP="00DB04C8">
            <w:pPr>
              <w:pStyle w:val="Tabletext"/>
              <w:spacing w:before="120" w:after="120"/>
              <w:rPr>
                <w:rFonts w:cstheme="minorBidi"/>
                <w:b/>
                <w:bCs/>
                <w:lang w:val="es-ES_tradnl"/>
              </w:rPr>
            </w:pPr>
            <w:r w:rsidRPr="006D63F0">
              <w:rPr>
                <w:rFonts w:cstheme="minorBidi"/>
                <w:b/>
                <w:bCs/>
                <w:i/>
                <w:iCs/>
                <w:lang w:val="es-ES_tradnl"/>
              </w:rPr>
              <w:t>Software</w:t>
            </w:r>
            <w:r w:rsidRPr="00702FF7">
              <w:rPr>
                <w:rFonts w:cstheme="minorBidi"/>
                <w:b/>
                <w:bCs/>
                <w:lang w:val="es-ES_tradnl"/>
              </w:rPr>
              <w:t xml:space="preserve"> y herramientas </w:t>
            </w:r>
            <w:r w:rsidRPr="00DB04C8">
              <w:rPr>
                <w:b/>
                <w:bCs/>
                <w:lang w:val="es-ES_tradnl"/>
              </w:rPr>
              <w:t>espaciales</w:t>
            </w:r>
            <w:r w:rsidR="000163F1" w:rsidRPr="00702FF7">
              <w:rPr>
                <w:rFonts w:cstheme="minorBidi"/>
                <w:b/>
                <w:bCs/>
                <w:lang w:val="es-ES_tradnl"/>
              </w:rPr>
              <w:t>:</w:t>
            </w:r>
          </w:p>
          <w:p w14:paraId="3FCABB70" w14:textId="77777777" w:rsidR="00AE3B0C" w:rsidRPr="00702FF7" w:rsidRDefault="00AE3B0C" w:rsidP="000163F1">
            <w:pPr>
              <w:pStyle w:val="Tabletext"/>
              <w:keepNext/>
              <w:keepLines/>
              <w:rPr>
                <w:rFonts w:cstheme="minorBidi"/>
                <w:lang w:val="es-ES_tradnl"/>
              </w:rPr>
            </w:pPr>
            <w:r w:rsidRPr="00702FF7">
              <w:rPr>
                <w:rFonts w:cstheme="minorBidi"/>
                <w:lang w:val="es-ES_tradnl"/>
              </w:rPr>
              <w:t xml:space="preserve">El GAR tomó nota con satisfacción de la sección 7.2 del informe del Director, relativa al sistema de información, el software y las herramientas espaciales de la BR. </w:t>
            </w:r>
          </w:p>
          <w:p w14:paraId="1FA03713" w14:textId="1D02ED1E" w:rsidR="00AE3B0C" w:rsidRPr="00702FF7" w:rsidRDefault="00AE3B0C" w:rsidP="000163F1">
            <w:pPr>
              <w:pStyle w:val="Tabletext"/>
              <w:keepNext/>
              <w:keepLines/>
              <w:rPr>
                <w:rFonts w:cstheme="minorBidi"/>
                <w:lang w:val="es-ES_tradnl"/>
              </w:rPr>
            </w:pPr>
            <w:r w:rsidRPr="00702FF7">
              <w:rPr>
                <w:rFonts w:cstheme="minorBidi"/>
                <w:lang w:val="es-ES_tradnl"/>
              </w:rPr>
              <w:t xml:space="preserve">La BR confirmó que el </w:t>
            </w:r>
            <w:r w:rsidRPr="006D63F0">
              <w:rPr>
                <w:rFonts w:cstheme="minorBidi"/>
                <w:i/>
                <w:iCs/>
                <w:lang w:val="es-ES_tradnl"/>
              </w:rPr>
              <w:t>software</w:t>
            </w:r>
            <w:r w:rsidRPr="00702FF7">
              <w:rPr>
                <w:rFonts w:cstheme="minorBidi"/>
                <w:lang w:val="es-ES_tradnl"/>
              </w:rPr>
              <w:t xml:space="preserve"> que había desarrollado se ajustaba a los términos de su mandato y que estaba realizando esfuerzos a fin de compartir con las Administraciones el </w:t>
            </w:r>
            <w:r w:rsidRPr="006D63F0">
              <w:rPr>
                <w:rFonts w:cstheme="minorBidi"/>
                <w:i/>
                <w:iCs/>
                <w:lang w:val="es-ES_tradnl"/>
              </w:rPr>
              <w:t>software</w:t>
            </w:r>
            <w:r w:rsidRPr="00702FF7">
              <w:rPr>
                <w:rFonts w:cstheme="minorBidi"/>
                <w:lang w:val="es-ES_tradnl"/>
              </w:rPr>
              <w:t xml:space="preserve"> desarrollado para la tramitación de notificaciones a escala interna, con el objetivo de mejorar la calidad de las notificaciones presentadas a la UIT y la previsibilidad de los resultados del proceso de tramitación.</w:t>
            </w:r>
          </w:p>
          <w:p w14:paraId="606D95B0" w14:textId="77777777" w:rsidR="00AE3B0C" w:rsidRPr="00702FF7" w:rsidRDefault="00AE3B0C" w:rsidP="000163F1">
            <w:pPr>
              <w:pStyle w:val="Tabletext"/>
              <w:keepNext/>
              <w:keepLines/>
              <w:rPr>
                <w:rFonts w:cstheme="minorBidi"/>
                <w:lang w:val="es-ES_tradnl"/>
              </w:rPr>
            </w:pPr>
            <w:r w:rsidRPr="00702FF7">
              <w:rPr>
                <w:rFonts w:cstheme="minorBidi"/>
                <w:lang w:val="es-ES_tradnl"/>
              </w:rPr>
              <w:t xml:space="preserve">El GAR agradeció a la BR los continuos esfuerzos que dedicaba al desarrollo de </w:t>
            </w:r>
            <w:r w:rsidRPr="006D63F0">
              <w:rPr>
                <w:rFonts w:cstheme="minorBidi"/>
                <w:i/>
                <w:iCs/>
                <w:lang w:val="es-ES_tradnl"/>
              </w:rPr>
              <w:t>software</w:t>
            </w:r>
            <w:r w:rsidRPr="00702FF7">
              <w:rPr>
                <w:rFonts w:cstheme="minorBidi"/>
                <w:lang w:val="es-ES_tradnl"/>
              </w:rPr>
              <w:t xml:space="preserve"> terrenal y espacial, haciendo hincapié en la importancia de las herramientas creadas y en la mejora de su usabilidad. </w:t>
            </w:r>
          </w:p>
          <w:p w14:paraId="15AE7627" w14:textId="184A7509" w:rsidR="00AE3B0C" w:rsidRPr="00702FF7" w:rsidRDefault="00AE3B0C" w:rsidP="000163F1">
            <w:pPr>
              <w:pStyle w:val="Tabletext"/>
              <w:keepNext/>
              <w:keepLines/>
              <w:rPr>
                <w:rFonts w:cstheme="minorBidi"/>
                <w:lang w:val="es-ES_tradnl"/>
              </w:rPr>
            </w:pPr>
            <w:r w:rsidRPr="00702FF7">
              <w:rPr>
                <w:rFonts w:cstheme="minorBidi"/>
                <w:lang w:val="es-ES_tradnl"/>
              </w:rPr>
              <w:t>El GAR formuló diversas propuestas encaminadas a reforzar la accesibilidad y el dominio de estas herramientas por parte de las Administraciones, por ejemplo, propuso crear tutoriales, así como material y vídeos autodidactas, con información sobre las herramientas</w:t>
            </w:r>
            <w:r w:rsidR="006A3612">
              <w:rPr>
                <w:rFonts w:cstheme="minorBidi"/>
                <w:lang w:val="es-ES_tradnl"/>
              </w:rPr>
              <w:t>,</w:t>
            </w:r>
            <w:r w:rsidRPr="00702FF7">
              <w:rPr>
                <w:rFonts w:cstheme="minorBidi"/>
                <w:lang w:val="es-ES_tradnl"/>
              </w:rPr>
              <w:t xml:space="preserve"> y publicarlos en la página web de la Academia de la UIT. La BR confirmó que ya había varios tutoriales disponibles en el sitio web de los Seminarios Regionales y Mundiales de Radiocomunicaciones y que estos se añadirían también al portal de la Academia de la UIT, conforme a lo propuesto.</w:t>
            </w:r>
          </w:p>
        </w:tc>
      </w:tr>
      <w:tr w:rsidR="00AE3B0C" w:rsidRPr="00B33A8D" w14:paraId="3E046896" w14:textId="77777777" w:rsidTr="000C15DE">
        <w:trPr>
          <w:cantSplit/>
        </w:trPr>
        <w:tc>
          <w:tcPr>
            <w:tcW w:w="1410" w:type="dxa"/>
          </w:tcPr>
          <w:p w14:paraId="11D88B5F" w14:textId="77777777" w:rsidR="00AE3B0C" w:rsidRPr="00702FF7" w:rsidRDefault="00AE3B0C" w:rsidP="000C15DE">
            <w:pPr>
              <w:pStyle w:val="Tabletext"/>
              <w:rPr>
                <w:lang w:val="es-ES_tradnl"/>
              </w:rPr>
            </w:pPr>
          </w:p>
        </w:tc>
        <w:tc>
          <w:tcPr>
            <w:tcW w:w="2268" w:type="dxa"/>
          </w:tcPr>
          <w:p w14:paraId="58F84CDE" w14:textId="72586675" w:rsidR="00AE3B0C" w:rsidRPr="00702FF7" w:rsidRDefault="00AE3B0C" w:rsidP="00A87E6C">
            <w:pPr>
              <w:pStyle w:val="Tabletext"/>
              <w:spacing w:after="1440"/>
              <w:rPr>
                <w:rFonts w:cstheme="minorBidi"/>
                <w:lang w:val="es-ES_tradnl"/>
              </w:rPr>
            </w:pPr>
            <w:hyperlink r:id="rId60" w:history="1">
              <w:r w:rsidRPr="00702FF7">
                <w:rPr>
                  <w:rStyle w:val="Hyperlink"/>
                  <w:rFonts w:asciiTheme="minorHAnsi" w:hAnsiTheme="minorHAnsi" w:cstheme="minorBidi"/>
                  <w:lang w:val="es-ES_tradnl"/>
                </w:rPr>
                <w:t xml:space="preserve">69 </w:t>
              </w:r>
              <w:r w:rsidRPr="00702FF7">
                <w:rPr>
                  <w:lang w:val="es-ES_tradnl"/>
                </w:rPr>
                <w:t>(Japón)</w:t>
              </w:r>
            </w:hyperlink>
          </w:p>
          <w:p w14:paraId="360D34EC" w14:textId="780FD6F5" w:rsidR="00AE3B0C" w:rsidRPr="00702FF7" w:rsidRDefault="00AE3B0C" w:rsidP="00A87E6C">
            <w:pPr>
              <w:pStyle w:val="Tabletext"/>
              <w:rPr>
                <w:rFonts w:cstheme="minorBidi"/>
                <w:lang w:val="es-ES_tradnl"/>
              </w:rPr>
            </w:pPr>
            <w:hyperlink r:id="rId61">
              <w:r w:rsidRPr="00702FF7">
                <w:rPr>
                  <w:rStyle w:val="Hyperlink"/>
                  <w:rFonts w:asciiTheme="minorHAnsi" w:hAnsiTheme="minorHAnsi" w:cstheme="minorBidi"/>
                  <w:lang w:val="es-ES_tradnl"/>
                </w:rPr>
                <w:t>76</w:t>
              </w:r>
            </w:hyperlink>
            <w:r w:rsidRPr="00702FF7">
              <w:rPr>
                <w:rFonts w:cstheme="minorBidi"/>
                <w:lang w:val="es-ES_tradnl"/>
              </w:rPr>
              <w:t xml:space="preserve"> (Italia)</w:t>
            </w:r>
          </w:p>
        </w:tc>
        <w:tc>
          <w:tcPr>
            <w:tcW w:w="11623" w:type="dxa"/>
          </w:tcPr>
          <w:p w14:paraId="33B41A60" w14:textId="77777777" w:rsidR="00AE3B0C" w:rsidRPr="00702FF7" w:rsidRDefault="00AE3B0C" w:rsidP="000C15DE">
            <w:pPr>
              <w:pStyle w:val="Tabletext"/>
              <w:rPr>
                <w:rFonts w:eastAsia="Calibri"/>
                <w:color w:val="000000"/>
                <w:lang w:val="es-ES_tradnl"/>
              </w:rPr>
            </w:pPr>
            <w:r w:rsidRPr="00702FF7">
              <w:rPr>
                <w:rFonts w:eastAsia="Calibri"/>
                <w:color w:val="000000" w:themeColor="text1"/>
                <w:lang w:val="es-ES_tradnl"/>
              </w:rPr>
              <w:t xml:space="preserve">El GAR examinó una contribución relativa al desarrollo de </w:t>
            </w:r>
            <w:r w:rsidRPr="006D63F0">
              <w:rPr>
                <w:rFonts w:eastAsia="Calibri"/>
                <w:i/>
                <w:iCs/>
                <w:color w:val="000000" w:themeColor="text1"/>
                <w:lang w:val="es-ES_tradnl"/>
              </w:rPr>
              <w:t>software</w:t>
            </w:r>
            <w:r w:rsidRPr="00702FF7">
              <w:rPr>
                <w:rFonts w:eastAsia="Calibri"/>
                <w:color w:val="000000" w:themeColor="text1"/>
                <w:lang w:val="es-ES_tradnl"/>
              </w:rPr>
              <w:t xml:space="preserve"> espacial en virtud de la Resolución 55 (Rev. CMR-23) e invitó a la BR a proseguir su labor en ese campo, según se indicaba en el Documento RAG/69.</w:t>
            </w:r>
          </w:p>
          <w:p w14:paraId="1F64AA25" w14:textId="77777777" w:rsidR="00AE3B0C" w:rsidRPr="00702FF7" w:rsidRDefault="00AE3B0C" w:rsidP="000C15DE">
            <w:pPr>
              <w:pStyle w:val="Tabletext"/>
              <w:rPr>
                <w:rFonts w:eastAsia="Calibri"/>
                <w:color w:val="000000" w:themeColor="text1"/>
                <w:lang w:val="es-ES_tradnl"/>
              </w:rPr>
            </w:pPr>
            <w:r w:rsidRPr="00702FF7">
              <w:rPr>
                <w:rFonts w:eastAsia="Calibri"/>
                <w:color w:val="000000" w:themeColor="text1"/>
                <w:lang w:val="es-ES_tradnl"/>
              </w:rPr>
              <w:t>El GAR valoró positivamente la contribución de Japón y recomendó al Director de la BR que aplicara la propuesta esbozada, con arreglo a los recursos financieros disponibles, según procediera, a condición de que la modernización o adopción de herramientas nuevas no generase obligaciones procesales adicionales para las Administraciones y que la correspondencia entre los operadores y la BR siguiera tramitándose a través de las Administraciones.</w:t>
            </w:r>
          </w:p>
          <w:p w14:paraId="73E01C0A" w14:textId="0FE252C5" w:rsidR="00AE3B0C" w:rsidRPr="00702FF7" w:rsidRDefault="00AE3B0C" w:rsidP="000C15DE">
            <w:pPr>
              <w:pStyle w:val="Tabletext"/>
              <w:rPr>
                <w:rFonts w:eastAsia="Calibri"/>
                <w:color w:val="000000" w:themeColor="text1"/>
                <w:lang w:val="es-ES_tradnl"/>
              </w:rPr>
            </w:pPr>
            <w:r w:rsidRPr="00702FF7">
              <w:rPr>
                <w:rFonts w:eastAsia="Calibri"/>
                <w:color w:val="000000" w:themeColor="text1"/>
                <w:lang w:val="es-ES_tradnl"/>
              </w:rPr>
              <w:t>El GAR tomó nota de que la integración de los operadores de satélites en el sistema de comunicaciones electrónicas e</w:t>
            </w:r>
            <w:r w:rsidR="006D63F0">
              <w:rPr>
                <w:rFonts w:eastAsia="Calibri"/>
                <w:color w:val="000000" w:themeColor="text1"/>
                <w:lang w:val="es-ES_tradnl"/>
              </w:rPr>
              <w:noBreakHyphen/>
            </w:r>
            <w:r w:rsidRPr="00702FF7">
              <w:rPr>
                <w:rFonts w:eastAsia="Calibri"/>
                <w:color w:val="000000" w:themeColor="text1"/>
                <w:lang w:val="es-ES_tradnl"/>
              </w:rPr>
              <w:t xml:space="preserve">Communications tendría lugar en el segundo trimestre de 2026. </w:t>
            </w:r>
          </w:p>
          <w:p w14:paraId="77A09A39" w14:textId="77777777" w:rsidR="00AE3B0C" w:rsidRPr="00702FF7" w:rsidRDefault="00AE3B0C" w:rsidP="000C15DE">
            <w:pPr>
              <w:pStyle w:val="Tabletext"/>
              <w:rPr>
                <w:rFonts w:eastAsia="Calibri"/>
                <w:color w:val="000000"/>
                <w:lang w:val="es-ES_tradnl"/>
              </w:rPr>
            </w:pPr>
            <w:r w:rsidRPr="00702FF7">
              <w:rPr>
                <w:rFonts w:eastAsia="Calibri"/>
                <w:color w:val="000000" w:themeColor="text1"/>
                <w:lang w:val="es-ES_tradnl"/>
              </w:rPr>
              <w:lastRenderedPageBreak/>
              <w:t xml:space="preserve">El GAR examinó una </w:t>
            </w:r>
            <w:r w:rsidRPr="00702FF7">
              <w:rPr>
                <w:rFonts w:cstheme="minorBidi"/>
                <w:lang w:val="es-ES_tradnl"/>
              </w:rPr>
              <w:t>propuesta que abogaba por que la BR desarrollase una herramienta en línea para la presentación directa de comentarios sobre las API</w:t>
            </w:r>
            <w:r w:rsidRPr="00702FF7">
              <w:rPr>
                <w:rFonts w:eastAsia="Calibri"/>
                <w:color w:val="000000" w:themeColor="text1"/>
                <w:lang w:val="es-ES_tradnl"/>
              </w:rPr>
              <w:t xml:space="preserve">, según se indicaba en el Documento RAG/76. </w:t>
            </w:r>
          </w:p>
          <w:p w14:paraId="674980CE" w14:textId="77777777" w:rsidR="00AE3B0C" w:rsidRPr="00702FF7" w:rsidRDefault="00AE3B0C" w:rsidP="000C15DE">
            <w:pPr>
              <w:pStyle w:val="Tabletext"/>
              <w:rPr>
                <w:rFonts w:eastAsia="Calibri"/>
                <w:color w:val="000000" w:themeColor="text1"/>
                <w:lang w:val="es-ES_tradnl"/>
              </w:rPr>
            </w:pPr>
            <w:r w:rsidRPr="00702FF7">
              <w:rPr>
                <w:rFonts w:eastAsia="Calibri"/>
                <w:color w:val="000000" w:themeColor="text1"/>
                <w:lang w:val="es-ES_tradnl"/>
              </w:rPr>
              <w:t xml:space="preserve">El GAR señaló que dicha propuesta podía incluirse, en gran medida, en un proyecto ya existente (denominado e-Comment), que ya contaba con un presupuesto asignado. </w:t>
            </w:r>
          </w:p>
          <w:p w14:paraId="54E70700" w14:textId="1E7F1922" w:rsidR="00AE3B0C" w:rsidRPr="00702FF7" w:rsidRDefault="00AE3B0C" w:rsidP="00852CA4">
            <w:pPr>
              <w:pStyle w:val="Tabletext"/>
              <w:rPr>
                <w:rFonts w:eastAsia="Calibri"/>
                <w:color w:val="000000" w:themeColor="text1"/>
                <w:lang w:val="es-ES_tradnl"/>
              </w:rPr>
            </w:pPr>
            <w:r w:rsidRPr="00702FF7">
              <w:rPr>
                <w:rFonts w:eastAsia="Calibri"/>
                <w:color w:val="000000" w:themeColor="text1"/>
                <w:lang w:val="es-ES_tradnl"/>
              </w:rPr>
              <w:t xml:space="preserve">La BR expresó su agradecimiento a Italia por haberse ofrecido a colaborar en las pruebas beta de esta nueva herramienta e invitó a otras Administraciones a seguir su ejemplo, haciendo hincapié en la importancia de contar con un apoyo más directo de los Estados Miembros para mejorar el </w:t>
            </w:r>
            <w:r w:rsidRPr="006D63F0">
              <w:rPr>
                <w:rFonts w:eastAsia="Calibri"/>
                <w:i/>
                <w:iCs/>
                <w:color w:val="000000" w:themeColor="text1"/>
                <w:lang w:val="es-ES_tradnl"/>
              </w:rPr>
              <w:t>software</w:t>
            </w:r>
            <w:r w:rsidRPr="00702FF7">
              <w:rPr>
                <w:rFonts w:eastAsia="Calibri"/>
                <w:color w:val="000000" w:themeColor="text1"/>
                <w:lang w:val="es-ES_tradnl"/>
              </w:rPr>
              <w:t xml:space="preserve"> de la BR. </w:t>
            </w:r>
          </w:p>
        </w:tc>
      </w:tr>
      <w:tr w:rsidR="00AE3B0C" w:rsidRPr="00B33A8D" w14:paraId="4EFAA095" w14:textId="77777777" w:rsidTr="000C15DE">
        <w:trPr>
          <w:cantSplit/>
        </w:trPr>
        <w:tc>
          <w:tcPr>
            <w:tcW w:w="1410" w:type="dxa"/>
          </w:tcPr>
          <w:p w14:paraId="4A2D1750" w14:textId="77777777" w:rsidR="00AE3B0C" w:rsidRPr="00702FF7" w:rsidRDefault="00AE3B0C" w:rsidP="000C15DE">
            <w:pPr>
              <w:pStyle w:val="Tabletext"/>
              <w:rPr>
                <w:lang w:val="es-ES_tradnl"/>
              </w:rPr>
            </w:pPr>
          </w:p>
        </w:tc>
        <w:tc>
          <w:tcPr>
            <w:tcW w:w="2268" w:type="dxa"/>
          </w:tcPr>
          <w:p w14:paraId="5127D5F0" w14:textId="63978E7A" w:rsidR="00AE3B0C" w:rsidRPr="00702FF7" w:rsidRDefault="00AE3B0C" w:rsidP="002B3A51">
            <w:pPr>
              <w:pStyle w:val="Tabletext"/>
              <w:rPr>
                <w:lang w:val="es-ES_tradnl"/>
              </w:rPr>
            </w:pPr>
            <w:hyperlink r:id="rId62" w:history="1">
              <w:r w:rsidRPr="00702FF7">
                <w:rPr>
                  <w:rStyle w:val="Hyperlink"/>
                  <w:rFonts w:asciiTheme="minorHAnsi" w:hAnsiTheme="minorHAnsi" w:cstheme="minorHAnsi"/>
                  <w:lang w:val="es-ES_tradnl"/>
                </w:rPr>
                <w:t>58</w:t>
              </w:r>
            </w:hyperlink>
            <w:r w:rsidRPr="00702FF7">
              <w:rPr>
                <w:lang w:val="es-ES_tradnl"/>
              </w:rPr>
              <w:t xml:space="preserve"> (§7.3)</w:t>
            </w:r>
          </w:p>
        </w:tc>
        <w:tc>
          <w:tcPr>
            <w:tcW w:w="11623" w:type="dxa"/>
          </w:tcPr>
          <w:p w14:paraId="004733AE" w14:textId="77777777" w:rsidR="00AE3B0C" w:rsidRPr="00702FF7" w:rsidRDefault="00AE3B0C" w:rsidP="000C15DE">
            <w:pPr>
              <w:pStyle w:val="Tabletext"/>
              <w:rPr>
                <w:lang w:val="es-ES_tradnl"/>
              </w:rPr>
            </w:pPr>
            <w:r w:rsidRPr="00702FF7">
              <w:rPr>
                <w:lang w:val="es-ES_tradnl"/>
              </w:rPr>
              <w:t xml:space="preserve">Otras herramientas y </w:t>
            </w:r>
            <w:r w:rsidRPr="006D63F0">
              <w:rPr>
                <w:i/>
                <w:iCs/>
                <w:lang w:val="es-ES_tradnl"/>
              </w:rPr>
              <w:t>software</w:t>
            </w:r>
            <w:r w:rsidRPr="00702FF7">
              <w:rPr>
                <w:lang w:val="es-ES_tradnl"/>
              </w:rPr>
              <w:t xml:space="preserve"> de la BR </w:t>
            </w:r>
          </w:p>
          <w:p w14:paraId="0DF018F8" w14:textId="0A406773" w:rsidR="00AE3B0C" w:rsidRPr="00702FF7" w:rsidRDefault="00AE3B0C" w:rsidP="002B3A51">
            <w:pPr>
              <w:pStyle w:val="Tabletext"/>
              <w:rPr>
                <w:rFonts w:cstheme="minorBidi"/>
                <w:lang w:val="es-ES_tradnl"/>
              </w:rPr>
            </w:pPr>
            <w:r w:rsidRPr="00702FF7">
              <w:rPr>
                <w:rFonts w:cstheme="minorBidi"/>
                <w:lang w:val="es-ES_tradnl"/>
              </w:rPr>
              <w:t xml:space="preserve">El GAR tomó nota de la sección 7.3 del informe del Director, relativa al sistema de información y a otras herramientas y </w:t>
            </w:r>
            <w:r w:rsidRPr="006D63F0">
              <w:rPr>
                <w:rFonts w:cstheme="minorBidi"/>
                <w:i/>
                <w:iCs/>
                <w:lang w:val="es-ES_tradnl"/>
              </w:rPr>
              <w:t>software</w:t>
            </w:r>
            <w:r w:rsidRPr="00702FF7">
              <w:rPr>
                <w:rFonts w:cstheme="minorBidi"/>
                <w:lang w:val="es-ES_tradnl"/>
              </w:rPr>
              <w:t xml:space="preserve"> de la BR. </w:t>
            </w:r>
          </w:p>
        </w:tc>
      </w:tr>
      <w:tr w:rsidR="00AE3B0C" w:rsidRPr="00B33A8D" w14:paraId="35969A36" w14:textId="77777777" w:rsidTr="000C15DE">
        <w:trPr>
          <w:cantSplit/>
        </w:trPr>
        <w:tc>
          <w:tcPr>
            <w:tcW w:w="1410" w:type="dxa"/>
          </w:tcPr>
          <w:p w14:paraId="7FEF60B2" w14:textId="77777777" w:rsidR="00AE3B0C" w:rsidRPr="00702FF7" w:rsidRDefault="00AE3B0C" w:rsidP="000C15DE">
            <w:pPr>
              <w:pStyle w:val="Tabletext"/>
              <w:rPr>
                <w:lang w:val="es-ES_tradnl"/>
              </w:rPr>
            </w:pPr>
          </w:p>
        </w:tc>
        <w:tc>
          <w:tcPr>
            <w:tcW w:w="2268" w:type="dxa"/>
          </w:tcPr>
          <w:p w14:paraId="1D5D9470" w14:textId="3E9EB58C" w:rsidR="00AE3B0C" w:rsidRPr="00702FF7" w:rsidRDefault="00AE3B0C" w:rsidP="000C15DE">
            <w:pPr>
              <w:pStyle w:val="Tabletext"/>
              <w:rPr>
                <w:rFonts w:eastAsia="SimSun" w:cstheme="minorHAnsi"/>
                <w:lang w:val="es-ES_tradnl"/>
              </w:rPr>
            </w:pPr>
            <w:hyperlink r:id="rId63">
              <w:r w:rsidRPr="00702FF7">
                <w:rPr>
                  <w:rStyle w:val="Hyperlink"/>
                  <w:rFonts w:asciiTheme="minorHAnsi" w:hAnsiTheme="minorHAnsi" w:cstheme="minorHAnsi"/>
                  <w:lang w:val="es-ES_tradnl"/>
                </w:rPr>
                <w:t xml:space="preserve">58 </w:t>
              </w:r>
              <w:r w:rsidRPr="00702FF7">
                <w:rPr>
                  <w:lang w:val="es-ES_tradnl"/>
                </w:rPr>
                <w:t xml:space="preserve">(§7.4, </w:t>
              </w:r>
            </w:hyperlink>
            <w:hyperlink r:id="rId64">
              <w:r w:rsidRPr="00702FF7">
                <w:rPr>
                  <w:lang w:val="es-ES_tradnl"/>
                </w:rPr>
                <w:t>§7.5)</w:t>
              </w:r>
            </w:hyperlink>
          </w:p>
        </w:tc>
        <w:tc>
          <w:tcPr>
            <w:tcW w:w="11623" w:type="dxa"/>
          </w:tcPr>
          <w:p w14:paraId="2A144543" w14:textId="77777777" w:rsidR="00AE3B0C" w:rsidRPr="00702FF7" w:rsidRDefault="00AE3B0C" w:rsidP="000C15DE">
            <w:pPr>
              <w:pStyle w:val="Tabletext"/>
              <w:rPr>
                <w:lang w:val="es-ES_tradnl"/>
              </w:rPr>
            </w:pPr>
            <w:r w:rsidRPr="00702FF7">
              <w:rPr>
                <w:lang w:val="es-ES_tradnl"/>
              </w:rPr>
              <w:t>Continuidad de las actividades, recuperación en caso de catástrofe y computación en la nube</w:t>
            </w:r>
          </w:p>
          <w:p w14:paraId="4F24106A" w14:textId="46C6B17F" w:rsidR="00AE3B0C" w:rsidRPr="00702FF7" w:rsidRDefault="00AE3B0C" w:rsidP="002B3A51">
            <w:pPr>
              <w:pStyle w:val="Tabletext"/>
              <w:rPr>
                <w:rFonts w:cstheme="minorBidi"/>
                <w:lang w:val="es-ES_tradnl"/>
              </w:rPr>
            </w:pPr>
            <w:r w:rsidRPr="00702FF7">
              <w:rPr>
                <w:rFonts w:cstheme="minorBidi"/>
                <w:lang w:val="es-ES_tradnl"/>
              </w:rPr>
              <w:t>El GAR tomó nota de las secciones 7.4 y 7.5 de</w:t>
            </w:r>
            <w:r w:rsidR="00DB0B51">
              <w:rPr>
                <w:rFonts w:cstheme="minorBidi"/>
                <w:lang w:val="es-ES_tradnl"/>
              </w:rPr>
              <w:t>l</w:t>
            </w:r>
            <w:r w:rsidRPr="00702FF7">
              <w:rPr>
                <w:rFonts w:cstheme="minorBidi"/>
                <w:lang w:val="es-ES_tradnl"/>
              </w:rPr>
              <w:t xml:space="preserve"> informe del Director, relativas a la continuidad de las actividades, la recuperación en caso de catástrofe y la computación en la nube. </w:t>
            </w:r>
          </w:p>
        </w:tc>
      </w:tr>
      <w:tr w:rsidR="00AE3B0C" w:rsidRPr="00702FF7" w14:paraId="4C96155D" w14:textId="77777777" w:rsidTr="000C15DE">
        <w:trPr>
          <w:cantSplit/>
        </w:trPr>
        <w:tc>
          <w:tcPr>
            <w:tcW w:w="1410" w:type="dxa"/>
          </w:tcPr>
          <w:p w14:paraId="6DA6CC13" w14:textId="77777777" w:rsidR="00AE3B0C" w:rsidRPr="00702FF7" w:rsidRDefault="00AE3B0C" w:rsidP="000C15DE">
            <w:pPr>
              <w:pStyle w:val="Tabletext"/>
              <w:rPr>
                <w:b/>
                <w:bCs/>
                <w:lang w:val="es-ES_tradnl"/>
              </w:rPr>
            </w:pPr>
            <w:r w:rsidRPr="00702FF7">
              <w:rPr>
                <w:b/>
                <w:bCs/>
                <w:lang w:val="es-ES_tradnl"/>
              </w:rPr>
              <w:t>12</w:t>
            </w:r>
          </w:p>
        </w:tc>
        <w:tc>
          <w:tcPr>
            <w:tcW w:w="2268" w:type="dxa"/>
          </w:tcPr>
          <w:p w14:paraId="32EFF987" w14:textId="77777777" w:rsidR="00AE3B0C" w:rsidRPr="00702FF7" w:rsidRDefault="00AE3B0C" w:rsidP="000C15DE">
            <w:pPr>
              <w:pStyle w:val="Tabletext"/>
              <w:rPr>
                <w:rFonts w:eastAsia="SimSun" w:cstheme="minorHAnsi"/>
                <w:b/>
                <w:bCs/>
                <w:color w:val="000000"/>
                <w:shd w:val="clear" w:color="auto" w:fill="FFFFFF"/>
                <w:lang w:val="es-ES_tradnl"/>
              </w:rPr>
            </w:pPr>
            <w:r w:rsidRPr="00702FF7">
              <w:rPr>
                <w:rFonts w:eastAsia="SimSun" w:cstheme="minorHAnsi"/>
                <w:b/>
                <w:bCs/>
                <w:color w:val="000000"/>
                <w:shd w:val="clear" w:color="auto" w:fill="FFFFFF"/>
                <w:lang w:val="es-ES_tradnl"/>
              </w:rPr>
              <w:t>Divulgación</w:t>
            </w:r>
          </w:p>
        </w:tc>
        <w:tc>
          <w:tcPr>
            <w:tcW w:w="11623" w:type="dxa"/>
          </w:tcPr>
          <w:p w14:paraId="3B447700" w14:textId="77777777" w:rsidR="00AE3B0C" w:rsidRPr="00702FF7" w:rsidRDefault="00AE3B0C" w:rsidP="000C15DE">
            <w:pPr>
              <w:pStyle w:val="Tabletext"/>
              <w:rPr>
                <w:lang w:val="es-ES_tradnl"/>
              </w:rPr>
            </w:pPr>
          </w:p>
        </w:tc>
      </w:tr>
      <w:tr w:rsidR="00AE3B0C" w:rsidRPr="00533FD9" w14:paraId="1CB3C211" w14:textId="77777777" w:rsidTr="000C15DE">
        <w:trPr>
          <w:cantSplit/>
        </w:trPr>
        <w:tc>
          <w:tcPr>
            <w:tcW w:w="1410" w:type="dxa"/>
          </w:tcPr>
          <w:p w14:paraId="34BE6CDF" w14:textId="77777777" w:rsidR="00AE3B0C" w:rsidRPr="00702FF7" w:rsidRDefault="00AE3B0C" w:rsidP="000C15DE">
            <w:pPr>
              <w:pStyle w:val="Tabletext"/>
              <w:rPr>
                <w:lang w:val="es-ES_tradnl"/>
              </w:rPr>
            </w:pPr>
          </w:p>
        </w:tc>
        <w:tc>
          <w:tcPr>
            <w:tcW w:w="2268" w:type="dxa"/>
          </w:tcPr>
          <w:p w14:paraId="086389EC" w14:textId="5C728DA8" w:rsidR="00AE3B0C" w:rsidRPr="00702FF7" w:rsidRDefault="00AE3B0C" w:rsidP="00DB04C8">
            <w:pPr>
              <w:pStyle w:val="Tabletext"/>
              <w:rPr>
                <w:rFonts w:eastAsia="SimSun" w:cstheme="minorHAnsi"/>
                <w:b/>
                <w:bCs/>
                <w:color w:val="000000"/>
                <w:shd w:val="clear" w:color="auto" w:fill="FFFFFF"/>
                <w:lang w:val="es-ES_tradnl"/>
              </w:rPr>
            </w:pPr>
            <w:hyperlink r:id="rId65" w:history="1">
              <w:r w:rsidRPr="00702FF7">
                <w:rPr>
                  <w:rStyle w:val="Hyperlink"/>
                  <w:rFonts w:asciiTheme="minorHAnsi" w:hAnsiTheme="minorHAnsi" w:cstheme="minorHAnsi"/>
                  <w:lang w:val="es-ES_tradnl"/>
                </w:rPr>
                <w:t xml:space="preserve">58 </w:t>
              </w:r>
              <w:r w:rsidRPr="00702FF7">
                <w:rPr>
                  <w:lang w:val="es-ES_tradnl"/>
                </w:rPr>
                <w:t>(§8.1)</w:t>
              </w:r>
            </w:hyperlink>
          </w:p>
        </w:tc>
        <w:tc>
          <w:tcPr>
            <w:tcW w:w="11623" w:type="dxa"/>
          </w:tcPr>
          <w:p w14:paraId="6DAECD37" w14:textId="4841D827" w:rsidR="00AE3B0C" w:rsidRPr="00702FF7" w:rsidRDefault="00AE3B0C" w:rsidP="00DB04C8">
            <w:pPr>
              <w:pStyle w:val="Tabletext"/>
              <w:spacing w:after="120"/>
              <w:rPr>
                <w:b/>
                <w:bCs/>
                <w:lang w:val="es-ES_tradnl"/>
              </w:rPr>
            </w:pPr>
            <w:r w:rsidRPr="00DB04C8">
              <w:rPr>
                <w:rFonts w:cstheme="minorBidi"/>
                <w:b/>
                <w:bCs/>
                <w:lang w:val="es-ES_tradnl"/>
              </w:rPr>
              <w:t>Publicaciones</w:t>
            </w:r>
            <w:r w:rsidR="002B3A51" w:rsidRPr="00702FF7">
              <w:rPr>
                <w:b/>
                <w:bCs/>
                <w:lang w:val="es-ES_tradnl"/>
              </w:rPr>
              <w:t>:</w:t>
            </w:r>
          </w:p>
          <w:p w14:paraId="3788F88B" w14:textId="4D6AA2FB" w:rsidR="00AE3B0C" w:rsidRPr="00702FF7" w:rsidRDefault="00AE3B0C" w:rsidP="002B3A51">
            <w:pPr>
              <w:pStyle w:val="Tabletext"/>
              <w:rPr>
                <w:rFonts w:cstheme="minorBidi"/>
                <w:lang w:val="es-ES_tradnl"/>
              </w:rPr>
            </w:pPr>
            <w:r w:rsidRPr="00702FF7">
              <w:rPr>
                <w:rFonts w:cstheme="minorBidi"/>
                <w:lang w:val="es-ES_tradnl"/>
              </w:rPr>
              <w:t>El GAR tomó nota de la sección 8.1 del informe del Director, relativa a las publicaciones.</w:t>
            </w:r>
          </w:p>
        </w:tc>
      </w:tr>
      <w:tr w:rsidR="00AE3B0C" w:rsidRPr="00B33A8D" w14:paraId="35967DEA" w14:textId="77777777" w:rsidTr="000C15DE">
        <w:trPr>
          <w:cantSplit/>
        </w:trPr>
        <w:tc>
          <w:tcPr>
            <w:tcW w:w="1410" w:type="dxa"/>
          </w:tcPr>
          <w:p w14:paraId="3728CA49" w14:textId="77777777" w:rsidR="00AE3B0C" w:rsidRPr="00702FF7" w:rsidRDefault="00AE3B0C" w:rsidP="000C15DE">
            <w:pPr>
              <w:pStyle w:val="Tabletext"/>
              <w:rPr>
                <w:lang w:val="es-ES_tradnl"/>
              </w:rPr>
            </w:pPr>
          </w:p>
        </w:tc>
        <w:tc>
          <w:tcPr>
            <w:tcW w:w="2268" w:type="dxa"/>
          </w:tcPr>
          <w:p w14:paraId="32E530A1" w14:textId="5F23D74E" w:rsidR="00AE3B0C" w:rsidRPr="00702FF7" w:rsidRDefault="00AE3B0C" w:rsidP="00DB04C8">
            <w:pPr>
              <w:pStyle w:val="Tabletext"/>
              <w:rPr>
                <w:rFonts w:eastAsia="SimSun" w:cstheme="minorHAnsi"/>
                <w:b/>
                <w:bCs/>
                <w:color w:val="000000"/>
                <w:shd w:val="clear" w:color="auto" w:fill="FFFFFF"/>
                <w:lang w:val="es-ES_tradnl"/>
              </w:rPr>
            </w:pPr>
            <w:hyperlink r:id="rId66" w:history="1">
              <w:r w:rsidRPr="00702FF7">
                <w:rPr>
                  <w:rStyle w:val="Hyperlink"/>
                  <w:rFonts w:asciiTheme="minorHAnsi" w:hAnsiTheme="minorHAnsi" w:cstheme="minorHAnsi"/>
                  <w:lang w:val="es-ES_tradnl"/>
                </w:rPr>
                <w:t xml:space="preserve">58 </w:t>
              </w:r>
              <w:r w:rsidRPr="00702FF7">
                <w:rPr>
                  <w:lang w:val="es-ES_tradnl"/>
                </w:rPr>
                <w:t>(§8.2)</w:t>
              </w:r>
            </w:hyperlink>
          </w:p>
        </w:tc>
        <w:tc>
          <w:tcPr>
            <w:tcW w:w="11623" w:type="dxa"/>
          </w:tcPr>
          <w:p w14:paraId="1D876FB9" w14:textId="210E3759" w:rsidR="00AE3B0C" w:rsidRPr="00702FF7" w:rsidRDefault="00AE3B0C" w:rsidP="00DB04C8">
            <w:pPr>
              <w:pStyle w:val="Tabletext"/>
              <w:spacing w:after="120"/>
              <w:rPr>
                <w:b/>
                <w:bCs/>
                <w:lang w:val="es-ES_tradnl"/>
              </w:rPr>
            </w:pPr>
            <w:r w:rsidRPr="00702FF7">
              <w:rPr>
                <w:b/>
                <w:bCs/>
                <w:lang w:val="es-ES_tradnl"/>
              </w:rPr>
              <w:t xml:space="preserve">Seminarios, talleres y otros </w:t>
            </w:r>
            <w:r w:rsidRPr="00DB04C8">
              <w:rPr>
                <w:rFonts w:cstheme="minorBidi"/>
                <w:b/>
                <w:bCs/>
                <w:lang w:val="es-ES_tradnl"/>
              </w:rPr>
              <w:t>eventos</w:t>
            </w:r>
            <w:r w:rsidR="002B3A51" w:rsidRPr="00702FF7">
              <w:rPr>
                <w:b/>
                <w:bCs/>
                <w:lang w:val="es-ES_tradnl"/>
              </w:rPr>
              <w:t>:</w:t>
            </w:r>
          </w:p>
          <w:p w14:paraId="7B20D4F4" w14:textId="26C0B6C2" w:rsidR="00AE3B0C" w:rsidRPr="00702FF7" w:rsidRDefault="00AE3B0C" w:rsidP="002B3A51">
            <w:pPr>
              <w:pStyle w:val="Tabletext"/>
              <w:rPr>
                <w:rFonts w:cstheme="minorBidi"/>
                <w:lang w:val="es-ES_tradnl"/>
              </w:rPr>
            </w:pPr>
            <w:r w:rsidRPr="00702FF7">
              <w:rPr>
                <w:rFonts w:cstheme="minorBidi"/>
                <w:lang w:val="es-ES_tradnl"/>
              </w:rPr>
              <w:t>El GAR tomó nota de la sección 8.2 del informe del Director, relativa a las publicaciones, y expresó su agradecimiento a todos los socios que habían colaborado y contribuido a la organización de los seminarios regionales de radiocomunicaciones.</w:t>
            </w:r>
          </w:p>
        </w:tc>
      </w:tr>
      <w:tr w:rsidR="00AE3B0C" w:rsidRPr="00533FD9" w14:paraId="5E47A4FB" w14:textId="77777777" w:rsidTr="000C15DE">
        <w:trPr>
          <w:cantSplit/>
        </w:trPr>
        <w:tc>
          <w:tcPr>
            <w:tcW w:w="1410" w:type="dxa"/>
          </w:tcPr>
          <w:p w14:paraId="69695BC9" w14:textId="77777777" w:rsidR="00AE3B0C" w:rsidRPr="00702FF7" w:rsidRDefault="00AE3B0C" w:rsidP="000C15DE">
            <w:pPr>
              <w:pStyle w:val="Tabletext"/>
              <w:rPr>
                <w:lang w:val="es-ES_tradnl"/>
              </w:rPr>
            </w:pPr>
          </w:p>
        </w:tc>
        <w:tc>
          <w:tcPr>
            <w:tcW w:w="2268" w:type="dxa"/>
          </w:tcPr>
          <w:p w14:paraId="09F32FCD" w14:textId="7B49CCF1" w:rsidR="00AE3B0C" w:rsidRPr="00702FF7" w:rsidRDefault="00AE3B0C" w:rsidP="00DB04C8">
            <w:pPr>
              <w:pStyle w:val="Tabletext"/>
              <w:rPr>
                <w:rFonts w:eastAsia="SimSun" w:cstheme="minorHAnsi"/>
                <w:b/>
                <w:bCs/>
                <w:color w:val="000000"/>
                <w:shd w:val="clear" w:color="auto" w:fill="FFFFFF"/>
                <w:lang w:val="es-ES_tradnl"/>
              </w:rPr>
            </w:pPr>
            <w:hyperlink r:id="rId67" w:history="1">
              <w:r w:rsidRPr="00702FF7">
                <w:rPr>
                  <w:rStyle w:val="Hyperlink"/>
                  <w:rFonts w:asciiTheme="minorHAnsi" w:hAnsiTheme="minorHAnsi" w:cstheme="minorHAnsi"/>
                  <w:lang w:val="es-ES_tradnl"/>
                </w:rPr>
                <w:t>58</w:t>
              </w:r>
            </w:hyperlink>
            <w:r w:rsidRPr="00702FF7">
              <w:rPr>
                <w:rStyle w:val="Hyperlink"/>
                <w:rFonts w:asciiTheme="minorHAnsi" w:hAnsiTheme="minorHAnsi" w:cstheme="minorHAnsi"/>
                <w:lang w:val="es-ES_tradnl"/>
              </w:rPr>
              <w:t xml:space="preserve"> </w:t>
            </w:r>
            <w:r w:rsidRPr="00702FF7">
              <w:rPr>
                <w:lang w:val="es-ES_tradnl"/>
              </w:rPr>
              <w:t>(</w:t>
            </w:r>
            <w:hyperlink r:id="rId68" w:history="1">
              <w:r w:rsidRPr="00702FF7">
                <w:rPr>
                  <w:lang w:val="es-ES_tradnl"/>
                </w:rPr>
                <w:t>§8.3)</w:t>
              </w:r>
            </w:hyperlink>
          </w:p>
        </w:tc>
        <w:tc>
          <w:tcPr>
            <w:tcW w:w="11623" w:type="dxa"/>
          </w:tcPr>
          <w:p w14:paraId="517D6FAA" w14:textId="6A447B69" w:rsidR="00AE3B0C" w:rsidRPr="00702FF7" w:rsidRDefault="00AE3B0C" w:rsidP="00DB04C8">
            <w:pPr>
              <w:pStyle w:val="Tabletext"/>
              <w:spacing w:after="120"/>
              <w:rPr>
                <w:b/>
                <w:bCs/>
                <w:lang w:val="es-ES_tradnl"/>
              </w:rPr>
            </w:pPr>
            <w:r w:rsidRPr="00702FF7">
              <w:rPr>
                <w:b/>
                <w:bCs/>
                <w:lang w:val="es-ES_tradnl"/>
              </w:rPr>
              <w:t xml:space="preserve">Asistencia a los Estados </w:t>
            </w:r>
            <w:r w:rsidRPr="00DB04C8">
              <w:rPr>
                <w:rFonts w:cstheme="minorBidi"/>
                <w:b/>
                <w:bCs/>
                <w:lang w:val="es-ES_tradnl"/>
              </w:rPr>
              <w:t>Miembros</w:t>
            </w:r>
            <w:r w:rsidR="002B3A51" w:rsidRPr="00702FF7">
              <w:rPr>
                <w:b/>
                <w:bCs/>
                <w:lang w:val="es-ES_tradnl"/>
              </w:rPr>
              <w:t>:</w:t>
            </w:r>
          </w:p>
          <w:p w14:paraId="0E473EFA" w14:textId="502496F9" w:rsidR="00AE3B0C" w:rsidRPr="00702FF7" w:rsidRDefault="00AE3B0C" w:rsidP="002B3A51">
            <w:pPr>
              <w:pStyle w:val="Tabletext"/>
              <w:rPr>
                <w:rFonts w:cstheme="minorBidi"/>
                <w:lang w:val="es-ES_tradnl"/>
              </w:rPr>
            </w:pPr>
            <w:r w:rsidRPr="00702FF7">
              <w:rPr>
                <w:rFonts w:cstheme="minorBidi"/>
                <w:lang w:val="es-ES_tradnl"/>
              </w:rPr>
              <w:t xml:space="preserve">El GAR tomó nota de la sección 8.3 del informe del Director, relativa a la asistencia a los Estados Miembros. </w:t>
            </w:r>
          </w:p>
        </w:tc>
      </w:tr>
      <w:tr w:rsidR="00AE3B0C" w:rsidRPr="00B33A8D" w14:paraId="34E848C0" w14:textId="77777777" w:rsidTr="00DB04C8">
        <w:trPr>
          <w:cantSplit/>
          <w:trHeight w:val="1362"/>
        </w:trPr>
        <w:tc>
          <w:tcPr>
            <w:tcW w:w="1410" w:type="dxa"/>
          </w:tcPr>
          <w:p w14:paraId="7D9118CE" w14:textId="77777777" w:rsidR="00AE3B0C" w:rsidRPr="00702FF7" w:rsidRDefault="00AE3B0C" w:rsidP="000C15DE">
            <w:pPr>
              <w:pStyle w:val="Tabletext"/>
              <w:rPr>
                <w:lang w:val="es-ES_tradnl"/>
              </w:rPr>
            </w:pPr>
          </w:p>
        </w:tc>
        <w:tc>
          <w:tcPr>
            <w:tcW w:w="2268" w:type="dxa"/>
          </w:tcPr>
          <w:p w14:paraId="42719F0E" w14:textId="760B4123" w:rsidR="00AE3B0C" w:rsidRPr="00702FF7" w:rsidRDefault="00AE3B0C" w:rsidP="00DB04C8">
            <w:pPr>
              <w:pStyle w:val="Tabletext"/>
              <w:rPr>
                <w:rFonts w:eastAsia="SimSun" w:cstheme="minorHAnsi"/>
                <w:b/>
                <w:bCs/>
                <w:color w:val="000000"/>
                <w:shd w:val="clear" w:color="auto" w:fill="FFFFFF"/>
                <w:lang w:val="es-ES_tradnl"/>
              </w:rPr>
            </w:pPr>
            <w:hyperlink r:id="rId69" w:history="1">
              <w:r w:rsidRPr="00702FF7">
                <w:rPr>
                  <w:rStyle w:val="Hyperlink"/>
                  <w:rFonts w:asciiTheme="minorHAnsi" w:hAnsiTheme="minorHAnsi" w:cstheme="minorHAnsi"/>
                  <w:lang w:val="es-ES_tradnl"/>
                </w:rPr>
                <w:t xml:space="preserve">58 </w:t>
              </w:r>
              <w:r w:rsidRPr="00702FF7">
                <w:rPr>
                  <w:lang w:val="es-ES_tradnl"/>
                </w:rPr>
                <w:t>(§8.5 y 8.6)</w:t>
              </w:r>
            </w:hyperlink>
          </w:p>
        </w:tc>
        <w:tc>
          <w:tcPr>
            <w:tcW w:w="11623" w:type="dxa"/>
          </w:tcPr>
          <w:p w14:paraId="1BEFBE9F" w14:textId="6CD48962" w:rsidR="00AE3B0C" w:rsidRPr="00702FF7" w:rsidRDefault="00AE3B0C" w:rsidP="00DB04C8">
            <w:pPr>
              <w:pStyle w:val="Tabletext"/>
              <w:spacing w:after="120"/>
              <w:rPr>
                <w:b/>
                <w:bCs/>
                <w:lang w:val="es-ES_tradnl"/>
              </w:rPr>
            </w:pPr>
            <w:r w:rsidRPr="00DB04C8">
              <w:rPr>
                <w:rFonts w:cstheme="minorBidi"/>
                <w:b/>
                <w:bCs/>
                <w:lang w:val="es-ES_tradnl"/>
              </w:rPr>
              <w:t>Miembros</w:t>
            </w:r>
            <w:r w:rsidRPr="00702FF7">
              <w:rPr>
                <w:b/>
                <w:bCs/>
                <w:lang w:val="es-ES_tradnl"/>
              </w:rPr>
              <w:t>, comunicación y promoción</w:t>
            </w:r>
            <w:r w:rsidR="002B3A51" w:rsidRPr="00702FF7">
              <w:rPr>
                <w:b/>
                <w:bCs/>
                <w:lang w:val="es-ES_tradnl"/>
              </w:rPr>
              <w:t>:</w:t>
            </w:r>
          </w:p>
          <w:p w14:paraId="13155847" w14:textId="4A300452" w:rsidR="00AE3B0C" w:rsidRPr="00702FF7" w:rsidRDefault="00AE3B0C" w:rsidP="002B3A51">
            <w:pPr>
              <w:pStyle w:val="Tabletext"/>
              <w:rPr>
                <w:rFonts w:cstheme="minorBidi"/>
                <w:lang w:val="es-ES_tradnl"/>
              </w:rPr>
            </w:pPr>
            <w:r w:rsidRPr="00702FF7">
              <w:rPr>
                <w:rFonts w:cstheme="minorBidi"/>
                <w:lang w:val="es-ES_tradnl"/>
              </w:rPr>
              <w:t xml:space="preserve">El GAR tomó nota con satisfacción de las secciones 8.5 y 8.6 del informe del Director, relativas a los miembros, la comunicación y la promoción. </w:t>
            </w:r>
          </w:p>
        </w:tc>
      </w:tr>
      <w:tr w:rsidR="00AE3B0C" w:rsidRPr="00B33A8D" w14:paraId="6DB6888B" w14:textId="77777777" w:rsidTr="000C15DE">
        <w:trPr>
          <w:cantSplit/>
        </w:trPr>
        <w:tc>
          <w:tcPr>
            <w:tcW w:w="1410" w:type="dxa"/>
          </w:tcPr>
          <w:p w14:paraId="4E3BC6FD" w14:textId="77777777" w:rsidR="00AE3B0C" w:rsidRPr="00702FF7" w:rsidRDefault="00AE3B0C" w:rsidP="000C15DE">
            <w:pPr>
              <w:pStyle w:val="Tabletext"/>
              <w:rPr>
                <w:lang w:val="es-ES_tradnl"/>
              </w:rPr>
            </w:pPr>
          </w:p>
        </w:tc>
        <w:tc>
          <w:tcPr>
            <w:tcW w:w="2268" w:type="dxa"/>
          </w:tcPr>
          <w:p w14:paraId="664DBE8F" w14:textId="0C38C266" w:rsidR="00AE3B0C" w:rsidRPr="00702FF7" w:rsidRDefault="00AE3B0C" w:rsidP="00DB04C8">
            <w:pPr>
              <w:pStyle w:val="Tabletext"/>
              <w:rPr>
                <w:rFonts w:eastAsia="SimSun" w:cstheme="minorHAnsi"/>
                <w:b/>
                <w:bCs/>
                <w:color w:val="000000"/>
                <w:shd w:val="clear" w:color="auto" w:fill="FFFFFF"/>
                <w:lang w:val="es-ES_tradnl"/>
              </w:rPr>
            </w:pPr>
            <w:hyperlink r:id="rId70" w:history="1">
              <w:r w:rsidRPr="00702FF7">
                <w:rPr>
                  <w:rStyle w:val="Hyperlink"/>
                  <w:rFonts w:asciiTheme="minorHAnsi" w:hAnsiTheme="minorHAnsi" w:cstheme="minorHAnsi"/>
                  <w:lang w:val="es-ES_tradnl"/>
                </w:rPr>
                <w:t xml:space="preserve">58 </w:t>
              </w:r>
              <w:r w:rsidRPr="00702FF7">
                <w:rPr>
                  <w:lang w:val="es-ES_tradnl"/>
                </w:rPr>
                <w:t>(§8.7)</w:t>
              </w:r>
            </w:hyperlink>
          </w:p>
        </w:tc>
        <w:tc>
          <w:tcPr>
            <w:tcW w:w="11623" w:type="dxa"/>
          </w:tcPr>
          <w:p w14:paraId="4F946E4E" w14:textId="30A75376" w:rsidR="00AE3B0C" w:rsidRPr="00702FF7" w:rsidRDefault="00AE3B0C" w:rsidP="00DB04C8">
            <w:pPr>
              <w:pStyle w:val="Tabletext"/>
              <w:spacing w:after="120"/>
              <w:rPr>
                <w:b/>
                <w:bCs/>
                <w:lang w:val="es-ES_tradnl"/>
              </w:rPr>
            </w:pPr>
            <w:r w:rsidRPr="00DB04C8">
              <w:rPr>
                <w:rFonts w:cstheme="minorBidi"/>
                <w:b/>
                <w:bCs/>
                <w:lang w:val="es-ES_tradnl"/>
              </w:rPr>
              <w:t>Igualdad</w:t>
            </w:r>
            <w:r w:rsidRPr="00702FF7">
              <w:rPr>
                <w:b/>
                <w:bCs/>
                <w:lang w:val="es-ES_tradnl"/>
              </w:rPr>
              <w:t xml:space="preserve"> de género, Resoluciones de la AR-23 sobre igualdad de género y NOW4WRC27</w:t>
            </w:r>
            <w:r w:rsidR="002B3A51" w:rsidRPr="00702FF7">
              <w:rPr>
                <w:b/>
                <w:bCs/>
                <w:lang w:val="es-ES_tradnl"/>
              </w:rPr>
              <w:t>:</w:t>
            </w:r>
          </w:p>
          <w:p w14:paraId="3DC94706" w14:textId="25DD0704" w:rsidR="00AE3B0C" w:rsidRPr="00702FF7" w:rsidRDefault="00AE3B0C" w:rsidP="002B3A51">
            <w:pPr>
              <w:pStyle w:val="Tabletext"/>
              <w:rPr>
                <w:rFonts w:cstheme="minorBidi"/>
                <w:lang w:val="es-ES_tradnl"/>
              </w:rPr>
            </w:pPr>
            <w:r w:rsidRPr="00702FF7">
              <w:rPr>
                <w:rFonts w:cstheme="minorBidi"/>
                <w:lang w:val="es-ES_tradnl"/>
              </w:rPr>
              <w:t>El GAR tomó nota de la sección 8.7 del informe del Director, relativa a la igualdad de género, las</w:t>
            </w:r>
            <w:r w:rsidRPr="00702FF7">
              <w:rPr>
                <w:lang w:val="es-ES_tradnl"/>
              </w:rPr>
              <w:t xml:space="preserve"> </w:t>
            </w:r>
            <w:r w:rsidRPr="00702FF7">
              <w:rPr>
                <w:rFonts w:cstheme="minorBidi"/>
                <w:lang w:val="es-ES_tradnl"/>
              </w:rPr>
              <w:t xml:space="preserve">Resoluciones de la AR-23 sobre igualdad de género y la </w:t>
            </w:r>
            <w:r w:rsidRPr="00702FF7">
              <w:rPr>
                <w:lang w:val="es-ES_tradnl"/>
              </w:rPr>
              <w:t>red de mujeres para la CMR</w:t>
            </w:r>
            <w:r w:rsidRPr="00702FF7">
              <w:rPr>
                <w:rFonts w:eastAsia="Calibri"/>
                <w:lang w:val="es-ES_tradnl"/>
              </w:rPr>
              <w:t>-27 (</w:t>
            </w:r>
            <w:r w:rsidRPr="00702FF7">
              <w:rPr>
                <w:rFonts w:cstheme="minorBidi"/>
                <w:lang w:val="es-ES_tradnl"/>
              </w:rPr>
              <w:t>NOW4WRC27).</w:t>
            </w:r>
          </w:p>
        </w:tc>
      </w:tr>
      <w:tr w:rsidR="00AE3B0C" w:rsidRPr="00533FD9" w14:paraId="6DF604FF" w14:textId="77777777" w:rsidTr="000C15DE">
        <w:trPr>
          <w:cantSplit/>
        </w:trPr>
        <w:tc>
          <w:tcPr>
            <w:tcW w:w="1410" w:type="dxa"/>
          </w:tcPr>
          <w:p w14:paraId="0EA134C2" w14:textId="77777777" w:rsidR="00AE3B0C" w:rsidRPr="00702FF7" w:rsidRDefault="00AE3B0C" w:rsidP="000C15DE">
            <w:pPr>
              <w:pStyle w:val="Tabletext"/>
              <w:rPr>
                <w:b/>
                <w:bCs/>
                <w:lang w:val="es-ES_tradnl"/>
              </w:rPr>
            </w:pPr>
            <w:r w:rsidRPr="00702FF7">
              <w:rPr>
                <w:b/>
                <w:bCs/>
                <w:lang w:val="es-ES_tradnl"/>
              </w:rPr>
              <w:t>13</w:t>
            </w:r>
          </w:p>
        </w:tc>
        <w:tc>
          <w:tcPr>
            <w:tcW w:w="2268" w:type="dxa"/>
          </w:tcPr>
          <w:p w14:paraId="5971BE7B" w14:textId="77777777" w:rsidR="00AE3B0C" w:rsidRPr="00702FF7" w:rsidRDefault="00AE3B0C" w:rsidP="000C15DE">
            <w:pPr>
              <w:pStyle w:val="Tabletext"/>
              <w:rPr>
                <w:rFonts w:eastAsia="SimSun" w:cstheme="minorHAnsi"/>
                <w:b/>
                <w:bCs/>
                <w:color w:val="000000"/>
                <w:shd w:val="clear" w:color="auto" w:fill="FFFFFF"/>
                <w:lang w:val="es-ES_tradnl"/>
              </w:rPr>
            </w:pPr>
            <w:r w:rsidRPr="00702FF7">
              <w:rPr>
                <w:b/>
                <w:bCs/>
                <w:lang w:val="es-ES_tradnl"/>
              </w:rPr>
              <w:t>Fecha de la próxima reunión</w:t>
            </w:r>
          </w:p>
        </w:tc>
        <w:tc>
          <w:tcPr>
            <w:tcW w:w="11623" w:type="dxa"/>
          </w:tcPr>
          <w:p w14:paraId="12F5777F" w14:textId="1616A6F7" w:rsidR="00AE3B0C" w:rsidRPr="00702FF7" w:rsidRDefault="00AE3B0C" w:rsidP="002B3A51">
            <w:pPr>
              <w:pStyle w:val="Tabletext"/>
              <w:rPr>
                <w:rFonts w:cstheme="minorBidi"/>
                <w:lang w:val="es-ES_tradnl"/>
              </w:rPr>
            </w:pPr>
            <w:r w:rsidRPr="00702FF7">
              <w:rPr>
                <w:rFonts w:cstheme="minorBidi"/>
                <w:lang w:val="es-ES_tradnl"/>
              </w:rPr>
              <w:t>El GAR tomó nota de las fechas de su próxima reunión, a saber, del 22 al 25 de marzo de 2027 (4 días).</w:t>
            </w:r>
          </w:p>
        </w:tc>
      </w:tr>
      <w:tr w:rsidR="00AE3B0C" w:rsidRPr="00702FF7" w14:paraId="0BAA2A81" w14:textId="77777777" w:rsidTr="00852CA4">
        <w:trPr>
          <w:cantSplit/>
          <w:trHeight w:val="957"/>
        </w:trPr>
        <w:tc>
          <w:tcPr>
            <w:tcW w:w="1410" w:type="dxa"/>
          </w:tcPr>
          <w:p w14:paraId="122A9DE1" w14:textId="77777777" w:rsidR="00AE3B0C" w:rsidRPr="00702FF7" w:rsidRDefault="00AE3B0C" w:rsidP="00852CA4">
            <w:pPr>
              <w:pStyle w:val="Tabletext"/>
              <w:keepNext/>
              <w:keepLines/>
              <w:rPr>
                <w:b/>
                <w:bCs/>
                <w:lang w:val="es-ES_tradnl"/>
              </w:rPr>
            </w:pPr>
            <w:r w:rsidRPr="00702FF7">
              <w:rPr>
                <w:b/>
                <w:bCs/>
                <w:lang w:val="es-ES_tradnl"/>
              </w:rPr>
              <w:t>14</w:t>
            </w:r>
          </w:p>
        </w:tc>
        <w:tc>
          <w:tcPr>
            <w:tcW w:w="2268" w:type="dxa"/>
          </w:tcPr>
          <w:p w14:paraId="07F7824E" w14:textId="77777777" w:rsidR="00AE3B0C" w:rsidRPr="00702FF7" w:rsidRDefault="00AE3B0C" w:rsidP="00852CA4">
            <w:pPr>
              <w:pStyle w:val="Tabletext"/>
              <w:keepNext/>
              <w:keepLines/>
              <w:rPr>
                <w:b/>
                <w:bCs/>
                <w:lang w:val="es-ES_tradnl"/>
              </w:rPr>
            </w:pPr>
            <w:r w:rsidRPr="00702FF7">
              <w:rPr>
                <w:b/>
                <w:bCs/>
                <w:lang w:val="es-ES_tradnl"/>
              </w:rPr>
              <w:t>Otros asuntos</w:t>
            </w:r>
          </w:p>
        </w:tc>
        <w:tc>
          <w:tcPr>
            <w:tcW w:w="11623" w:type="dxa"/>
          </w:tcPr>
          <w:p w14:paraId="3D4E9B57" w14:textId="77777777" w:rsidR="00AE3B0C" w:rsidRPr="00702FF7" w:rsidRDefault="00AE3B0C" w:rsidP="00852CA4">
            <w:pPr>
              <w:pStyle w:val="Tabletext"/>
              <w:keepNext/>
              <w:keepLines/>
              <w:rPr>
                <w:rFonts w:cstheme="minorBidi"/>
                <w:b/>
                <w:bCs/>
                <w:lang w:val="es-ES_tradnl"/>
              </w:rPr>
            </w:pPr>
          </w:p>
        </w:tc>
      </w:tr>
      <w:tr w:rsidR="00AE3B0C" w:rsidRPr="00B33A8D" w14:paraId="778FFBF1" w14:textId="77777777" w:rsidTr="000C15DE">
        <w:trPr>
          <w:cantSplit/>
        </w:trPr>
        <w:tc>
          <w:tcPr>
            <w:tcW w:w="1410" w:type="dxa"/>
          </w:tcPr>
          <w:p w14:paraId="1A2D5ECC" w14:textId="77777777" w:rsidR="00AE3B0C" w:rsidRPr="00702FF7" w:rsidRDefault="00AE3B0C" w:rsidP="00852CA4">
            <w:pPr>
              <w:pStyle w:val="Tabletext"/>
              <w:keepNext/>
              <w:keepLines/>
              <w:rPr>
                <w:lang w:val="es-ES_tradnl"/>
              </w:rPr>
            </w:pPr>
          </w:p>
        </w:tc>
        <w:tc>
          <w:tcPr>
            <w:tcW w:w="2268" w:type="dxa"/>
          </w:tcPr>
          <w:p w14:paraId="16461256" w14:textId="43323499" w:rsidR="00AE3B0C" w:rsidRPr="00702FF7" w:rsidRDefault="00AE3B0C" w:rsidP="00DB04C8">
            <w:pPr>
              <w:pStyle w:val="Tabletext"/>
              <w:rPr>
                <w:rFonts w:eastAsia="Aptos"/>
                <w:color w:val="000000" w:themeColor="text1"/>
                <w:lang w:val="es-ES_tradnl"/>
              </w:rPr>
            </w:pPr>
            <w:hyperlink r:id="rId71">
              <w:r w:rsidRPr="00702FF7">
                <w:rPr>
                  <w:rStyle w:val="Hyperlink"/>
                  <w:rFonts w:asciiTheme="minorHAnsi" w:eastAsia="Aptos" w:hAnsiTheme="minorHAnsi" w:cstheme="minorHAnsi"/>
                  <w:lang w:val="es-ES_tradnl"/>
                </w:rPr>
                <w:t>70</w:t>
              </w:r>
            </w:hyperlink>
            <w:r w:rsidRPr="00702FF7">
              <w:rPr>
                <w:rFonts w:eastAsia="Aptos"/>
                <w:color w:val="000000" w:themeColor="text1"/>
                <w:lang w:val="es-ES_tradnl"/>
              </w:rPr>
              <w:t xml:space="preserve"> (Arabia Saudita)</w:t>
            </w:r>
          </w:p>
        </w:tc>
        <w:tc>
          <w:tcPr>
            <w:tcW w:w="11623" w:type="dxa"/>
          </w:tcPr>
          <w:p w14:paraId="193A2EA8" w14:textId="32778B92" w:rsidR="00AE3B0C" w:rsidRPr="00702FF7" w:rsidRDefault="00AE3B0C" w:rsidP="00DB04C8">
            <w:pPr>
              <w:pStyle w:val="Tabletext"/>
              <w:spacing w:after="120"/>
              <w:rPr>
                <w:b/>
                <w:bCs/>
                <w:lang w:val="es-ES_tradnl"/>
              </w:rPr>
            </w:pPr>
            <w:r w:rsidRPr="00DB04C8">
              <w:rPr>
                <w:rFonts w:cstheme="minorBidi"/>
                <w:b/>
                <w:bCs/>
                <w:lang w:val="es-ES_tradnl"/>
              </w:rPr>
              <w:t>Aplicación</w:t>
            </w:r>
            <w:r w:rsidRPr="00702FF7">
              <w:rPr>
                <w:b/>
                <w:bCs/>
                <w:lang w:val="es-ES_tradnl"/>
              </w:rPr>
              <w:t xml:space="preserve"> coherente de los marcos de la UIT, la OMI y la OACI en materia de radiocomunicaciones marítimas, aeronáuticas y otros sistemas de </w:t>
            </w:r>
            <w:r w:rsidRPr="00DB04C8">
              <w:rPr>
                <w:rFonts w:cstheme="minorBidi"/>
                <w:b/>
                <w:bCs/>
                <w:lang w:val="es-ES_tradnl"/>
              </w:rPr>
              <w:t>radiocomunicaciones</w:t>
            </w:r>
            <w:r w:rsidRPr="00702FF7">
              <w:rPr>
                <w:b/>
                <w:bCs/>
                <w:lang w:val="es-ES_tradnl"/>
              </w:rPr>
              <w:t xml:space="preserve"> pertinentes</w:t>
            </w:r>
            <w:r w:rsidR="00852CA4" w:rsidRPr="00702FF7">
              <w:rPr>
                <w:b/>
                <w:bCs/>
                <w:lang w:val="es-ES_tradnl"/>
              </w:rPr>
              <w:t>:</w:t>
            </w:r>
          </w:p>
          <w:p w14:paraId="681CAC75" w14:textId="77777777" w:rsidR="00AE3B0C" w:rsidRPr="00702FF7" w:rsidRDefault="00AE3B0C" w:rsidP="00852CA4">
            <w:pPr>
              <w:pStyle w:val="Tabletext"/>
              <w:keepNext/>
              <w:keepLines/>
              <w:rPr>
                <w:rFonts w:eastAsia="Calibri" w:cstheme="minorBidi"/>
                <w:lang w:val="es-ES_tradnl"/>
              </w:rPr>
            </w:pPr>
            <w:r w:rsidRPr="00702FF7">
              <w:rPr>
                <w:rFonts w:eastAsia="Calibri" w:cstheme="minorBidi"/>
                <w:color w:val="000000" w:themeColor="text1"/>
                <w:lang w:val="es-ES_tradnl"/>
              </w:rPr>
              <w:t xml:space="preserve">El GAR examinó una contribución relativa a la prestación de asistencia a las autoridades nacionales de reglamentación de las telecomunicaciones para la aplicación coherente de los marcos de la UIT, la OMI y la OACI en materia de sistemas de radiocomunicaciones marítimas y aeronáuticas, conforme a lo indicado en el Documento RAG/70. </w:t>
            </w:r>
          </w:p>
          <w:p w14:paraId="2F110502" w14:textId="2F41289A" w:rsidR="00AE3B0C" w:rsidRPr="00702FF7" w:rsidRDefault="00AE3B0C" w:rsidP="00852CA4">
            <w:pPr>
              <w:pStyle w:val="Tabletext"/>
              <w:keepNext/>
              <w:keepLines/>
              <w:rPr>
                <w:rFonts w:eastAsia="Calibri" w:cstheme="minorBidi"/>
                <w:color w:val="000000" w:themeColor="text1"/>
                <w:lang w:val="es-ES_tradnl"/>
              </w:rPr>
            </w:pPr>
            <w:r w:rsidRPr="00702FF7">
              <w:rPr>
                <w:rFonts w:eastAsia="Calibri" w:cstheme="minorBidi"/>
                <w:color w:val="000000" w:themeColor="text1"/>
                <w:lang w:val="es-ES_tradnl"/>
              </w:rPr>
              <w:t>El GAR señaló que, si bien existía información sobre gestión de espectro para servicios marítimos y aeronáuticos, así como diversos marcos conexos, dicha información se hallaba dispersa en distintos documentos de la OMI y la OACI, y que su recopilación redundaría en beneficio de los reguladores de las telecomunicaciones. El GAR tomó nota asimismo de la información facilitada por la Oficina, según la cual el volumen de trabajo inherente a la elaboración de directrices comunes de gestión del espectro resultaba excesivo para las secretarías de la OMI y la OACI. A fin de participar en los trabajos de los grupos competentes de la OMI y la OACI, a saber, el Subcomité de Navegación, Comunicaciones y Búsqueda y Salvamento de la OMI y el Grupo Experto en Gestión del Espectro de Frecuencias de la OACI, era necesario aplicar un procedimiento complejo con miras a la creación de una nueva actividad en dichas organizaciones.</w:t>
            </w:r>
            <w:r w:rsidR="003D461A" w:rsidRPr="00702FF7">
              <w:rPr>
                <w:rFonts w:eastAsia="Calibri" w:cstheme="minorBidi"/>
                <w:color w:val="000000" w:themeColor="text1"/>
                <w:lang w:val="es-ES_tradnl"/>
              </w:rPr>
              <w:t xml:space="preserve"> </w:t>
            </w:r>
          </w:p>
          <w:p w14:paraId="3AF9E4E9" w14:textId="77777777" w:rsidR="00AE3B0C" w:rsidRPr="00702FF7" w:rsidRDefault="00AE3B0C" w:rsidP="00852CA4">
            <w:pPr>
              <w:pStyle w:val="Tabletext"/>
              <w:keepNext/>
              <w:keepLines/>
              <w:rPr>
                <w:rFonts w:eastAsia="Calibri" w:cstheme="minorBidi"/>
                <w:color w:val="000000" w:themeColor="text1"/>
                <w:lang w:val="es-ES_tradnl"/>
              </w:rPr>
            </w:pPr>
            <w:r w:rsidRPr="00702FF7">
              <w:rPr>
                <w:rFonts w:eastAsia="Calibri" w:cstheme="minorBidi"/>
                <w:color w:val="000000" w:themeColor="text1"/>
                <w:lang w:val="es-ES_tradnl"/>
              </w:rPr>
              <w:t xml:space="preserve">Con el objetivo de brindar una asistencia práctica a las administraciones, el GAR aconsejó al Director de la BR que organizara talleres o seminarios web dedicados a la gestión de las frecuencias aeronáuticas y marítimas. El GAR también invitó al Director de la BR a crear una página web específica, en la que se recogiera toda la información relacionada con la gestión del espectro para los servicios aeronáuticos y marítimos que figuraba en los documentos del UIT-R, la OMI y la OACI. Era preciso consultar a las secretarías de la OMI y la OACI si sus documentos podían incluirse en la página web antes mencionada y, en caso afirmativo, con qué condiciones. </w:t>
            </w:r>
          </w:p>
          <w:p w14:paraId="1FCF878D" w14:textId="77777777" w:rsidR="00AE3B0C" w:rsidRPr="00702FF7" w:rsidRDefault="00AE3B0C" w:rsidP="00852CA4">
            <w:pPr>
              <w:pStyle w:val="Tabletext"/>
              <w:keepNext/>
              <w:keepLines/>
              <w:rPr>
                <w:rFonts w:eastAsia="Calibri" w:cstheme="minorBidi"/>
                <w:color w:val="000000" w:themeColor="text1"/>
                <w:lang w:val="es-ES_tradnl"/>
              </w:rPr>
            </w:pPr>
            <w:r w:rsidRPr="00702FF7">
              <w:rPr>
                <w:rFonts w:eastAsia="Calibri" w:cstheme="minorBidi"/>
                <w:color w:val="000000" w:themeColor="text1"/>
                <w:lang w:val="es-ES_tradnl"/>
              </w:rPr>
              <w:lastRenderedPageBreak/>
              <w:t>El GAR concluyó mencionando que, tal vez, las Administraciones desearan aportar contribuciones al Grupo de Trabajo 5B para facilitar esa labor.</w:t>
            </w:r>
          </w:p>
        </w:tc>
      </w:tr>
      <w:tr w:rsidR="00AE3B0C" w:rsidRPr="00533FD9" w14:paraId="566459A6" w14:textId="77777777" w:rsidTr="000C15DE">
        <w:trPr>
          <w:cantSplit/>
        </w:trPr>
        <w:tc>
          <w:tcPr>
            <w:tcW w:w="1410" w:type="dxa"/>
          </w:tcPr>
          <w:p w14:paraId="69C156F1" w14:textId="77777777" w:rsidR="00AE3B0C" w:rsidRPr="00702FF7" w:rsidRDefault="00AE3B0C" w:rsidP="000C15DE">
            <w:pPr>
              <w:pStyle w:val="Tabletext"/>
              <w:rPr>
                <w:lang w:val="es-ES_tradnl"/>
              </w:rPr>
            </w:pPr>
          </w:p>
        </w:tc>
        <w:tc>
          <w:tcPr>
            <w:tcW w:w="2268" w:type="dxa"/>
          </w:tcPr>
          <w:p w14:paraId="39314846" w14:textId="54139C20" w:rsidR="00AE3B0C" w:rsidRPr="00702FF7" w:rsidRDefault="00AE3B0C" w:rsidP="000C15DE">
            <w:pPr>
              <w:pStyle w:val="Tabletext"/>
              <w:rPr>
                <w:rFonts w:cstheme="minorBidi"/>
                <w:lang w:val="es-ES_tradnl"/>
              </w:rPr>
            </w:pPr>
            <w:hyperlink r:id="rId72">
              <w:r w:rsidRPr="00702FF7">
                <w:rPr>
                  <w:rStyle w:val="Hyperlink"/>
                  <w:rFonts w:asciiTheme="minorHAnsi" w:eastAsia="Aptos" w:hAnsiTheme="minorHAnsi" w:cstheme="minorBidi"/>
                  <w:lang w:val="es-ES_tradnl"/>
                </w:rPr>
                <w:t>78</w:t>
              </w:r>
            </w:hyperlink>
            <w:r w:rsidRPr="00702FF7">
              <w:rPr>
                <w:rFonts w:eastAsia="Aptos" w:cstheme="minorBidi"/>
                <w:color w:val="000000" w:themeColor="text1"/>
                <w:lang w:val="es-ES_tradnl"/>
              </w:rPr>
              <w:t xml:space="preserve"> (Varios países)</w:t>
            </w:r>
          </w:p>
        </w:tc>
        <w:tc>
          <w:tcPr>
            <w:tcW w:w="11623" w:type="dxa"/>
          </w:tcPr>
          <w:p w14:paraId="32AE6E69" w14:textId="0F59688C" w:rsidR="00AE3B0C" w:rsidRPr="00702FF7" w:rsidRDefault="00AE3B0C" w:rsidP="00DB04C8">
            <w:pPr>
              <w:pStyle w:val="Tabletext"/>
              <w:spacing w:after="120"/>
              <w:rPr>
                <w:b/>
                <w:bCs/>
                <w:lang w:val="es-ES_tradnl"/>
              </w:rPr>
            </w:pPr>
            <w:r w:rsidRPr="00702FF7">
              <w:rPr>
                <w:b/>
                <w:bCs/>
                <w:lang w:val="es-ES_tradnl"/>
              </w:rPr>
              <w:t>Interferencia perjudicial a redes de satélites y del SRNS</w:t>
            </w:r>
            <w:r w:rsidR="00852CA4" w:rsidRPr="00702FF7">
              <w:rPr>
                <w:b/>
                <w:bCs/>
                <w:lang w:val="es-ES_tradnl"/>
              </w:rPr>
              <w:t>:</w:t>
            </w:r>
          </w:p>
          <w:p w14:paraId="68CE88D6" w14:textId="77777777" w:rsidR="00AE3B0C" w:rsidRPr="00702FF7" w:rsidRDefault="00AE3B0C" w:rsidP="000C15DE">
            <w:pPr>
              <w:pStyle w:val="Tabletext"/>
              <w:rPr>
                <w:rFonts w:eastAsia="Calibri" w:cstheme="minorBidi"/>
                <w:color w:val="000000" w:themeColor="text1"/>
                <w:lang w:val="es-ES_tradnl"/>
              </w:rPr>
            </w:pPr>
            <w:r w:rsidRPr="00702FF7">
              <w:rPr>
                <w:rFonts w:eastAsia="Calibri" w:cstheme="minorBidi"/>
                <w:color w:val="000000" w:themeColor="text1"/>
                <w:lang w:val="es-ES_tradnl"/>
              </w:rPr>
              <w:t>El GAR tomó nota de la contribución.</w:t>
            </w:r>
          </w:p>
        </w:tc>
      </w:tr>
    </w:tbl>
    <w:p w14:paraId="65C1AF01" w14:textId="2F0CBEDC" w:rsidR="00AE3B0C" w:rsidRPr="00702FF7" w:rsidRDefault="00AE3B0C" w:rsidP="003E32A4">
      <w:pPr>
        <w:pStyle w:val="Reasons"/>
        <w:keepNext/>
        <w:keepLines/>
        <w:tabs>
          <w:tab w:val="left" w:pos="993"/>
        </w:tabs>
        <w:rPr>
          <w:rFonts w:asciiTheme="minorHAnsi" w:hAnsiTheme="minorHAnsi" w:cstheme="minorHAnsi"/>
          <w:szCs w:val="24"/>
          <w:lang w:val="es-ES_tradnl" w:eastAsia="en-GB"/>
        </w:rPr>
      </w:pPr>
      <w:r w:rsidRPr="00702FF7">
        <w:rPr>
          <w:rFonts w:asciiTheme="minorHAnsi" w:hAnsiTheme="minorHAnsi" w:cstheme="minorHAnsi"/>
          <w:szCs w:val="24"/>
          <w:lang w:val="es-ES_tradnl" w:eastAsia="en-GB"/>
        </w:rPr>
        <w:t>Anexo 1:</w:t>
      </w:r>
      <w:r w:rsidR="003E32A4">
        <w:rPr>
          <w:rFonts w:asciiTheme="minorHAnsi" w:hAnsiTheme="minorHAnsi" w:cstheme="minorHAnsi"/>
          <w:szCs w:val="24"/>
          <w:lang w:val="es-ES_tradnl" w:eastAsia="en-GB"/>
        </w:rPr>
        <w:tab/>
      </w:r>
      <w:r w:rsidRPr="00702FF7">
        <w:rPr>
          <w:rFonts w:asciiTheme="minorHAnsi" w:hAnsiTheme="minorHAnsi" w:cstheme="minorHAnsi"/>
          <w:szCs w:val="24"/>
          <w:lang w:val="es-ES_tradnl" w:eastAsia="en-GB"/>
        </w:rPr>
        <w:t>Nota del Presidente del GAR al Consejo</w:t>
      </w:r>
    </w:p>
    <w:p w14:paraId="5263A5EF" w14:textId="299D002A" w:rsidR="00AE3B0C" w:rsidRPr="00702FF7" w:rsidRDefault="00AE3B0C" w:rsidP="003E32A4">
      <w:pPr>
        <w:pStyle w:val="Reasons"/>
        <w:keepNext/>
        <w:keepLines/>
        <w:tabs>
          <w:tab w:val="left" w:pos="993"/>
        </w:tabs>
        <w:rPr>
          <w:rFonts w:asciiTheme="minorHAnsi" w:hAnsiTheme="minorHAnsi" w:cstheme="minorHAnsi"/>
          <w:szCs w:val="24"/>
          <w:lang w:val="es-ES_tradnl" w:eastAsia="en-GB"/>
        </w:rPr>
      </w:pPr>
      <w:r w:rsidRPr="00702FF7">
        <w:rPr>
          <w:rFonts w:asciiTheme="minorHAnsi" w:hAnsiTheme="minorHAnsi" w:cstheme="minorHAnsi"/>
          <w:szCs w:val="24"/>
          <w:lang w:val="es-ES_tradnl" w:eastAsia="en-GB"/>
        </w:rPr>
        <w:t>Anexo 2:</w:t>
      </w:r>
      <w:bookmarkStart w:id="0" w:name="_Hlk227237505"/>
      <w:r w:rsidR="003E32A4">
        <w:rPr>
          <w:rFonts w:asciiTheme="minorHAnsi" w:hAnsiTheme="minorHAnsi" w:cstheme="minorHAnsi"/>
          <w:szCs w:val="24"/>
          <w:lang w:val="es-ES_tradnl" w:eastAsia="en-GB"/>
        </w:rPr>
        <w:tab/>
      </w:r>
      <w:r w:rsidRPr="00702FF7">
        <w:rPr>
          <w:rFonts w:asciiTheme="minorHAnsi" w:hAnsiTheme="minorHAnsi" w:cstheme="minorHAnsi"/>
          <w:szCs w:val="24"/>
          <w:lang w:val="es-ES_tradnl" w:eastAsia="en-GB"/>
        </w:rPr>
        <w:t>Declaración de coordinación de respuesta sobre los resultados de la cuarta reunión del GTC-PEF</w:t>
      </w:r>
      <w:bookmarkEnd w:id="0"/>
    </w:p>
    <w:p w14:paraId="53E1A33B" w14:textId="5A022D35" w:rsidR="00AE3B0C" w:rsidRPr="00702FF7" w:rsidRDefault="00AE3B0C" w:rsidP="003E32A4">
      <w:pPr>
        <w:pStyle w:val="Reasons"/>
        <w:keepNext/>
        <w:keepLines/>
        <w:tabs>
          <w:tab w:val="left" w:pos="993"/>
        </w:tabs>
        <w:rPr>
          <w:rFonts w:asciiTheme="minorHAnsi" w:hAnsiTheme="minorHAnsi" w:cstheme="minorHAnsi"/>
          <w:szCs w:val="24"/>
          <w:lang w:val="es-ES_tradnl" w:eastAsia="en-GB"/>
        </w:rPr>
      </w:pPr>
      <w:r w:rsidRPr="00702FF7">
        <w:rPr>
          <w:rFonts w:asciiTheme="minorHAnsi" w:hAnsiTheme="minorHAnsi" w:cstheme="minorHAnsi"/>
          <w:szCs w:val="24"/>
          <w:lang w:val="es-ES_tradnl" w:eastAsia="en-GB"/>
        </w:rPr>
        <w:t>Anexo 3:</w:t>
      </w:r>
      <w:r w:rsidR="003E32A4">
        <w:rPr>
          <w:rFonts w:asciiTheme="minorHAnsi" w:hAnsiTheme="minorHAnsi" w:cstheme="minorHAnsi"/>
          <w:szCs w:val="24"/>
          <w:lang w:val="es-ES_tradnl" w:eastAsia="en-GB"/>
        </w:rPr>
        <w:tab/>
      </w:r>
      <w:r w:rsidRPr="00702FF7">
        <w:rPr>
          <w:rFonts w:asciiTheme="minorHAnsi" w:hAnsiTheme="minorHAnsi" w:cstheme="minorHAnsi"/>
          <w:szCs w:val="24"/>
          <w:lang w:val="es-ES_tradnl" w:eastAsia="en-GB"/>
        </w:rPr>
        <w:t>Mandato del Grupo por Correspondencia del GAR sobre la mejora del proceso de la Reunión Preparatoria de la Conferencia (RPC)</w:t>
      </w:r>
    </w:p>
    <w:p w14:paraId="123FED5F" w14:textId="622738F5" w:rsidR="00AE3B0C" w:rsidRPr="00702FF7" w:rsidRDefault="00AE3B0C" w:rsidP="003E32A4">
      <w:pPr>
        <w:pStyle w:val="Reasons"/>
        <w:keepNext/>
        <w:keepLines/>
        <w:tabs>
          <w:tab w:val="left" w:pos="993"/>
        </w:tabs>
        <w:rPr>
          <w:rFonts w:asciiTheme="minorHAnsi" w:hAnsiTheme="minorHAnsi" w:cstheme="minorHAnsi"/>
          <w:szCs w:val="24"/>
          <w:lang w:val="es-ES_tradnl" w:eastAsia="zh-CN"/>
        </w:rPr>
      </w:pPr>
      <w:r w:rsidRPr="00702FF7">
        <w:rPr>
          <w:rFonts w:asciiTheme="minorHAnsi" w:hAnsiTheme="minorHAnsi" w:cstheme="minorHAnsi"/>
          <w:szCs w:val="24"/>
          <w:lang w:val="es-ES_tradnl" w:eastAsia="en-GB"/>
        </w:rPr>
        <w:t>Anexo 4:</w:t>
      </w:r>
      <w:r w:rsidR="003E32A4">
        <w:rPr>
          <w:rFonts w:asciiTheme="minorHAnsi" w:hAnsiTheme="minorHAnsi" w:cstheme="minorHAnsi"/>
          <w:szCs w:val="24"/>
          <w:lang w:val="es-ES_tradnl" w:eastAsia="en-GB"/>
        </w:rPr>
        <w:tab/>
      </w:r>
      <w:r w:rsidRPr="00702FF7">
        <w:rPr>
          <w:rFonts w:asciiTheme="minorHAnsi" w:hAnsiTheme="minorHAnsi" w:cstheme="minorHAnsi"/>
          <w:szCs w:val="24"/>
          <w:lang w:val="es-ES_tradnl" w:eastAsia="zh-CN"/>
        </w:rPr>
        <w:t>Nota del Presidente del GAR al Grupo de Trabajo del Consejo sobre Recursos Humanos y Financieros (GTC-RHF)</w:t>
      </w:r>
    </w:p>
    <w:p w14:paraId="39820E4F" w14:textId="276ED896" w:rsidR="00AE3B0C" w:rsidRPr="00702FF7" w:rsidRDefault="00AE3B0C" w:rsidP="003E32A4">
      <w:pPr>
        <w:pStyle w:val="Reasons"/>
        <w:keepNext/>
        <w:keepLines/>
        <w:tabs>
          <w:tab w:val="left" w:pos="993"/>
        </w:tabs>
        <w:rPr>
          <w:rFonts w:asciiTheme="minorHAnsi" w:hAnsiTheme="minorHAnsi" w:cstheme="minorBidi"/>
          <w:lang w:val="es-ES_tradnl" w:eastAsia="zh-CN"/>
        </w:rPr>
      </w:pPr>
      <w:r w:rsidRPr="00702FF7">
        <w:rPr>
          <w:rFonts w:asciiTheme="minorHAnsi" w:hAnsiTheme="minorHAnsi" w:cstheme="minorBidi"/>
          <w:lang w:val="es-ES_tradnl" w:eastAsia="zh-CN"/>
        </w:rPr>
        <w:t>Anexo 5:</w:t>
      </w:r>
      <w:r w:rsidR="003E32A4">
        <w:rPr>
          <w:rFonts w:asciiTheme="minorHAnsi" w:hAnsiTheme="minorHAnsi" w:cstheme="minorBidi"/>
          <w:lang w:val="es-ES_tradnl" w:eastAsia="zh-CN"/>
        </w:rPr>
        <w:tab/>
      </w:r>
      <w:r w:rsidRPr="00702FF7">
        <w:rPr>
          <w:rFonts w:asciiTheme="minorHAnsi" w:hAnsiTheme="minorHAnsi" w:cstheme="minorBidi"/>
          <w:lang w:val="es-ES_tradnl" w:eastAsia="zh-CN"/>
        </w:rPr>
        <w:t>Mandato del Grupo por Correspondencia del GAR sobre el estudio de posibles mejoras a la estructura y el marco de las comisiones de</w:t>
      </w:r>
      <w:r w:rsidR="003E32A4">
        <w:rPr>
          <w:rFonts w:asciiTheme="minorHAnsi" w:hAnsiTheme="minorHAnsi" w:cstheme="minorBidi"/>
          <w:lang w:val="es-ES_tradnl" w:eastAsia="zh-CN"/>
        </w:rPr>
        <w:t xml:space="preserve"> </w:t>
      </w:r>
      <w:r w:rsidRPr="00702FF7">
        <w:rPr>
          <w:rFonts w:asciiTheme="minorHAnsi" w:hAnsiTheme="minorHAnsi" w:cstheme="minorBidi"/>
          <w:lang w:val="es-ES_tradnl" w:eastAsia="zh-CN"/>
        </w:rPr>
        <w:t>estudio de radiocomunicaciones</w:t>
      </w:r>
    </w:p>
    <w:p w14:paraId="4D6BBA66" w14:textId="77777777" w:rsidR="00AE3B0C" w:rsidRPr="00702FF7" w:rsidRDefault="00AE3B0C" w:rsidP="00AE3B0C">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Bidi"/>
          <w:lang w:val="es-ES_tradnl" w:eastAsia="zh-CN"/>
        </w:rPr>
        <w:sectPr w:rsidR="00AE3B0C" w:rsidRPr="00702FF7" w:rsidSect="00AE3B0C">
          <w:headerReference w:type="even" r:id="rId73"/>
          <w:footerReference w:type="even" r:id="rId74"/>
          <w:footerReference w:type="default" r:id="rId75"/>
          <w:headerReference w:type="first" r:id="rId76"/>
          <w:footerReference w:type="first" r:id="rId77"/>
          <w:pgSz w:w="16834" w:h="11907" w:orient="landscape" w:code="9"/>
          <w:pgMar w:top="1134" w:right="1134" w:bottom="1134" w:left="993" w:header="567" w:footer="397" w:gutter="0"/>
          <w:cols w:space="720"/>
          <w:titlePg/>
          <w:docGrid w:linePitch="326"/>
        </w:sectPr>
      </w:pPr>
    </w:p>
    <w:p w14:paraId="468BFB29" w14:textId="77777777" w:rsidR="005F4522" w:rsidRPr="00702FF7" w:rsidRDefault="00AE3B0C" w:rsidP="005F4522">
      <w:pPr>
        <w:pStyle w:val="AnnexNo"/>
        <w:rPr>
          <w:rFonts w:eastAsiaTheme="minorEastAsia"/>
          <w:lang w:val="es-ES_tradnl" w:eastAsia="zh-CN"/>
        </w:rPr>
      </w:pPr>
      <w:r w:rsidRPr="00702FF7">
        <w:rPr>
          <w:rFonts w:eastAsiaTheme="minorEastAsia"/>
          <w:lang w:val="es-ES_tradnl" w:eastAsia="zh-CN"/>
        </w:rPr>
        <w:lastRenderedPageBreak/>
        <w:t>ANEXO 1</w:t>
      </w:r>
    </w:p>
    <w:p w14:paraId="11D72B73" w14:textId="192BF613" w:rsidR="00AE3B0C" w:rsidRPr="00702FF7" w:rsidRDefault="00AE3B0C" w:rsidP="005F4522">
      <w:pPr>
        <w:pStyle w:val="Annextitle"/>
        <w:spacing w:after="240"/>
        <w:rPr>
          <w:rFonts w:eastAsiaTheme="minorEastAsia"/>
          <w:lang w:val="es-ES_tradnl" w:eastAsia="zh-CN"/>
        </w:rPr>
      </w:pPr>
      <w:r w:rsidRPr="00702FF7">
        <w:rPr>
          <w:lang w:val="es-ES_tradnl" w:eastAsia="en-GB"/>
        </w:rPr>
        <w:t>Nota del Presidente del GAR al Consejo</w:t>
      </w:r>
    </w:p>
    <w:p w14:paraId="5F87A5F7" w14:textId="0E97E79B" w:rsidR="00AE3B0C" w:rsidRPr="00DB04C8" w:rsidRDefault="00AE3B0C" w:rsidP="005F4522">
      <w:pPr>
        <w:pStyle w:val="Reasons"/>
        <w:spacing w:after="240"/>
        <w:rPr>
          <w:rFonts w:asciiTheme="minorHAnsi" w:hAnsiTheme="minorHAnsi" w:cstheme="minorHAnsi"/>
          <w:szCs w:val="24"/>
          <w:lang w:val="fr-FR"/>
        </w:rPr>
      </w:pPr>
      <w:r w:rsidRPr="00DB04C8">
        <w:rPr>
          <w:rFonts w:asciiTheme="minorHAnsi" w:hAnsiTheme="minorHAnsi" w:cstheme="minorHAnsi"/>
          <w:szCs w:val="24"/>
          <w:lang w:val="fr-FR"/>
        </w:rPr>
        <w:t>Véase RAG/TEMP/9:</w:t>
      </w:r>
      <w:hyperlink r:id="rId78" w:history="1">
        <w:r w:rsidR="005F4522" w:rsidRPr="00DB04C8">
          <w:rPr>
            <w:rStyle w:val="Hyperlink"/>
            <w:rFonts w:asciiTheme="minorHAnsi" w:hAnsiTheme="minorHAnsi" w:cstheme="minorHAnsi"/>
            <w:szCs w:val="24"/>
            <w:lang w:val="fr-FR"/>
          </w:rPr>
          <w:t xml:space="preserve"> https://www.itu.int/md/R23-RAGO-260330-TD-0009/es</w:t>
        </w:r>
      </w:hyperlink>
      <w:r w:rsidR="005F4522" w:rsidRPr="00DB04C8">
        <w:rPr>
          <w:rFonts w:asciiTheme="minorHAnsi" w:hAnsiTheme="minorHAnsi" w:cstheme="minorHAnsi"/>
          <w:szCs w:val="24"/>
          <w:lang w:val="fr-FR"/>
        </w:rPr>
        <w:t>.</w:t>
      </w:r>
      <w:r w:rsidRPr="00DB04C8">
        <w:rPr>
          <w:rFonts w:asciiTheme="minorHAnsi" w:hAnsiTheme="minorHAnsi" w:cstheme="minorHAnsi"/>
          <w:szCs w:val="24"/>
          <w:lang w:val="fr-FR"/>
        </w:rPr>
        <w:t xml:space="preserve"> </w:t>
      </w:r>
    </w:p>
    <w:tbl>
      <w:tblPr>
        <w:tblW w:w="9889" w:type="dxa"/>
        <w:tblLayout w:type="fixed"/>
        <w:tblLook w:val="0000" w:firstRow="0" w:lastRow="0" w:firstColumn="0" w:lastColumn="0" w:noHBand="0" w:noVBand="0"/>
      </w:tblPr>
      <w:tblGrid>
        <w:gridCol w:w="6477"/>
        <w:gridCol w:w="10"/>
        <w:gridCol w:w="3402"/>
      </w:tblGrid>
      <w:tr w:rsidR="00AE3B0C" w:rsidRPr="00702FF7" w14:paraId="37202DF9" w14:textId="77777777" w:rsidTr="00C949E6">
        <w:trPr>
          <w:cantSplit/>
        </w:trPr>
        <w:tc>
          <w:tcPr>
            <w:tcW w:w="6477" w:type="dxa"/>
            <w:vAlign w:val="center"/>
          </w:tcPr>
          <w:p w14:paraId="71F6D10A" w14:textId="77777777" w:rsidR="00AE3B0C" w:rsidRPr="00702FF7" w:rsidRDefault="00AE3B0C" w:rsidP="00C949E6">
            <w:pPr>
              <w:shd w:val="solid" w:color="FFFFFF" w:fill="FFFFFF"/>
              <w:tabs>
                <w:tab w:val="left" w:pos="601"/>
              </w:tabs>
              <w:spacing w:before="360" w:after="240"/>
              <w:jc w:val="left"/>
              <w:rPr>
                <w:rFonts w:ascii="Verdana" w:hAnsi="Verdana" w:cs="Times New Roman Bold"/>
                <w:b/>
                <w:bCs/>
                <w:lang w:val="es-ES_tradnl"/>
              </w:rPr>
            </w:pPr>
            <w:bookmarkStart w:id="1" w:name="dmeeting" w:colFirst="0" w:colLast="0"/>
            <w:bookmarkStart w:id="2" w:name="dnum" w:colFirst="1" w:colLast="1"/>
            <w:bookmarkStart w:id="3" w:name="_Hlk133421839"/>
            <w:bookmarkStart w:id="4" w:name="_Hlk133421856"/>
            <w:bookmarkStart w:id="5" w:name="_Hlk133422370"/>
            <w:bookmarkStart w:id="6" w:name="_Hlk133586559"/>
            <w:r w:rsidRPr="00702FF7">
              <w:rPr>
                <w:rFonts w:ascii="Verdana" w:hAnsi="Verdana" w:cs="Times New Roman Bold"/>
                <w:b/>
                <w:sz w:val="26"/>
                <w:szCs w:val="26"/>
                <w:lang w:val="es-ES_tradnl"/>
              </w:rPr>
              <w:t>Grupo Asesor de Radiocomunicaciones</w:t>
            </w:r>
            <w:r w:rsidRPr="00702FF7">
              <w:rPr>
                <w:rFonts w:ascii="Verdana" w:hAnsi="Verdana" w:cs="Times New Roman Bold"/>
                <w:b/>
                <w:sz w:val="26"/>
                <w:szCs w:val="26"/>
                <w:lang w:val="es-ES_tradnl"/>
              </w:rPr>
              <w:br/>
            </w:r>
          </w:p>
        </w:tc>
        <w:tc>
          <w:tcPr>
            <w:tcW w:w="3412" w:type="dxa"/>
            <w:gridSpan w:val="2"/>
            <w:vAlign w:val="center"/>
          </w:tcPr>
          <w:p w14:paraId="24BE6472" w14:textId="77777777" w:rsidR="00AE3B0C" w:rsidRPr="00702FF7" w:rsidRDefault="00AE3B0C" w:rsidP="00C949E6">
            <w:pPr>
              <w:shd w:val="solid" w:color="FFFFFF" w:fill="FFFFFF"/>
              <w:spacing w:before="0" w:line="240" w:lineRule="atLeast"/>
              <w:rPr>
                <w:lang w:val="es-ES_tradnl"/>
              </w:rPr>
            </w:pPr>
            <w:r w:rsidRPr="00702FF7">
              <w:rPr>
                <w:noProof/>
                <w:lang w:val="es-ES_tradnl" w:eastAsia="zh-CN"/>
              </w:rPr>
              <w:drawing>
                <wp:inline distT="0" distB="0" distL="0" distR="0" wp14:anchorId="200A6AB4" wp14:editId="4AAC500F">
                  <wp:extent cx="844492" cy="844492"/>
                  <wp:effectExtent l="0" t="0" r="0" b="0"/>
                  <wp:docPr id="1086285649" name="Picture 1086285649"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AE3B0C" w:rsidRPr="00702FF7" w14:paraId="70435A48" w14:textId="77777777" w:rsidTr="00C949E6">
        <w:trPr>
          <w:cantSplit/>
        </w:trPr>
        <w:tc>
          <w:tcPr>
            <w:tcW w:w="6487" w:type="dxa"/>
            <w:gridSpan w:val="2"/>
            <w:tcBorders>
              <w:bottom w:val="single" w:sz="12" w:space="0" w:color="auto"/>
            </w:tcBorders>
          </w:tcPr>
          <w:p w14:paraId="68908B03" w14:textId="77777777" w:rsidR="00AE3B0C" w:rsidRPr="00702FF7" w:rsidRDefault="00AE3B0C" w:rsidP="00C949E6">
            <w:pPr>
              <w:shd w:val="solid" w:color="FFFFFF" w:fill="FFFFFF"/>
              <w:spacing w:before="0" w:after="48"/>
              <w:rPr>
                <w:rFonts w:ascii="Verdana" w:hAnsi="Verdana" w:cs="Times New Roman Bold"/>
                <w:b/>
                <w:sz w:val="22"/>
                <w:lang w:val="es-ES_tradnl"/>
              </w:rPr>
            </w:pPr>
          </w:p>
        </w:tc>
        <w:tc>
          <w:tcPr>
            <w:tcW w:w="3402" w:type="dxa"/>
            <w:tcBorders>
              <w:bottom w:val="single" w:sz="12" w:space="0" w:color="auto"/>
            </w:tcBorders>
          </w:tcPr>
          <w:p w14:paraId="0C31DEF7" w14:textId="77777777" w:rsidR="00AE3B0C" w:rsidRPr="00702FF7" w:rsidRDefault="00AE3B0C" w:rsidP="00C949E6">
            <w:pPr>
              <w:shd w:val="solid" w:color="FFFFFF" w:fill="FFFFFF"/>
              <w:spacing w:before="0" w:after="48" w:line="240" w:lineRule="atLeast"/>
              <w:rPr>
                <w:sz w:val="22"/>
                <w:lang w:val="es-ES_tradnl"/>
              </w:rPr>
            </w:pPr>
          </w:p>
        </w:tc>
      </w:tr>
      <w:tr w:rsidR="00AE3B0C" w:rsidRPr="00702FF7" w14:paraId="76611D98" w14:textId="77777777" w:rsidTr="00C949E6">
        <w:trPr>
          <w:cantSplit/>
        </w:trPr>
        <w:tc>
          <w:tcPr>
            <w:tcW w:w="6487" w:type="dxa"/>
            <w:gridSpan w:val="2"/>
            <w:tcBorders>
              <w:top w:val="single" w:sz="12" w:space="0" w:color="auto"/>
            </w:tcBorders>
          </w:tcPr>
          <w:p w14:paraId="62EB70F8" w14:textId="77777777" w:rsidR="00AE3B0C" w:rsidRPr="00702FF7" w:rsidRDefault="00AE3B0C" w:rsidP="00C949E6">
            <w:pPr>
              <w:shd w:val="solid" w:color="FFFFFF" w:fill="FFFFFF"/>
              <w:spacing w:before="0" w:after="48"/>
              <w:rPr>
                <w:rFonts w:ascii="Verdana" w:hAnsi="Verdana" w:cs="Times New Roman Bold"/>
                <w:bCs/>
                <w:sz w:val="22"/>
                <w:lang w:val="es-ES_tradnl"/>
              </w:rPr>
            </w:pPr>
          </w:p>
        </w:tc>
        <w:tc>
          <w:tcPr>
            <w:tcW w:w="3402" w:type="dxa"/>
            <w:tcBorders>
              <w:top w:val="single" w:sz="12" w:space="0" w:color="auto"/>
            </w:tcBorders>
          </w:tcPr>
          <w:p w14:paraId="7D59BAD3" w14:textId="77777777" w:rsidR="00AE3B0C" w:rsidRPr="00702FF7" w:rsidRDefault="00AE3B0C" w:rsidP="00C949E6">
            <w:pPr>
              <w:shd w:val="solid" w:color="FFFFFF" w:fill="FFFFFF"/>
              <w:spacing w:before="0" w:after="48" w:line="240" w:lineRule="atLeast"/>
              <w:rPr>
                <w:lang w:val="es-ES_tradnl"/>
              </w:rPr>
            </w:pPr>
          </w:p>
        </w:tc>
      </w:tr>
      <w:tr w:rsidR="00AE3B0C" w:rsidRPr="00702FF7" w14:paraId="29B2776C" w14:textId="77777777" w:rsidTr="00C949E6">
        <w:trPr>
          <w:cantSplit/>
        </w:trPr>
        <w:tc>
          <w:tcPr>
            <w:tcW w:w="6487" w:type="dxa"/>
            <w:gridSpan w:val="2"/>
            <w:vMerge w:val="restart"/>
          </w:tcPr>
          <w:p w14:paraId="06B9549F" w14:textId="77777777" w:rsidR="00AE3B0C" w:rsidRPr="00702FF7" w:rsidRDefault="00AE3B0C" w:rsidP="00C949E6">
            <w:pPr>
              <w:shd w:val="solid" w:color="FFFFFF" w:fill="FFFFFF"/>
              <w:spacing w:after="240"/>
              <w:rPr>
                <w:sz w:val="20"/>
                <w:lang w:val="es-ES_tradnl"/>
              </w:rPr>
            </w:pPr>
          </w:p>
        </w:tc>
        <w:tc>
          <w:tcPr>
            <w:tcW w:w="3402" w:type="dxa"/>
          </w:tcPr>
          <w:p w14:paraId="0EF009BE" w14:textId="77777777" w:rsidR="00AE3B0C" w:rsidRPr="00702FF7" w:rsidRDefault="00AE3B0C" w:rsidP="00C949E6">
            <w:pPr>
              <w:shd w:val="solid" w:color="FFFFFF" w:fill="FFFFFF"/>
              <w:spacing w:before="0" w:line="240" w:lineRule="atLeast"/>
              <w:rPr>
                <w:rFonts w:ascii="Verdana" w:hAnsi="Verdana"/>
                <w:sz w:val="20"/>
                <w:highlight w:val="yellow"/>
                <w:lang w:val="es-ES_tradnl"/>
              </w:rPr>
            </w:pPr>
            <w:r w:rsidRPr="00702FF7">
              <w:rPr>
                <w:rFonts w:ascii="Verdana" w:hAnsi="Verdana"/>
                <w:b/>
                <w:sz w:val="20"/>
                <w:lang w:val="es-ES_tradnl"/>
              </w:rPr>
              <w:t>Documento RAG/TEMP/9-S</w:t>
            </w:r>
          </w:p>
        </w:tc>
      </w:tr>
      <w:tr w:rsidR="00AE3B0C" w:rsidRPr="00702FF7" w14:paraId="2062331F" w14:textId="77777777" w:rsidTr="00C949E6">
        <w:trPr>
          <w:cantSplit/>
        </w:trPr>
        <w:tc>
          <w:tcPr>
            <w:tcW w:w="6487" w:type="dxa"/>
            <w:gridSpan w:val="2"/>
            <w:vMerge/>
          </w:tcPr>
          <w:p w14:paraId="3E9C22F5" w14:textId="77777777" w:rsidR="00AE3B0C" w:rsidRPr="00702FF7" w:rsidRDefault="00AE3B0C" w:rsidP="00C949E6">
            <w:pPr>
              <w:spacing w:before="60"/>
              <w:jc w:val="center"/>
              <w:rPr>
                <w:b/>
                <w:smallCaps/>
                <w:sz w:val="32"/>
                <w:lang w:val="es-ES_tradnl"/>
              </w:rPr>
            </w:pPr>
          </w:p>
        </w:tc>
        <w:tc>
          <w:tcPr>
            <w:tcW w:w="3402" w:type="dxa"/>
          </w:tcPr>
          <w:p w14:paraId="06F5D7BD" w14:textId="77777777" w:rsidR="00AE3B0C" w:rsidRPr="00702FF7" w:rsidRDefault="00AE3B0C" w:rsidP="00C949E6">
            <w:pPr>
              <w:shd w:val="solid" w:color="FFFFFF" w:fill="FFFFFF"/>
              <w:spacing w:before="0" w:line="240" w:lineRule="atLeast"/>
              <w:rPr>
                <w:rFonts w:ascii="Verdana" w:hAnsi="Verdana"/>
                <w:sz w:val="20"/>
                <w:highlight w:val="yellow"/>
                <w:lang w:val="es-ES_tradnl"/>
              </w:rPr>
            </w:pPr>
            <w:r w:rsidRPr="00702FF7">
              <w:rPr>
                <w:rFonts w:ascii="Verdana" w:hAnsi="Verdana"/>
                <w:b/>
                <w:sz w:val="20"/>
                <w:lang w:val="es-ES_tradnl"/>
              </w:rPr>
              <w:t>1 de abril de 2026</w:t>
            </w:r>
          </w:p>
        </w:tc>
      </w:tr>
      <w:tr w:rsidR="00AE3B0C" w:rsidRPr="00702FF7" w14:paraId="2D5F6A06" w14:textId="77777777" w:rsidTr="00C949E6">
        <w:trPr>
          <w:cantSplit/>
        </w:trPr>
        <w:tc>
          <w:tcPr>
            <w:tcW w:w="6487" w:type="dxa"/>
            <w:gridSpan w:val="2"/>
            <w:vMerge/>
          </w:tcPr>
          <w:p w14:paraId="724FEE59" w14:textId="77777777" w:rsidR="00AE3B0C" w:rsidRPr="00702FF7" w:rsidRDefault="00AE3B0C" w:rsidP="00C949E6">
            <w:pPr>
              <w:spacing w:before="60"/>
              <w:jc w:val="center"/>
              <w:rPr>
                <w:b/>
                <w:smallCaps/>
                <w:sz w:val="32"/>
                <w:lang w:val="es-ES_tradnl"/>
              </w:rPr>
            </w:pPr>
          </w:p>
        </w:tc>
        <w:tc>
          <w:tcPr>
            <w:tcW w:w="3402" w:type="dxa"/>
          </w:tcPr>
          <w:p w14:paraId="7F77AE1C" w14:textId="77777777" w:rsidR="00AE3B0C" w:rsidRPr="00702FF7" w:rsidRDefault="00AE3B0C" w:rsidP="00C949E6">
            <w:pPr>
              <w:shd w:val="solid" w:color="FFFFFF" w:fill="FFFFFF"/>
              <w:spacing w:before="0" w:after="120" w:line="240" w:lineRule="atLeast"/>
              <w:rPr>
                <w:rFonts w:ascii="Verdana" w:hAnsi="Verdana"/>
                <w:sz w:val="20"/>
                <w:lang w:val="es-ES_tradnl"/>
              </w:rPr>
            </w:pPr>
            <w:r w:rsidRPr="00702FF7">
              <w:rPr>
                <w:rFonts w:ascii="Verdana" w:hAnsi="Verdana"/>
                <w:b/>
                <w:sz w:val="20"/>
                <w:lang w:val="es-ES_tradnl"/>
              </w:rPr>
              <w:t>Original: inglés</w:t>
            </w:r>
          </w:p>
        </w:tc>
      </w:tr>
      <w:tr w:rsidR="00AE3B0C" w:rsidRPr="00533FD9" w14:paraId="57048E2E" w14:textId="77777777" w:rsidTr="00C949E6">
        <w:trPr>
          <w:cantSplit/>
        </w:trPr>
        <w:tc>
          <w:tcPr>
            <w:tcW w:w="9889" w:type="dxa"/>
            <w:gridSpan w:val="3"/>
          </w:tcPr>
          <w:tbl>
            <w:tblPr>
              <w:tblpPr w:leftFromText="180" w:rightFromText="180" w:horzAnchor="margin" w:tblpY="-615"/>
              <w:tblW w:w="9889" w:type="dxa"/>
              <w:tblLayout w:type="fixed"/>
              <w:tblLook w:val="0000" w:firstRow="0" w:lastRow="0" w:firstColumn="0" w:lastColumn="0" w:noHBand="0" w:noVBand="0"/>
            </w:tblPr>
            <w:tblGrid>
              <w:gridCol w:w="9889"/>
            </w:tblGrid>
            <w:tr w:rsidR="00AE3B0C" w:rsidRPr="00533FD9" w14:paraId="1F7C59B7" w14:textId="77777777" w:rsidTr="00C949E6">
              <w:trPr>
                <w:cantSplit/>
              </w:trPr>
              <w:tc>
                <w:tcPr>
                  <w:tcW w:w="9889" w:type="dxa"/>
                </w:tcPr>
                <w:p w14:paraId="407339C7" w14:textId="77777777" w:rsidR="00AE3B0C" w:rsidRPr="00533FD9" w:rsidRDefault="00AE3B0C" w:rsidP="00C949E6">
                  <w:pPr>
                    <w:pStyle w:val="Source"/>
                    <w:rPr>
                      <w:rFonts w:asciiTheme="minorHAnsi" w:hAnsiTheme="minorHAnsi" w:cstheme="minorHAnsi"/>
                      <w:lang w:val="fr-FR"/>
                    </w:rPr>
                  </w:pPr>
                  <w:r w:rsidRPr="00533FD9">
                    <w:rPr>
                      <w:rFonts w:asciiTheme="minorHAnsi" w:hAnsiTheme="minorHAnsi" w:cstheme="minorHAnsi"/>
                      <w:lang w:val="fr-FR"/>
                    </w:rPr>
                    <w:t>Grupo Asesor de Radiocomunicaciones (GAR)</w:t>
                  </w:r>
                </w:p>
              </w:tc>
            </w:tr>
            <w:tr w:rsidR="00AE3B0C" w:rsidRPr="00B33A8D" w14:paraId="0000AD32" w14:textId="77777777" w:rsidTr="00C949E6">
              <w:trPr>
                <w:cantSplit/>
              </w:trPr>
              <w:tc>
                <w:tcPr>
                  <w:tcW w:w="9889" w:type="dxa"/>
                </w:tcPr>
                <w:p w14:paraId="008A93D5" w14:textId="77777777" w:rsidR="00AE3B0C" w:rsidRPr="00B33A8D" w:rsidRDefault="00AE3B0C" w:rsidP="00C949E6">
                  <w:pPr>
                    <w:pStyle w:val="Title1"/>
                    <w:rPr>
                      <w:rFonts w:asciiTheme="minorHAnsi" w:hAnsiTheme="minorHAnsi" w:cstheme="minorHAnsi"/>
                      <w:lang w:val="it-IT"/>
                    </w:rPr>
                  </w:pPr>
                  <w:r w:rsidRPr="00B33A8D">
                    <w:rPr>
                      <w:rFonts w:asciiTheme="minorHAnsi" w:hAnsiTheme="minorHAnsi" w:cstheme="minorHAnsi"/>
                      <w:lang w:val="it-IT"/>
                    </w:rPr>
                    <w:t>nota del presidente dEl GAR al consejo</w:t>
                  </w:r>
                </w:p>
                <w:p w14:paraId="5F55F764" w14:textId="77777777" w:rsidR="00AE3B0C" w:rsidRPr="00702FF7" w:rsidRDefault="00AE3B0C" w:rsidP="00C949E6">
                  <w:pPr>
                    <w:pStyle w:val="Title1"/>
                    <w:rPr>
                      <w:rFonts w:ascii="Times New Roman" w:hAnsi="Times New Roman"/>
                      <w:caps w:val="0"/>
                      <w:szCs w:val="20"/>
                      <w:lang w:val="es-ES_tradnl"/>
                    </w:rPr>
                  </w:pPr>
                </w:p>
              </w:tc>
            </w:tr>
          </w:tbl>
          <w:tbl>
            <w:tblPr>
              <w:tblStyle w:val="TableGrid"/>
              <w:tblW w:w="0" w:type="auto"/>
              <w:tblLayout w:type="fixed"/>
              <w:tblLook w:val="04A0" w:firstRow="1" w:lastRow="0" w:firstColumn="1" w:lastColumn="0" w:noHBand="0" w:noVBand="1"/>
            </w:tblPr>
            <w:tblGrid>
              <w:gridCol w:w="9629"/>
            </w:tblGrid>
            <w:tr w:rsidR="00AE3B0C" w:rsidRPr="00533FD9" w14:paraId="7BDDED19" w14:textId="77777777" w:rsidTr="00E55786">
              <w:trPr>
                <w:trHeight w:val="4226"/>
              </w:trPr>
              <w:tc>
                <w:tcPr>
                  <w:tcW w:w="9629" w:type="dxa"/>
                  <w:tcBorders>
                    <w:top w:val="single" w:sz="12" w:space="0" w:color="auto"/>
                    <w:left w:val="single" w:sz="12" w:space="0" w:color="auto"/>
                    <w:bottom w:val="single" w:sz="12" w:space="0" w:color="auto"/>
                    <w:right w:val="single" w:sz="12" w:space="0" w:color="auto"/>
                  </w:tcBorders>
                </w:tcPr>
                <w:p w14:paraId="35010B64" w14:textId="77777777" w:rsidR="00AE3B0C" w:rsidRPr="00702FF7" w:rsidRDefault="00AE3B0C" w:rsidP="00E55786">
                  <w:pPr>
                    <w:spacing w:before="120"/>
                    <w:rPr>
                      <w:b/>
                      <w:bCs/>
                      <w:sz w:val="26"/>
                      <w:szCs w:val="26"/>
                      <w:lang w:val="es-ES_tradnl"/>
                    </w:rPr>
                  </w:pPr>
                  <w:r w:rsidRPr="00702FF7">
                    <w:rPr>
                      <w:b/>
                      <w:bCs/>
                      <w:sz w:val="26"/>
                      <w:szCs w:val="26"/>
                      <w:lang w:val="es-ES_tradnl"/>
                    </w:rPr>
                    <w:t>Finalidad</w:t>
                  </w:r>
                </w:p>
                <w:p w14:paraId="2B9D2C56" w14:textId="62310384" w:rsidR="00AE3B0C" w:rsidRPr="00702FF7" w:rsidRDefault="00AE3B0C" w:rsidP="005F4522">
                  <w:pPr>
                    <w:spacing w:after="240"/>
                    <w:rPr>
                      <w:lang w:val="es-ES_tradnl"/>
                    </w:rPr>
                  </w:pPr>
                  <w:r w:rsidRPr="00702FF7">
                    <w:rPr>
                      <w:lang w:val="es-ES_tradnl"/>
                    </w:rPr>
                    <w:t>El presente documento contiene una nota del Presidente del GAR al Consejo sobre la asignación de recursos para las actividades estatutarias de la Oficina de Radiocomunicaciones, incluida la tramitación de notificaciones espaciales.</w:t>
                  </w:r>
                </w:p>
                <w:p w14:paraId="47BA9B09" w14:textId="77777777" w:rsidR="00AE3B0C" w:rsidRPr="00702FF7" w:rsidRDefault="00AE3B0C" w:rsidP="00C949E6">
                  <w:pPr>
                    <w:rPr>
                      <w:b/>
                      <w:bCs/>
                      <w:sz w:val="26"/>
                      <w:szCs w:val="26"/>
                      <w:lang w:val="es-ES_tradnl"/>
                    </w:rPr>
                  </w:pPr>
                  <w:r w:rsidRPr="00702FF7">
                    <w:rPr>
                      <w:b/>
                      <w:bCs/>
                      <w:sz w:val="26"/>
                      <w:szCs w:val="26"/>
                      <w:lang w:val="es-ES_tradnl"/>
                    </w:rPr>
                    <w:t>Acción solicitada</w:t>
                  </w:r>
                </w:p>
                <w:p w14:paraId="5CDA8029" w14:textId="77777777" w:rsidR="00AE3B0C" w:rsidRPr="00702FF7" w:rsidRDefault="00AE3B0C" w:rsidP="00C949E6">
                  <w:pPr>
                    <w:rPr>
                      <w:lang w:val="es-ES_tradnl"/>
                    </w:rPr>
                  </w:pPr>
                  <w:r w:rsidRPr="00702FF7">
                    <w:rPr>
                      <w:lang w:val="es-ES_tradnl"/>
                    </w:rPr>
                    <w:t xml:space="preserve">Se invita al Consejo a </w:t>
                  </w:r>
                  <w:r w:rsidRPr="00702FF7">
                    <w:rPr>
                      <w:b/>
                      <w:bCs/>
                      <w:lang w:val="es-ES_tradnl"/>
                    </w:rPr>
                    <w:t>adoptar las medidas necesarias</w:t>
                  </w:r>
                  <w:r w:rsidRPr="00702FF7">
                    <w:rPr>
                      <w:lang w:val="es-ES_tradnl"/>
                    </w:rPr>
                    <w:t>.</w:t>
                  </w:r>
                </w:p>
                <w:p w14:paraId="7B309FB3" w14:textId="265852D7" w:rsidR="00AE3B0C" w:rsidRPr="00702FF7" w:rsidRDefault="00AE3B0C" w:rsidP="005F4522">
                  <w:pPr>
                    <w:spacing w:after="240"/>
                    <w:rPr>
                      <w:lang w:val="es-ES_tradnl"/>
                    </w:rPr>
                  </w:pPr>
                  <w:r w:rsidRPr="00702FF7">
                    <w:rPr>
                      <w:lang w:val="es-ES_tradnl"/>
                    </w:rPr>
                    <w:t>_______________</w:t>
                  </w:r>
                </w:p>
                <w:p w14:paraId="20A8607A" w14:textId="77777777" w:rsidR="00E55786" w:rsidRPr="00702FF7" w:rsidRDefault="00AE3B0C" w:rsidP="00E55786">
                  <w:pPr>
                    <w:rPr>
                      <w:b/>
                      <w:bCs/>
                      <w:sz w:val="26"/>
                      <w:szCs w:val="26"/>
                      <w:lang w:val="es-ES_tradnl"/>
                    </w:rPr>
                  </w:pPr>
                  <w:r w:rsidRPr="00702FF7">
                    <w:rPr>
                      <w:b/>
                      <w:bCs/>
                      <w:sz w:val="26"/>
                      <w:szCs w:val="26"/>
                      <w:lang w:val="es-ES_tradnl"/>
                    </w:rPr>
                    <w:t xml:space="preserve">Referencias </w:t>
                  </w:r>
                </w:p>
                <w:p w14:paraId="1E3BEC1E" w14:textId="41BF8706" w:rsidR="00AE3B0C" w:rsidRPr="00702FF7" w:rsidRDefault="00AE3B0C" w:rsidP="00E55786">
                  <w:pPr>
                    <w:rPr>
                      <w:lang w:val="es-ES_tradnl"/>
                    </w:rPr>
                  </w:pPr>
                  <w:r w:rsidRPr="00702FF7">
                    <w:rPr>
                      <w:lang w:val="es-ES_tradnl"/>
                    </w:rPr>
                    <w:t>Documentos:</w:t>
                  </w:r>
                  <w:r w:rsidR="003D461A" w:rsidRPr="00702FF7">
                    <w:rPr>
                      <w:lang w:val="es-ES_tradnl"/>
                    </w:rPr>
                    <w:t xml:space="preserve"> </w:t>
                  </w:r>
                  <w:hyperlink r:id="rId80">
                    <w:r w:rsidRPr="00702FF7">
                      <w:rPr>
                        <w:rStyle w:val="Hyperlink"/>
                        <w:lang w:val="es-ES_tradnl"/>
                      </w:rPr>
                      <w:t>RAG/58</w:t>
                    </w:r>
                  </w:hyperlink>
                  <w:r w:rsidR="00836B17" w:rsidRPr="00702FF7">
                    <w:rPr>
                      <w:lang w:val="es-ES_tradnl"/>
                    </w:rPr>
                    <w:t>,</w:t>
                  </w:r>
                  <w:r w:rsidRPr="00702FF7">
                    <w:rPr>
                      <w:lang w:val="es-ES_tradnl"/>
                    </w:rPr>
                    <w:t xml:space="preserve"> Resumen de las conclusiones del GAR, incluido en la Circular CA/281 de la</w:t>
                  </w:r>
                  <w:r w:rsidR="005F4522" w:rsidRPr="00702FF7">
                    <w:rPr>
                      <w:lang w:val="es-ES_tradnl"/>
                    </w:rPr>
                    <w:t> </w:t>
                  </w:r>
                  <w:r w:rsidRPr="00702FF7">
                    <w:rPr>
                      <w:lang w:val="es-ES_tradnl"/>
                    </w:rPr>
                    <w:t>BR</w:t>
                  </w:r>
                </w:p>
              </w:tc>
            </w:tr>
          </w:tbl>
          <w:p w14:paraId="0BDDCCC0" w14:textId="77777777" w:rsidR="00AE3B0C" w:rsidRPr="00702FF7" w:rsidRDefault="00AE3B0C" w:rsidP="00C949E6">
            <w:pPr>
              <w:pStyle w:val="Source"/>
              <w:rPr>
                <w:lang w:val="es-ES_tradnl"/>
              </w:rPr>
            </w:pPr>
          </w:p>
        </w:tc>
      </w:tr>
    </w:tbl>
    <w:p w14:paraId="0504A7B2" w14:textId="77777777" w:rsidR="00AE3B0C" w:rsidRPr="00702FF7" w:rsidRDefault="00AE3B0C" w:rsidP="00AE3B0C">
      <w:pPr>
        <w:overflowPunct/>
        <w:autoSpaceDE/>
        <w:autoSpaceDN/>
        <w:adjustRightInd/>
        <w:spacing w:before="0"/>
        <w:textAlignment w:val="auto"/>
        <w:rPr>
          <w:lang w:val="es-ES_tradnl"/>
        </w:rPr>
      </w:pPr>
      <w:r w:rsidRPr="00702FF7">
        <w:rPr>
          <w:lang w:val="es-ES_tradnl"/>
        </w:rPr>
        <w:br w:type="page"/>
      </w:r>
    </w:p>
    <w:bookmarkEnd w:id="1"/>
    <w:bookmarkEnd w:id="2"/>
    <w:bookmarkEnd w:id="3"/>
    <w:bookmarkEnd w:id="4"/>
    <w:bookmarkEnd w:id="5"/>
    <w:bookmarkEnd w:id="6"/>
    <w:p w14:paraId="484D645D" w14:textId="128F4675" w:rsidR="00AE3B0C" w:rsidRPr="00702FF7" w:rsidRDefault="00AE3B0C" w:rsidP="00E55786">
      <w:pPr>
        <w:pStyle w:val="Heading1"/>
        <w:rPr>
          <w:lang w:val="es-ES_tradnl"/>
        </w:rPr>
      </w:pPr>
      <w:r w:rsidRPr="00702FF7">
        <w:rPr>
          <w:lang w:val="es-ES_tradnl"/>
        </w:rPr>
        <w:lastRenderedPageBreak/>
        <w:t>1</w:t>
      </w:r>
      <w:r w:rsidRPr="00702FF7">
        <w:rPr>
          <w:lang w:val="es-ES_tradnl"/>
        </w:rPr>
        <w:tab/>
        <w:t>Antecedentes</w:t>
      </w:r>
    </w:p>
    <w:p w14:paraId="5C10227E" w14:textId="3BB05ED8" w:rsidR="00AE3B0C" w:rsidRPr="00702FF7" w:rsidRDefault="00AE3B0C" w:rsidP="00AE3B0C">
      <w:pPr>
        <w:rPr>
          <w:lang w:val="es-ES_tradnl"/>
        </w:rPr>
      </w:pPr>
      <w:r w:rsidRPr="00702FF7">
        <w:rPr>
          <w:lang w:val="es-ES_tradnl"/>
        </w:rPr>
        <w:t>En el marco de su 33.ª reunión (que tuvo lugar del 31 de marzo al 2 de abril de 2026), el GAR reconoció las dificultades a las que se estaba enfrenta</w:t>
      </w:r>
      <w:r w:rsidR="00126725">
        <w:rPr>
          <w:lang w:val="es-ES_tradnl"/>
        </w:rPr>
        <w:t>n</w:t>
      </w:r>
      <w:r w:rsidRPr="00702FF7">
        <w:rPr>
          <w:lang w:val="es-ES_tradnl"/>
        </w:rPr>
        <w:t xml:space="preserve">do la Oficina de Radiocomunicaciones a efectos de la tramitación de notificaciones de redes de satélites y las limitaciones detectadas con respecto tanto al nivel de apoyo que el Departamento de Comisiones de Estudio había podido proporcionar a las reuniones adicionales y los grupos por correspondencia, como a las actividades de formación y desarrollo de capacidades que la BR podía ofrecer a las Administraciones. </w:t>
      </w:r>
    </w:p>
    <w:p w14:paraId="72082C63" w14:textId="77777777" w:rsidR="00AE3B0C" w:rsidRPr="00702FF7" w:rsidRDefault="00AE3B0C" w:rsidP="00AE3B0C">
      <w:pPr>
        <w:rPr>
          <w:lang w:val="es-ES_tradnl"/>
        </w:rPr>
      </w:pPr>
      <w:r w:rsidRPr="00702FF7">
        <w:rPr>
          <w:lang w:val="es-ES_tradnl"/>
        </w:rPr>
        <w:t>La Oficina de Radiocomunicaciones había experimentado retrasos en la tramitación de notificaciones espaciales, que habían resultado en plazos de tramitación que triplicaban el intervalo de cuatro meses previsto a tal efecto en el Artículo 9.38 del Reglamento de Radiocomunicaciones, el tratado internacional por el que se regía la utilización del espectro de radiofrecuencias y las órbitas de satélites. Cabe señalar que la Junta del Reglamento de Radiocomunicaciones (RRB) también había expresado anteriormente su inquietud a ese respecto.</w:t>
      </w:r>
    </w:p>
    <w:p w14:paraId="7AE32D0D" w14:textId="432B89A6" w:rsidR="00AE3B0C" w:rsidRPr="00702FF7" w:rsidRDefault="00AE3B0C" w:rsidP="00E55786">
      <w:pPr>
        <w:pStyle w:val="Heading1"/>
        <w:rPr>
          <w:lang w:val="es-ES_tradnl"/>
        </w:rPr>
      </w:pPr>
      <w:r w:rsidRPr="00702FF7">
        <w:rPr>
          <w:lang w:val="es-ES_tradnl"/>
        </w:rPr>
        <w:t>2</w:t>
      </w:r>
      <w:r w:rsidRPr="00702FF7">
        <w:rPr>
          <w:lang w:val="es-ES_tradnl"/>
        </w:rPr>
        <w:tab/>
        <w:t>Acción solicitada</w:t>
      </w:r>
    </w:p>
    <w:p w14:paraId="78444D0C" w14:textId="77777777" w:rsidR="00AE3B0C" w:rsidRPr="00702FF7" w:rsidRDefault="00AE3B0C" w:rsidP="00AE3B0C">
      <w:pPr>
        <w:rPr>
          <w:lang w:val="es-ES_tradnl"/>
        </w:rPr>
      </w:pPr>
      <w:r w:rsidRPr="00702FF7">
        <w:rPr>
          <w:lang w:val="es-ES_tradnl"/>
        </w:rPr>
        <w:t xml:space="preserve">El GAR desea señalar esta cuestión a la atención del Consejo, haciendo hincapié en la necesidad de que la BR disponga de los recursos adecuados para cumplir su mandato estatutario, a pesar de las restricciones presupuestarias que afronta actualmente la UIT. </w:t>
      </w:r>
    </w:p>
    <w:p w14:paraId="6F4CB2FA" w14:textId="77777777" w:rsidR="00AE3B0C" w:rsidRPr="00702FF7" w:rsidRDefault="00AE3B0C" w:rsidP="00AE3B0C">
      <w:pPr>
        <w:rPr>
          <w:lang w:val="es-ES_tradnl"/>
        </w:rPr>
      </w:pPr>
      <w:r w:rsidRPr="00702FF7">
        <w:rPr>
          <w:lang w:val="es-ES_tradnl"/>
        </w:rPr>
        <w:t xml:space="preserve">Se invita al Consejo a adoptar las medidas necesarias a fin de zanjar esta cuestión y garantizar que la Oficina de Radiocomunicaciones disponga de los recursos necesarios para desempeñar sus funciones y cumplir los plazos reglamentarios establecidos en el Reglamento de Radiocomunicaciones. </w:t>
      </w:r>
    </w:p>
    <w:p w14:paraId="4F112EF6" w14:textId="77777777" w:rsidR="00AE3B0C" w:rsidRPr="00702FF7" w:rsidRDefault="00AE3B0C" w:rsidP="00AE3B0C">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sidRPr="00702FF7">
        <w:rPr>
          <w:lang w:val="es-ES_tradnl"/>
        </w:rPr>
        <w:br w:type="page"/>
      </w:r>
    </w:p>
    <w:p w14:paraId="61437FB6" w14:textId="77777777" w:rsidR="00AE3B0C" w:rsidRPr="00702FF7" w:rsidRDefault="00AE3B0C" w:rsidP="00E55786">
      <w:pPr>
        <w:pStyle w:val="AnnexNo"/>
        <w:rPr>
          <w:lang w:val="es-ES_tradnl"/>
        </w:rPr>
      </w:pPr>
      <w:r w:rsidRPr="00702FF7">
        <w:rPr>
          <w:lang w:val="es-ES_tradnl"/>
        </w:rPr>
        <w:lastRenderedPageBreak/>
        <w:t>ANEXO 2</w:t>
      </w:r>
    </w:p>
    <w:p w14:paraId="64E0977B" w14:textId="3619459F" w:rsidR="00AE3B0C" w:rsidRPr="00702FF7" w:rsidRDefault="00AE3B0C" w:rsidP="00E55786">
      <w:pPr>
        <w:pStyle w:val="Annextitle"/>
        <w:rPr>
          <w:lang w:val="es-ES_tradnl" w:eastAsia="en-GB"/>
        </w:rPr>
      </w:pPr>
      <w:r w:rsidRPr="00702FF7">
        <w:rPr>
          <w:lang w:val="es-ES_tradnl" w:eastAsia="en-GB"/>
        </w:rPr>
        <w:t>Declaración de coordinación de respuesta sobre los resultados de</w:t>
      </w:r>
      <w:r w:rsidR="00E55786" w:rsidRPr="00702FF7">
        <w:rPr>
          <w:lang w:val="es-ES_tradnl" w:eastAsia="en-GB"/>
        </w:rPr>
        <w:br/>
      </w:r>
      <w:r w:rsidRPr="00702FF7">
        <w:rPr>
          <w:lang w:val="es-ES_tradnl" w:eastAsia="en-GB"/>
        </w:rPr>
        <w:t>la cuarta reunión del GTC-PEF</w:t>
      </w:r>
    </w:p>
    <w:p w14:paraId="47A0961C" w14:textId="655CDDC8" w:rsidR="00AE3B0C" w:rsidRPr="00702FF7" w:rsidRDefault="00AE3B0C" w:rsidP="00E55786">
      <w:pPr>
        <w:pStyle w:val="Reasons"/>
        <w:spacing w:after="240"/>
        <w:rPr>
          <w:rFonts w:asciiTheme="minorHAnsi" w:hAnsiTheme="minorHAnsi" w:cstheme="minorHAnsi"/>
          <w:szCs w:val="24"/>
          <w:lang w:val="es-ES_tradnl" w:eastAsia="en-GB"/>
        </w:rPr>
      </w:pPr>
      <w:r w:rsidRPr="00702FF7">
        <w:rPr>
          <w:rFonts w:asciiTheme="minorHAnsi" w:hAnsiTheme="minorHAnsi" w:cstheme="minorHAnsi"/>
          <w:szCs w:val="24"/>
          <w:lang w:val="es-ES_tradnl" w:eastAsia="en-GB"/>
        </w:rPr>
        <w:t>Véase RAG/TEMP/8-Rev.1:</w:t>
      </w:r>
      <w:r w:rsidR="00B51417" w:rsidRPr="00702FF7">
        <w:rPr>
          <w:rFonts w:asciiTheme="minorHAnsi" w:hAnsiTheme="minorHAnsi" w:cstheme="minorHAnsi"/>
          <w:szCs w:val="24"/>
          <w:lang w:val="es-ES_tradnl" w:eastAsia="en-GB"/>
        </w:rPr>
        <w:t xml:space="preserve"> </w:t>
      </w:r>
      <w:hyperlink r:id="rId81" w:history="1">
        <w:r w:rsidR="00B51417" w:rsidRPr="00702FF7">
          <w:rPr>
            <w:rStyle w:val="Hyperlink"/>
            <w:rFonts w:asciiTheme="minorHAnsi" w:hAnsiTheme="minorHAnsi" w:cstheme="minorHAnsi"/>
            <w:szCs w:val="24"/>
            <w:lang w:val="es-ES_tradnl" w:eastAsia="en-GB"/>
          </w:rPr>
          <w:t>https://www.itu.int/md/R23-RAG-260330-TD-0008/es</w:t>
        </w:r>
      </w:hyperlink>
      <w:r w:rsidR="00E55786" w:rsidRPr="00702FF7">
        <w:rPr>
          <w:rFonts w:asciiTheme="minorHAnsi" w:hAnsiTheme="minorHAnsi" w:cstheme="minorHAnsi"/>
          <w:szCs w:val="24"/>
          <w:lang w:val="es-ES_tradnl" w:eastAsia="en-GB"/>
        </w:rPr>
        <w:t>.</w:t>
      </w:r>
    </w:p>
    <w:tbl>
      <w:tblPr>
        <w:tblW w:w="9889" w:type="dxa"/>
        <w:tblLayout w:type="fixed"/>
        <w:tblLook w:val="0000" w:firstRow="0" w:lastRow="0" w:firstColumn="0" w:lastColumn="0" w:noHBand="0" w:noVBand="0"/>
      </w:tblPr>
      <w:tblGrid>
        <w:gridCol w:w="6477"/>
        <w:gridCol w:w="10"/>
        <w:gridCol w:w="3402"/>
      </w:tblGrid>
      <w:tr w:rsidR="00AE3B0C" w:rsidRPr="00702FF7" w14:paraId="61A5E2D1" w14:textId="77777777" w:rsidTr="00C949E6">
        <w:trPr>
          <w:cantSplit/>
        </w:trPr>
        <w:tc>
          <w:tcPr>
            <w:tcW w:w="6477" w:type="dxa"/>
            <w:vAlign w:val="center"/>
          </w:tcPr>
          <w:p w14:paraId="2DB22893" w14:textId="77777777" w:rsidR="00AE3B0C" w:rsidRPr="00702FF7" w:rsidRDefault="00AE3B0C" w:rsidP="00C949E6">
            <w:pPr>
              <w:shd w:val="solid" w:color="FFFFFF" w:fill="FFFFFF"/>
              <w:tabs>
                <w:tab w:val="left" w:pos="601"/>
              </w:tabs>
              <w:spacing w:before="360" w:after="240"/>
              <w:jc w:val="left"/>
              <w:rPr>
                <w:rFonts w:ascii="Verdana" w:hAnsi="Verdana" w:cs="Times New Roman Bold"/>
                <w:b/>
                <w:bCs/>
                <w:lang w:val="es-ES_tradnl"/>
              </w:rPr>
            </w:pPr>
            <w:r w:rsidRPr="00702FF7">
              <w:rPr>
                <w:rFonts w:ascii="Verdana" w:hAnsi="Verdana" w:cs="Times New Roman Bold"/>
                <w:b/>
                <w:sz w:val="26"/>
                <w:szCs w:val="26"/>
                <w:lang w:val="es-ES_tradnl"/>
              </w:rPr>
              <w:t>Grupo Asesor de Radiocomunicaciones</w:t>
            </w:r>
            <w:r w:rsidRPr="00702FF7">
              <w:rPr>
                <w:rFonts w:ascii="Verdana" w:hAnsi="Verdana" w:cs="Times New Roman Bold"/>
                <w:b/>
                <w:sz w:val="26"/>
                <w:szCs w:val="26"/>
                <w:lang w:val="es-ES_tradnl"/>
              </w:rPr>
              <w:br/>
            </w:r>
          </w:p>
        </w:tc>
        <w:tc>
          <w:tcPr>
            <w:tcW w:w="3412" w:type="dxa"/>
            <w:gridSpan w:val="2"/>
            <w:vAlign w:val="center"/>
          </w:tcPr>
          <w:p w14:paraId="26CB55C3" w14:textId="77777777" w:rsidR="00AE3B0C" w:rsidRPr="00702FF7" w:rsidRDefault="00AE3B0C" w:rsidP="00C949E6">
            <w:pPr>
              <w:shd w:val="solid" w:color="FFFFFF" w:fill="FFFFFF"/>
              <w:spacing w:before="0" w:line="240" w:lineRule="atLeast"/>
              <w:rPr>
                <w:lang w:val="es-ES_tradnl"/>
              </w:rPr>
            </w:pPr>
            <w:r w:rsidRPr="00702FF7">
              <w:rPr>
                <w:noProof/>
                <w:lang w:val="es-ES_tradnl" w:eastAsia="zh-CN"/>
              </w:rPr>
              <w:drawing>
                <wp:inline distT="0" distB="0" distL="0" distR="0" wp14:anchorId="4F883307" wp14:editId="371A7CBE">
                  <wp:extent cx="844492" cy="844492"/>
                  <wp:effectExtent l="0" t="0" r="0" b="0"/>
                  <wp:docPr id="2054825602" name="Picture 205482560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AE3B0C" w:rsidRPr="00702FF7" w14:paraId="7F22705F" w14:textId="77777777" w:rsidTr="00C949E6">
        <w:trPr>
          <w:cantSplit/>
        </w:trPr>
        <w:tc>
          <w:tcPr>
            <w:tcW w:w="6487" w:type="dxa"/>
            <w:gridSpan w:val="2"/>
            <w:tcBorders>
              <w:bottom w:val="single" w:sz="12" w:space="0" w:color="auto"/>
            </w:tcBorders>
          </w:tcPr>
          <w:p w14:paraId="33FB68FB" w14:textId="77777777" w:rsidR="00AE3B0C" w:rsidRPr="00702FF7" w:rsidRDefault="00AE3B0C" w:rsidP="00C949E6">
            <w:pPr>
              <w:shd w:val="solid" w:color="FFFFFF" w:fill="FFFFFF"/>
              <w:spacing w:before="0" w:after="48"/>
              <w:rPr>
                <w:rFonts w:ascii="Verdana" w:hAnsi="Verdana" w:cs="Times New Roman Bold"/>
                <w:b/>
                <w:sz w:val="22"/>
                <w:lang w:val="es-ES_tradnl"/>
              </w:rPr>
            </w:pPr>
          </w:p>
        </w:tc>
        <w:tc>
          <w:tcPr>
            <w:tcW w:w="3402" w:type="dxa"/>
            <w:tcBorders>
              <w:bottom w:val="single" w:sz="12" w:space="0" w:color="auto"/>
            </w:tcBorders>
          </w:tcPr>
          <w:p w14:paraId="4EF74517" w14:textId="77777777" w:rsidR="00AE3B0C" w:rsidRPr="00702FF7" w:rsidRDefault="00AE3B0C" w:rsidP="00C949E6">
            <w:pPr>
              <w:shd w:val="solid" w:color="FFFFFF" w:fill="FFFFFF"/>
              <w:spacing w:before="0" w:after="48" w:line="240" w:lineRule="atLeast"/>
              <w:rPr>
                <w:sz w:val="22"/>
                <w:lang w:val="es-ES_tradnl"/>
              </w:rPr>
            </w:pPr>
          </w:p>
        </w:tc>
      </w:tr>
      <w:tr w:rsidR="00AE3B0C" w:rsidRPr="00702FF7" w14:paraId="1F34113B" w14:textId="77777777" w:rsidTr="00C949E6">
        <w:trPr>
          <w:cantSplit/>
        </w:trPr>
        <w:tc>
          <w:tcPr>
            <w:tcW w:w="6487" w:type="dxa"/>
            <w:gridSpan w:val="2"/>
            <w:tcBorders>
              <w:top w:val="single" w:sz="12" w:space="0" w:color="auto"/>
            </w:tcBorders>
          </w:tcPr>
          <w:p w14:paraId="673DF7BA" w14:textId="77777777" w:rsidR="00AE3B0C" w:rsidRPr="00702FF7" w:rsidRDefault="00AE3B0C" w:rsidP="00C949E6">
            <w:pPr>
              <w:shd w:val="solid" w:color="FFFFFF" w:fill="FFFFFF"/>
              <w:spacing w:before="0" w:after="48"/>
              <w:rPr>
                <w:rFonts w:ascii="Verdana" w:hAnsi="Verdana" w:cs="Times New Roman Bold"/>
                <w:bCs/>
                <w:sz w:val="22"/>
                <w:lang w:val="es-ES_tradnl"/>
              </w:rPr>
            </w:pPr>
          </w:p>
        </w:tc>
        <w:tc>
          <w:tcPr>
            <w:tcW w:w="3402" w:type="dxa"/>
            <w:tcBorders>
              <w:top w:val="single" w:sz="12" w:space="0" w:color="auto"/>
            </w:tcBorders>
          </w:tcPr>
          <w:p w14:paraId="4F55874A" w14:textId="77777777" w:rsidR="00AE3B0C" w:rsidRPr="00702FF7" w:rsidRDefault="00AE3B0C" w:rsidP="00C949E6">
            <w:pPr>
              <w:shd w:val="solid" w:color="FFFFFF" w:fill="FFFFFF"/>
              <w:spacing w:before="0" w:after="48" w:line="240" w:lineRule="atLeast"/>
              <w:rPr>
                <w:lang w:val="es-ES_tradnl"/>
              </w:rPr>
            </w:pPr>
          </w:p>
        </w:tc>
      </w:tr>
      <w:tr w:rsidR="00AE3B0C" w:rsidRPr="00B33A8D" w14:paraId="66E29868" w14:textId="77777777" w:rsidTr="00C949E6">
        <w:trPr>
          <w:cantSplit/>
        </w:trPr>
        <w:tc>
          <w:tcPr>
            <w:tcW w:w="6487" w:type="dxa"/>
            <w:gridSpan w:val="2"/>
            <w:vMerge w:val="restart"/>
          </w:tcPr>
          <w:p w14:paraId="2B85B4C4" w14:textId="77777777" w:rsidR="00AE3B0C" w:rsidRPr="00702FF7" w:rsidRDefault="00AE3B0C" w:rsidP="00C949E6">
            <w:pPr>
              <w:shd w:val="solid" w:color="FFFFFF" w:fill="FFFFFF"/>
              <w:spacing w:after="240"/>
              <w:rPr>
                <w:sz w:val="20"/>
                <w:lang w:val="es-ES_tradnl"/>
              </w:rPr>
            </w:pPr>
          </w:p>
        </w:tc>
        <w:tc>
          <w:tcPr>
            <w:tcW w:w="3402" w:type="dxa"/>
          </w:tcPr>
          <w:p w14:paraId="43747CC0" w14:textId="7DCF41EA" w:rsidR="00AE3B0C" w:rsidRPr="00702FF7" w:rsidRDefault="00AE3B0C" w:rsidP="00C949E6">
            <w:pPr>
              <w:shd w:val="solid" w:color="FFFFFF" w:fill="FFFFFF"/>
              <w:spacing w:before="0" w:line="240" w:lineRule="atLeast"/>
              <w:jc w:val="left"/>
              <w:rPr>
                <w:rFonts w:ascii="Verdana" w:hAnsi="Verdana"/>
                <w:sz w:val="20"/>
                <w:highlight w:val="yellow"/>
                <w:lang w:val="es-ES_tradnl"/>
              </w:rPr>
            </w:pPr>
            <w:r w:rsidRPr="00702FF7">
              <w:rPr>
                <w:rFonts w:ascii="Verdana" w:hAnsi="Verdana"/>
                <w:b/>
                <w:sz w:val="20"/>
                <w:lang w:val="es-ES_tradnl"/>
              </w:rPr>
              <w:t xml:space="preserve">Revisión 1 al </w:t>
            </w:r>
            <w:r w:rsidRPr="00702FF7">
              <w:rPr>
                <w:rFonts w:ascii="Verdana" w:hAnsi="Verdana"/>
                <w:b/>
                <w:sz w:val="20"/>
                <w:lang w:val="es-ES_tradnl"/>
              </w:rPr>
              <w:br/>
              <w:t>Documento RAG/TEMP/8-</w:t>
            </w:r>
            <w:r w:rsidR="00E55786" w:rsidRPr="00702FF7">
              <w:rPr>
                <w:rFonts w:ascii="Verdana" w:hAnsi="Verdana"/>
                <w:b/>
                <w:sz w:val="20"/>
                <w:lang w:val="es-ES_tradnl"/>
              </w:rPr>
              <w:t>S</w:t>
            </w:r>
          </w:p>
        </w:tc>
      </w:tr>
      <w:tr w:rsidR="00AE3B0C" w:rsidRPr="00702FF7" w14:paraId="23CD59A5" w14:textId="77777777" w:rsidTr="00C949E6">
        <w:trPr>
          <w:cantSplit/>
        </w:trPr>
        <w:tc>
          <w:tcPr>
            <w:tcW w:w="6487" w:type="dxa"/>
            <w:gridSpan w:val="2"/>
            <w:vMerge/>
          </w:tcPr>
          <w:p w14:paraId="1DFDB2A3" w14:textId="77777777" w:rsidR="00AE3B0C" w:rsidRPr="00702FF7" w:rsidRDefault="00AE3B0C" w:rsidP="00C949E6">
            <w:pPr>
              <w:spacing w:before="60"/>
              <w:jc w:val="center"/>
              <w:rPr>
                <w:b/>
                <w:smallCaps/>
                <w:sz w:val="32"/>
                <w:lang w:val="es-ES_tradnl"/>
              </w:rPr>
            </w:pPr>
          </w:p>
        </w:tc>
        <w:tc>
          <w:tcPr>
            <w:tcW w:w="3402" w:type="dxa"/>
          </w:tcPr>
          <w:p w14:paraId="28BADD6D" w14:textId="77777777" w:rsidR="00AE3B0C" w:rsidRPr="00702FF7" w:rsidRDefault="00AE3B0C" w:rsidP="00C949E6">
            <w:pPr>
              <w:shd w:val="solid" w:color="FFFFFF" w:fill="FFFFFF"/>
              <w:spacing w:before="0" w:line="240" w:lineRule="atLeast"/>
              <w:jc w:val="left"/>
              <w:rPr>
                <w:rFonts w:ascii="Verdana" w:hAnsi="Verdana"/>
                <w:sz w:val="20"/>
                <w:highlight w:val="yellow"/>
                <w:lang w:val="es-ES_tradnl"/>
              </w:rPr>
            </w:pPr>
            <w:r w:rsidRPr="00702FF7">
              <w:rPr>
                <w:rFonts w:ascii="Verdana" w:hAnsi="Verdana"/>
                <w:b/>
                <w:sz w:val="20"/>
                <w:lang w:val="es-ES_tradnl"/>
              </w:rPr>
              <w:t>31 de marzo de 2026</w:t>
            </w:r>
          </w:p>
        </w:tc>
      </w:tr>
      <w:tr w:rsidR="00AE3B0C" w:rsidRPr="00702FF7" w14:paraId="48135273" w14:textId="77777777" w:rsidTr="00C949E6">
        <w:trPr>
          <w:cantSplit/>
        </w:trPr>
        <w:tc>
          <w:tcPr>
            <w:tcW w:w="6487" w:type="dxa"/>
            <w:gridSpan w:val="2"/>
            <w:vMerge/>
          </w:tcPr>
          <w:p w14:paraId="17F4C784" w14:textId="77777777" w:rsidR="00AE3B0C" w:rsidRPr="00702FF7" w:rsidRDefault="00AE3B0C" w:rsidP="00C949E6">
            <w:pPr>
              <w:spacing w:before="60"/>
              <w:jc w:val="center"/>
              <w:rPr>
                <w:b/>
                <w:smallCaps/>
                <w:sz w:val="32"/>
                <w:lang w:val="es-ES_tradnl"/>
              </w:rPr>
            </w:pPr>
          </w:p>
        </w:tc>
        <w:tc>
          <w:tcPr>
            <w:tcW w:w="3402" w:type="dxa"/>
          </w:tcPr>
          <w:p w14:paraId="2496CBC0" w14:textId="77777777" w:rsidR="00AE3B0C" w:rsidRPr="00702FF7" w:rsidRDefault="00AE3B0C" w:rsidP="00C949E6">
            <w:pPr>
              <w:shd w:val="solid" w:color="FFFFFF" w:fill="FFFFFF"/>
              <w:spacing w:before="0" w:after="120" w:line="240" w:lineRule="atLeast"/>
              <w:jc w:val="left"/>
              <w:rPr>
                <w:rFonts w:ascii="Verdana" w:hAnsi="Verdana"/>
                <w:sz w:val="20"/>
                <w:lang w:val="es-ES_tradnl"/>
              </w:rPr>
            </w:pPr>
            <w:r w:rsidRPr="00702FF7">
              <w:rPr>
                <w:rFonts w:ascii="Verdana" w:hAnsi="Verdana"/>
                <w:b/>
                <w:sz w:val="20"/>
                <w:lang w:val="es-ES_tradnl"/>
              </w:rPr>
              <w:t>Original: inglés</w:t>
            </w:r>
          </w:p>
        </w:tc>
      </w:tr>
      <w:tr w:rsidR="00AE3B0C" w:rsidRPr="00B33A8D" w14:paraId="697BF88D" w14:textId="77777777" w:rsidTr="00C949E6">
        <w:trPr>
          <w:cantSplit/>
        </w:trPr>
        <w:tc>
          <w:tcPr>
            <w:tcW w:w="9889" w:type="dxa"/>
            <w:gridSpan w:val="3"/>
          </w:tcPr>
          <w:tbl>
            <w:tblPr>
              <w:tblpPr w:leftFromText="180" w:rightFromText="180" w:horzAnchor="margin" w:tblpY="-615"/>
              <w:tblW w:w="9889" w:type="dxa"/>
              <w:tblLayout w:type="fixed"/>
              <w:tblLook w:val="0000" w:firstRow="0" w:lastRow="0" w:firstColumn="0" w:lastColumn="0" w:noHBand="0" w:noVBand="0"/>
            </w:tblPr>
            <w:tblGrid>
              <w:gridCol w:w="9889"/>
            </w:tblGrid>
            <w:tr w:rsidR="00AE3B0C" w:rsidRPr="00533FD9" w14:paraId="76F94A24" w14:textId="77777777" w:rsidTr="00C949E6">
              <w:trPr>
                <w:cantSplit/>
              </w:trPr>
              <w:tc>
                <w:tcPr>
                  <w:tcW w:w="9889" w:type="dxa"/>
                </w:tcPr>
                <w:p w14:paraId="284EED7B" w14:textId="77777777" w:rsidR="00AE3B0C" w:rsidRPr="00702FF7" w:rsidRDefault="00AE3B0C" w:rsidP="00C949E6">
                  <w:pPr>
                    <w:pStyle w:val="Source"/>
                    <w:rPr>
                      <w:rFonts w:ascii="Times New Roman Bold" w:hAnsi="Times New Roman Bold"/>
                      <w:caps/>
                      <w:lang w:val="es-ES_tradnl"/>
                    </w:rPr>
                  </w:pPr>
                  <w:r w:rsidRPr="00533FD9">
                    <w:rPr>
                      <w:rFonts w:asciiTheme="minorHAnsi" w:hAnsiTheme="minorHAnsi" w:cstheme="minorHAnsi"/>
                      <w:lang w:val="fr-FR"/>
                    </w:rPr>
                    <w:t>Grupo Asesor de Radiocomunicaciones (GAR)</w:t>
                  </w:r>
                </w:p>
              </w:tc>
            </w:tr>
            <w:tr w:rsidR="00AE3B0C" w:rsidRPr="00B33A8D" w14:paraId="21B2D3B3" w14:textId="77777777" w:rsidTr="00C949E6">
              <w:trPr>
                <w:cantSplit/>
              </w:trPr>
              <w:tc>
                <w:tcPr>
                  <w:tcW w:w="9889" w:type="dxa"/>
                </w:tcPr>
                <w:p w14:paraId="549E4BB3" w14:textId="0D5C2894" w:rsidR="00AE3B0C" w:rsidRPr="00533FD9" w:rsidRDefault="00AE3B0C" w:rsidP="00C949E6">
                  <w:pPr>
                    <w:pStyle w:val="Title1"/>
                    <w:rPr>
                      <w:rFonts w:asciiTheme="minorHAnsi" w:hAnsiTheme="minorHAnsi" w:cstheme="minorHAnsi"/>
                      <w:lang w:val="es-ES"/>
                    </w:rPr>
                  </w:pPr>
                  <w:r w:rsidRPr="00533FD9">
                    <w:rPr>
                      <w:rFonts w:asciiTheme="minorHAnsi" w:hAnsiTheme="minorHAnsi" w:cstheme="minorHAnsi"/>
                      <w:lang w:val="es-ES"/>
                    </w:rPr>
                    <w:t>Declaración de coordinación de respuesta sobre los resultados de la</w:t>
                  </w:r>
                  <w:r w:rsidR="00533FD9" w:rsidRPr="00533FD9">
                    <w:rPr>
                      <w:rFonts w:asciiTheme="minorHAnsi" w:hAnsiTheme="minorHAnsi" w:cstheme="minorHAnsi"/>
                      <w:lang w:val="es-ES"/>
                    </w:rPr>
                    <w:t> </w:t>
                  </w:r>
                  <w:r w:rsidRPr="00533FD9">
                    <w:rPr>
                      <w:rFonts w:asciiTheme="minorHAnsi" w:hAnsiTheme="minorHAnsi" w:cstheme="minorHAnsi"/>
                      <w:lang w:val="es-ES"/>
                    </w:rPr>
                    <w:t>cuarta reunión del GTC-PEF</w:t>
                  </w:r>
                </w:p>
                <w:p w14:paraId="57CAFF59" w14:textId="77777777" w:rsidR="00AE3B0C" w:rsidRPr="00702FF7" w:rsidRDefault="00AE3B0C" w:rsidP="00C949E6">
                  <w:pPr>
                    <w:pStyle w:val="Title1"/>
                    <w:rPr>
                      <w:rFonts w:ascii="Times New Roman" w:hAnsi="Times New Roman"/>
                      <w:caps w:val="0"/>
                      <w:szCs w:val="20"/>
                      <w:lang w:val="es-ES_tradnl"/>
                    </w:rPr>
                  </w:pPr>
                </w:p>
              </w:tc>
            </w:tr>
          </w:tbl>
          <w:tbl>
            <w:tblPr>
              <w:tblStyle w:val="TableGrid"/>
              <w:tblW w:w="0" w:type="auto"/>
              <w:tblLayout w:type="fixed"/>
              <w:tblLook w:val="04A0" w:firstRow="1" w:lastRow="0" w:firstColumn="1" w:lastColumn="0" w:noHBand="0" w:noVBand="1"/>
            </w:tblPr>
            <w:tblGrid>
              <w:gridCol w:w="9629"/>
            </w:tblGrid>
            <w:tr w:rsidR="00AE3B0C" w:rsidRPr="00B33A8D" w14:paraId="5F596152" w14:textId="77777777" w:rsidTr="00C949E6">
              <w:tc>
                <w:tcPr>
                  <w:tcW w:w="9629" w:type="dxa"/>
                  <w:tcBorders>
                    <w:top w:val="single" w:sz="12" w:space="0" w:color="auto"/>
                    <w:left w:val="single" w:sz="12" w:space="0" w:color="auto"/>
                    <w:bottom w:val="single" w:sz="12" w:space="0" w:color="auto"/>
                    <w:right w:val="single" w:sz="12" w:space="0" w:color="auto"/>
                  </w:tcBorders>
                </w:tcPr>
                <w:p w14:paraId="64702FC0" w14:textId="77777777" w:rsidR="00AE3B0C" w:rsidRPr="00702FF7" w:rsidRDefault="00AE3B0C" w:rsidP="00E55786">
                  <w:pPr>
                    <w:rPr>
                      <w:b/>
                      <w:bCs/>
                      <w:sz w:val="26"/>
                      <w:szCs w:val="26"/>
                      <w:lang w:val="es-ES_tradnl"/>
                    </w:rPr>
                  </w:pPr>
                  <w:r w:rsidRPr="00702FF7">
                    <w:rPr>
                      <w:b/>
                      <w:bCs/>
                      <w:sz w:val="26"/>
                      <w:szCs w:val="26"/>
                      <w:lang w:val="es-ES_tradnl"/>
                    </w:rPr>
                    <w:t>Finalidad</w:t>
                  </w:r>
                </w:p>
                <w:p w14:paraId="3EE4BBA8" w14:textId="6B2CBF9C" w:rsidR="00AE3B0C" w:rsidRPr="00702FF7" w:rsidRDefault="00AE3B0C" w:rsidP="00E55786">
                  <w:pPr>
                    <w:rPr>
                      <w:lang w:val="es-ES_tradnl"/>
                    </w:rPr>
                  </w:pPr>
                  <w:r w:rsidRPr="00702FF7">
                    <w:rPr>
                      <w:lang w:val="es-ES_tradnl"/>
                    </w:rPr>
                    <w:t xml:space="preserve">El presente documento contiene la respuesta </w:t>
                  </w:r>
                  <w:bookmarkStart w:id="7" w:name="_Hlk216183759"/>
                  <w:r w:rsidRPr="00702FF7">
                    <w:rPr>
                      <w:lang w:val="es-ES_tradnl"/>
                    </w:rPr>
                    <w:t xml:space="preserve">del </w:t>
                  </w:r>
                  <w:r w:rsidRPr="00702FF7">
                    <w:rPr>
                      <w:rFonts w:eastAsia="Calibri"/>
                      <w:lang w:val="es-ES_tradnl"/>
                    </w:rPr>
                    <w:t xml:space="preserve">Grupo Asesor de Radiocomunicaciones </w:t>
                  </w:r>
                  <w:r w:rsidRPr="00702FF7">
                    <w:rPr>
                      <w:lang w:val="es-ES_tradnl"/>
                    </w:rPr>
                    <w:t>(GAR)</w:t>
                  </w:r>
                  <w:bookmarkEnd w:id="7"/>
                  <w:r w:rsidRPr="00702FF7">
                    <w:rPr>
                      <w:lang w:val="es-ES_tradnl"/>
                    </w:rPr>
                    <w:t>, acordada en su 33.ª reunión (30 de marzo</w:t>
                  </w:r>
                  <w:r w:rsidR="00022E0C">
                    <w:rPr>
                      <w:lang w:val="es-ES_tradnl"/>
                    </w:rPr>
                    <w:t xml:space="preserve"> </w:t>
                  </w:r>
                  <w:r w:rsidR="00022E0C" w:rsidRPr="00022E0C">
                    <w:rPr>
                      <w:lang w:val="es-ES_tradnl"/>
                    </w:rPr>
                    <w:t>–</w:t>
                  </w:r>
                  <w:r w:rsidR="00022E0C">
                    <w:rPr>
                      <w:lang w:val="es-ES_tradnl"/>
                    </w:rPr>
                    <w:t xml:space="preserve"> </w:t>
                  </w:r>
                  <w:r w:rsidRPr="00702FF7">
                    <w:rPr>
                      <w:lang w:val="es-ES_tradnl"/>
                    </w:rPr>
                    <w:t xml:space="preserve">2 de abril de 2026), a la declaración de coordinación del GTC-PEF al GAR sobre los resultados de su cuarta reunión (véase el </w:t>
                  </w:r>
                  <w:hyperlink r:id="rId82" w:history="1">
                    <w:r w:rsidRPr="00533FD9">
                      <w:rPr>
                        <w:rStyle w:val="Hyperlink"/>
                        <w:lang w:val="es-ES_tradnl"/>
                      </w:rPr>
                      <w:t>Documento RAG/55</w:t>
                    </w:r>
                  </w:hyperlink>
                  <w:r w:rsidRPr="00702FF7">
                    <w:rPr>
                      <w:lang w:val="es-ES_tradnl"/>
                    </w:rPr>
                    <w:t xml:space="preserve">). </w:t>
                  </w:r>
                </w:p>
                <w:p w14:paraId="602F4D33" w14:textId="77777777" w:rsidR="00AE3B0C" w:rsidRPr="00702FF7" w:rsidRDefault="00AE3B0C" w:rsidP="00E55786">
                  <w:pPr>
                    <w:rPr>
                      <w:b/>
                      <w:bCs/>
                      <w:sz w:val="26"/>
                      <w:szCs w:val="26"/>
                      <w:lang w:val="es-ES_tradnl"/>
                    </w:rPr>
                  </w:pPr>
                  <w:r w:rsidRPr="00702FF7">
                    <w:rPr>
                      <w:b/>
                      <w:bCs/>
                      <w:sz w:val="26"/>
                      <w:szCs w:val="26"/>
                      <w:lang w:val="es-ES_tradnl"/>
                    </w:rPr>
                    <w:t>Acción solicitada</w:t>
                  </w:r>
                </w:p>
                <w:p w14:paraId="11B19916" w14:textId="77777777" w:rsidR="00AE3B0C" w:rsidRPr="00702FF7" w:rsidRDefault="00AE3B0C" w:rsidP="00E55786">
                  <w:pPr>
                    <w:rPr>
                      <w:lang w:val="es-ES_tradnl"/>
                    </w:rPr>
                  </w:pPr>
                  <w:r w:rsidRPr="00702FF7">
                    <w:rPr>
                      <w:lang w:val="es-ES_tradnl"/>
                    </w:rPr>
                    <w:t xml:space="preserve">Se invita al GTC-PEF a </w:t>
                  </w:r>
                  <w:r w:rsidRPr="00702FF7">
                    <w:rPr>
                      <w:b/>
                      <w:bCs/>
                      <w:lang w:val="es-ES_tradnl"/>
                    </w:rPr>
                    <w:t xml:space="preserve">examinar </w:t>
                  </w:r>
                  <w:r w:rsidRPr="00702FF7">
                    <w:rPr>
                      <w:lang w:val="es-ES_tradnl"/>
                    </w:rPr>
                    <w:t>el presente documento.</w:t>
                  </w:r>
                </w:p>
                <w:p w14:paraId="7C33CE79" w14:textId="75BFCC4F" w:rsidR="00AE3B0C" w:rsidRPr="00702FF7" w:rsidRDefault="00AE3B0C" w:rsidP="00E55786">
                  <w:pPr>
                    <w:rPr>
                      <w:b/>
                      <w:bCs/>
                      <w:lang w:val="es-ES_tradnl"/>
                    </w:rPr>
                  </w:pPr>
                  <w:r w:rsidRPr="00702FF7">
                    <w:rPr>
                      <w:b/>
                      <w:bCs/>
                      <w:sz w:val="26"/>
                      <w:szCs w:val="26"/>
                      <w:lang w:val="es-ES_tradnl"/>
                    </w:rPr>
                    <w:t>Contacto</w:t>
                  </w:r>
                  <w:r w:rsidR="003D461A" w:rsidRPr="00702FF7">
                    <w:rPr>
                      <w:b/>
                      <w:bCs/>
                      <w:lang w:val="es-ES_tradnl"/>
                    </w:rPr>
                    <w:t xml:space="preserve"> </w:t>
                  </w:r>
                </w:p>
                <w:p w14:paraId="6A84FBAE" w14:textId="4D0F5B9A" w:rsidR="00AE3B0C" w:rsidRPr="00702FF7" w:rsidRDefault="00CA406A" w:rsidP="00E55786">
                  <w:pPr>
                    <w:rPr>
                      <w:lang w:val="es-ES_tradnl"/>
                    </w:rPr>
                  </w:pPr>
                  <w:r w:rsidRPr="00702FF7">
                    <w:rPr>
                      <w:lang w:val="es-ES_tradnl"/>
                    </w:rPr>
                    <w:t>Sr. </w:t>
                  </w:r>
                  <w:r w:rsidR="00AE3B0C" w:rsidRPr="00702FF7">
                    <w:rPr>
                      <w:lang w:val="es-ES_tradnl"/>
                    </w:rPr>
                    <w:t>Mohammad ALJNOOBI, Presidente del Grupo Asesor de Radiocomunicaciones</w:t>
                  </w:r>
                  <w:r w:rsidR="00E55786" w:rsidRPr="00702FF7">
                    <w:rPr>
                      <w:lang w:val="es-ES_tradnl"/>
                    </w:rPr>
                    <w:t xml:space="preserve"> </w:t>
                  </w:r>
                  <w:hyperlink r:id="rId83" w:history="1">
                    <w:r w:rsidR="00AE3B0C" w:rsidRPr="00702FF7">
                      <w:rPr>
                        <w:rStyle w:val="Hyperlink"/>
                        <w:lang w:val="es-ES_tradnl"/>
                      </w:rPr>
                      <w:t>mjnoobi@cst.gov.sa</w:t>
                    </w:r>
                  </w:hyperlink>
                  <w:r w:rsidR="006D63F0">
                    <w:rPr>
                      <w:lang w:val="es-ES_tradnl"/>
                    </w:rPr>
                    <w:t>.</w:t>
                  </w:r>
                </w:p>
                <w:p w14:paraId="55FBDAAB" w14:textId="77777777" w:rsidR="00AE3B0C" w:rsidRPr="00702FF7" w:rsidRDefault="00AE3B0C" w:rsidP="00836B17">
                  <w:pPr>
                    <w:spacing w:after="240"/>
                    <w:rPr>
                      <w:lang w:val="es-ES_tradnl"/>
                    </w:rPr>
                  </w:pPr>
                  <w:r w:rsidRPr="00702FF7">
                    <w:rPr>
                      <w:lang w:val="es-ES_tradnl"/>
                    </w:rPr>
                    <w:t>_______________</w:t>
                  </w:r>
                </w:p>
                <w:p w14:paraId="467B91EB" w14:textId="77777777" w:rsidR="00AE3B0C" w:rsidRPr="00702FF7" w:rsidRDefault="00AE3B0C" w:rsidP="00E55786">
                  <w:pPr>
                    <w:rPr>
                      <w:b/>
                      <w:bCs/>
                      <w:i/>
                      <w:iCs/>
                      <w:sz w:val="26"/>
                      <w:szCs w:val="26"/>
                      <w:lang w:val="es-ES_tradnl"/>
                    </w:rPr>
                  </w:pPr>
                  <w:r w:rsidRPr="00702FF7">
                    <w:rPr>
                      <w:b/>
                      <w:bCs/>
                      <w:sz w:val="26"/>
                      <w:szCs w:val="26"/>
                      <w:lang w:val="es-ES_tradnl"/>
                    </w:rPr>
                    <w:t xml:space="preserve">Referencias </w:t>
                  </w:r>
                </w:p>
                <w:p w14:paraId="0D99C64E" w14:textId="1715B6B0" w:rsidR="00AE3B0C" w:rsidRPr="00702FF7" w:rsidRDefault="00AE3B0C" w:rsidP="00E55786">
                  <w:pPr>
                    <w:rPr>
                      <w:lang w:val="es-ES_tradnl"/>
                    </w:rPr>
                  </w:pPr>
                  <w:r w:rsidRPr="00702FF7">
                    <w:rPr>
                      <w:lang w:val="es-ES_tradnl"/>
                    </w:rPr>
                    <w:t>Documentos:</w:t>
                  </w:r>
                  <w:r w:rsidR="003D461A" w:rsidRPr="00702FF7">
                    <w:rPr>
                      <w:lang w:val="es-ES_tradnl"/>
                    </w:rPr>
                    <w:t xml:space="preserve"> </w:t>
                  </w:r>
                  <w:hyperlink r:id="rId84">
                    <w:r w:rsidRPr="00702FF7">
                      <w:rPr>
                        <w:rStyle w:val="Hyperlink"/>
                        <w:lang w:val="es-ES_tradnl"/>
                      </w:rPr>
                      <w:t>RAG/50</w:t>
                    </w:r>
                  </w:hyperlink>
                  <w:r w:rsidRPr="00702FF7">
                    <w:rPr>
                      <w:lang w:val="es-ES_tradnl"/>
                    </w:rPr>
                    <w:t xml:space="preserve">, </w:t>
                  </w:r>
                  <w:hyperlink r:id="rId85">
                    <w:r w:rsidRPr="00702FF7">
                      <w:rPr>
                        <w:rStyle w:val="Hyperlink"/>
                        <w:lang w:val="es-ES_tradnl"/>
                      </w:rPr>
                      <w:t>CWG-SFP-4/6</w:t>
                    </w:r>
                  </w:hyperlink>
                  <w:r w:rsidRPr="00702FF7">
                    <w:rPr>
                      <w:lang w:val="es-ES_tradnl"/>
                    </w:rPr>
                    <w:t xml:space="preserve">, </w:t>
                  </w:r>
                  <w:hyperlink r:id="rId86">
                    <w:r w:rsidRPr="00702FF7">
                      <w:rPr>
                        <w:rStyle w:val="Hyperlink"/>
                        <w:lang w:val="es-ES_tradnl"/>
                      </w:rPr>
                      <w:t>RAG/55</w:t>
                    </w:r>
                  </w:hyperlink>
                  <w:r w:rsidRPr="00702FF7">
                    <w:rPr>
                      <w:lang w:val="es-ES_tradnl"/>
                    </w:rPr>
                    <w:t xml:space="preserve">, </w:t>
                  </w:r>
                  <w:hyperlink r:id="rId87">
                    <w:r w:rsidRPr="00702FF7">
                      <w:rPr>
                        <w:color w:val="0000FF"/>
                        <w:u w:val="single"/>
                        <w:lang w:val="es-ES_tradnl"/>
                      </w:rPr>
                      <w:t>CWG-SFP-4/DT/2(Rev.3)</w:t>
                    </w:r>
                  </w:hyperlink>
                  <w:r w:rsidRPr="00702FF7">
                    <w:rPr>
                      <w:lang w:val="es-ES_tradnl"/>
                    </w:rPr>
                    <w:t>, RAG/74 (Federación de</w:t>
                  </w:r>
                  <w:r w:rsidR="00836B17" w:rsidRPr="00702FF7">
                    <w:rPr>
                      <w:lang w:val="es-ES_tradnl"/>
                    </w:rPr>
                    <w:t> </w:t>
                  </w:r>
                  <w:r w:rsidRPr="00702FF7">
                    <w:rPr>
                      <w:lang w:val="es-ES_tradnl"/>
                    </w:rPr>
                    <w:t>Rusia)</w:t>
                  </w:r>
                </w:p>
              </w:tc>
            </w:tr>
          </w:tbl>
          <w:p w14:paraId="02F76F78" w14:textId="77777777" w:rsidR="00AE3B0C" w:rsidRPr="00702FF7" w:rsidRDefault="00AE3B0C" w:rsidP="00C949E6">
            <w:pPr>
              <w:pStyle w:val="Source"/>
              <w:rPr>
                <w:lang w:val="es-ES_tradnl"/>
              </w:rPr>
            </w:pPr>
          </w:p>
        </w:tc>
      </w:tr>
    </w:tbl>
    <w:p w14:paraId="53FB2EA3" w14:textId="77777777" w:rsidR="00AE3B0C" w:rsidRPr="00702FF7" w:rsidRDefault="00AE3B0C" w:rsidP="00AE3B0C">
      <w:pPr>
        <w:overflowPunct/>
        <w:autoSpaceDE/>
        <w:autoSpaceDN/>
        <w:adjustRightInd/>
        <w:spacing w:before="0"/>
        <w:textAlignment w:val="auto"/>
        <w:rPr>
          <w:lang w:val="es-ES_tradnl"/>
        </w:rPr>
      </w:pPr>
      <w:r w:rsidRPr="00702FF7">
        <w:rPr>
          <w:lang w:val="es-ES_tradnl"/>
        </w:rPr>
        <w:br w:type="page"/>
      </w:r>
    </w:p>
    <w:p w14:paraId="663905E5" w14:textId="2C690EA4" w:rsidR="00AE3B0C" w:rsidRPr="00702FF7" w:rsidRDefault="00836B17" w:rsidP="00836B17">
      <w:pPr>
        <w:pStyle w:val="Heading1"/>
        <w:rPr>
          <w:lang w:val="es-ES_tradnl"/>
        </w:rPr>
      </w:pPr>
      <w:r w:rsidRPr="00702FF7">
        <w:rPr>
          <w:lang w:val="es-ES_tradnl"/>
        </w:rPr>
        <w:lastRenderedPageBreak/>
        <w:t>1</w:t>
      </w:r>
      <w:r w:rsidRPr="00702FF7">
        <w:rPr>
          <w:lang w:val="es-ES_tradnl"/>
        </w:rPr>
        <w:tab/>
      </w:r>
      <w:r w:rsidR="00AE3B0C" w:rsidRPr="00702FF7">
        <w:rPr>
          <w:lang w:val="es-ES_tradnl"/>
        </w:rPr>
        <w:t xml:space="preserve">Antecedentes </w:t>
      </w:r>
    </w:p>
    <w:p w14:paraId="34A40480" w14:textId="0DC85C31" w:rsidR="00AE3B0C" w:rsidRPr="00702FF7" w:rsidRDefault="00AE3B0C" w:rsidP="00836B17">
      <w:pPr>
        <w:rPr>
          <w:lang w:val="es-ES_tradnl"/>
        </w:rPr>
      </w:pPr>
      <w:bookmarkStart w:id="8" w:name="_Hlk221029535"/>
      <w:r w:rsidRPr="00702FF7">
        <w:rPr>
          <w:lang w:val="es-ES_tradnl"/>
        </w:rPr>
        <w:t xml:space="preserve">El GAR envió al GTC-PEF el </w:t>
      </w:r>
      <w:hyperlink r:id="rId88" w:history="1">
        <w:r w:rsidRPr="00533FD9">
          <w:rPr>
            <w:rStyle w:val="Hyperlink"/>
            <w:lang w:val="es-ES_tradnl"/>
          </w:rPr>
          <w:t xml:space="preserve">Documento </w:t>
        </w:r>
        <w:r w:rsidRPr="00533FD9">
          <w:rPr>
            <w:rStyle w:val="Hyperlink"/>
            <w:rFonts w:asciiTheme="minorHAnsi" w:hAnsiTheme="minorHAnsi" w:cstheme="minorHAnsi"/>
            <w:bCs/>
            <w:szCs w:val="24"/>
            <w:lang w:val="es-ES_tradnl"/>
          </w:rPr>
          <w:t>CWG-SFP-4/6</w:t>
        </w:r>
      </w:hyperlink>
      <w:r w:rsidRPr="00702FF7">
        <w:rPr>
          <w:lang w:val="es-ES_tradnl"/>
        </w:rPr>
        <w:t xml:space="preserve"> (GAR) «Declaración de coordinación al Grupo de Trabajo del Consejo sobre los Planes Estratégico y Financiero para 2028-2031», que contenía las aportaciones del GAR al Plan Estratégico de la UIT para 2028-2031.</w:t>
      </w:r>
      <w:r w:rsidR="003D461A" w:rsidRPr="00702FF7">
        <w:rPr>
          <w:lang w:val="es-ES_tradnl"/>
        </w:rPr>
        <w:t xml:space="preserve"> </w:t>
      </w:r>
    </w:p>
    <w:p w14:paraId="134D61F8" w14:textId="33DD8E98" w:rsidR="00AE3B0C" w:rsidRPr="00702FF7" w:rsidRDefault="00AE3B0C" w:rsidP="00836B17">
      <w:pPr>
        <w:rPr>
          <w:i/>
          <w:iCs/>
          <w:lang w:val="es-ES_tradnl"/>
        </w:rPr>
      </w:pPr>
      <w:r w:rsidRPr="00702FF7">
        <w:rPr>
          <w:lang w:val="es-ES_tradnl"/>
        </w:rPr>
        <w:t xml:space="preserve">En el </w:t>
      </w:r>
      <w:hyperlink r:id="rId89" w:history="1">
        <w:r w:rsidRPr="00533FD9">
          <w:rPr>
            <w:rStyle w:val="Hyperlink"/>
            <w:lang w:val="es-ES_tradnl"/>
          </w:rPr>
          <w:t xml:space="preserve">Documento </w:t>
        </w:r>
        <w:r w:rsidRPr="00533FD9">
          <w:rPr>
            <w:rStyle w:val="Hyperlink"/>
            <w:rFonts w:asciiTheme="minorHAnsi" w:hAnsiTheme="minorHAnsi" w:cstheme="minorHAnsi"/>
            <w:szCs w:val="24"/>
            <w:lang w:val="es-ES_tradnl"/>
          </w:rPr>
          <w:t>RAG/55</w:t>
        </w:r>
        <w:r w:rsidRPr="00533FD9">
          <w:rPr>
            <w:lang w:val="es-ES_tradnl"/>
          </w:rPr>
          <w:t>,</w:t>
        </w:r>
      </w:hyperlink>
      <w:r w:rsidRPr="00702FF7">
        <w:rPr>
          <w:lang w:val="es-ES_tradnl"/>
        </w:rPr>
        <w:t xml:space="preserve"> «Declaración de coordinación sobre los resultados de la cuarta reunión», se recogían las modificaciones al proyecto de Anexo 1 a la Resolución 71, relativo al Plan Estratégico de la Unión para 2028-2031, que se habían acordado durante la cuarta reunión del GTC-PEF (véase el </w:t>
      </w:r>
      <w:hyperlink r:id="rId90" w:history="1">
        <w:r w:rsidRPr="00AF3998">
          <w:rPr>
            <w:rStyle w:val="Hyperlink"/>
            <w:lang w:val="es-ES_tradnl"/>
          </w:rPr>
          <w:t>Documento CWG-SFP-4/DT/2(Rev.3)</w:t>
        </w:r>
      </w:hyperlink>
      <w:r w:rsidRPr="00533FD9">
        <w:rPr>
          <w:lang w:val="es-ES_tradnl"/>
        </w:rPr>
        <w:t>). El GTC</w:t>
      </w:r>
      <w:r w:rsidR="00AF3998">
        <w:rPr>
          <w:lang w:val="es-ES_tradnl"/>
        </w:rPr>
        <w:t>-</w:t>
      </w:r>
      <w:r w:rsidRPr="00702FF7">
        <w:rPr>
          <w:lang w:val="es-ES_tradnl"/>
        </w:rPr>
        <w:t xml:space="preserve">PEF invitó al </w:t>
      </w:r>
      <w:r w:rsidRPr="00702FF7">
        <w:rPr>
          <w:b/>
          <w:bCs/>
          <w:lang w:val="es-ES_tradnl"/>
        </w:rPr>
        <w:t>GAR a formular observaciones al respecto antes del 31 de marzo de 2026</w:t>
      </w:r>
      <w:r w:rsidRPr="00702FF7">
        <w:rPr>
          <w:lang w:val="es-ES_tradnl"/>
        </w:rPr>
        <w:t>.</w:t>
      </w:r>
    </w:p>
    <w:bookmarkEnd w:id="8"/>
    <w:p w14:paraId="1AB414CD" w14:textId="77777777" w:rsidR="00AE3B0C" w:rsidRPr="00702FF7" w:rsidRDefault="00AE3B0C" w:rsidP="00836B17">
      <w:pPr>
        <w:rPr>
          <w:lang w:val="es-ES_tradnl"/>
        </w:rPr>
      </w:pPr>
      <w:r w:rsidRPr="00702FF7">
        <w:rPr>
          <w:lang w:val="es-ES_tradnl"/>
        </w:rPr>
        <w:t>El GAR desea transmitir al GTC-PEF la siguiente respuesta a la declaración de coordinación antes mencionada.</w:t>
      </w:r>
    </w:p>
    <w:p w14:paraId="469B59ED" w14:textId="29F70232" w:rsidR="00AE3B0C" w:rsidRPr="00702FF7" w:rsidRDefault="00836B17" w:rsidP="00836B17">
      <w:pPr>
        <w:pStyle w:val="Heading1"/>
        <w:rPr>
          <w:lang w:val="es-ES_tradnl"/>
        </w:rPr>
      </w:pPr>
      <w:r w:rsidRPr="00702FF7">
        <w:rPr>
          <w:lang w:val="es-ES_tradnl"/>
        </w:rPr>
        <w:t>2</w:t>
      </w:r>
      <w:r w:rsidRPr="00702FF7">
        <w:rPr>
          <w:lang w:val="es-ES_tradnl"/>
        </w:rPr>
        <w:tab/>
      </w:r>
      <w:r w:rsidR="00AE3B0C" w:rsidRPr="00702FF7">
        <w:rPr>
          <w:lang w:val="es-ES_tradnl"/>
        </w:rPr>
        <w:t>Finalidades</w:t>
      </w:r>
    </w:p>
    <w:p w14:paraId="30EDF67B" w14:textId="601FD18A" w:rsidR="00AE3B0C" w:rsidRPr="00702FF7" w:rsidRDefault="00AE3B0C" w:rsidP="00836B17">
      <w:pPr>
        <w:spacing w:after="120"/>
        <w:rPr>
          <w:b/>
          <w:bCs/>
          <w:lang w:val="es-ES_tradnl"/>
        </w:rPr>
      </w:pPr>
      <w:r w:rsidRPr="00702FF7">
        <w:rPr>
          <w:lang w:val="es-ES_tradnl"/>
        </w:rPr>
        <w:t xml:space="preserve">Partiendo del proyecto de Anexo 1 a la Resolución 71, relativo al Plan Estratégico de la Unión para 2028-2031, el GTC-PEF propone las siguientes modificaciones a las finalidades: </w:t>
      </w:r>
    </w:p>
    <w:tbl>
      <w:tblPr>
        <w:tblW w:w="5413"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5863"/>
      </w:tblGrid>
      <w:tr w:rsidR="00AE3B0C" w:rsidRPr="00702FF7" w14:paraId="3632664E" w14:textId="77777777" w:rsidTr="001370DC">
        <w:tc>
          <w:tcPr>
            <w:tcW w:w="4561" w:type="dxa"/>
            <w:shd w:val="clear" w:color="auto" w:fill="9CC2E5"/>
            <w:vAlign w:val="center"/>
          </w:tcPr>
          <w:p w14:paraId="3415A660" w14:textId="77777777" w:rsidR="00AE3B0C" w:rsidRPr="00702FF7" w:rsidRDefault="00AE3B0C" w:rsidP="00836B17">
            <w:pPr>
              <w:pStyle w:val="Tablehead"/>
              <w:rPr>
                <w:rFonts w:eastAsia="SimSun"/>
                <w:sz w:val="22"/>
                <w:szCs w:val="24"/>
                <w:lang w:val="es-ES_tradnl"/>
              </w:rPr>
            </w:pPr>
            <w:r w:rsidRPr="00702FF7">
              <w:rPr>
                <w:rFonts w:eastAsia="SimSun"/>
                <w:sz w:val="22"/>
                <w:szCs w:val="24"/>
                <w:lang w:val="es-ES_tradnl"/>
              </w:rPr>
              <w:t>Finalidades vinculadas a la Meta 1: Conectividad universal – para 2031:</w:t>
            </w:r>
          </w:p>
        </w:tc>
        <w:tc>
          <w:tcPr>
            <w:tcW w:w="5863" w:type="dxa"/>
            <w:shd w:val="clear" w:color="auto" w:fill="9CC2E5"/>
            <w:vAlign w:val="center"/>
          </w:tcPr>
          <w:p w14:paraId="3D9C749C" w14:textId="77777777" w:rsidR="00AE3B0C" w:rsidRPr="00702FF7" w:rsidRDefault="00AE3B0C" w:rsidP="00836B17">
            <w:pPr>
              <w:pStyle w:val="Tablehead"/>
              <w:rPr>
                <w:rFonts w:eastAsia="SimSun"/>
                <w:sz w:val="22"/>
                <w:szCs w:val="24"/>
                <w:lang w:val="es-ES_tradnl"/>
              </w:rPr>
            </w:pPr>
            <w:r w:rsidRPr="00702FF7">
              <w:rPr>
                <w:rFonts w:eastAsia="SimSun"/>
                <w:sz w:val="22"/>
                <w:szCs w:val="24"/>
                <w:lang w:val="es-ES_tradnl"/>
              </w:rPr>
              <w:t>Descripción de las modificaciones</w:t>
            </w:r>
          </w:p>
        </w:tc>
      </w:tr>
      <w:tr w:rsidR="00AE3B0C" w:rsidRPr="00B33A8D" w14:paraId="2946BDFA" w14:textId="77777777" w:rsidTr="001370DC">
        <w:tc>
          <w:tcPr>
            <w:tcW w:w="4561" w:type="dxa"/>
            <w:shd w:val="clear" w:color="auto" w:fill="FFFFFF" w:themeFill="background1"/>
          </w:tcPr>
          <w:p w14:paraId="468B8BD0" w14:textId="77777777" w:rsidR="00AE3B0C" w:rsidRPr="00702FF7" w:rsidRDefault="00AE3B0C" w:rsidP="00836B17">
            <w:pPr>
              <w:pStyle w:val="Tabletext"/>
              <w:rPr>
                <w:rFonts w:eastAsia="SimSun"/>
                <w:lang w:val="es-ES_tradnl"/>
              </w:rPr>
            </w:pPr>
            <w:r w:rsidRPr="00702FF7">
              <w:rPr>
                <w:rFonts w:eastAsia="SimSun"/>
                <w:lang w:val="es-ES_tradnl"/>
              </w:rPr>
              <w:t>1.6: Prevención de interferencias perjudiciales</w:t>
            </w:r>
          </w:p>
        </w:tc>
        <w:tc>
          <w:tcPr>
            <w:tcW w:w="5863" w:type="dxa"/>
            <w:shd w:val="clear" w:color="auto" w:fill="FFFFFF" w:themeFill="background1"/>
          </w:tcPr>
          <w:p w14:paraId="727F7D5B" w14:textId="77777777" w:rsidR="00AE3B0C" w:rsidRPr="00702FF7" w:rsidRDefault="00AE3B0C" w:rsidP="00836B17">
            <w:pPr>
              <w:pStyle w:val="Tabletext"/>
              <w:rPr>
                <w:rFonts w:eastAsia="SimSun"/>
                <w:lang w:val="es-ES_tradnl"/>
              </w:rPr>
            </w:pPr>
            <w:r w:rsidRPr="00702FF7">
              <w:rPr>
                <w:rFonts w:eastAsia="SimSun"/>
                <w:lang w:val="es-ES_tradnl"/>
              </w:rPr>
              <w:t>Propuesta de elevar el resultado «Prevención de interferencias perjudiciales» a la categoría de finalidad.</w:t>
            </w:r>
          </w:p>
          <w:p w14:paraId="1FF90140" w14:textId="77777777" w:rsidR="00AE3B0C" w:rsidRPr="00702FF7" w:rsidRDefault="00AE3B0C" w:rsidP="00836B17">
            <w:pPr>
              <w:pStyle w:val="Tabletext"/>
              <w:rPr>
                <w:rFonts w:eastAsia="SimSun"/>
                <w:lang w:val="es-ES_tradnl"/>
              </w:rPr>
            </w:pPr>
            <w:r w:rsidRPr="00702FF7">
              <w:rPr>
                <w:rFonts w:eastAsia="SimSun"/>
                <w:lang w:val="es-ES_tradnl"/>
              </w:rPr>
              <w:t>En su contribución al GTC-PEF, el GAR había propuesto los siguientes indicadores nuevos para este resultado:</w:t>
            </w:r>
          </w:p>
          <w:p w14:paraId="2EB1AB06" w14:textId="140983CE" w:rsidR="00AE3B0C" w:rsidRPr="00702FF7" w:rsidRDefault="00836B17" w:rsidP="00836B17">
            <w:pPr>
              <w:pStyle w:val="Tabletext"/>
              <w:ind w:left="284" w:hanging="284"/>
              <w:rPr>
                <w:rFonts w:eastAsia="SimSun"/>
                <w:lang w:val="es-ES_tradnl"/>
              </w:rPr>
            </w:pPr>
            <w:r w:rsidRPr="00702FF7">
              <w:rPr>
                <w:rFonts w:eastAsia="SimSun"/>
                <w:lang w:val="es-ES_tradnl"/>
              </w:rPr>
              <w:t>–</w:t>
            </w:r>
            <w:r w:rsidRPr="00702FF7">
              <w:rPr>
                <w:rFonts w:eastAsia="SimSun"/>
                <w:lang w:val="es-ES_tradnl"/>
              </w:rPr>
              <w:tab/>
            </w:r>
            <w:r w:rsidR="00AE3B0C" w:rsidRPr="00702FF7">
              <w:rPr>
                <w:rFonts w:eastAsia="SimSun"/>
                <w:lang w:val="es-ES_tradnl"/>
              </w:rPr>
              <w:t>Número de casos de interferencia perjudicial (a asignaciones de frecuencias de servicios espaciales) comunicados a la BR en un año del periodo sobre el que se informa.</w:t>
            </w:r>
          </w:p>
          <w:p w14:paraId="70FAD68D" w14:textId="7342CBA4" w:rsidR="00AE3B0C" w:rsidRPr="00702FF7" w:rsidRDefault="00836B17" w:rsidP="00836B17">
            <w:pPr>
              <w:pStyle w:val="Tabletext"/>
              <w:ind w:left="284" w:hanging="284"/>
              <w:rPr>
                <w:rFonts w:eastAsia="SimSun"/>
                <w:lang w:val="es-ES_tradnl"/>
              </w:rPr>
            </w:pPr>
            <w:r w:rsidRPr="00702FF7">
              <w:rPr>
                <w:rFonts w:eastAsia="SimSun"/>
                <w:lang w:val="es-ES_tradnl"/>
              </w:rPr>
              <w:t>–</w:t>
            </w:r>
            <w:r w:rsidRPr="00702FF7">
              <w:rPr>
                <w:rFonts w:eastAsia="SimSun"/>
                <w:lang w:val="es-ES_tradnl"/>
              </w:rPr>
              <w:tab/>
            </w:r>
            <w:r w:rsidR="00AE3B0C" w:rsidRPr="00702FF7">
              <w:rPr>
                <w:rFonts w:eastAsia="SimSun"/>
                <w:lang w:val="es-ES_tradnl"/>
              </w:rPr>
              <w:t>Número de casos de interferencia perjudicial (a asignaciones de frecuencias de servicios espaciales) comunicados a la BR que están pendientes de resolución.</w:t>
            </w:r>
          </w:p>
          <w:p w14:paraId="6205C31A" w14:textId="648B46CA" w:rsidR="00AE3B0C" w:rsidRPr="00702FF7" w:rsidRDefault="00836B17" w:rsidP="00836B17">
            <w:pPr>
              <w:pStyle w:val="Tabletext"/>
              <w:ind w:left="284" w:hanging="284"/>
              <w:rPr>
                <w:rFonts w:eastAsia="SimSun"/>
                <w:lang w:val="es-ES_tradnl"/>
              </w:rPr>
            </w:pPr>
            <w:r w:rsidRPr="00702FF7">
              <w:rPr>
                <w:rFonts w:eastAsia="SimSun"/>
                <w:lang w:val="es-ES_tradnl"/>
              </w:rPr>
              <w:t>–</w:t>
            </w:r>
            <w:r w:rsidRPr="00702FF7">
              <w:rPr>
                <w:rFonts w:eastAsia="SimSun"/>
                <w:lang w:val="es-ES_tradnl"/>
              </w:rPr>
              <w:tab/>
            </w:r>
            <w:r w:rsidR="00AE3B0C" w:rsidRPr="00702FF7">
              <w:rPr>
                <w:rFonts w:eastAsia="SimSun"/>
                <w:lang w:val="es-ES_tradnl"/>
              </w:rPr>
              <w:t>Número de casos de interferencia perjudicial (a asignaciones de frecuencias de servicios terrenales) comunicados a la BR en un año del periodo sobre el que se informa.</w:t>
            </w:r>
          </w:p>
          <w:p w14:paraId="21C1F7A8" w14:textId="1EFE62F5" w:rsidR="00AE3B0C" w:rsidRPr="00702FF7" w:rsidRDefault="00836B17" w:rsidP="00836B17">
            <w:pPr>
              <w:pStyle w:val="Tabletext"/>
              <w:ind w:left="284" w:hanging="284"/>
              <w:rPr>
                <w:rFonts w:eastAsia="SimSun"/>
                <w:lang w:val="es-ES_tradnl"/>
              </w:rPr>
            </w:pPr>
            <w:r w:rsidRPr="00702FF7">
              <w:rPr>
                <w:rFonts w:eastAsia="SimSun"/>
                <w:lang w:val="es-ES_tradnl"/>
              </w:rPr>
              <w:t>–</w:t>
            </w:r>
            <w:r w:rsidRPr="00702FF7">
              <w:rPr>
                <w:rFonts w:eastAsia="SimSun"/>
                <w:lang w:val="es-ES_tradnl"/>
              </w:rPr>
              <w:tab/>
            </w:r>
            <w:r w:rsidR="00AE3B0C" w:rsidRPr="00702FF7">
              <w:rPr>
                <w:rFonts w:eastAsia="SimSun"/>
                <w:lang w:val="es-ES_tradnl"/>
              </w:rPr>
              <w:t>Número de casos de interferencia perjudicial (a asignaciones de frecuencias de servicios terrenales) comunicados a la BR que están pendientes de resolución.</w:t>
            </w:r>
          </w:p>
        </w:tc>
      </w:tr>
      <w:tr w:rsidR="00AE3B0C" w:rsidRPr="00702FF7" w14:paraId="7F51F269" w14:textId="77777777" w:rsidTr="001370DC">
        <w:tc>
          <w:tcPr>
            <w:tcW w:w="4561" w:type="dxa"/>
            <w:shd w:val="clear" w:color="auto" w:fill="9CC2E5"/>
          </w:tcPr>
          <w:p w14:paraId="19F2E069" w14:textId="77777777" w:rsidR="00AE3B0C" w:rsidRPr="00702FF7" w:rsidRDefault="00AE3B0C" w:rsidP="001370DC">
            <w:pPr>
              <w:pStyle w:val="Tablehead"/>
              <w:keepLines/>
              <w:rPr>
                <w:rFonts w:eastAsia="SimSun"/>
                <w:sz w:val="22"/>
                <w:szCs w:val="24"/>
                <w:lang w:val="es-ES_tradnl"/>
              </w:rPr>
            </w:pPr>
            <w:r w:rsidRPr="00702FF7">
              <w:rPr>
                <w:rFonts w:eastAsia="SimSun"/>
                <w:sz w:val="22"/>
                <w:szCs w:val="24"/>
                <w:lang w:val="es-ES_tradnl"/>
              </w:rPr>
              <w:lastRenderedPageBreak/>
              <w:t>Finalidades vinculadas a la Meta 2: Transformación digital sostenible – para 2031:</w:t>
            </w:r>
          </w:p>
        </w:tc>
        <w:tc>
          <w:tcPr>
            <w:tcW w:w="5863" w:type="dxa"/>
            <w:shd w:val="clear" w:color="auto" w:fill="9CC2E5"/>
          </w:tcPr>
          <w:p w14:paraId="1597E5A7" w14:textId="77777777" w:rsidR="00AE3B0C" w:rsidRPr="00702FF7" w:rsidRDefault="00AE3B0C" w:rsidP="001370DC">
            <w:pPr>
              <w:pStyle w:val="Tablehead"/>
              <w:keepLines/>
              <w:rPr>
                <w:rFonts w:eastAsia="SimSun"/>
                <w:sz w:val="22"/>
                <w:szCs w:val="24"/>
                <w:lang w:val="es-ES_tradnl"/>
              </w:rPr>
            </w:pPr>
            <w:r w:rsidRPr="00702FF7">
              <w:rPr>
                <w:rFonts w:eastAsia="SimSun"/>
                <w:sz w:val="22"/>
                <w:szCs w:val="24"/>
                <w:lang w:val="es-ES_tradnl"/>
              </w:rPr>
              <w:t>Descripción de las modificaciones</w:t>
            </w:r>
          </w:p>
        </w:tc>
      </w:tr>
      <w:tr w:rsidR="00AE3B0C" w:rsidRPr="00B33A8D" w14:paraId="4C0FAAE3" w14:textId="77777777" w:rsidTr="001370DC">
        <w:tc>
          <w:tcPr>
            <w:tcW w:w="4561" w:type="dxa"/>
          </w:tcPr>
          <w:p w14:paraId="05CD8F93" w14:textId="77777777" w:rsidR="00AE3B0C" w:rsidRPr="00702FF7" w:rsidRDefault="00AE3B0C" w:rsidP="001370DC">
            <w:pPr>
              <w:pStyle w:val="Tabletext"/>
              <w:keepNext/>
              <w:keepLines/>
              <w:rPr>
                <w:lang w:val="es-ES_tradnl"/>
              </w:rPr>
            </w:pPr>
            <w:r w:rsidRPr="00702FF7">
              <w:rPr>
                <w:lang w:val="es-ES_tradnl"/>
              </w:rPr>
              <w:t>2.7: Espacio para el desarrollo</w:t>
            </w:r>
          </w:p>
        </w:tc>
        <w:tc>
          <w:tcPr>
            <w:tcW w:w="5863" w:type="dxa"/>
          </w:tcPr>
          <w:p w14:paraId="3A099D65" w14:textId="77777777" w:rsidR="00AE3B0C" w:rsidRPr="00702FF7" w:rsidRDefault="00AE3B0C" w:rsidP="001370DC">
            <w:pPr>
              <w:pStyle w:val="Tabletext"/>
              <w:keepNext/>
              <w:keepLines/>
              <w:rPr>
                <w:lang w:val="es-ES_tradnl"/>
              </w:rPr>
            </w:pPr>
            <w:r w:rsidRPr="00702FF7">
              <w:rPr>
                <w:lang w:val="es-ES_tradnl"/>
              </w:rPr>
              <w:t>Indicadores conexos que se propone recopile la Oficina de Desarrollo de la UIT:</w:t>
            </w:r>
          </w:p>
          <w:p w14:paraId="1DE7FEDD" w14:textId="7B092548" w:rsidR="00AE3B0C" w:rsidRPr="00702FF7" w:rsidRDefault="001370DC" w:rsidP="001370DC">
            <w:pPr>
              <w:pStyle w:val="Tabletext"/>
              <w:keepNext/>
              <w:keepLines/>
              <w:rPr>
                <w:rFonts w:eastAsia="SimSun"/>
                <w:lang w:val="es-ES_tradnl"/>
              </w:rPr>
            </w:pPr>
            <w:r w:rsidRPr="00702FF7">
              <w:rPr>
                <w:rFonts w:eastAsia="SimSun"/>
                <w:lang w:val="es-ES_tradnl"/>
              </w:rPr>
              <w:t>–</w:t>
            </w:r>
            <w:r w:rsidRPr="00702FF7">
              <w:rPr>
                <w:rFonts w:eastAsia="SimSun"/>
                <w:lang w:val="es-ES_tradnl"/>
              </w:rPr>
              <w:tab/>
            </w:r>
            <w:r w:rsidR="00AE3B0C" w:rsidRPr="00702FF7">
              <w:rPr>
                <w:rFonts w:eastAsia="SimSun"/>
                <w:lang w:val="es-ES_tradnl"/>
              </w:rPr>
              <w:t>Abonos a la banda ancha por satélite</w:t>
            </w:r>
            <w:r w:rsidR="00AE3B0C" w:rsidRPr="00702FF7">
              <w:rPr>
                <w:rStyle w:val="FootnoteReference"/>
                <w:rFonts w:eastAsia="SimSun"/>
                <w:lang w:val="es-ES_tradnl"/>
              </w:rPr>
              <w:footnoteReference w:id="1"/>
            </w:r>
          </w:p>
          <w:p w14:paraId="68292F96" w14:textId="32512ACF" w:rsidR="00AE3B0C" w:rsidRPr="00702FF7" w:rsidRDefault="001370DC" w:rsidP="001370DC">
            <w:pPr>
              <w:pStyle w:val="Tabletext"/>
              <w:keepNext/>
              <w:keepLines/>
              <w:ind w:left="284" w:hanging="284"/>
              <w:rPr>
                <w:rFonts w:eastAsia="SimSun"/>
                <w:lang w:val="es-ES_tradnl"/>
              </w:rPr>
            </w:pPr>
            <w:r w:rsidRPr="00702FF7">
              <w:rPr>
                <w:rFonts w:eastAsia="SimSun"/>
                <w:lang w:val="es-ES_tradnl"/>
              </w:rPr>
              <w:t>–</w:t>
            </w:r>
            <w:r w:rsidRPr="00702FF7">
              <w:rPr>
                <w:rFonts w:eastAsia="SimSun"/>
                <w:lang w:val="es-ES_tradnl"/>
              </w:rPr>
              <w:tab/>
            </w:r>
            <w:r w:rsidR="00AE3B0C" w:rsidRPr="00702FF7">
              <w:rPr>
                <w:rFonts w:eastAsia="SimSun"/>
                <w:lang w:val="es-ES_tradnl"/>
              </w:rPr>
              <w:t>[Países con asociaciones para la conexión de teléfonos móviles vía satélite, por situación (según datos de la Global mobile Suppliers Association)]</w:t>
            </w:r>
          </w:p>
          <w:p w14:paraId="0F137C64" w14:textId="77777777" w:rsidR="00AE3B0C" w:rsidRPr="00702FF7" w:rsidRDefault="00AE3B0C" w:rsidP="001370DC">
            <w:pPr>
              <w:pStyle w:val="Tabletext"/>
              <w:keepNext/>
              <w:keepLines/>
              <w:rPr>
                <w:rFonts w:eastAsia="SimSun"/>
                <w:lang w:val="es-ES_tradnl"/>
              </w:rPr>
            </w:pPr>
            <w:r w:rsidRPr="00702FF7">
              <w:rPr>
                <w:rFonts w:eastAsia="SimSun"/>
                <w:lang w:val="es-ES_tradnl"/>
              </w:rPr>
              <w:t xml:space="preserve">Se expresaron diversas opiniones con respecto a la inclusión del primer punto en este tema, puesto que la UIT debería mantener su neutralidad con respecto a los sistemas terrenales y espaciales. </w:t>
            </w:r>
          </w:p>
          <w:p w14:paraId="7997B535" w14:textId="40B4AFBA" w:rsidR="00AE3B0C" w:rsidRPr="00702FF7" w:rsidRDefault="00AE3B0C" w:rsidP="001370DC">
            <w:pPr>
              <w:pStyle w:val="Tabletext"/>
              <w:keepNext/>
              <w:keepLines/>
              <w:rPr>
                <w:rFonts w:eastAsia="SimSun"/>
                <w:lang w:val="es-ES_tradnl"/>
              </w:rPr>
            </w:pPr>
            <w:r w:rsidRPr="00702FF7">
              <w:rPr>
                <w:rFonts w:eastAsia="SimSun"/>
                <w:lang w:val="es-ES_tradnl"/>
              </w:rPr>
              <w:t>No se alcanzó un consenso en el seno del GAR en cuanto a la inclusión del segundo punto de los indicadores relativos al «Espacio para el desarrollo» en el Plan Estratégico, ya que la cuestión sigue siendo objeto de debate en el marco del punto</w:t>
            </w:r>
            <w:r w:rsidR="001370DC" w:rsidRPr="00702FF7">
              <w:rPr>
                <w:rFonts w:eastAsia="SimSun"/>
                <w:lang w:val="es-ES_tradnl"/>
              </w:rPr>
              <w:t> </w:t>
            </w:r>
            <w:r w:rsidRPr="00702FF7">
              <w:rPr>
                <w:rFonts w:eastAsia="SimSun"/>
                <w:lang w:val="es-ES_tradnl"/>
              </w:rPr>
              <w:t>1.13 del orden del día de la CMR-27.</w:t>
            </w:r>
          </w:p>
        </w:tc>
      </w:tr>
    </w:tbl>
    <w:p w14:paraId="11710486" w14:textId="02168A21" w:rsidR="00AE3B0C" w:rsidRPr="00702FF7" w:rsidRDefault="00421C8A" w:rsidP="00B23FC9">
      <w:pPr>
        <w:pStyle w:val="Heading1"/>
        <w:spacing w:before="360"/>
        <w:rPr>
          <w:lang w:val="es-ES_tradnl"/>
        </w:rPr>
      </w:pPr>
      <w:r>
        <w:rPr>
          <w:lang w:val="es-ES_tradnl"/>
        </w:rPr>
        <w:t>3</w:t>
      </w:r>
      <w:r w:rsidR="001370DC" w:rsidRPr="00702FF7">
        <w:rPr>
          <w:lang w:val="es-ES_tradnl"/>
        </w:rPr>
        <w:tab/>
      </w:r>
      <w:r w:rsidR="00AE3B0C" w:rsidRPr="00702FF7">
        <w:rPr>
          <w:lang w:val="es-ES_tradnl"/>
        </w:rPr>
        <w:t>Indicadores adicionales</w:t>
      </w:r>
    </w:p>
    <w:p w14:paraId="37C74F30" w14:textId="77777777" w:rsidR="00AE3B0C" w:rsidRPr="00702FF7" w:rsidRDefault="00AE3B0C" w:rsidP="001370DC">
      <w:pPr>
        <w:spacing w:after="120"/>
        <w:rPr>
          <w:lang w:val="es-ES_tradnl"/>
        </w:rPr>
      </w:pPr>
      <w:r w:rsidRPr="00702FF7">
        <w:rPr>
          <w:lang w:val="es-ES_tradnl"/>
        </w:rPr>
        <w:t>El GAR consideró que la adición de los indicadores de resultados que figuran a continuación podía resultar útil para el mantenimiento del Registro:</w:t>
      </w:r>
    </w:p>
    <w:tbl>
      <w:tblPr>
        <w:tblStyle w:val="TableGrid"/>
        <w:tblW w:w="0" w:type="auto"/>
        <w:tblLook w:val="04A0" w:firstRow="1" w:lastRow="0" w:firstColumn="1" w:lastColumn="0" w:noHBand="0" w:noVBand="1"/>
      </w:tblPr>
      <w:tblGrid>
        <w:gridCol w:w="5991"/>
        <w:gridCol w:w="3070"/>
      </w:tblGrid>
      <w:tr w:rsidR="00AE3B0C" w:rsidRPr="00B33A8D" w14:paraId="6506DE86" w14:textId="77777777" w:rsidTr="00C949E6">
        <w:tc>
          <w:tcPr>
            <w:tcW w:w="5991" w:type="dxa"/>
          </w:tcPr>
          <w:p w14:paraId="4C616082" w14:textId="3B2B90B4" w:rsidR="00AE3B0C" w:rsidRPr="00702FF7" w:rsidRDefault="001370DC" w:rsidP="001370DC">
            <w:pPr>
              <w:pStyle w:val="Tabletext"/>
              <w:ind w:left="284" w:hanging="284"/>
              <w:rPr>
                <w:lang w:val="es-ES_tradnl"/>
              </w:rPr>
            </w:pPr>
            <w:r w:rsidRPr="00702FF7">
              <w:rPr>
                <w:rFonts w:eastAsia="SimSun"/>
                <w:lang w:val="es-ES_tradnl"/>
              </w:rPr>
              <w:t>–</w:t>
            </w:r>
            <w:r w:rsidRPr="00702FF7">
              <w:rPr>
                <w:rFonts w:eastAsia="SimSun"/>
                <w:lang w:val="es-ES_tradnl"/>
              </w:rPr>
              <w:tab/>
            </w:r>
            <w:r w:rsidR="00AE3B0C" w:rsidRPr="00702FF7">
              <w:rPr>
                <w:lang w:val="es-ES_tradnl"/>
              </w:rPr>
              <w:t>Número de asignaciones de frecuencias cuyas conclusiones han sido objeto de revisión de conformidad con el número 11.50 del RR, con una periodicidad anual.</w:t>
            </w:r>
          </w:p>
          <w:p w14:paraId="4EC03BF5" w14:textId="515CADFD" w:rsidR="00AE3B0C" w:rsidRPr="00702FF7" w:rsidRDefault="001370DC" w:rsidP="001370DC">
            <w:pPr>
              <w:pStyle w:val="Tabletext"/>
              <w:ind w:left="284" w:hanging="284"/>
              <w:rPr>
                <w:lang w:val="es-ES_tradnl"/>
              </w:rPr>
            </w:pPr>
            <w:r w:rsidRPr="00702FF7">
              <w:rPr>
                <w:rFonts w:eastAsia="SimSun"/>
                <w:lang w:val="es-ES_tradnl"/>
              </w:rPr>
              <w:t>–</w:t>
            </w:r>
            <w:r w:rsidRPr="00702FF7">
              <w:rPr>
                <w:rFonts w:eastAsia="SimSun"/>
                <w:lang w:val="es-ES_tradnl"/>
              </w:rPr>
              <w:tab/>
            </w:r>
            <w:r w:rsidR="00AE3B0C" w:rsidRPr="00702FF7">
              <w:rPr>
                <w:lang w:val="es-ES_tradnl"/>
              </w:rPr>
              <w:t>Número de casos tratados por la BR en virtud del número 13.6 del RR, con una periodicidad anual.</w:t>
            </w:r>
          </w:p>
        </w:tc>
        <w:tc>
          <w:tcPr>
            <w:tcW w:w="3070" w:type="dxa"/>
          </w:tcPr>
          <w:p w14:paraId="3FC912F3" w14:textId="696C2ECE" w:rsidR="00AE3B0C" w:rsidRPr="00702FF7" w:rsidRDefault="00AE3B0C" w:rsidP="001370DC">
            <w:pPr>
              <w:pStyle w:val="Tabletext"/>
              <w:rPr>
                <w:lang w:val="es-ES_tradnl"/>
              </w:rPr>
            </w:pPr>
            <w:r w:rsidRPr="00702FF7">
              <w:rPr>
                <w:lang w:val="es-ES_tradnl"/>
              </w:rPr>
              <w:t>Registro Internacional de Frecuencias</w:t>
            </w:r>
            <w:r w:rsidR="003E32A4">
              <w:rPr>
                <w:lang w:val="es-ES_tradnl"/>
              </w:rPr>
              <w:t>.</w:t>
            </w:r>
          </w:p>
          <w:p w14:paraId="41D35F96" w14:textId="764C9689" w:rsidR="00AE3B0C" w:rsidRPr="00702FF7" w:rsidRDefault="00AE3B0C" w:rsidP="001370DC">
            <w:pPr>
              <w:pStyle w:val="Tabletext"/>
              <w:rPr>
                <w:lang w:val="es-ES_tradnl"/>
              </w:rPr>
            </w:pPr>
            <w:r w:rsidRPr="00702FF7">
              <w:rPr>
                <w:lang w:val="es-ES_tradnl"/>
              </w:rPr>
              <w:t>Notificaciones de la RRB/BR</w:t>
            </w:r>
            <w:r w:rsidR="003E32A4">
              <w:rPr>
                <w:lang w:val="es-ES_tradnl"/>
              </w:rPr>
              <w:t>.</w:t>
            </w:r>
          </w:p>
        </w:tc>
      </w:tr>
      <w:tr w:rsidR="00AE3B0C" w:rsidRPr="00B33A8D" w14:paraId="5B642E5F" w14:textId="77777777" w:rsidTr="00C949E6">
        <w:tc>
          <w:tcPr>
            <w:tcW w:w="5991" w:type="dxa"/>
          </w:tcPr>
          <w:p w14:paraId="53939D22" w14:textId="0D6C244E" w:rsidR="00AE3B0C" w:rsidRPr="00702FF7" w:rsidRDefault="001370DC" w:rsidP="001370DC">
            <w:pPr>
              <w:pStyle w:val="Tabletext"/>
              <w:ind w:left="284" w:hanging="284"/>
              <w:rPr>
                <w:lang w:val="es-ES_tradnl"/>
              </w:rPr>
            </w:pPr>
            <w:r w:rsidRPr="00702FF7">
              <w:rPr>
                <w:rFonts w:eastAsia="SimSun"/>
                <w:lang w:val="es-ES_tradnl"/>
              </w:rPr>
              <w:t>–</w:t>
            </w:r>
            <w:r w:rsidRPr="00702FF7">
              <w:rPr>
                <w:rFonts w:eastAsia="SimSun"/>
                <w:lang w:val="es-ES_tradnl"/>
              </w:rPr>
              <w:tab/>
            </w:r>
            <w:r w:rsidR="00AE3B0C" w:rsidRPr="00702FF7">
              <w:rPr>
                <w:lang w:val="es-ES_tradnl"/>
              </w:rPr>
              <w:t>Número de asignaciones de frecuencias cuyas conclusiones han sido objeto de revisión de conformidad con el número 11.50 del RR, con una periodicidad anual.</w:t>
            </w:r>
          </w:p>
          <w:p w14:paraId="6100151D" w14:textId="148AF56F" w:rsidR="00AE3B0C" w:rsidRPr="00702FF7" w:rsidRDefault="001370DC" w:rsidP="001370DC">
            <w:pPr>
              <w:pStyle w:val="Tabletext"/>
              <w:ind w:left="284" w:hanging="284"/>
              <w:rPr>
                <w:lang w:val="es-ES_tradnl"/>
              </w:rPr>
            </w:pPr>
            <w:r w:rsidRPr="00702FF7">
              <w:rPr>
                <w:rFonts w:eastAsia="SimSun"/>
                <w:lang w:val="es-ES_tradnl"/>
              </w:rPr>
              <w:t>–</w:t>
            </w:r>
            <w:r w:rsidRPr="00702FF7">
              <w:rPr>
                <w:rFonts w:eastAsia="SimSun"/>
                <w:lang w:val="es-ES_tradnl"/>
              </w:rPr>
              <w:tab/>
            </w:r>
            <w:r w:rsidR="00AE3B0C" w:rsidRPr="00702FF7">
              <w:rPr>
                <w:lang w:val="es-ES_tradnl"/>
              </w:rPr>
              <w:t>Número de casos tratados por la BR en virtud del número 13.6 del RR, con una periodicidad anual.</w:t>
            </w:r>
          </w:p>
        </w:tc>
        <w:tc>
          <w:tcPr>
            <w:tcW w:w="3070" w:type="dxa"/>
          </w:tcPr>
          <w:p w14:paraId="5B36EBB9" w14:textId="7886E0D4" w:rsidR="00AE3B0C" w:rsidRPr="00702FF7" w:rsidRDefault="00AE3B0C" w:rsidP="001370DC">
            <w:pPr>
              <w:pStyle w:val="Tabletext"/>
              <w:rPr>
                <w:lang w:val="es-ES_tradnl"/>
              </w:rPr>
            </w:pPr>
            <w:r w:rsidRPr="00702FF7">
              <w:rPr>
                <w:lang w:val="es-ES_tradnl"/>
              </w:rPr>
              <w:t>Registro Internacional de Frecuencias</w:t>
            </w:r>
            <w:r w:rsidR="003E32A4">
              <w:rPr>
                <w:lang w:val="es-ES_tradnl"/>
              </w:rPr>
              <w:t>.</w:t>
            </w:r>
          </w:p>
          <w:p w14:paraId="01F2D1B8" w14:textId="7337EFB7" w:rsidR="00AE3B0C" w:rsidRPr="00702FF7" w:rsidRDefault="00AE3B0C" w:rsidP="001370DC">
            <w:pPr>
              <w:pStyle w:val="Tabletext"/>
              <w:rPr>
                <w:lang w:val="es-ES_tradnl"/>
              </w:rPr>
            </w:pPr>
            <w:r w:rsidRPr="00702FF7">
              <w:rPr>
                <w:lang w:val="es-ES_tradnl"/>
              </w:rPr>
              <w:t>Notificaciones de la RRB/BR</w:t>
            </w:r>
            <w:r w:rsidR="003E32A4">
              <w:rPr>
                <w:lang w:val="es-ES_tradnl"/>
              </w:rPr>
              <w:t>.</w:t>
            </w:r>
          </w:p>
        </w:tc>
      </w:tr>
    </w:tbl>
    <w:p w14:paraId="076B2C7B" w14:textId="3A3775A2" w:rsidR="00AE3B0C" w:rsidRPr="00702FF7" w:rsidRDefault="00421C8A" w:rsidP="00B23FC9">
      <w:pPr>
        <w:pStyle w:val="Heading1"/>
        <w:spacing w:before="360"/>
        <w:rPr>
          <w:rFonts w:asciiTheme="minorHAnsi" w:hAnsiTheme="minorHAnsi" w:cstheme="minorBidi"/>
          <w:b w:val="0"/>
          <w:bCs/>
          <w:lang w:val="es-ES_tradnl"/>
        </w:rPr>
      </w:pPr>
      <w:r>
        <w:rPr>
          <w:lang w:val="es-ES_tradnl"/>
        </w:rPr>
        <w:t>4</w:t>
      </w:r>
      <w:r w:rsidR="001370DC" w:rsidRPr="00702FF7">
        <w:rPr>
          <w:lang w:val="es-ES_tradnl"/>
        </w:rPr>
        <w:tab/>
      </w:r>
      <w:r w:rsidR="00AE3B0C" w:rsidRPr="00702FF7">
        <w:rPr>
          <w:lang w:val="es-ES_tradnl"/>
        </w:rPr>
        <w:t>Armonización</w:t>
      </w:r>
      <w:r w:rsidR="00AE3B0C" w:rsidRPr="00702FF7">
        <w:rPr>
          <w:rFonts w:asciiTheme="minorHAnsi" w:hAnsiTheme="minorHAnsi" w:cstheme="minorBidi"/>
          <w:bCs/>
          <w:lang w:val="es-ES_tradnl"/>
        </w:rPr>
        <w:t xml:space="preserve"> de los Documentos </w:t>
      </w:r>
      <w:hyperlink r:id="rId91">
        <w:r w:rsidR="00AE3B0C" w:rsidRPr="00702FF7">
          <w:rPr>
            <w:rFonts w:asciiTheme="minorHAnsi" w:hAnsiTheme="minorHAnsi" w:cstheme="minorBidi"/>
            <w:bCs/>
            <w:color w:val="0000FF"/>
            <w:u w:val="single"/>
            <w:lang w:val="es-ES_tradnl"/>
          </w:rPr>
          <w:t>CWG-SFP-4/DT/2(Rev.3)</w:t>
        </w:r>
      </w:hyperlink>
      <w:r w:rsidR="00AE3B0C" w:rsidRPr="00702FF7">
        <w:rPr>
          <w:rFonts w:asciiTheme="minorHAnsi" w:hAnsiTheme="minorHAnsi" w:cstheme="minorBidi"/>
          <w:bCs/>
          <w:lang w:val="es-ES_tradnl"/>
        </w:rPr>
        <w:t xml:space="preserve"> (GTC-PEF) y </w:t>
      </w:r>
      <w:hyperlink r:id="rId92">
        <w:r w:rsidR="00AE3B0C" w:rsidRPr="00702FF7">
          <w:rPr>
            <w:rStyle w:val="Hyperlink"/>
            <w:rFonts w:asciiTheme="minorHAnsi" w:hAnsiTheme="minorHAnsi" w:cstheme="minorBidi"/>
            <w:bCs/>
            <w:lang w:val="es-ES_tradnl"/>
          </w:rPr>
          <w:t>CWG-SFP-4/6</w:t>
        </w:r>
      </w:hyperlink>
      <w:r w:rsidR="00AE3B0C" w:rsidRPr="00702FF7">
        <w:rPr>
          <w:rFonts w:asciiTheme="minorHAnsi" w:hAnsiTheme="minorHAnsi" w:cstheme="minorBidi"/>
          <w:bCs/>
          <w:lang w:val="es-ES_tradnl"/>
        </w:rPr>
        <w:t xml:space="preserve"> (GAR)</w:t>
      </w:r>
    </w:p>
    <w:p w14:paraId="5A01A8B9" w14:textId="3DE42BB2" w:rsidR="00AE3B0C" w:rsidRPr="00702FF7" w:rsidRDefault="00AE3B0C" w:rsidP="00B23FC9">
      <w:pPr>
        <w:spacing w:before="120"/>
        <w:rPr>
          <w:lang w:val="es-ES_tradnl"/>
        </w:rPr>
      </w:pPr>
      <w:r w:rsidRPr="00702FF7">
        <w:rPr>
          <w:lang w:val="es-ES_tradnl"/>
        </w:rPr>
        <w:t xml:space="preserve">El GAR no había incluido el resultado </w:t>
      </w:r>
      <w:r w:rsidR="003D461A" w:rsidRPr="00702FF7">
        <w:rPr>
          <w:lang w:val="es-ES_tradnl"/>
        </w:rPr>
        <w:t>«</w:t>
      </w:r>
      <w:r w:rsidRPr="00702FF7">
        <w:rPr>
          <w:lang w:val="es-ES_tradnl"/>
        </w:rPr>
        <w:t>mayor utilización de los servicios de radiocomunicaciones</w:t>
      </w:r>
      <w:r w:rsidR="003D461A" w:rsidRPr="00702FF7">
        <w:rPr>
          <w:lang w:val="es-ES_tradnl"/>
        </w:rPr>
        <w:t xml:space="preserve">» </w:t>
      </w:r>
      <w:r w:rsidRPr="00702FF7">
        <w:rPr>
          <w:lang w:val="es-ES_tradnl"/>
        </w:rPr>
        <w:t>ni los indicadores de resultados conexos en su contribución al GTC-PEF. No obstante, cabe señalar que estos siguen figurando en el cuadro propuesto en el Apéndice A (marco de resultados de la UIT).</w:t>
      </w:r>
    </w:p>
    <w:p w14:paraId="491C8A89" w14:textId="77777777" w:rsidR="00B23FC9" w:rsidRPr="00702FF7" w:rsidRDefault="00AE3B0C" w:rsidP="00B23FC9">
      <w:pPr>
        <w:spacing w:before="120"/>
        <w:rPr>
          <w:rFonts w:asciiTheme="minorHAnsi" w:hAnsiTheme="minorHAnsi" w:cstheme="minorBidi"/>
          <w:lang w:val="es-ES_tradnl"/>
        </w:rPr>
      </w:pPr>
      <w:r w:rsidRPr="00702FF7">
        <w:rPr>
          <w:rFonts w:asciiTheme="minorHAnsi" w:hAnsiTheme="minorHAnsi" w:cstheme="minorBidi"/>
          <w:lang w:val="es-ES_tradnl"/>
        </w:rPr>
        <w:t xml:space="preserve">En su </w:t>
      </w:r>
      <w:r w:rsidRPr="00702FF7">
        <w:rPr>
          <w:lang w:val="es-ES_tradnl"/>
        </w:rPr>
        <w:t>contribución</w:t>
      </w:r>
      <w:r w:rsidRPr="00702FF7">
        <w:rPr>
          <w:rFonts w:asciiTheme="minorHAnsi" w:hAnsiTheme="minorHAnsi" w:cstheme="minorBidi"/>
          <w:lang w:val="es-ES_tradnl"/>
        </w:rPr>
        <w:t xml:space="preserve"> al GTC-PEF, el GAR había propuesto una serie de indicadores revisados para el </w:t>
      </w:r>
      <w:r w:rsidRPr="00702FF7">
        <w:rPr>
          <w:lang w:val="es-ES_tradnl"/>
        </w:rPr>
        <w:t>resultado</w:t>
      </w:r>
      <w:r w:rsidRPr="00702FF7">
        <w:rPr>
          <w:rFonts w:asciiTheme="minorHAnsi" w:hAnsiTheme="minorHAnsi" w:cstheme="minorBidi"/>
          <w:lang w:val="es-ES_tradnl"/>
        </w:rPr>
        <w:t xml:space="preserve"> </w:t>
      </w:r>
      <w:r w:rsidR="003D461A" w:rsidRPr="00702FF7">
        <w:rPr>
          <w:rFonts w:asciiTheme="minorHAnsi" w:hAnsiTheme="minorHAnsi" w:cstheme="minorBidi"/>
          <w:lang w:val="es-ES_tradnl"/>
        </w:rPr>
        <w:t>«</w:t>
      </w:r>
      <w:r w:rsidRPr="00702FF7">
        <w:rPr>
          <w:lang w:val="es-ES_tradnl"/>
        </w:rPr>
        <w:t>mejor</w:t>
      </w:r>
      <w:r w:rsidRPr="00702FF7">
        <w:rPr>
          <w:rFonts w:asciiTheme="minorHAnsi" w:hAnsiTheme="minorHAnsi" w:cstheme="minorBidi"/>
          <w:lang w:val="es-ES_tradnl"/>
        </w:rPr>
        <w:t xml:space="preserve"> </w:t>
      </w:r>
      <w:r w:rsidRPr="00702FF7">
        <w:rPr>
          <w:lang w:val="es-ES_tradnl"/>
        </w:rPr>
        <w:t>aplicación</w:t>
      </w:r>
      <w:r w:rsidRPr="00702FF7">
        <w:rPr>
          <w:rFonts w:asciiTheme="minorHAnsi" w:hAnsiTheme="minorHAnsi" w:cstheme="minorBidi"/>
          <w:lang w:val="es-ES_tradnl"/>
        </w:rPr>
        <w:t xml:space="preserve"> de las Recomendaciones UIT-R, incluidas las relativas a los modelos de propagación, utilizadas para la gestión eficiente del espectro, la compartición y la compatibilidad</w:t>
      </w:r>
      <w:r w:rsidR="003D461A" w:rsidRPr="00702FF7">
        <w:rPr>
          <w:rFonts w:asciiTheme="minorHAnsi" w:hAnsiTheme="minorHAnsi" w:cstheme="minorBidi"/>
          <w:lang w:val="es-ES_tradnl"/>
        </w:rPr>
        <w:t>»</w:t>
      </w:r>
      <w:r w:rsidRPr="00702FF7">
        <w:rPr>
          <w:rFonts w:asciiTheme="minorHAnsi" w:hAnsiTheme="minorHAnsi" w:cstheme="minorBidi"/>
          <w:lang w:val="es-ES_tradnl"/>
        </w:rPr>
        <w:t>. No obstante, cabe señalar que, en el cuadro del Apéndice A (marco de resultados de la UIT), se ha suprimido el resultado y los nuevos indicadores aparecen entre corchetes.</w:t>
      </w:r>
    </w:p>
    <w:p w14:paraId="0896587D" w14:textId="251538F9" w:rsidR="00AE3B0C" w:rsidRPr="00702FF7" w:rsidRDefault="00AE3B0C" w:rsidP="00B23FC9">
      <w:pPr>
        <w:spacing w:before="120"/>
        <w:rPr>
          <w:rFonts w:asciiTheme="minorHAnsi" w:hAnsiTheme="minorHAnsi" w:cstheme="minorBidi"/>
          <w:lang w:val="es-ES_tradnl"/>
        </w:rPr>
      </w:pPr>
      <w:r w:rsidRPr="00702FF7">
        <w:rPr>
          <w:rFonts w:asciiTheme="minorHAnsi" w:hAnsiTheme="minorHAnsi" w:cstheme="minorBidi"/>
          <w:lang w:val="es-ES_tradnl"/>
        </w:rPr>
        <w:t xml:space="preserve">El GAR propone </w:t>
      </w:r>
      <w:r w:rsidRPr="00702FF7">
        <w:rPr>
          <w:lang w:val="es-ES_tradnl"/>
        </w:rPr>
        <w:t>armonizar</w:t>
      </w:r>
      <w:r w:rsidRPr="00702FF7">
        <w:rPr>
          <w:rFonts w:asciiTheme="minorHAnsi" w:hAnsiTheme="minorHAnsi" w:cstheme="minorBidi"/>
          <w:lang w:val="es-ES_tradnl"/>
        </w:rPr>
        <w:t xml:space="preserve"> los Documentos </w:t>
      </w:r>
      <w:hyperlink r:id="rId93">
        <w:r w:rsidRPr="00702FF7">
          <w:rPr>
            <w:rFonts w:asciiTheme="minorHAnsi" w:hAnsiTheme="minorHAnsi" w:cstheme="minorBidi"/>
            <w:color w:val="0000FF"/>
            <w:u w:val="single"/>
            <w:lang w:val="es-ES_tradnl"/>
          </w:rPr>
          <w:t>CWG-SFP-4/DT/2(Rev.3)</w:t>
        </w:r>
      </w:hyperlink>
      <w:r w:rsidRPr="00702FF7">
        <w:rPr>
          <w:rFonts w:asciiTheme="minorHAnsi" w:hAnsiTheme="minorHAnsi" w:cstheme="minorBidi"/>
          <w:lang w:val="es-ES_tradnl"/>
        </w:rPr>
        <w:t xml:space="preserve"> (GTC-PEF) y </w:t>
      </w:r>
      <w:hyperlink r:id="rId94">
        <w:r w:rsidRPr="00702FF7">
          <w:rPr>
            <w:rStyle w:val="Hyperlink"/>
            <w:rFonts w:asciiTheme="minorHAnsi" w:hAnsiTheme="minorHAnsi" w:cstheme="minorBidi"/>
            <w:lang w:val="es-ES_tradnl"/>
          </w:rPr>
          <w:t>CWG-SFP-4/6</w:t>
        </w:r>
      </w:hyperlink>
      <w:r w:rsidRPr="00702FF7">
        <w:rPr>
          <w:rFonts w:asciiTheme="minorHAnsi" w:hAnsiTheme="minorHAnsi" w:cstheme="minorBidi"/>
          <w:lang w:val="es-ES_tradnl"/>
        </w:rPr>
        <w:t xml:space="preserve"> (GAR).</w:t>
      </w:r>
    </w:p>
    <w:p w14:paraId="05ABBBBC" w14:textId="77777777" w:rsidR="00AE3B0C" w:rsidRPr="00702FF7" w:rsidRDefault="00AE3B0C" w:rsidP="00B23FC9">
      <w:pPr>
        <w:pStyle w:val="AnnexNo"/>
        <w:rPr>
          <w:lang w:val="es-ES_tradnl"/>
        </w:rPr>
      </w:pPr>
      <w:r w:rsidRPr="00702FF7">
        <w:rPr>
          <w:lang w:val="es-ES_tradnl"/>
        </w:rPr>
        <w:lastRenderedPageBreak/>
        <w:t>ANEXO 3</w:t>
      </w:r>
    </w:p>
    <w:p w14:paraId="4C0AF337" w14:textId="2F0131CE" w:rsidR="00AE3B0C" w:rsidRPr="00702FF7" w:rsidRDefault="00AE3B0C" w:rsidP="00B23FC9">
      <w:pPr>
        <w:pStyle w:val="Annextitle"/>
        <w:rPr>
          <w:lang w:val="es-ES_tradnl" w:eastAsia="en-GB"/>
        </w:rPr>
      </w:pPr>
      <w:r w:rsidRPr="00702FF7">
        <w:rPr>
          <w:lang w:val="es-ES_tradnl" w:eastAsia="en-GB"/>
        </w:rPr>
        <w:t>Mandato del Grupo por Correspondencia del GAR sobre la mejora del proceso de la</w:t>
      </w:r>
      <w:r w:rsidR="00B23FC9" w:rsidRPr="00702FF7">
        <w:rPr>
          <w:lang w:val="es-ES_tradnl" w:eastAsia="en-GB"/>
        </w:rPr>
        <w:t> </w:t>
      </w:r>
      <w:r w:rsidRPr="00702FF7">
        <w:rPr>
          <w:lang w:val="es-ES_tradnl" w:eastAsia="en-GB"/>
        </w:rPr>
        <w:t>Reunión Preparatoria de la Conferencia (RPC)</w:t>
      </w:r>
    </w:p>
    <w:p w14:paraId="2853E614" w14:textId="391A0F6B" w:rsidR="00AE3B0C" w:rsidRPr="00702FF7" w:rsidRDefault="00AE3B0C" w:rsidP="00C3451F">
      <w:pPr>
        <w:spacing w:after="240"/>
        <w:rPr>
          <w:lang w:val="es-ES_tradnl" w:eastAsia="en-GB"/>
        </w:rPr>
      </w:pPr>
      <w:r w:rsidRPr="00702FF7">
        <w:rPr>
          <w:lang w:val="es-ES_tradnl" w:eastAsia="en-GB"/>
        </w:rPr>
        <w:t>Véase RAG/TEMP/12-Rev.2:</w:t>
      </w:r>
      <w:r w:rsidR="00B51417" w:rsidRPr="00702FF7">
        <w:rPr>
          <w:lang w:val="es-ES_tradnl" w:eastAsia="en-GB"/>
        </w:rPr>
        <w:t xml:space="preserve"> </w:t>
      </w:r>
      <w:hyperlink r:id="rId95" w:history="1">
        <w:r w:rsidR="00B51417" w:rsidRPr="00702FF7">
          <w:rPr>
            <w:rStyle w:val="Hyperlink"/>
            <w:rFonts w:asciiTheme="minorHAnsi" w:hAnsiTheme="minorHAnsi" w:cstheme="minorHAnsi"/>
            <w:szCs w:val="24"/>
            <w:lang w:val="es-ES_tradnl" w:eastAsia="en-GB"/>
          </w:rPr>
          <w:t>https://www.itu.int/md/R23-RAG-260330-TD-0012/es</w:t>
        </w:r>
      </w:hyperlink>
      <w:r w:rsidR="00C3451F" w:rsidRPr="00702FF7">
        <w:rPr>
          <w:lang w:val="es-ES_tradnl"/>
        </w:rPr>
        <w:t>.</w:t>
      </w:r>
      <w:r w:rsidRPr="00702FF7">
        <w:rPr>
          <w:lang w:val="es-ES_tradnl" w:eastAsia="en-GB"/>
        </w:rPr>
        <w:t xml:space="preserve"> </w:t>
      </w:r>
    </w:p>
    <w:tbl>
      <w:tblPr>
        <w:tblW w:w="9889" w:type="dxa"/>
        <w:tblLayout w:type="fixed"/>
        <w:tblLook w:val="0000" w:firstRow="0" w:lastRow="0" w:firstColumn="0" w:lastColumn="0" w:noHBand="0" w:noVBand="0"/>
      </w:tblPr>
      <w:tblGrid>
        <w:gridCol w:w="5954"/>
        <w:gridCol w:w="3935"/>
      </w:tblGrid>
      <w:tr w:rsidR="00AE3B0C" w:rsidRPr="00702FF7" w14:paraId="077A20A8" w14:textId="77777777" w:rsidTr="00C949E6">
        <w:trPr>
          <w:cantSplit/>
        </w:trPr>
        <w:tc>
          <w:tcPr>
            <w:tcW w:w="5954" w:type="dxa"/>
            <w:vAlign w:val="center"/>
          </w:tcPr>
          <w:p w14:paraId="2550446B" w14:textId="77777777" w:rsidR="00AE3B0C" w:rsidRPr="00702FF7" w:rsidRDefault="00AE3B0C" w:rsidP="00C3451F">
            <w:pPr>
              <w:shd w:val="solid" w:color="FFFFFF" w:fill="FFFFFF"/>
              <w:tabs>
                <w:tab w:val="left" w:pos="601"/>
              </w:tabs>
              <w:spacing w:before="100" w:beforeAutospacing="1" w:after="100" w:afterAutospacing="1"/>
              <w:rPr>
                <w:rFonts w:ascii="Verdana" w:hAnsi="Verdana" w:cs="Times New Roman Bold"/>
                <w:b/>
                <w:bCs/>
                <w:lang w:val="es-ES_tradnl"/>
              </w:rPr>
            </w:pPr>
            <w:r w:rsidRPr="00702FF7">
              <w:rPr>
                <w:rFonts w:ascii="Verdana" w:hAnsi="Verdana" w:cs="Times New Roman Bold"/>
                <w:b/>
                <w:sz w:val="26"/>
                <w:szCs w:val="26"/>
                <w:lang w:val="es-ES_tradnl"/>
              </w:rPr>
              <w:t>Grupo Asesor de Radiocomunicaciones</w:t>
            </w:r>
            <w:r w:rsidRPr="00702FF7">
              <w:rPr>
                <w:rFonts w:ascii="Verdana" w:hAnsi="Verdana" w:cs="Times New Roman Bold"/>
                <w:b/>
                <w:sz w:val="26"/>
                <w:szCs w:val="26"/>
                <w:lang w:val="es-ES_tradnl"/>
              </w:rPr>
              <w:br/>
            </w:r>
          </w:p>
        </w:tc>
        <w:tc>
          <w:tcPr>
            <w:tcW w:w="3935" w:type="dxa"/>
            <w:vAlign w:val="center"/>
          </w:tcPr>
          <w:p w14:paraId="135D906B" w14:textId="77777777" w:rsidR="00AE3B0C" w:rsidRPr="00702FF7" w:rsidRDefault="00AE3B0C" w:rsidP="00C949E6">
            <w:pPr>
              <w:shd w:val="solid" w:color="FFFFFF" w:fill="FFFFFF"/>
              <w:spacing w:before="100" w:beforeAutospacing="1" w:after="100" w:afterAutospacing="1" w:line="240" w:lineRule="atLeast"/>
              <w:jc w:val="right"/>
              <w:rPr>
                <w:lang w:val="es-ES_tradnl"/>
              </w:rPr>
            </w:pPr>
            <w:r w:rsidRPr="00702FF7">
              <w:rPr>
                <w:noProof/>
                <w:lang w:val="es-ES_tradnl"/>
              </w:rPr>
              <w:drawing>
                <wp:inline distT="0" distB="0" distL="0" distR="0" wp14:anchorId="0E305FC4" wp14:editId="70D69467">
                  <wp:extent cx="844492" cy="844492"/>
                  <wp:effectExtent l="0" t="0" r="0" b="0"/>
                  <wp:docPr id="134986953" name="Picture 134986953"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6">
                            <a:extLst>
                              <a:ext uri="{28A0092B-C50C-407E-A947-70E740481C1C}">
                                <a14:useLocalDpi xmlns:a14="http://schemas.microsoft.com/office/drawing/2010/main" val="0"/>
                              </a:ext>
                            </a:extLst>
                          </a:blip>
                          <a:stretch>
                            <a:fillRect/>
                          </a:stretch>
                        </pic:blipFill>
                        <pic:spPr>
                          <a:xfrm>
                            <a:off x="0" y="0"/>
                            <a:ext cx="844492" cy="844492"/>
                          </a:xfrm>
                          <a:prstGeom prst="rect">
                            <a:avLst/>
                          </a:prstGeom>
                        </pic:spPr>
                      </pic:pic>
                    </a:graphicData>
                  </a:graphic>
                </wp:inline>
              </w:drawing>
            </w:r>
          </w:p>
        </w:tc>
      </w:tr>
      <w:tr w:rsidR="00AE3B0C" w:rsidRPr="00702FF7" w14:paraId="2C58E84A" w14:textId="77777777" w:rsidTr="00C949E6">
        <w:trPr>
          <w:cantSplit/>
        </w:trPr>
        <w:tc>
          <w:tcPr>
            <w:tcW w:w="5954" w:type="dxa"/>
            <w:tcBorders>
              <w:bottom w:val="single" w:sz="12" w:space="0" w:color="auto"/>
            </w:tcBorders>
          </w:tcPr>
          <w:p w14:paraId="734380F4" w14:textId="77777777" w:rsidR="00AE3B0C" w:rsidRPr="00702FF7" w:rsidRDefault="00AE3B0C" w:rsidP="00C949E6">
            <w:pPr>
              <w:shd w:val="solid" w:color="FFFFFF" w:fill="FFFFFF"/>
              <w:spacing w:before="100" w:beforeAutospacing="1" w:after="100" w:afterAutospacing="1"/>
              <w:rPr>
                <w:rFonts w:ascii="Verdana" w:hAnsi="Verdana" w:cs="Times New Roman Bold"/>
                <w:b/>
                <w:sz w:val="22"/>
                <w:lang w:val="es-ES_tradnl"/>
              </w:rPr>
            </w:pPr>
          </w:p>
        </w:tc>
        <w:tc>
          <w:tcPr>
            <w:tcW w:w="3935" w:type="dxa"/>
            <w:tcBorders>
              <w:bottom w:val="single" w:sz="12" w:space="0" w:color="auto"/>
            </w:tcBorders>
          </w:tcPr>
          <w:p w14:paraId="7FB70C1E" w14:textId="77777777" w:rsidR="00AE3B0C" w:rsidRPr="00702FF7" w:rsidRDefault="00AE3B0C" w:rsidP="00C949E6">
            <w:pPr>
              <w:shd w:val="solid" w:color="FFFFFF" w:fill="FFFFFF"/>
              <w:spacing w:before="100" w:beforeAutospacing="1" w:after="100" w:afterAutospacing="1" w:line="240" w:lineRule="atLeast"/>
              <w:rPr>
                <w:sz w:val="22"/>
                <w:lang w:val="es-ES_tradnl"/>
              </w:rPr>
            </w:pPr>
          </w:p>
        </w:tc>
      </w:tr>
      <w:tr w:rsidR="00AE3B0C" w:rsidRPr="00702FF7" w14:paraId="204160B0" w14:textId="77777777" w:rsidTr="00C949E6">
        <w:trPr>
          <w:cantSplit/>
        </w:trPr>
        <w:tc>
          <w:tcPr>
            <w:tcW w:w="5954" w:type="dxa"/>
            <w:tcBorders>
              <w:top w:val="single" w:sz="12" w:space="0" w:color="auto"/>
            </w:tcBorders>
          </w:tcPr>
          <w:p w14:paraId="69D42F6E" w14:textId="77777777" w:rsidR="00AE3B0C" w:rsidRPr="00702FF7" w:rsidRDefault="00AE3B0C" w:rsidP="00C949E6">
            <w:pPr>
              <w:shd w:val="solid" w:color="FFFFFF" w:fill="FFFFFF"/>
              <w:spacing w:after="48"/>
              <w:rPr>
                <w:rFonts w:ascii="Verdana" w:hAnsi="Verdana" w:cs="Times New Roman Bold"/>
                <w:bCs/>
                <w:sz w:val="22"/>
                <w:lang w:val="es-ES_tradnl"/>
              </w:rPr>
            </w:pPr>
          </w:p>
        </w:tc>
        <w:tc>
          <w:tcPr>
            <w:tcW w:w="3935" w:type="dxa"/>
            <w:tcBorders>
              <w:top w:val="single" w:sz="12" w:space="0" w:color="auto"/>
            </w:tcBorders>
          </w:tcPr>
          <w:p w14:paraId="0C2C72EB" w14:textId="77777777" w:rsidR="00AE3B0C" w:rsidRPr="00702FF7" w:rsidRDefault="00AE3B0C" w:rsidP="00C949E6">
            <w:pPr>
              <w:shd w:val="solid" w:color="FFFFFF" w:fill="FFFFFF"/>
              <w:spacing w:after="48" w:line="240" w:lineRule="atLeast"/>
              <w:rPr>
                <w:lang w:val="es-ES_tradnl"/>
              </w:rPr>
            </w:pPr>
          </w:p>
        </w:tc>
      </w:tr>
      <w:tr w:rsidR="00AE3B0C" w:rsidRPr="00702FF7" w14:paraId="35B2CF4F" w14:textId="77777777" w:rsidTr="00C949E6">
        <w:trPr>
          <w:cantSplit/>
        </w:trPr>
        <w:tc>
          <w:tcPr>
            <w:tcW w:w="5954" w:type="dxa"/>
            <w:vMerge w:val="restart"/>
          </w:tcPr>
          <w:p w14:paraId="07270613" w14:textId="77777777" w:rsidR="00AE3B0C" w:rsidRPr="00702FF7" w:rsidRDefault="00AE3B0C" w:rsidP="00C949E6">
            <w:pPr>
              <w:shd w:val="solid" w:color="FFFFFF" w:fill="FFFFFF"/>
              <w:spacing w:after="240"/>
              <w:rPr>
                <w:sz w:val="20"/>
                <w:lang w:val="es-ES_tradnl"/>
              </w:rPr>
            </w:pPr>
          </w:p>
        </w:tc>
        <w:tc>
          <w:tcPr>
            <w:tcW w:w="3935" w:type="dxa"/>
          </w:tcPr>
          <w:p w14:paraId="7F20BAF9" w14:textId="2922CACA" w:rsidR="00AE3B0C" w:rsidRPr="00702FF7" w:rsidRDefault="00AE3B0C" w:rsidP="00C949E6">
            <w:pPr>
              <w:shd w:val="clear" w:color="auto" w:fill="FFFFFF" w:themeFill="background1"/>
              <w:spacing w:before="0" w:line="240" w:lineRule="atLeast"/>
              <w:jc w:val="left"/>
              <w:rPr>
                <w:rFonts w:ascii="Verdana" w:hAnsi="Verdana"/>
                <w:b/>
                <w:sz w:val="20"/>
                <w:szCs w:val="20"/>
                <w:lang w:val="es-ES_tradnl"/>
              </w:rPr>
            </w:pPr>
            <w:r w:rsidRPr="00702FF7">
              <w:rPr>
                <w:rFonts w:ascii="Verdana" w:hAnsi="Verdana"/>
                <w:b/>
                <w:sz w:val="20"/>
                <w:szCs w:val="20"/>
                <w:lang w:val="es-ES_tradnl"/>
              </w:rPr>
              <w:t>Revisión 2 al</w:t>
            </w:r>
            <w:r w:rsidRPr="00702FF7">
              <w:rPr>
                <w:rFonts w:ascii="Verdana" w:hAnsi="Verdana"/>
                <w:b/>
                <w:sz w:val="20"/>
                <w:szCs w:val="20"/>
                <w:lang w:val="es-ES_tradnl"/>
              </w:rPr>
              <w:br/>
              <w:t>Documento RAG/TEMP/12-</w:t>
            </w:r>
            <w:r w:rsidR="00C3451F" w:rsidRPr="00702FF7">
              <w:rPr>
                <w:rFonts w:ascii="Verdana" w:hAnsi="Verdana"/>
                <w:b/>
                <w:sz w:val="20"/>
                <w:szCs w:val="20"/>
                <w:lang w:val="es-ES_tradnl"/>
              </w:rPr>
              <w:t>S</w:t>
            </w:r>
          </w:p>
          <w:p w14:paraId="25B1EBE1" w14:textId="77777777" w:rsidR="00AE3B0C" w:rsidRPr="00702FF7" w:rsidRDefault="00AE3B0C" w:rsidP="00C949E6">
            <w:pPr>
              <w:shd w:val="clear" w:color="auto" w:fill="FFFFFF" w:themeFill="background1"/>
              <w:spacing w:before="0" w:line="240" w:lineRule="atLeast"/>
              <w:jc w:val="left"/>
              <w:rPr>
                <w:rFonts w:ascii="Verdana" w:hAnsi="Verdana"/>
                <w:sz w:val="20"/>
                <w:szCs w:val="20"/>
                <w:lang w:val="es-ES_tradnl"/>
              </w:rPr>
            </w:pPr>
            <w:r w:rsidRPr="00702FF7">
              <w:rPr>
                <w:rFonts w:ascii="Verdana" w:hAnsi="Verdana"/>
                <w:b/>
                <w:sz w:val="20"/>
                <w:szCs w:val="20"/>
                <w:lang w:val="es-ES_tradnl"/>
              </w:rPr>
              <w:t>2 de abril de 2026</w:t>
            </w:r>
          </w:p>
        </w:tc>
      </w:tr>
      <w:tr w:rsidR="00AE3B0C" w:rsidRPr="00702FF7" w14:paraId="30407477" w14:textId="77777777" w:rsidTr="00C949E6">
        <w:trPr>
          <w:cantSplit/>
          <w:trHeight w:val="60"/>
        </w:trPr>
        <w:tc>
          <w:tcPr>
            <w:tcW w:w="5954" w:type="dxa"/>
            <w:vMerge/>
          </w:tcPr>
          <w:p w14:paraId="27C7E8DC" w14:textId="77777777" w:rsidR="00AE3B0C" w:rsidRPr="00702FF7" w:rsidRDefault="00AE3B0C" w:rsidP="00C949E6">
            <w:pPr>
              <w:spacing w:before="60"/>
              <w:jc w:val="center"/>
              <w:rPr>
                <w:b/>
                <w:smallCaps/>
                <w:sz w:val="32"/>
                <w:lang w:val="es-ES_tradnl"/>
              </w:rPr>
            </w:pPr>
            <w:bookmarkStart w:id="9" w:name="dorlang" w:colFirst="1" w:colLast="1"/>
          </w:p>
        </w:tc>
        <w:tc>
          <w:tcPr>
            <w:tcW w:w="3935" w:type="dxa"/>
          </w:tcPr>
          <w:p w14:paraId="3B3D0DA0" w14:textId="77777777" w:rsidR="00AE3B0C" w:rsidRPr="00702FF7" w:rsidRDefault="00AE3B0C" w:rsidP="00C949E6">
            <w:pPr>
              <w:shd w:val="solid" w:color="FFFFFF" w:fill="FFFFFF"/>
              <w:spacing w:before="0" w:line="240" w:lineRule="atLeast"/>
              <w:jc w:val="left"/>
              <w:rPr>
                <w:rFonts w:ascii="Verdana" w:hAnsi="Verdana"/>
                <w:sz w:val="20"/>
                <w:lang w:val="es-ES_tradnl"/>
              </w:rPr>
            </w:pPr>
            <w:r w:rsidRPr="00702FF7">
              <w:rPr>
                <w:rFonts w:ascii="Verdana" w:hAnsi="Verdana"/>
                <w:b/>
                <w:sz w:val="20"/>
                <w:lang w:val="es-ES_tradnl"/>
              </w:rPr>
              <w:t>Original: inglés</w:t>
            </w:r>
          </w:p>
        </w:tc>
      </w:tr>
      <w:tr w:rsidR="00AE3B0C" w:rsidRPr="00533FD9" w14:paraId="03ED5391" w14:textId="77777777" w:rsidTr="00C949E6">
        <w:trPr>
          <w:cantSplit/>
        </w:trPr>
        <w:tc>
          <w:tcPr>
            <w:tcW w:w="9889" w:type="dxa"/>
            <w:gridSpan w:val="2"/>
          </w:tcPr>
          <w:p w14:paraId="33C0BBB1" w14:textId="77777777" w:rsidR="00AE3B0C" w:rsidRPr="00702FF7" w:rsidRDefault="00AE3B0C" w:rsidP="00C949E6">
            <w:pPr>
              <w:pStyle w:val="Source"/>
              <w:rPr>
                <w:lang w:val="es-ES_tradnl"/>
              </w:rPr>
            </w:pPr>
            <w:bookmarkStart w:id="10" w:name="dsource" w:colFirst="0" w:colLast="0"/>
            <w:bookmarkEnd w:id="9"/>
            <w:r w:rsidRPr="00533FD9">
              <w:rPr>
                <w:lang w:val="fr-FR"/>
              </w:rPr>
              <w:t>Grupo Asesor de Radiocomunicaciones (GAR)</w:t>
            </w:r>
          </w:p>
        </w:tc>
      </w:tr>
      <w:tr w:rsidR="00AE3B0C" w:rsidRPr="00B33A8D" w14:paraId="48ABABB0" w14:textId="77777777" w:rsidTr="00C949E6">
        <w:trPr>
          <w:cantSplit/>
        </w:trPr>
        <w:tc>
          <w:tcPr>
            <w:tcW w:w="9889" w:type="dxa"/>
            <w:gridSpan w:val="2"/>
          </w:tcPr>
          <w:p w14:paraId="4CEC9796" w14:textId="77777777" w:rsidR="00AE3B0C" w:rsidRDefault="00AE3B0C" w:rsidP="00533FD9">
            <w:pPr>
              <w:pStyle w:val="Title1"/>
              <w:rPr>
                <w:lang w:val="es-ES"/>
              </w:rPr>
            </w:pPr>
            <w:bookmarkStart w:id="11" w:name="dtitle1" w:colFirst="0" w:colLast="0"/>
            <w:bookmarkEnd w:id="10"/>
            <w:r w:rsidRPr="00533FD9">
              <w:rPr>
                <w:lang w:val="es-ES"/>
              </w:rPr>
              <w:t>MANDATO DEL GRUPO POR CORRESPONDENCIA DEL GAR SOBRE LA MEJORA DEL PROCESO DE LA REUNIÓN PREPARATORIA DE LA</w:t>
            </w:r>
            <w:r w:rsidR="00533FD9" w:rsidRPr="00533FD9">
              <w:rPr>
                <w:lang w:val="es-ES"/>
              </w:rPr>
              <w:t xml:space="preserve"> </w:t>
            </w:r>
            <w:r w:rsidRPr="00533FD9">
              <w:rPr>
                <w:lang w:val="es-ES"/>
              </w:rPr>
              <w:t>CONFERENCIA (RPC)</w:t>
            </w:r>
          </w:p>
          <w:p w14:paraId="42AB821F" w14:textId="7EF1D5D6" w:rsidR="00533FD9" w:rsidRPr="00533FD9" w:rsidRDefault="00533FD9" w:rsidP="00533FD9">
            <w:pPr>
              <w:pStyle w:val="Title2"/>
              <w:rPr>
                <w:lang w:val="es-ES"/>
              </w:rPr>
            </w:pPr>
          </w:p>
        </w:tc>
      </w:tr>
    </w:tbl>
    <w:bookmarkEnd w:id="11"/>
    <w:p w14:paraId="2D7B09DC" w14:textId="77777777" w:rsidR="00AE3B0C" w:rsidRPr="00702FF7" w:rsidRDefault="00AE3B0C" w:rsidP="00DF1EF8">
      <w:pPr>
        <w:rPr>
          <w:lang w:val="es-ES_tradnl"/>
        </w:rPr>
      </w:pPr>
      <w:r w:rsidRPr="00702FF7">
        <w:rPr>
          <w:lang w:val="es-ES_tradnl"/>
        </w:rPr>
        <w:t>El Grupo por Correspondencia (GC) del Grupo Asesor de Radiocomunicaciones (GAR) tiene encomendada la tarea de estudiar posibles mejoras del proceso de la Reunión Preparatoria de la Conferencia (RPC) con arreglo al siguiente mandato:</w:t>
      </w:r>
    </w:p>
    <w:p w14:paraId="643614F6" w14:textId="78F88550" w:rsidR="00AE3B0C" w:rsidRPr="00702FF7" w:rsidRDefault="00AE3B0C" w:rsidP="00DF1EF8">
      <w:pPr>
        <w:pStyle w:val="enumlev1"/>
        <w:rPr>
          <w:lang w:val="es-ES_tradnl"/>
        </w:rPr>
      </w:pPr>
      <w:r w:rsidRPr="00702FF7">
        <w:rPr>
          <w:lang w:val="es-ES_tradnl"/>
        </w:rPr>
        <w:t>–</w:t>
      </w:r>
      <w:r w:rsidRPr="00702FF7">
        <w:rPr>
          <w:lang w:val="es-ES_tradnl"/>
        </w:rPr>
        <w:tab/>
        <w:t>Seguir examinando el proceso de la RPC, a fin de ultimar cualquier mejora del proceso y los objetivos de la segunda sesión de la RPC, incluso en relación con el procedimiento de elaboración del</w:t>
      </w:r>
      <w:r w:rsidR="003D461A" w:rsidRPr="00702FF7">
        <w:rPr>
          <w:lang w:val="es-ES_tradnl"/>
        </w:rPr>
        <w:t xml:space="preserve"> </w:t>
      </w:r>
      <w:r w:rsidRPr="00702FF7">
        <w:rPr>
          <w:lang w:val="es-ES_tradnl"/>
        </w:rPr>
        <w:t>informe de la RPC, en aras de facilitar el proceso de la RPC, por ejemplo, mediante el examen de temas, en la medida en que sea pertinente y aplicable, sin perjuicio de los derechos de las Administraciones y las organizaciones regionales en lo que respecta a su contribución al proceso, como pueden ser:</w:t>
      </w:r>
    </w:p>
    <w:p w14:paraId="66FD759A" w14:textId="2F2CC767" w:rsidR="00AE3B0C" w:rsidRPr="00702FF7" w:rsidRDefault="00DF1EF8" w:rsidP="00DF1EF8">
      <w:pPr>
        <w:pStyle w:val="enumlev2"/>
        <w:rPr>
          <w:lang w:val="es-ES_tradnl"/>
        </w:rPr>
      </w:pPr>
      <w:r w:rsidRPr="00702FF7">
        <w:rPr>
          <w:lang w:val="es-ES_tradnl"/>
        </w:rPr>
        <w:t>•</w:t>
      </w:r>
      <w:r w:rsidRPr="00702FF7">
        <w:rPr>
          <w:lang w:val="es-ES_tradnl"/>
        </w:rPr>
        <w:tab/>
      </w:r>
      <w:r w:rsidR="00AE3B0C" w:rsidRPr="00702FF7">
        <w:rPr>
          <w:lang w:val="es-ES_tradnl"/>
        </w:rPr>
        <w:t>ajustar el calendario de la segunda sesión de la RPC, de tal manera que, eventualmente, los grupos responsables dispongan de más tiempo para completar o ultimar sus proyectos de textos para la RPC, sin que ello afecte a la fecha de publicación del informe de la RPC en los seis idiomas oficiales de la Unión, al menos cinco meses antes de la</w:t>
      </w:r>
      <w:r w:rsidRPr="00702FF7">
        <w:rPr>
          <w:lang w:val="es-ES_tradnl"/>
        </w:rPr>
        <w:t> </w:t>
      </w:r>
      <w:r w:rsidR="00AE3B0C" w:rsidRPr="00702FF7">
        <w:rPr>
          <w:lang w:val="es-ES_tradnl"/>
        </w:rPr>
        <w:t>CMR sucesiva;</w:t>
      </w:r>
    </w:p>
    <w:p w14:paraId="2495808B" w14:textId="39BC5459" w:rsidR="00AE3B0C" w:rsidRPr="00702FF7" w:rsidRDefault="00DF1EF8" w:rsidP="00DF1EF8">
      <w:pPr>
        <w:pStyle w:val="enumlev2"/>
        <w:rPr>
          <w:lang w:val="es-ES_tradnl"/>
        </w:rPr>
      </w:pPr>
      <w:r w:rsidRPr="00702FF7">
        <w:rPr>
          <w:lang w:val="es-ES_tradnl"/>
        </w:rPr>
        <w:t>•</w:t>
      </w:r>
      <w:r w:rsidRPr="00702FF7">
        <w:rPr>
          <w:lang w:val="es-ES_tradnl"/>
        </w:rPr>
        <w:tab/>
      </w:r>
      <w:r w:rsidR="00AE3B0C" w:rsidRPr="00702FF7">
        <w:rPr>
          <w:lang w:val="es-ES_tradnl"/>
        </w:rPr>
        <w:t>examinar determinados aspectos que podrían mejorarse para facilitar el proceso en su conjunto, por ejemplo, elaborando pautas claras para precisar aún más las funciones de los Relatores de los capítulos de la RPC, con objeto de ayudar a los grupos responsables a cumplir los plazos de presentación de los proyectos de textos para la</w:t>
      </w:r>
      <w:r w:rsidR="00227E8A" w:rsidRPr="00702FF7">
        <w:rPr>
          <w:lang w:val="es-ES_tradnl"/>
        </w:rPr>
        <w:t> </w:t>
      </w:r>
      <w:r w:rsidR="00AE3B0C" w:rsidRPr="00702FF7">
        <w:rPr>
          <w:lang w:val="es-ES_tradnl"/>
        </w:rPr>
        <w:t>RPC;</w:t>
      </w:r>
    </w:p>
    <w:p w14:paraId="1671280B" w14:textId="79AD469E" w:rsidR="00AE3B0C" w:rsidRPr="00702FF7" w:rsidRDefault="00DF1EF8" w:rsidP="00DF1EF8">
      <w:pPr>
        <w:pStyle w:val="enumlev2"/>
        <w:rPr>
          <w:lang w:val="es-ES_tradnl"/>
        </w:rPr>
      </w:pPr>
      <w:r w:rsidRPr="00702FF7">
        <w:rPr>
          <w:lang w:val="es-ES_tradnl"/>
        </w:rPr>
        <w:t>•</w:t>
      </w:r>
      <w:r w:rsidRPr="00702FF7">
        <w:rPr>
          <w:lang w:val="es-ES_tradnl"/>
        </w:rPr>
        <w:tab/>
      </w:r>
      <w:r w:rsidR="00AE3B0C" w:rsidRPr="00702FF7">
        <w:rPr>
          <w:lang w:val="es-ES_tradnl"/>
        </w:rPr>
        <w:t>examinar y considerar las mejoras propuestas en cuanto a los límites de volumen y número de páginas del informe de la RPC;</w:t>
      </w:r>
    </w:p>
    <w:p w14:paraId="0E19F5C8" w14:textId="5E1B9154" w:rsidR="00AE3B0C" w:rsidRPr="00702FF7" w:rsidRDefault="00DF1EF8" w:rsidP="00DF1EF8">
      <w:pPr>
        <w:pStyle w:val="enumlev2"/>
        <w:rPr>
          <w:lang w:val="es-ES_tradnl"/>
        </w:rPr>
      </w:pPr>
      <w:r w:rsidRPr="00702FF7">
        <w:rPr>
          <w:lang w:val="es-ES_tradnl"/>
        </w:rPr>
        <w:lastRenderedPageBreak/>
        <w:t>•</w:t>
      </w:r>
      <w:r w:rsidRPr="00702FF7">
        <w:rPr>
          <w:lang w:val="es-ES_tradnl"/>
        </w:rPr>
        <w:tab/>
      </w:r>
      <w:r w:rsidR="00AE3B0C" w:rsidRPr="00702FF7">
        <w:rPr>
          <w:lang w:val="es-ES_tradnl"/>
        </w:rPr>
        <w:t xml:space="preserve">introducir mejoras adicionales encaminadas a reforzar las disposiciones de la Resolución 2 en lo que respecta a la limitación del alcance de las contribuciones que se presentan a la segunda sesión de la RPC; y </w:t>
      </w:r>
    </w:p>
    <w:p w14:paraId="14F6AD96" w14:textId="2B647A21" w:rsidR="00AE3B0C" w:rsidRPr="00702FF7" w:rsidRDefault="00DF1EF8" w:rsidP="00DF1EF8">
      <w:pPr>
        <w:pStyle w:val="enumlev2"/>
        <w:rPr>
          <w:lang w:val="es-ES_tradnl"/>
        </w:rPr>
      </w:pPr>
      <w:r w:rsidRPr="00702FF7">
        <w:rPr>
          <w:lang w:val="es-ES_tradnl"/>
        </w:rPr>
        <w:t>•</w:t>
      </w:r>
      <w:r w:rsidRPr="00702FF7">
        <w:rPr>
          <w:lang w:val="es-ES_tradnl"/>
        </w:rPr>
        <w:tab/>
      </w:r>
      <w:r w:rsidR="00AE3B0C" w:rsidRPr="00702FF7">
        <w:rPr>
          <w:lang w:val="es-ES_tradnl"/>
        </w:rPr>
        <w:t>examinar la duración actual de la segunda sesión de la RPC, sin ampliarla.</w:t>
      </w:r>
    </w:p>
    <w:p w14:paraId="566E023F" w14:textId="77777777" w:rsidR="00AE3B0C" w:rsidRPr="00702FF7" w:rsidRDefault="00AE3B0C" w:rsidP="00DF1EF8">
      <w:pPr>
        <w:pStyle w:val="enumlev1"/>
        <w:rPr>
          <w:lang w:val="es-ES_tradnl"/>
        </w:rPr>
      </w:pPr>
      <w:r w:rsidRPr="00702FF7">
        <w:rPr>
          <w:lang w:val="es-ES_tradnl"/>
        </w:rPr>
        <w:t>–</w:t>
      </w:r>
      <w:r w:rsidRPr="00702FF7">
        <w:rPr>
          <w:lang w:val="es-ES_tradnl"/>
        </w:rPr>
        <w:tab/>
        <w:t>Reconocer los avances descritos en el Documento RAG/65 y en las contribuciones a la 33.ª reunión del GAR.</w:t>
      </w:r>
    </w:p>
    <w:p w14:paraId="555911EA" w14:textId="0DCA11EF" w:rsidR="00AE3B0C" w:rsidRPr="00702FF7" w:rsidRDefault="00DF1EF8" w:rsidP="00DF1EF8">
      <w:pPr>
        <w:pStyle w:val="enumlev1"/>
        <w:rPr>
          <w:lang w:val="es-ES_tradnl"/>
        </w:rPr>
      </w:pPr>
      <w:r w:rsidRPr="00702FF7">
        <w:rPr>
          <w:lang w:val="es-ES_tradnl"/>
        </w:rPr>
        <w:t>–</w:t>
      </w:r>
      <w:r w:rsidRPr="00702FF7">
        <w:rPr>
          <w:lang w:val="es-ES_tradnl"/>
        </w:rPr>
        <w:tab/>
      </w:r>
      <w:r w:rsidR="00AE3B0C" w:rsidRPr="00702FF7">
        <w:rPr>
          <w:lang w:val="es-ES_tradnl"/>
        </w:rPr>
        <w:t xml:space="preserve">En consecuencia, examinar posibles enmiendas a la Resolución </w:t>
      </w:r>
      <w:hyperlink r:id="rId97" w:history="1">
        <w:r w:rsidR="00AE3B0C" w:rsidRPr="00702FF7">
          <w:rPr>
            <w:lang w:val="es-ES_tradnl"/>
          </w:rPr>
          <w:t>UIT-R 2-9</w:t>
        </w:r>
      </w:hyperlink>
      <w:r w:rsidR="00AE3B0C" w:rsidRPr="00702FF7">
        <w:rPr>
          <w:lang w:val="es-ES_tradnl"/>
        </w:rPr>
        <w:t xml:space="preserve"> (sobre la Reunión Preparatoria de la Conferencia) para reflejar las conclusiones del examen antes mencionado.</w:t>
      </w:r>
    </w:p>
    <w:p w14:paraId="55110E7B" w14:textId="38063621" w:rsidR="00AE3B0C" w:rsidRPr="00702FF7" w:rsidRDefault="00AE3B0C" w:rsidP="00AE3B0C">
      <w:pPr>
        <w:rPr>
          <w:lang w:val="es-ES_tradnl"/>
        </w:rPr>
      </w:pPr>
      <w:r w:rsidRPr="00702FF7">
        <w:rPr>
          <w:lang w:val="es-ES_tradnl"/>
        </w:rPr>
        <w:t>El GC proseguirá su labor inmediatamente después de la 33.ª reunión del GAR, con el objetivo de presentar un informe exhaustivo antes de la 34.ª reunión del GAR. Los trabajos se llevarán a cabo principalmente a través de tres reuniones virtuales, como máximo, a tenor de las secciones §</w:t>
      </w:r>
      <w:r w:rsidR="00DF1EF8" w:rsidRPr="00702FF7">
        <w:rPr>
          <w:lang w:val="es-ES_tradnl"/>
        </w:rPr>
        <w:t> </w:t>
      </w:r>
      <w:r w:rsidRPr="00702FF7">
        <w:rPr>
          <w:lang w:val="es-ES_tradnl"/>
        </w:rPr>
        <w:t>A1.3.2.9 y § A.1.3.2.10 de la Resolución UIT-R 1-9, por razones de eficiencia e inclusividad.</w:t>
      </w:r>
    </w:p>
    <w:p w14:paraId="0A6561AC" w14:textId="1C1EB81F" w:rsidR="00AE3B0C" w:rsidRPr="00702FF7" w:rsidRDefault="00AE3B0C" w:rsidP="00AE3B0C">
      <w:pPr>
        <w:rPr>
          <w:lang w:val="es-ES_tradnl"/>
        </w:rPr>
      </w:pPr>
      <w:r w:rsidRPr="00702FF7">
        <w:rPr>
          <w:lang w:val="es-ES_tradnl"/>
        </w:rPr>
        <w:t>Las reuniones virtuales están programadas como sigue:</w:t>
      </w:r>
    </w:p>
    <w:p w14:paraId="6E60C6EB" w14:textId="618A3CE0" w:rsidR="00AE3B0C" w:rsidRPr="00702FF7" w:rsidRDefault="00DF1EF8" w:rsidP="00DF1EF8">
      <w:pPr>
        <w:pStyle w:val="enumlev1"/>
        <w:rPr>
          <w:lang w:val="es-ES_tradnl"/>
        </w:rPr>
      </w:pPr>
      <w:r w:rsidRPr="00702FF7">
        <w:rPr>
          <w:lang w:val="es-ES_tradnl"/>
        </w:rPr>
        <w:t>–</w:t>
      </w:r>
      <w:r w:rsidRPr="00702FF7">
        <w:rPr>
          <w:lang w:val="es-ES_tradnl"/>
        </w:rPr>
        <w:tab/>
      </w:r>
      <w:r w:rsidR="00AE3B0C" w:rsidRPr="00702FF7">
        <w:rPr>
          <w:lang w:val="es-ES_tradnl"/>
        </w:rPr>
        <w:t>1ª reunión virtual: 16 de septiembre (por confirmar) de 2026, de las 13.00 a las 16.00 horas, hora de Ginebra.</w:t>
      </w:r>
    </w:p>
    <w:p w14:paraId="11BC117F" w14:textId="0F4E3F62" w:rsidR="00AE3B0C" w:rsidRPr="00702FF7" w:rsidRDefault="00DF1EF8" w:rsidP="00DF1EF8">
      <w:pPr>
        <w:pStyle w:val="enumlev1"/>
        <w:rPr>
          <w:lang w:val="es-ES_tradnl"/>
        </w:rPr>
      </w:pPr>
      <w:r w:rsidRPr="00702FF7">
        <w:rPr>
          <w:lang w:val="es-ES_tradnl"/>
        </w:rPr>
        <w:t>–</w:t>
      </w:r>
      <w:r w:rsidRPr="00702FF7">
        <w:rPr>
          <w:lang w:val="es-ES_tradnl"/>
        </w:rPr>
        <w:tab/>
      </w:r>
      <w:r w:rsidR="00AE3B0C" w:rsidRPr="00702FF7">
        <w:rPr>
          <w:lang w:val="es-ES_tradnl"/>
        </w:rPr>
        <w:t>2ª reunión virtual, si fuera necesario: 18 de diciembre (por confirmar) de 2026, de las 13.00 a las 16.00 horas, hora de Ginebra.</w:t>
      </w:r>
    </w:p>
    <w:p w14:paraId="76F7ECCE" w14:textId="47E25C8E" w:rsidR="00AE3B0C" w:rsidRPr="00702FF7" w:rsidRDefault="00DF1EF8" w:rsidP="00DF1EF8">
      <w:pPr>
        <w:pStyle w:val="enumlev1"/>
        <w:rPr>
          <w:lang w:val="es-ES_tradnl"/>
        </w:rPr>
      </w:pPr>
      <w:r w:rsidRPr="00702FF7">
        <w:rPr>
          <w:lang w:val="es-ES_tradnl"/>
        </w:rPr>
        <w:t>–</w:t>
      </w:r>
      <w:r w:rsidRPr="00702FF7">
        <w:rPr>
          <w:lang w:val="es-ES_tradnl"/>
        </w:rPr>
        <w:tab/>
      </w:r>
      <w:r w:rsidR="00AE3B0C" w:rsidRPr="00702FF7">
        <w:rPr>
          <w:lang w:val="es-ES_tradnl"/>
        </w:rPr>
        <w:t>La eventual necesidad de celebrar una tercera reunión y la fecha correspondiente pueden sopesarse en función de los avances logrados en la primera y/o la segunda reunión.</w:t>
      </w:r>
    </w:p>
    <w:p w14:paraId="20449978" w14:textId="74EA15F9" w:rsidR="00AE3B0C" w:rsidRPr="00702FF7" w:rsidRDefault="00AE3B0C" w:rsidP="00AE3B0C">
      <w:pPr>
        <w:rPr>
          <w:lang w:val="es-ES_tradnl"/>
        </w:rPr>
      </w:pPr>
      <w:r w:rsidRPr="00702FF7">
        <w:rPr>
          <w:lang w:val="es-ES_tradnl"/>
        </w:rPr>
        <w:t xml:space="preserve">El GC está presidido por el </w:t>
      </w:r>
      <w:r w:rsidR="00CA406A" w:rsidRPr="00702FF7">
        <w:rPr>
          <w:lang w:val="es-ES_tradnl"/>
        </w:rPr>
        <w:t>Sr. </w:t>
      </w:r>
      <w:r w:rsidRPr="00702FF7">
        <w:rPr>
          <w:lang w:val="es-ES_tradnl"/>
        </w:rPr>
        <w:t xml:space="preserve">Fahad ALGHAMDI (correo-e: </w:t>
      </w:r>
      <w:hyperlink r:id="rId98" w:history="1">
        <w:r w:rsidRPr="00702FF7">
          <w:rPr>
            <w:rStyle w:val="Hyperlink"/>
            <w:lang w:val="es-ES_tradnl"/>
          </w:rPr>
          <w:t>fabghamdi@citc.gov.sa</w:t>
        </w:r>
      </w:hyperlink>
      <w:r w:rsidRPr="00702FF7">
        <w:rPr>
          <w:lang w:val="es-ES_tradnl"/>
        </w:rPr>
        <w:t>), quien coordinará las actividades y velará por la comunicación y presentación oportunas del informe del Grupo 45 días antes de la 34.ª reunión del GAR.</w:t>
      </w:r>
    </w:p>
    <w:p w14:paraId="24DDB9C4" w14:textId="7C3188E4" w:rsidR="00AE3B0C" w:rsidRPr="00702FF7" w:rsidRDefault="00AE3B0C" w:rsidP="00DF1EF8">
      <w:pPr>
        <w:rPr>
          <w:rFonts w:ascii="Times New Roman" w:eastAsia="SimSun" w:hAnsi="Times New Roman" w:cs="Times New Roman"/>
          <w:szCs w:val="24"/>
          <w:lang w:val="es-ES_tradnl"/>
        </w:rPr>
      </w:pPr>
      <w:r w:rsidRPr="00702FF7">
        <w:rPr>
          <w:lang w:val="es-ES_tradnl"/>
        </w:rPr>
        <w:t>En la página web del GAR se facilitará información adicional pertinente para los trabajos de este Grupo por Correspondencia.</w:t>
      </w:r>
    </w:p>
    <w:p w14:paraId="645EF485" w14:textId="7D9DCDD1" w:rsidR="00AE3B0C" w:rsidRPr="00702FF7" w:rsidRDefault="00AE3B0C" w:rsidP="00227E8A">
      <w:pPr>
        <w:pStyle w:val="AnnexNo"/>
        <w:rPr>
          <w:lang w:val="es-ES_tradnl"/>
        </w:rPr>
      </w:pPr>
      <w:r w:rsidRPr="00702FF7">
        <w:rPr>
          <w:highlight w:val="yellow"/>
          <w:lang w:val="es-ES_tradnl"/>
        </w:rPr>
        <w:br w:type="page"/>
      </w:r>
      <w:r w:rsidRPr="00702FF7">
        <w:rPr>
          <w:lang w:val="es-ES_tradnl"/>
        </w:rPr>
        <w:lastRenderedPageBreak/>
        <w:t>ANEXO 4</w:t>
      </w:r>
    </w:p>
    <w:p w14:paraId="29D77F44" w14:textId="5CA2D325" w:rsidR="00AE3B0C" w:rsidRPr="00702FF7" w:rsidRDefault="00AE3B0C" w:rsidP="00B763AD">
      <w:pPr>
        <w:pStyle w:val="Annextitle"/>
        <w:rPr>
          <w:lang w:val="es-ES_tradnl" w:eastAsia="en-GB"/>
        </w:rPr>
      </w:pPr>
      <w:r w:rsidRPr="00702FF7">
        <w:rPr>
          <w:lang w:val="es-ES_tradnl" w:eastAsia="en-GB"/>
        </w:rPr>
        <w:t>Nota del Presidente del GAR al Grupo de Trabajo del Consejo sobre</w:t>
      </w:r>
      <w:r w:rsidR="00B763AD" w:rsidRPr="00702FF7">
        <w:rPr>
          <w:lang w:val="es-ES_tradnl" w:eastAsia="en-GB"/>
        </w:rPr>
        <w:br/>
      </w:r>
      <w:r w:rsidRPr="00702FF7">
        <w:rPr>
          <w:lang w:val="es-ES_tradnl" w:eastAsia="en-GB"/>
        </w:rPr>
        <w:t>Recursos Humano</w:t>
      </w:r>
      <w:r w:rsidR="00B763AD" w:rsidRPr="00702FF7">
        <w:rPr>
          <w:lang w:val="es-ES_tradnl" w:eastAsia="en-GB"/>
        </w:rPr>
        <w:t xml:space="preserve">s </w:t>
      </w:r>
      <w:r w:rsidRPr="00702FF7">
        <w:rPr>
          <w:lang w:val="es-ES_tradnl" w:eastAsia="en-GB"/>
        </w:rPr>
        <w:t>y Financieros (GTC-RHF)</w:t>
      </w:r>
    </w:p>
    <w:p w14:paraId="0CCD7A67" w14:textId="0AA7C629" w:rsidR="00AE3B0C" w:rsidRPr="00702FF7" w:rsidRDefault="00AE3B0C" w:rsidP="00B763AD">
      <w:pPr>
        <w:tabs>
          <w:tab w:val="clear" w:pos="794"/>
          <w:tab w:val="clear" w:pos="1191"/>
          <w:tab w:val="clear" w:pos="1588"/>
          <w:tab w:val="clear" w:pos="1985"/>
        </w:tabs>
        <w:overflowPunct/>
        <w:autoSpaceDE/>
        <w:autoSpaceDN/>
        <w:adjustRightInd/>
        <w:spacing w:before="0" w:after="240" w:line="240" w:lineRule="auto"/>
        <w:jc w:val="left"/>
        <w:textAlignment w:val="auto"/>
        <w:rPr>
          <w:lang w:val="es-ES_tradnl"/>
        </w:rPr>
      </w:pPr>
      <w:r w:rsidRPr="00702FF7">
        <w:rPr>
          <w:rFonts w:asciiTheme="minorHAnsi" w:hAnsiTheme="minorHAnsi" w:cstheme="minorHAnsi"/>
          <w:szCs w:val="24"/>
          <w:lang w:val="es-ES_tradnl" w:eastAsia="en-GB"/>
        </w:rPr>
        <w:t>Véase RAG/TEMP/10-Rev.1:</w:t>
      </w:r>
      <w:r w:rsidR="00B51417" w:rsidRPr="00702FF7">
        <w:rPr>
          <w:rFonts w:asciiTheme="minorHAnsi" w:hAnsiTheme="minorHAnsi" w:cstheme="minorHAnsi"/>
          <w:szCs w:val="24"/>
          <w:lang w:val="es-ES_tradnl" w:eastAsia="en-GB"/>
        </w:rPr>
        <w:t xml:space="preserve"> </w:t>
      </w:r>
      <w:hyperlink r:id="rId99" w:history="1">
        <w:r w:rsidR="00B51417" w:rsidRPr="00702FF7">
          <w:rPr>
            <w:rStyle w:val="Hyperlink"/>
            <w:lang w:val="es-ES_tradnl"/>
          </w:rPr>
          <w:t>https://www.itu.int/md/R23-RAG-260330-TD-0010/es</w:t>
        </w:r>
      </w:hyperlink>
      <w:r w:rsidR="00E967C8" w:rsidRPr="00702FF7">
        <w:rPr>
          <w:lang w:val="es-ES_tradnl"/>
        </w:rPr>
        <w:t>.</w:t>
      </w:r>
    </w:p>
    <w:tbl>
      <w:tblPr>
        <w:tblW w:w="9889" w:type="dxa"/>
        <w:tblLayout w:type="fixed"/>
        <w:tblLook w:val="0000" w:firstRow="0" w:lastRow="0" w:firstColumn="0" w:lastColumn="0" w:noHBand="0" w:noVBand="0"/>
      </w:tblPr>
      <w:tblGrid>
        <w:gridCol w:w="6379"/>
        <w:gridCol w:w="3510"/>
      </w:tblGrid>
      <w:tr w:rsidR="00AE3B0C" w:rsidRPr="00702FF7" w14:paraId="6831714E" w14:textId="77777777" w:rsidTr="00B763AD">
        <w:trPr>
          <w:cantSplit/>
        </w:trPr>
        <w:tc>
          <w:tcPr>
            <w:tcW w:w="6379" w:type="dxa"/>
            <w:vAlign w:val="center"/>
          </w:tcPr>
          <w:p w14:paraId="0399A415" w14:textId="77777777" w:rsidR="00AE3B0C" w:rsidRPr="00702FF7" w:rsidRDefault="00AE3B0C" w:rsidP="00C949E6">
            <w:pPr>
              <w:shd w:val="solid" w:color="FFFFFF" w:fill="FFFFFF"/>
              <w:tabs>
                <w:tab w:val="left" w:pos="601"/>
              </w:tabs>
              <w:spacing w:before="360" w:after="240"/>
              <w:jc w:val="left"/>
              <w:rPr>
                <w:rFonts w:ascii="Verdana" w:hAnsi="Verdana" w:cs="Times New Roman Bold"/>
                <w:b/>
                <w:bCs/>
                <w:lang w:val="es-ES_tradnl"/>
              </w:rPr>
            </w:pPr>
            <w:r w:rsidRPr="00702FF7">
              <w:rPr>
                <w:rFonts w:ascii="Verdana" w:hAnsi="Verdana" w:cs="Times New Roman Bold"/>
                <w:b/>
                <w:sz w:val="26"/>
                <w:szCs w:val="26"/>
                <w:lang w:val="es-ES_tradnl"/>
              </w:rPr>
              <w:t>Grupo Asesor de Radiocomunicaciones</w:t>
            </w:r>
            <w:r w:rsidRPr="00702FF7">
              <w:rPr>
                <w:rFonts w:ascii="Verdana" w:hAnsi="Verdana" w:cs="Times New Roman Bold"/>
                <w:b/>
                <w:sz w:val="26"/>
                <w:szCs w:val="26"/>
                <w:lang w:val="es-ES_tradnl"/>
              </w:rPr>
              <w:br/>
            </w:r>
          </w:p>
        </w:tc>
        <w:tc>
          <w:tcPr>
            <w:tcW w:w="3510" w:type="dxa"/>
            <w:vAlign w:val="center"/>
          </w:tcPr>
          <w:p w14:paraId="3838701A" w14:textId="77777777" w:rsidR="00AE3B0C" w:rsidRPr="00702FF7" w:rsidRDefault="00AE3B0C" w:rsidP="00C949E6">
            <w:pPr>
              <w:shd w:val="solid" w:color="FFFFFF" w:fill="FFFFFF"/>
              <w:spacing w:before="0" w:line="240" w:lineRule="atLeast"/>
              <w:rPr>
                <w:lang w:val="es-ES_tradnl"/>
              </w:rPr>
            </w:pPr>
            <w:r w:rsidRPr="00702FF7">
              <w:rPr>
                <w:noProof/>
                <w:lang w:val="es-ES_tradnl" w:eastAsia="zh-CN"/>
              </w:rPr>
              <w:drawing>
                <wp:inline distT="0" distB="0" distL="0" distR="0" wp14:anchorId="73082814" wp14:editId="1AF6806D">
                  <wp:extent cx="844492" cy="844492"/>
                  <wp:effectExtent l="0" t="0" r="0" b="0"/>
                  <wp:docPr id="1532237841" name="Picture 1532237841"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AE3B0C" w:rsidRPr="00702FF7" w14:paraId="7C4CE57F" w14:textId="77777777" w:rsidTr="00B763AD">
        <w:trPr>
          <w:cantSplit/>
        </w:trPr>
        <w:tc>
          <w:tcPr>
            <w:tcW w:w="6379" w:type="dxa"/>
            <w:tcBorders>
              <w:bottom w:val="single" w:sz="12" w:space="0" w:color="auto"/>
            </w:tcBorders>
          </w:tcPr>
          <w:p w14:paraId="4BD4B1B3" w14:textId="77777777" w:rsidR="00AE3B0C" w:rsidRPr="00702FF7" w:rsidRDefault="00AE3B0C" w:rsidP="00C949E6">
            <w:pPr>
              <w:shd w:val="solid" w:color="FFFFFF" w:fill="FFFFFF"/>
              <w:spacing w:before="0" w:after="48"/>
              <w:rPr>
                <w:rFonts w:ascii="Verdana" w:hAnsi="Verdana" w:cs="Times New Roman Bold"/>
                <w:b/>
                <w:sz w:val="22"/>
                <w:lang w:val="es-ES_tradnl"/>
              </w:rPr>
            </w:pPr>
          </w:p>
        </w:tc>
        <w:tc>
          <w:tcPr>
            <w:tcW w:w="3510" w:type="dxa"/>
            <w:tcBorders>
              <w:bottom w:val="single" w:sz="12" w:space="0" w:color="auto"/>
            </w:tcBorders>
          </w:tcPr>
          <w:p w14:paraId="39B1FD3D" w14:textId="77777777" w:rsidR="00AE3B0C" w:rsidRPr="00702FF7" w:rsidRDefault="00AE3B0C" w:rsidP="00C949E6">
            <w:pPr>
              <w:shd w:val="solid" w:color="FFFFFF" w:fill="FFFFFF"/>
              <w:spacing w:before="0" w:after="48" w:line="240" w:lineRule="atLeast"/>
              <w:rPr>
                <w:sz w:val="22"/>
                <w:lang w:val="es-ES_tradnl"/>
              </w:rPr>
            </w:pPr>
          </w:p>
        </w:tc>
      </w:tr>
      <w:tr w:rsidR="00AE3B0C" w:rsidRPr="00702FF7" w14:paraId="7B353A48" w14:textId="77777777" w:rsidTr="00B763AD">
        <w:trPr>
          <w:cantSplit/>
        </w:trPr>
        <w:tc>
          <w:tcPr>
            <w:tcW w:w="6379" w:type="dxa"/>
            <w:tcBorders>
              <w:top w:val="single" w:sz="12" w:space="0" w:color="auto"/>
            </w:tcBorders>
          </w:tcPr>
          <w:p w14:paraId="2D0D3F43" w14:textId="77777777" w:rsidR="00AE3B0C" w:rsidRPr="00702FF7" w:rsidRDefault="00AE3B0C" w:rsidP="00C949E6">
            <w:pPr>
              <w:shd w:val="solid" w:color="FFFFFF" w:fill="FFFFFF"/>
              <w:spacing w:before="0" w:after="48"/>
              <w:rPr>
                <w:rFonts w:ascii="Verdana" w:hAnsi="Verdana" w:cs="Times New Roman Bold"/>
                <w:bCs/>
                <w:sz w:val="22"/>
                <w:lang w:val="es-ES_tradnl"/>
              </w:rPr>
            </w:pPr>
          </w:p>
        </w:tc>
        <w:tc>
          <w:tcPr>
            <w:tcW w:w="3510" w:type="dxa"/>
            <w:tcBorders>
              <w:top w:val="single" w:sz="12" w:space="0" w:color="auto"/>
            </w:tcBorders>
          </w:tcPr>
          <w:p w14:paraId="7040A635" w14:textId="77777777" w:rsidR="00AE3B0C" w:rsidRPr="00702FF7" w:rsidRDefault="00AE3B0C" w:rsidP="00C949E6">
            <w:pPr>
              <w:shd w:val="solid" w:color="FFFFFF" w:fill="FFFFFF"/>
              <w:spacing w:before="0" w:after="48" w:line="240" w:lineRule="atLeast"/>
              <w:rPr>
                <w:lang w:val="es-ES_tradnl"/>
              </w:rPr>
            </w:pPr>
          </w:p>
        </w:tc>
      </w:tr>
      <w:tr w:rsidR="00AE3B0C" w:rsidRPr="00B33A8D" w14:paraId="1A37F68D" w14:textId="77777777" w:rsidTr="00B763AD">
        <w:trPr>
          <w:cantSplit/>
        </w:trPr>
        <w:tc>
          <w:tcPr>
            <w:tcW w:w="6379" w:type="dxa"/>
            <w:vMerge w:val="restart"/>
          </w:tcPr>
          <w:p w14:paraId="4409E640" w14:textId="77777777" w:rsidR="00AE3B0C" w:rsidRPr="00702FF7" w:rsidRDefault="00AE3B0C" w:rsidP="00C949E6">
            <w:pPr>
              <w:shd w:val="solid" w:color="FFFFFF" w:fill="FFFFFF"/>
              <w:spacing w:after="240"/>
              <w:rPr>
                <w:sz w:val="20"/>
                <w:lang w:val="es-ES_tradnl"/>
              </w:rPr>
            </w:pPr>
          </w:p>
        </w:tc>
        <w:tc>
          <w:tcPr>
            <w:tcW w:w="3510" w:type="dxa"/>
          </w:tcPr>
          <w:p w14:paraId="4AD2F619" w14:textId="0B1AEF8E" w:rsidR="00AE3B0C" w:rsidRPr="00702FF7" w:rsidRDefault="00AE3B0C" w:rsidP="00C949E6">
            <w:pPr>
              <w:shd w:val="solid" w:color="FFFFFF" w:fill="FFFFFF"/>
              <w:spacing w:before="0" w:line="240" w:lineRule="atLeast"/>
              <w:jc w:val="left"/>
              <w:rPr>
                <w:rFonts w:ascii="Verdana" w:hAnsi="Verdana"/>
                <w:sz w:val="20"/>
                <w:highlight w:val="yellow"/>
                <w:lang w:val="es-ES_tradnl"/>
              </w:rPr>
            </w:pPr>
            <w:r w:rsidRPr="00702FF7">
              <w:rPr>
                <w:rFonts w:ascii="Verdana" w:hAnsi="Verdana"/>
                <w:b/>
                <w:sz w:val="20"/>
                <w:lang w:val="es-ES_tradnl"/>
              </w:rPr>
              <w:t xml:space="preserve">Revisión 1 al </w:t>
            </w:r>
            <w:r w:rsidRPr="00702FF7">
              <w:rPr>
                <w:rFonts w:ascii="Verdana" w:hAnsi="Verdana"/>
                <w:b/>
                <w:sz w:val="20"/>
                <w:lang w:val="es-ES_tradnl"/>
              </w:rPr>
              <w:br/>
              <w:t>Documento RAG/TEMP/10-</w:t>
            </w:r>
            <w:r w:rsidR="00B763AD" w:rsidRPr="00702FF7">
              <w:rPr>
                <w:rFonts w:ascii="Verdana" w:hAnsi="Verdana"/>
                <w:b/>
                <w:sz w:val="20"/>
                <w:lang w:val="es-ES_tradnl"/>
              </w:rPr>
              <w:t>S</w:t>
            </w:r>
          </w:p>
        </w:tc>
      </w:tr>
      <w:tr w:rsidR="00AE3B0C" w:rsidRPr="00702FF7" w14:paraId="1633DD33" w14:textId="77777777" w:rsidTr="00B763AD">
        <w:trPr>
          <w:cantSplit/>
        </w:trPr>
        <w:tc>
          <w:tcPr>
            <w:tcW w:w="6379" w:type="dxa"/>
            <w:vMerge/>
          </w:tcPr>
          <w:p w14:paraId="6FFA2E0D" w14:textId="77777777" w:rsidR="00AE3B0C" w:rsidRPr="00702FF7" w:rsidRDefault="00AE3B0C" w:rsidP="00C949E6">
            <w:pPr>
              <w:spacing w:before="60"/>
              <w:jc w:val="center"/>
              <w:rPr>
                <w:b/>
                <w:smallCaps/>
                <w:sz w:val="32"/>
                <w:lang w:val="es-ES_tradnl"/>
              </w:rPr>
            </w:pPr>
          </w:p>
        </w:tc>
        <w:tc>
          <w:tcPr>
            <w:tcW w:w="3510" w:type="dxa"/>
          </w:tcPr>
          <w:p w14:paraId="6BC596B7" w14:textId="77777777" w:rsidR="00AE3B0C" w:rsidRPr="00702FF7" w:rsidRDefault="00AE3B0C" w:rsidP="00C949E6">
            <w:pPr>
              <w:shd w:val="solid" w:color="FFFFFF" w:fill="FFFFFF"/>
              <w:spacing w:before="0" w:line="240" w:lineRule="atLeast"/>
              <w:jc w:val="left"/>
              <w:rPr>
                <w:rFonts w:ascii="Verdana" w:hAnsi="Verdana"/>
                <w:sz w:val="20"/>
                <w:highlight w:val="yellow"/>
                <w:lang w:val="es-ES_tradnl"/>
              </w:rPr>
            </w:pPr>
            <w:r w:rsidRPr="00702FF7">
              <w:rPr>
                <w:rFonts w:ascii="Verdana" w:hAnsi="Verdana"/>
                <w:b/>
                <w:sz w:val="20"/>
                <w:lang w:val="es-ES_tradnl"/>
              </w:rPr>
              <w:t>2 de abril de 2026</w:t>
            </w:r>
          </w:p>
        </w:tc>
      </w:tr>
      <w:tr w:rsidR="00AE3B0C" w:rsidRPr="00702FF7" w14:paraId="13648E6A" w14:textId="77777777" w:rsidTr="00B763AD">
        <w:trPr>
          <w:cantSplit/>
        </w:trPr>
        <w:tc>
          <w:tcPr>
            <w:tcW w:w="6379" w:type="dxa"/>
            <w:vMerge/>
          </w:tcPr>
          <w:p w14:paraId="5EB9A499" w14:textId="77777777" w:rsidR="00AE3B0C" w:rsidRPr="00702FF7" w:rsidRDefault="00AE3B0C" w:rsidP="00C949E6">
            <w:pPr>
              <w:spacing w:before="60"/>
              <w:jc w:val="center"/>
              <w:rPr>
                <w:b/>
                <w:smallCaps/>
                <w:sz w:val="32"/>
                <w:lang w:val="es-ES_tradnl"/>
              </w:rPr>
            </w:pPr>
          </w:p>
        </w:tc>
        <w:tc>
          <w:tcPr>
            <w:tcW w:w="3510" w:type="dxa"/>
          </w:tcPr>
          <w:p w14:paraId="12EC6ED5" w14:textId="77777777" w:rsidR="00AE3B0C" w:rsidRPr="00702FF7" w:rsidRDefault="00AE3B0C" w:rsidP="00C949E6">
            <w:pPr>
              <w:shd w:val="solid" w:color="FFFFFF" w:fill="FFFFFF"/>
              <w:spacing w:before="0" w:after="120" w:line="240" w:lineRule="atLeast"/>
              <w:jc w:val="left"/>
              <w:rPr>
                <w:rFonts w:ascii="Verdana" w:hAnsi="Verdana"/>
                <w:sz w:val="20"/>
                <w:lang w:val="es-ES_tradnl"/>
              </w:rPr>
            </w:pPr>
            <w:r w:rsidRPr="00702FF7">
              <w:rPr>
                <w:rFonts w:ascii="Verdana" w:hAnsi="Verdana"/>
                <w:b/>
                <w:sz w:val="20"/>
                <w:lang w:val="es-ES_tradnl"/>
              </w:rPr>
              <w:t>Original: inglés</w:t>
            </w:r>
          </w:p>
        </w:tc>
      </w:tr>
      <w:tr w:rsidR="00AE3B0C" w:rsidRPr="00702FF7" w14:paraId="1C65F2D4" w14:textId="77777777" w:rsidTr="00C949E6">
        <w:trPr>
          <w:cantSplit/>
        </w:trPr>
        <w:tc>
          <w:tcPr>
            <w:tcW w:w="9889" w:type="dxa"/>
            <w:gridSpan w:val="2"/>
          </w:tcPr>
          <w:tbl>
            <w:tblPr>
              <w:tblpPr w:leftFromText="180" w:rightFromText="180" w:horzAnchor="margin" w:tblpY="-615"/>
              <w:tblW w:w="9889" w:type="dxa"/>
              <w:tblLayout w:type="fixed"/>
              <w:tblLook w:val="0000" w:firstRow="0" w:lastRow="0" w:firstColumn="0" w:lastColumn="0" w:noHBand="0" w:noVBand="0"/>
            </w:tblPr>
            <w:tblGrid>
              <w:gridCol w:w="9889"/>
            </w:tblGrid>
            <w:tr w:rsidR="00AE3B0C" w:rsidRPr="00533FD9" w14:paraId="1C70893A" w14:textId="77777777" w:rsidTr="00C949E6">
              <w:trPr>
                <w:cantSplit/>
              </w:trPr>
              <w:tc>
                <w:tcPr>
                  <w:tcW w:w="9889" w:type="dxa"/>
                </w:tcPr>
                <w:p w14:paraId="13B8325B" w14:textId="77777777" w:rsidR="00AE3B0C" w:rsidRPr="00702FF7" w:rsidRDefault="00AE3B0C" w:rsidP="00C949E6">
                  <w:pPr>
                    <w:pStyle w:val="Source"/>
                    <w:rPr>
                      <w:rFonts w:ascii="Times New Roman Bold" w:hAnsi="Times New Roman Bold"/>
                      <w:caps/>
                      <w:lang w:val="es-ES_tradnl"/>
                    </w:rPr>
                  </w:pPr>
                  <w:r w:rsidRPr="00533FD9">
                    <w:rPr>
                      <w:rFonts w:asciiTheme="minorHAnsi" w:hAnsiTheme="minorHAnsi" w:cstheme="minorHAnsi"/>
                      <w:lang w:val="fr-FR"/>
                    </w:rPr>
                    <w:t>Grupo Asesor de Radiocomunicaciones (GAR)</w:t>
                  </w:r>
                </w:p>
              </w:tc>
            </w:tr>
            <w:tr w:rsidR="00AE3B0C" w:rsidRPr="00B33A8D" w14:paraId="244A1DCD" w14:textId="77777777" w:rsidTr="00C949E6">
              <w:trPr>
                <w:cantSplit/>
              </w:trPr>
              <w:tc>
                <w:tcPr>
                  <w:tcW w:w="9889" w:type="dxa"/>
                </w:tcPr>
                <w:p w14:paraId="244D4A71" w14:textId="77777777" w:rsidR="00AE3B0C" w:rsidRPr="00702FF7" w:rsidRDefault="00AE3B0C" w:rsidP="00C949E6">
                  <w:pPr>
                    <w:pStyle w:val="Title1"/>
                    <w:rPr>
                      <w:rFonts w:ascii="Times New Roman" w:hAnsi="Times New Roman"/>
                      <w:caps w:val="0"/>
                      <w:szCs w:val="28"/>
                      <w:lang w:val="es-ES_tradnl"/>
                    </w:rPr>
                  </w:pPr>
                  <w:r w:rsidRPr="00B33A8D">
                    <w:rPr>
                      <w:rFonts w:asciiTheme="minorHAnsi" w:hAnsiTheme="minorHAnsi" w:cstheme="minorHAnsi"/>
                      <w:lang w:val="it-IT"/>
                    </w:rPr>
                    <w:t>Nota del Presidente del GAR al Grupo de Trabajo del Consejo sobre Recursos Humanos y Financieros</w:t>
                  </w:r>
                </w:p>
                <w:p w14:paraId="442D98C2" w14:textId="77777777" w:rsidR="00AE3B0C" w:rsidRPr="00702FF7" w:rsidRDefault="00AE3B0C" w:rsidP="00C949E6">
                  <w:pPr>
                    <w:pStyle w:val="Title1"/>
                    <w:rPr>
                      <w:rFonts w:ascii="Times New Roman" w:hAnsi="Times New Roman"/>
                      <w:caps w:val="0"/>
                      <w:szCs w:val="28"/>
                      <w:lang w:val="es-ES_tradnl"/>
                    </w:rPr>
                  </w:pPr>
                </w:p>
              </w:tc>
            </w:tr>
          </w:tbl>
          <w:tbl>
            <w:tblPr>
              <w:tblStyle w:val="TableGrid"/>
              <w:tblW w:w="0" w:type="auto"/>
              <w:tblLayout w:type="fixed"/>
              <w:tblLook w:val="04A0" w:firstRow="1" w:lastRow="0" w:firstColumn="1" w:lastColumn="0" w:noHBand="0" w:noVBand="1"/>
            </w:tblPr>
            <w:tblGrid>
              <w:gridCol w:w="9629"/>
            </w:tblGrid>
            <w:tr w:rsidR="00AE3B0C" w:rsidRPr="00702FF7" w14:paraId="4429D39A" w14:textId="77777777" w:rsidTr="00C949E6">
              <w:tc>
                <w:tcPr>
                  <w:tcW w:w="9629" w:type="dxa"/>
                  <w:tcBorders>
                    <w:top w:val="single" w:sz="12" w:space="0" w:color="auto"/>
                    <w:left w:val="single" w:sz="12" w:space="0" w:color="auto"/>
                    <w:bottom w:val="single" w:sz="12" w:space="0" w:color="auto"/>
                    <w:right w:val="single" w:sz="12" w:space="0" w:color="auto"/>
                  </w:tcBorders>
                </w:tcPr>
                <w:p w14:paraId="4A65F459" w14:textId="77777777" w:rsidR="00AE3B0C" w:rsidRPr="00702FF7" w:rsidRDefault="00AE3B0C" w:rsidP="00C949E6">
                  <w:pPr>
                    <w:rPr>
                      <w:b/>
                      <w:bCs/>
                      <w:sz w:val="26"/>
                      <w:szCs w:val="26"/>
                      <w:lang w:val="es-ES_tradnl"/>
                    </w:rPr>
                  </w:pPr>
                  <w:r w:rsidRPr="00702FF7">
                    <w:rPr>
                      <w:b/>
                      <w:bCs/>
                      <w:sz w:val="26"/>
                      <w:szCs w:val="26"/>
                      <w:lang w:val="es-ES_tradnl"/>
                    </w:rPr>
                    <w:t xml:space="preserve">Finalidad </w:t>
                  </w:r>
                </w:p>
                <w:p w14:paraId="13D2F78B" w14:textId="6F8C21AC" w:rsidR="00AE3B0C" w:rsidRPr="00702FF7" w:rsidRDefault="00AE3B0C" w:rsidP="00B51417">
                  <w:pPr>
                    <w:rPr>
                      <w:color w:val="000000" w:themeColor="text1"/>
                      <w:lang w:val="es-ES_tradnl"/>
                    </w:rPr>
                  </w:pPr>
                  <w:r w:rsidRPr="00702FF7">
                    <w:rPr>
                      <w:color w:val="000000" w:themeColor="text1"/>
                      <w:lang w:val="es-ES_tradnl"/>
                    </w:rPr>
                    <w:t xml:space="preserve">El presente documento contiene una </w:t>
                  </w:r>
                  <w:r w:rsidRPr="00702FF7">
                    <w:rPr>
                      <w:rFonts w:asciiTheme="minorHAnsi" w:hAnsiTheme="minorHAnsi" w:cstheme="minorHAnsi"/>
                      <w:szCs w:val="24"/>
                      <w:lang w:val="es-ES_tradnl" w:eastAsia="zh-CN"/>
                    </w:rPr>
                    <w:t>nota del Presidente del GAR al Grupo de Trabajo del Consejo sobre Recursos Humanos y Financieros (GTC-RHF)</w:t>
                  </w:r>
                  <w:r w:rsidRPr="00702FF7">
                    <w:rPr>
                      <w:color w:val="000000" w:themeColor="text1"/>
                      <w:lang w:val="es-ES_tradnl"/>
                    </w:rPr>
                    <w:t xml:space="preserve"> </w:t>
                  </w:r>
                  <w:r w:rsidRPr="00702FF7">
                    <w:rPr>
                      <w:lang w:val="es-ES_tradnl"/>
                    </w:rPr>
                    <w:t>relativa al proceso de elaboración de estimaciones de las repercusiones financieras de las decisiones y resoluciones propuestas en las conferencias y asambleas de la UIT</w:t>
                  </w:r>
                  <w:r w:rsidRPr="00702FF7">
                    <w:rPr>
                      <w:color w:val="000000" w:themeColor="text1"/>
                      <w:lang w:val="es-ES_tradnl"/>
                    </w:rPr>
                    <w:t xml:space="preserve">. </w:t>
                  </w:r>
                </w:p>
                <w:p w14:paraId="1F6F5ABA" w14:textId="77777777" w:rsidR="00AE3B0C" w:rsidRPr="00702FF7" w:rsidRDefault="00AE3B0C" w:rsidP="00C949E6">
                  <w:pPr>
                    <w:rPr>
                      <w:b/>
                      <w:bCs/>
                      <w:sz w:val="26"/>
                      <w:szCs w:val="26"/>
                      <w:lang w:val="es-ES_tradnl"/>
                    </w:rPr>
                  </w:pPr>
                  <w:r w:rsidRPr="00702FF7">
                    <w:rPr>
                      <w:b/>
                      <w:bCs/>
                      <w:sz w:val="26"/>
                      <w:szCs w:val="26"/>
                      <w:lang w:val="es-ES_tradnl"/>
                    </w:rPr>
                    <w:t>Acción solicitada</w:t>
                  </w:r>
                </w:p>
                <w:p w14:paraId="0DF85323" w14:textId="77777777" w:rsidR="00AE3B0C" w:rsidRPr="00702FF7" w:rsidRDefault="00AE3B0C" w:rsidP="00C949E6">
                  <w:pPr>
                    <w:rPr>
                      <w:lang w:val="es-ES_tradnl"/>
                    </w:rPr>
                  </w:pPr>
                  <w:r w:rsidRPr="00702FF7">
                    <w:rPr>
                      <w:lang w:val="es-ES_tradnl"/>
                    </w:rPr>
                    <w:t xml:space="preserve">Se invita al Consejo a </w:t>
                  </w:r>
                  <w:r w:rsidRPr="00702FF7">
                    <w:rPr>
                      <w:b/>
                      <w:bCs/>
                      <w:lang w:val="es-ES_tradnl"/>
                    </w:rPr>
                    <w:t xml:space="preserve">examinar </w:t>
                  </w:r>
                  <w:r w:rsidRPr="00702FF7">
                    <w:rPr>
                      <w:lang w:val="es-ES_tradnl"/>
                    </w:rPr>
                    <w:t>las observaciones del GAR.</w:t>
                  </w:r>
                </w:p>
                <w:p w14:paraId="0A9A16B9" w14:textId="77777777" w:rsidR="00AE3B0C" w:rsidRPr="00702FF7" w:rsidRDefault="00AE3B0C" w:rsidP="00C949E6">
                  <w:pPr>
                    <w:rPr>
                      <w:lang w:val="es-ES_tradnl"/>
                    </w:rPr>
                  </w:pPr>
                  <w:r w:rsidRPr="00702FF7">
                    <w:rPr>
                      <w:lang w:val="es-ES_tradnl"/>
                    </w:rPr>
                    <w:t>_______________</w:t>
                  </w:r>
                </w:p>
                <w:p w14:paraId="76E6DAF4" w14:textId="77777777" w:rsidR="00AE3B0C" w:rsidRPr="00702FF7" w:rsidRDefault="00AE3B0C" w:rsidP="00C949E6">
                  <w:pPr>
                    <w:rPr>
                      <w:b/>
                      <w:bCs/>
                      <w:i/>
                      <w:iCs/>
                      <w:sz w:val="26"/>
                      <w:szCs w:val="26"/>
                      <w:lang w:val="es-ES_tradnl"/>
                    </w:rPr>
                  </w:pPr>
                  <w:r w:rsidRPr="00702FF7">
                    <w:rPr>
                      <w:b/>
                      <w:bCs/>
                      <w:sz w:val="26"/>
                      <w:szCs w:val="26"/>
                      <w:lang w:val="es-ES_tradnl"/>
                    </w:rPr>
                    <w:t xml:space="preserve">Referencias </w:t>
                  </w:r>
                </w:p>
                <w:p w14:paraId="116AAADE" w14:textId="29A22266" w:rsidR="00AE3B0C" w:rsidRPr="00702FF7" w:rsidRDefault="00AE3B0C" w:rsidP="00C949E6">
                  <w:pPr>
                    <w:spacing w:after="200"/>
                    <w:rPr>
                      <w:lang w:val="es-ES_tradnl"/>
                    </w:rPr>
                  </w:pPr>
                  <w:hyperlink r:id="rId100" w:history="1">
                    <w:r w:rsidRPr="00533FD9">
                      <w:rPr>
                        <w:rStyle w:val="Hyperlink"/>
                        <w:lang w:val="es-ES_tradnl"/>
                      </w:rPr>
                      <w:t>Documento</w:t>
                    </w:r>
                    <w:r w:rsidR="003D461A" w:rsidRPr="00533FD9">
                      <w:rPr>
                        <w:rStyle w:val="Hyperlink"/>
                        <w:lang w:val="es-ES_tradnl"/>
                      </w:rPr>
                      <w:t xml:space="preserve"> </w:t>
                    </w:r>
                    <w:r w:rsidRPr="00533FD9">
                      <w:rPr>
                        <w:rStyle w:val="Hyperlink"/>
                        <w:lang w:val="es-ES_tradnl"/>
                      </w:rPr>
                      <w:t>RAG/57</w:t>
                    </w:r>
                  </w:hyperlink>
                </w:p>
              </w:tc>
            </w:tr>
          </w:tbl>
          <w:p w14:paraId="13A78354" w14:textId="77777777" w:rsidR="00AE3B0C" w:rsidRPr="00702FF7" w:rsidRDefault="00AE3B0C" w:rsidP="00C949E6">
            <w:pPr>
              <w:pStyle w:val="Source"/>
              <w:rPr>
                <w:lang w:val="es-ES_tradnl"/>
              </w:rPr>
            </w:pPr>
          </w:p>
        </w:tc>
      </w:tr>
    </w:tbl>
    <w:p w14:paraId="31E62C48" w14:textId="77777777" w:rsidR="00AE3B0C" w:rsidRPr="00702FF7" w:rsidRDefault="00AE3B0C" w:rsidP="00AE3B0C">
      <w:pPr>
        <w:overflowPunct/>
        <w:autoSpaceDE/>
        <w:autoSpaceDN/>
        <w:adjustRightInd/>
        <w:spacing w:before="0"/>
        <w:textAlignment w:val="auto"/>
        <w:rPr>
          <w:lang w:val="es-ES_tradnl"/>
        </w:rPr>
      </w:pPr>
      <w:r w:rsidRPr="00702FF7">
        <w:rPr>
          <w:lang w:val="es-ES_tradnl"/>
        </w:rPr>
        <w:br w:type="page"/>
      </w:r>
    </w:p>
    <w:p w14:paraId="654F69E2" w14:textId="48C132FE" w:rsidR="00AE3B0C" w:rsidRPr="00702FF7" w:rsidRDefault="00AE3B0C" w:rsidP="00E967C8">
      <w:pPr>
        <w:pStyle w:val="Heading1"/>
        <w:rPr>
          <w:lang w:val="es-ES_tradnl"/>
        </w:rPr>
      </w:pPr>
      <w:r w:rsidRPr="00702FF7">
        <w:rPr>
          <w:lang w:val="es-ES_tradnl"/>
        </w:rPr>
        <w:lastRenderedPageBreak/>
        <w:t>1</w:t>
      </w:r>
      <w:r w:rsidRPr="00702FF7">
        <w:rPr>
          <w:lang w:val="es-ES_tradnl"/>
        </w:rPr>
        <w:tab/>
        <w:t>Antecedentes</w:t>
      </w:r>
    </w:p>
    <w:p w14:paraId="329DFBE3" w14:textId="77777777" w:rsidR="00AE3B0C" w:rsidRPr="00702FF7" w:rsidRDefault="00AE3B0C" w:rsidP="00E967C8">
      <w:pPr>
        <w:rPr>
          <w:lang w:val="es-ES_tradnl"/>
        </w:rPr>
      </w:pPr>
      <w:r w:rsidRPr="00702FF7">
        <w:rPr>
          <w:lang w:val="es-ES_tradnl"/>
        </w:rPr>
        <w:t xml:space="preserve">El GAR examinó la declaración de coordinación del GTC-RHF (Documento RAG/57) dirigida a los distintos grupos asesores sectoriales y al Grupo de Coordinación Intersectorial (GCIS) sobre un proceso para estimar las repercusiones financieras de las decisiones y resoluciones propuestas en las conferencias y asambleas de la UIT. </w:t>
      </w:r>
    </w:p>
    <w:p w14:paraId="71D505CF" w14:textId="77777777" w:rsidR="00AE3B0C" w:rsidRPr="00702FF7" w:rsidRDefault="00AE3B0C" w:rsidP="00E967C8">
      <w:pPr>
        <w:rPr>
          <w:lang w:val="es-ES_tradnl"/>
        </w:rPr>
      </w:pPr>
      <w:r w:rsidRPr="00702FF7">
        <w:rPr>
          <w:lang w:val="es-ES_tradnl"/>
        </w:rPr>
        <w:t>El GAR debatió las dificultades inherentes al cálculo de dichas estimaciones en el contexto de las conferencias mundiales de radiocomunicaciones.</w:t>
      </w:r>
    </w:p>
    <w:p w14:paraId="609F3833" w14:textId="4FA94063" w:rsidR="00AE3B0C" w:rsidRPr="00702FF7" w:rsidRDefault="00AE3B0C" w:rsidP="00E967C8">
      <w:pPr>
        <w:pStyle w:val="Heading1"/>
        <w:rPr>
          <w:lang w:val="es-ES_tradnl"/>
        </w:rPr>
      </w:pPr>
      <w:r w:rsidRPr="00702FF7">
        <w:rPr>
          <w:lang w:val="es-ES_tradnl"/>
        </w:rPr>
        <w:t>2</w:t>
      </w:r>
      <w:r w:rsidRPr="00702FF7">
        <w:rPr>
          <w:lang w:val="es-ES_tradnl"/>
        </w:rPr>
        <w:tab/>
        <w:t>Propuesta</w:t>
      </w:r>
    </w:p>
    <w:p w14:paraId="573BD996" w14:textId="77777777" w:rsidR="00AE3B0C" w:rsidRPr="00702FF7" w:rsidRDefault="00AE3B0C" w:rsidP="00E967C8">
      <w:pPr>
        <w:rPr>
          <w:lang w:val="es-ES_tradnl"/>
        </w:rPr>
      </w:pPr>
      <w:r w:rsidRPr="00702FF7">
        <w:rPr>
          <w:lang w:val="es-ES_tradnl"/>
        </w:rPr>
        <w:t xml:space="preserve">Dada la complejidad que revisten los temas, los puntos del orden del día y las decisiones y resoluciones conexas, tal vez resulte difícil aplicar la metodología de estimación de costes propuesta antes de la CMR-27. </w:t>
      </w:r>
    </w:p>
    <w:p w14:paraId="6F1D5427" w14:textId="77777777" w:rsidR="00AE3B0C" w:rsidRPr="00702FF7" w:rsidRDefault="00AE3B0C" w:rsidP="00AE3B0C">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lang w:val="es-ES_tradnl"/>
        </w:rPr>
      </w:pPr>
      <w:r w:rsidRPr="00702FF7">
        <w:rPr>
          <w:rFonts w:ascii="Times New Roman" w:hAnsi="Times New Roman" w:cs="Times New Roman"/>
          <w:szCs w:val="24"/>
          <w:highlight w:val="yellow"/>
          <w:lang w:val="es-ES_tradnl"/>
        </w:rPr>
        <w:br w:type="page"/>
      </w:r>
    </w:p>
    <w:p w14:paraId="5332504E" w14:textId="77777777" w:rsidR="00AE3B0C" w:rsidRPr="00702FF7" w:rsidRDefault="00AE3B0C" w:rsidP="00E967C8">
      <w:pPr>
        <w:pStyle w:val="AnnexNo"/>
        <w:rPr>
          <w:lang w:val="es-ES_tradnl"/>
        </w:rPr>
      </w:pPr>
      <w:r w:rsidRPr="00702FF7">
        <w:rPr>
          <w:lang w:val="es-ES_tradnl"/>
        </w:rPr>
        <w:lastRenderedPageBreak/>
        <w:t>ANEXO 5</w:t>
      </w:r>
    </w:p>
    <w:p w14:paraId="422F5DCF" w14:textId="77777777" w:rsidR="00AE3B0C" w:rsidRPr="00702FF7" w:rsidRDefault="00AE3B0C" w:rsidP="00E967C8">
      <w:pPr>
        <w:pStyle w:val="Annextitle"/>
        <w:rPr>
          <w:lang w:val="es-ES_tradnl" w:eastAsia="en-GB"/>
        </w:rPr>
      </w:pPr>
      <w:r w:rsidRPr="00702FF7">
        <w:rPr>
          <w:lang w:val="es-ES_tradnl" w:eastAsia="en-GB"/>
        </w:rPr>
        <w:t>Mandato del Grupo por Correspondencia del GAR sobre el estudio de posibles mejoras a la estructura y el marco de las comisiones de estudio de radiocomunicaciones</w:t>
      </w:r>
    </w:p>
    <w:p w14:paraId="4E6D1F41" w14:textId="76D227B0" w:rsidR="00AE3B0C" w:rsidRPr="00702FF7" w:rsidRDefault="00AE3B0C" w:rsidP="00E967C8">
      <w:pPr>
        <w:spacing w:after="240"/>
        <w:rPr>
          <w:lang w:val="es-ES_tradnl"/>
        </w:rPr>
      </w:pPr>
      <w:r w:rsidRPr="00702FF7">
        <w:rPr>
          <w:rFonts w:asciiTheme="minorHAnsi" w:hAnsiTheme="minorHAnsi" w:cstheme="minorHAnsi"/>
          <w:szCs w:val="24"/>
          <w:lang w:val="es-ES_tradnl" w:eastAsia="en-GB"/>
        </w:rPr>
        <w:t>Véase RAG/TEMP/13-Rev.1:</w:t>
      </w:r>
      <w:r w:rsidR="00E967C8" w:rsidRPr="00702FF7">
        <w:rPr>
          <w:rFonts w:asciiTheme="minorHAnsi" w:hAnsiTheme="minorHAnsi" w:cstheme="minorHAnsi"/>
          <w:szCs w:val="24"/>
          <w:lang w:val="es-ES_tradnl" w:eastAsia="en-GB"/>
        </w:rPr>
        <w:t xml:space="preserve"> </w:t>
      </w:r>
      <w:hyperlink r:id="rId101" w:history="1">
        <w:r w:rsidR="00E967C8" w:rsidRPr="00702FF7">
          <w:rPr>
            <w:rStyle w:val="Hyperlink"/>
            <w:lang w:val="es-ES_tradnl"/>
          </w:rPr>
          <w:t>https://www.itu.int/md/R23-RAG-260330-TD-0013/es</w:t>
        </w:r>
      </w:hyperlink>
      <w:r w:rsidR="00E967C8" w:rsidRPr="00702FF7">
        <w:rPr>
          <w:lang w:val="es-ES_tradnl"/>
        </w:rPr>
        <w:t>.</w:t>
      </w:r>
      <w:r w:rsidRPr="00702FF7">
        <w:rPr>
          <w:lang w:val="es-ES_tradnl"/>
        </w:rPr>
        <w:t xml:space="preserve"> </w:t>
      </w:r>
    </w:p>
    <w:tbl>
      <w:tblPr>
        <w:tblW w:w="9889" w:type="dxa"/>
        <w:tblLayout w:type="fixed"/>
        <w:tblLook w:val="0000" w:firstRow="0" w:lastRow="0" w:firstColumn="0" w:lastColumn="0" w:noHBand="0" w:noVBand="0"/>
      </w:tblPr>
      <w:tblGrid>
        <w:gridCol w:w="5954"/>
        <w:gridCol w:w="3935"/>
      </w:tblGrid>
      <w:tr w:rsidR="00AE3B0C" w:rsidRPr="00702FF7" w14:paraId="17F39804" w14:textId="77777777" w:rsidTr="00C949E6">
        <w:trPr>
          <w:cantSplit/>
        </w:trPr>
        <w:tc>
          <w:tcPr>
            <w:tcW w:w="5954" w:type="dxa"/>
            <w:vAlign w:val="center"/>
          </w:tcPr>
          <w:p w14:paraId="3E610A1E" w14:textId="77777777" w:rsidR="00AE3B0C" w:rsidRPr="00702FF7" w:rsidRDefault="00AE3B0C" w:rsidP="00C949E6">
            <w:pPr>
              <w:shd w:val="solid" w:color="FFFFFF" w:fill="FFFFFF"/>
              <w:tabs>
                <w:tab w:val="left" w:pos="601"/>
              </w:tabs>
              <w:spacing w:before="360" w:after="240"/>
              <w:rPr>
                <w:rFonts w:ascii="Verdana" w:hAnsi="Verdana" w:cs="Times New Roman"/>
                <w:b/>
                <w:bCs/>
                <w:lang w:val="es-ES_tradnl"/>
              </w:rPr>
            </w:pPr>
            <w:r w:rsidRPr="00702FF7">
              <w:rPr>
                <w:rFonts w:ascii="Verdana" w:hAnsi="Verdana" w:cs="Times New Roman"/>
                <w:b/>
                <w:sz w:val="26"/>
                <w:szCs w:val="26"/>
                <w:lang w:val="es-ES_tradnl"/>
              </w:rPr>
              <w:t>Grupo Asesor de Radiocomunicaciones</w:t>
            </w:r>
            <w:r w:rsidRPr="00702FF7">
              <w:rPr>
                <w:rFonts w:ascii="Verdana" w:hAnsi="Verdana" w:cs="Times New Roman"/>
                <w:b/>
                <w:sz w:val="26"/>
                <w:szCs w:val="26"/>
                <w:lang w:val="es-ES_tradnl"/>
              </w:rPr>
              <w:br/>
            </w:r>
          </w:p>
        </w:tc>
        <w:tc>
          <w:tcPr>
            <w:tcW w:w="3935" w:type="dxa"/>
            <w:vAlign w:val="center"/>
          </w:tcPr>
          <w:p w14:paraId="2BCDF9C4" w14:textId="77777777" w:rsidR="00AE3B0C" w:rsidRPr="00702FF7" w:rsidRDefault="00AE3B0C" w:rsidP="00C949E6">
            <w:pPr>
              <w:shd w:val="solid" w:color="FFFFFF" w:fill="FFFFFF"/>
              <w:spacing w:line="240" w:lineRule="atLeast"/>
              <w:jc w:val="right"/>
              <w:rPr>
                <w:rFonts w:ascii="Verdana" w:hAnsi="Verdana" w:cs="Times New Roman"/>
                <w:lang w:val="es-ES_tradnl"/>
              </w:rPr>
            </w:pPr>
            <w:r w:rsidRPr="00702FF7">
              <w:rPr>
                <w:rFonts w:ascii="Verdana" w:hAnsi="Verdana" w:cs="Times New Roman"/>
                <w:noProof/>
                <w:lang w:val="es-ES_tradnl"/>
              </w:rPr>
              <w:drawing>
                <wp:inline distT="0" distB="0" distL="0" distR="0" wp14:anchorId="7DA9A47E" wp14:editId="7018803D">
                  <wp:extent cx="844492" cy="844492"/>
                  <wp:effectExtent l="0" t="0" r="0" b="0"/>
                  <wp:docPr id="2075995336" name="Picture 2075995336"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6">
                            <a:extLst>
                              <a:ext uri="{28A0092B-C50C-407E-A947-70E740481C1C}">
                                <a14:useLocalDpi xmlns:a14="http://schemas.microsoft.com/office/drawing/2010/main" val="0"/>
                              </a:ext>
                            </a:extLst>
                          </a:blip>
                          <a:stretch>
                            <a:fillRect/>
                          </a:stretch>
                        </pic:blipFill>
                        <pic:spPr>
                          <a:xfrm>
                            <a:off x="0" y="0"/>
                            <a:ext cx="844492" cy="844492"/>
                          </a:xfrm>
                          <a:prstGeom prst="rect">
                            <a:avLst/>
                          </a:prstGeom>
                        </pic:spPr>
                      </pic:pic>
                    </a:graphicData>
                  </a:graphic>
                </wp:inline>
              </w:drawing>
            </w:r>
          </w:p>
        </w:tc>
      </w:tr>
      <w:tr w:rsidR="00AE3B0C" w:rsidRPr="00702FF7" w14:paraId="5B551E46" w14:textId="77777777" w:rsidTr="00C949E6">
        <w:trPr>
          <w:cantSplit/>
        </w:trPr>
        <w:tc>
          <w:tcPr>
            <w:tcW w:w="5954" w:type="dxa"/>
            <w:tcBorders>
              <w:bottom w:val="single" w:sz="12" w:space="0" w:color="auto"/>
            </w:tcBorders>
          </w:tcPr>
          <w:p w14:paraId="771B93B0" w14:textId="77777777" w:rsidR="00AE3B0C" w:rsidRPr="00702FF7" w:rsidRDefault="00AE3B0C" w:rsidP="00C949E6">
            <w:pPr>
              <w:shd w:val="solid" w:color="FFFFFF" w:fill="FFFFFF"/>
              <w:spacing w:after="48"/>
              <w:rPr>
                <w:rFonts w:ascii="Verdana" w:hAnsi="Verdana" w:cs="Times New Roman"/>
                <w:b/>
                <w:sz w:val="22"/>
                <w:lang w:val="es-ES_tradnl"/>
              </w:rPr>
            </w:pPr>
          </w:p>
        </w:tc>
        <w:tc>
          <w:tcPr>
            <w:tcW w:w="3935" w:type="dxa"/>
            <w:tcBorders>
              <w:bottom w:val="single" w:sz="12" w:space="0" w:color="auto"/>
            </w:tcBorders>
          </w:tcPr>
          <w:p w14:paraId="77FDB6A7" w14:textId="77777777" w:rsidR="00AE3B0C" w:rsidRPr="00702FF7" w:rsidRDefault="00AE3B0C" w:rsidP="00C949E6">
            <w:pPr>
              <w:shd w:val="solid" w:color="FFFFFF" w:fill="FFFFFF"/>
              <w:spacing w:after="48" w:line="240" w:lineRule="atLeast"/>
              <w:rPr>
                <w:rFonts w:ascii="Verdana" w:hAnsi="Verdana" w:cs="Times New Roman"/>
                <w:sz w:val="22"/>
                <w:lang w:val="es-ES_tradnl"/>
              </w:rPr>
            </w:pPr>
          </w:p>
        </w:tc>
      </w:tr>
      <w:tr w:rsidR="00AE3B0C" w:rsidRPr="00702FF7" w14:paraId="477D0427" w14:textId="77777777" w:rsidTr="00C949E6">
        <w:trPr>
          <w:cantSplit/>
        </w:trPr>
        <w:tc>
          <w:tcPr>
            <w:tcW w:w="5954" w:type="dxa"/>
            <w:tcBorders>
              <w:top w:val="single" w:sz="12" w:space="0" w:color="auto"/>
            </w:tcBorders>
          </w:tcPr>
          <w:p w14:paraId="6B775C23" w14:textId="77777777" w:rsidR="00AE3B0C" w:rsidRPr="00702FF7" w:rsidRDefault="00AE3B0C" w:rsidP="00C949E6">
            <w:pPr>
              <w:shd w:val="solid" w:color="FFFFFF" w:fill="FFFFFF"/>
              <w:spacing w:after="48"/>
              <w:rPr>
                <w:rFonts w:ascii="Verdana" w:hAnsi="Verdana" w:cs="Times New Roman"/>
                <w:bCs/>
                <w:sz w:val="22"/>
                <w:lang w:val="es-ES_tradnl"/>
              </w:rPr>
            </w:pPr>
          </w:p>
        </w:tc>
        <w:tc>
          <w:tcPr>
            <w:tcW w:w="3935" w:type="dxa"/>
            <w:tcBorders>
              <w:top w:val="single" w:sz="12" w:space="0" w:color="auto"/>
            </w:tcBorders>
          </w:tcPr>
          <w:p w14:paraId="5D169C74" w14:textId="77777777" w:rsidR="00AE3B0C" w:rsidRPr="00702FF7" w:rsidRDefault="00AE3B0C" w:rsidP="00C949E6">
            <w:pPr>
              <w:shd w:val="solid" w:color="FFFFFF" w:fill="FFFFFF"/>
              <w:spacing w:after="48" w:line="240" w:lineRule="atLeast"/>
              <w:rPr>
                <w:rFonts w:ascii="Verdana" w:hAnsi="Verdana" w:cs="Times New Roman"/>
                <w:lang w:val="es-ES_tradnl"/>
              </w:rPr>
            </w:pPr>
          </w:p>
        </w:tc>
      </w:tr>
      <w:tr w:rsidR="00AE3B0C" w:rsidRPr="00702FF7" w14:paraId="7FC0025B" w14:textId="77777777" w:rsidTr="00C949E6">
        <w:trPr>
          <w:cantSplit/>
        </w:trPr>
        <w:tc>
          <w:tcPr>
            <w:tcW w:w="5954" w:type="dxa"/>
            <w:vMerge w:val="restart"/>
          </w:tcPr>
          <w:p w14:paraId="2215293B" w14:textId="77777777" w:rsidR="00AE3B0C" w:rsidRPr="00702FF7" w:rsidRDefault="00AE3B0C" w:rsidP="00C949E6">
            <w:pPr>
              <w:shd w:val="solid" w:color="FFFFFF" w:fill="FFFFFF"/>
              <w:spacing w:after="240"/>
              <w:rPr>
                <w:rFonts w:ascii="Verdana" w:hAnsi="Verdana" w:cs="Times New Roman"/>
                <w:sz w:val="20"/>
                <w:lang w:val="es-ES_tradnl"/>
              </w:rPr>
            </w:pPr>
          </w:p>
        </w:tc>
        <w:tc>
          <w:tcPr>
            <w:tcW w:w="3935" w:type="dxa"/>
          </w:tcPr>
          <w:p w14:paraId="20DB86D7" w14:textId="23C205F8" w:rsidR="00AE3B0C" w:rsidRPr="00702FF7" w:rsidRDefault="00AE3B0C" w:rsidP="00C949E6">
            <w:pPr>
              <w:shd w:val="clear" w:color="auto" w:fill="FFFFFF" w:themeFill="background1"/>
              <w:spacing w:before="0" w:line="240" w:lineRule="atLeast"/>
              <w:jc w:val="left"/>
              <w:rPr>
                <w:rFonts w:ascii="Verdana" w:hAnsi="Verdana" w:cs="Times New Roman"/>
                <w:b/>
                <w:sz w:val="20"/>
                <w:szCs w:val="20"/>
                <w:lang w:val="es-ES_tradnl"/>
              </w:rPr>
            </w:pPr>
            <w:r w:rsidRPr="00702FF7">
              <w:rPr>
                <w:rFonts w:ascii="Verdana" w:hAnsi="Verdana" w:cs="Times New Roman"/>
                <w:b/>
                <w:sz w:val="20"/>
                <w:szCs w:val="20"/>
                <w:lang w:val="es-ES_tradnl"/>
              </w:rPr>
              <w:t>Revisión 1 al</w:t>
            </w:r>
            <w:r w:rsidRPr="00702FF7">
              <w:rPr>
                <w:rFonts w:ascii="Verdana" w:hAnsi="Verdana" w:cs="Times New Roman"/>
                <w:b/>
                <w:sz w:val="20"/>
                <w:szCs w:val="20"/>
                <w:lang w:val="es-ES_tradnl"/>
              </w:rPr>
              <w:br/>
              <w:t>Documento RAG/TEMP/13-</w:t>
            </w:r>
            <w:r w:rsidR="00E967C8" w:rsidRPr="00702FF7">
              <w:rPr>
                <w:rFonts w:ascii="Verdana" w:hAnsi="Verdana" w:cs="Times New Roman"/>
                <w:b/>
                <w:sz w:val="20"/>
                <w:szCs w:val="20"/>
                <w:lang w:val="es-ES_tradnl"/>
              </w:rPr>
              <w:t>S</w:t>
            </w:r>
          </w:p>
          <w:p w14:paraId="20D0A7BF" w14:textId="77777777" w:rsidR="00AE3B0C" w:rsidRPr="00702FF7" w:rsidRDefault="00AE3B0C" w:rsidP="00C949E6">
            <w:pPr>
              <w:shd w:val="clear" w:color="auto" w:fill="FFFFFF" w:themeFill="background1"/>
              <w:spacing w:before="0" w:line="240" w:lineRule="atLeast"/>
              <w:jc w:val="left"/>
              <w:rPr>
                <w:rFonts w:ascii="Verdana" w:hAnsi="Verdana" w:cs="Times New Roman"/>
                <w:sz w:val="20"/>
                <w:szCs w:val="20"/>
                <w:lang w:val="es-ES_tradnl"/>
              </w:rPr>
            </w:pPr>
            <w:r w:rsidRPr="00702FF7">
              <w:rPr>
                <w:rFonts w:ascii="Verdana" w:hAnsi="Verdana" w:cs="Times New Roman"/>
                <w:b/>
                <w:sz w:val="20"/>
                <w:szCs w:val="20"/>
                <w:lang w:val="es-ES_tradnl"/>
              </w:rPr>
              <w:t>2 de abril de 2026</w:t>
            </w:r>
          </w:p>
        </w:tc>
      </w:tr>
      <w:tr w:rsidR="00AE3B0C" w:rsidRPr="00702FF7" w14:paraId="325164D3" w14:textId="77777777" w:rsidTr="00C949E6">
        <w:trPr>
          <w:cantSplit/>
          <w:trHeight w:val="60"/>
        </w:trPr>
        <w:tc>
          <w:tcPr>
            <w:tcW w:w="5954" w:type="dxa"/>
            <w:vMerge/>
          </w:tcPr>
          <w:p w14:paraId="04275134" w14:textId="77777777" w:rsidR="00AE3B0C" w:rsidRPr="00702FF7" w:rsidRDefault="00AE3B0C" w:rsidP="00C949E6">
            <w:pPr>
              <w:spacing w:before="60"/>
              <w:jc w:val="center"/>
              <w:rPr>
                <w:rFonts w:ascii="Verdana" w:hAnsi="Verdana" w:cs="Times New Roman"/>
                <w:b/>
                <w:smallCaps/>
                <w:sz w:val="32"/>
                <w:lang w:val="es-ES_tradnl"/>
              </w:rPr>
            </w:pPr>
          </w:p>
        </w:tc>
        <w:tc>
          <w:tcPr>
            <w:tcW w:w="3935" w:type="dxa"/>
          </w:tcPr>
          <w:p w14:paraId="7362D9FB" w14:textId="77777777" w:rsidR="00AE3B0C" w:rsidRPr="00702FF7" w:rsidRDefault="00AE3B0C" w:rsidP="00C949E6">
            <w:pPr>
              <w:shd w:val="solid" w:color="FFFFFF" w:fill="FFFFFF"/>
              <w:spacing w:before="0" w:line="240" w:lineRule="atLeast"/>
              <w:jc w:val="left"/>
              <w:rPr>
                <w:rFonts w:ascii="Verdana" w:hAnsi="Verdana" w:cs="Times New Roman"/>
                <w:sz w:val="20"/>
                <w:lang w:val="es-ES_tradnl"/>
              </w:rPr>
            </w:pPr>
            <w:r w:rsidRPr="00702FF7">
              <w:rPr>
                <w:rFonts w:ascii="Verdana" w:hAnsi="Verdana" w:cs="Times New Roman"/>
                <w:b/>
                <w:sz w:val="20"/>
                <w:lang w:val="es-ES_tradnl"/>
              </w:rPr>
              <w:t>Original: inglés</w:t>
            </w:r>
          </w:p>
        </w:tc>
      </w:tr>
      <w:tr w:rsidR="00AE3B0C" w:rsidRPr="00533FD9" w14:paraId="48545523" w14:textId="77777777" w:rsidTr="00C949E6">
        <w:trPr>
          <w:cantSplit/>
        </w:trPr>
        <w:tc>
          <w:tcPr>
            <w:tcW w:w="9889" w:type="dxa"/>
            <w:gridSpan w:val="2"/>
          </w:tcPr>
          <w:p w14:paraId="7795C931" w14:textId="77777777" w:rsidR="00AE3B0C" w:rsidRPr="00702FF7" w:rsidRDefault="00AE3B0C" w:rsidP="00C949E6">
            <w:pPr>
              <w:pStyle w:val="Source"/>
              <w:rPr>
                <w:rFonts w:ascii="Times New Roman" w:hAnsi="Times New Roman" w:cs="Times New Roman"/>
                <w:lang w:val="es-ES_tradnl"/>
              </w:rPr>
            </w:pPr>
            <w:r w:rsidRPr="00533FD9">
              <w:rPr>
                <w:lang w:val="fr-FR"/>
              </w:rPr>
              <w:t>Grupo Asesor de Radiocomunicaciones (GAR)</w:t>
            </w:r>
          </w:p>
        </w:tc>
      </w:tr>
      <w:tr w:rsidR="00AE3B0C" w:rsidRPr="00533FD9" w14:paraId="169EA0E2" w14:textId="77777777" w:rsidTr="00C949E6">
        <w:trPr>
          <w:cantSplit/>
        </w:trPr>
        <w:tc>
          <w:tcPr>
            <w:tcW w:w="9889" w:type="dxa"/>
            <w:gridSpan w:val="2"/>
          </w:tcPr>
          <w:p w14:paraId="311DB05F" w14:textId="43100C67" w:rsidR="00AE3B0C" w:rsidRPr="00533FD9" w:rsidRDefault="00AE3B0C" w:rsidP="00C949E6">
            <w:pPr>
              <w:pStyle w:val="Title1"/>
              <w:rPr>
                <w:lang w:val="es-ES"/>
              </w:rPr>
            </w:pPr>
            <w:r w:rsidRPr="00533FD9">
              <w:rPr>
                <w:lang w:val="es-ES"/>
              </w:rPr>
              <w:t>Mandato del Grupo por Correspondencia del GAR sobre el estudio de posibles mejoras a la estructura y el marco de las comisiones</w:t>
            </w:r>
            <w:r w:rsidR="00533FD9" w:rsidRPr="00533FD9">
              <w:rPr>
                <w:lang w:val="es-ES"/>
              </w:rPr>
              <w:br/>
            </w:r>
            <w:r w:rsidRPr="00533FD9">
              <w:rPr>
                <w:lang w:val="es-ES"/>
              </w:rPr>
              <w:t>de estudio de radiocomunicaciones</w:t>
            </w:r>
          </w:p>
          <w:p w14:paraId="6652EEC3" w14:textId="77777777" w:rsidR="00533FD9" w:rsidRPr="00533FD9" w:rsidRDefault="00533FD9" w:rsidP="00533FD9">
            <w:pPr>
              <w:pStyle w:val="Title2"/>
              <w:rPr>
                <w:lang w:val="es-ES"/>
              </w:rPr>
            </w:pPr>
          </w:p>
        </w:tc>
      </w:tr>
    </w:tbl>
    <w:p w14:paraId="25DFEE2D" w14:textId="77777777" w:rsidR="00AE3B0C" w:rsidRPr="00702FF7" w:rsidRDefault="00AE3B0C" w:rsidP="00E967C8">
      <w:pPr>
        <w:rPr>
          <w:lang w:val="es-ES_tradnl"/>
        </w:rPr>
      </w:pPr>
      <w:r w:rsidRPr="00702FF7">
        <w:rPr>
          <w:lang w:val="es-ES_tradnl"/>
        </w:rPr>
        <w:t xml:space="preserve">El objetivo del Grupo por Correspondencia (GC) del Grupo Asesor de Radiocomunicaciones (GAR) </w:t>
      </w:r>
      <w:r w:rsidRPr="00702FF7">
        <w:rPr>
          <w:b/>
          <w:lang w:val="es-ES_tradnl"/>
        </w:rPr>
        <w:t>sobre el estudio de posibles mejoras a la estructura y el marco de las comisiones de estudio de radiocomunicaciones</w:t>
      </w:r>
      <w:r w:rsidRPr="00702FF7">
        <w:rPr>
          <w:bCs/>
          <w:lang w:val="es-ES_tradnl"/>
        </w:rPr>
        <w:t xml:space="preserve"> es</w:t>
      </w:r>
      <w:r w:rsidRPr="00702FF7">
        <w:rPr>
          <w:lang w:val="es-ES_tradnl"/>
        </w:rPr>
        <w:t xml:space="preserve"> estudiar posibles mejoras a la estructura y los métodos de trabajo de las comisiones de estudio de radiocomunicaciones, ateniéndose al siguiente mandato: </w:t>
      </w:r>
    </w:p>
    <w:p w14:paraId="1AC1087F" w14:textId="237E689B" w:rsidR="00AE3B0C" w:rsidRPr="00702FF7" w:rsidRDefault="00E967C8" w:rsidP="00E967C8">
      <w:pPr>
        <w:pStyle w:val="enumlev1"/>
        <w:rPr>
          <w:lang w:val="es-ES_tradnl"/>
        </w:rPr>
      </w:pPr>
      <w:r w:rsidRPr="00702FF7">
        <w:rPr>
          <w:lang w:val="es-ES_tradnl"/>
        </w:rPr>
        <w:t>–</w:t>
      </w:r>
      <w:r w:rsidRPr="00702FF7">
        <w:rPr>
          <w:lang w:val="es-ES_tradnl"/>
        </w:rPr>
        <w:tab/>
      </w:r>
      <w:r w:rsidR="00AE3B0C" w:rsidRPr="00702FF7">
        <w:rPr>
          <w:lang w:val="es-ES_tradnl"/>
        </w:rPr>
        <w:t>Identificar y analizar las dificultades que repercuten en la eficiencia operativa de los estudios del UIT-R, entre ellas:</w:t>
      </w:r>
    </w:p>
    <w:p w14:paraId="7A6FA2EF" w14:textId="4AD6CD22" w:rsidR="00AE3B0C" w:rsidRPr="00702FF7" w:rsidRDefault="00E967C8" w:rsidP="00E967C8">
      <w:pPr>
        <w:pStyle w:val="enumlev2"/>
        <w:rPr>
          <w:lang w:val="es-ES_tradnl"/>
        </w:rPr>
      </w:pPr>
      <w:r w:rsidRPr="00702FF7">
        <w:rPr>
          <w:lang w:val="es-ES_tradnl"/>
        </w:rPr>
        <w:t>•</w:t>
      </w:r>
      <w:r w:rsidRPr="00702FF7">
        <w:rPr>
          <w:lang w:val="es-ES_tradnl"/>
        </w:rPr>
        <w:tab/>
      </w:r>
      <w:r w:rsidR="00AE3B0C" w:rsidRPr="00702FF7">
        <w:rPr>
          <w:lang w:val="es-ES_tradnl"/>
        </w:rPr>
        <w:t>las cargas de trabajo de ciertas Comisiones de Estudio;</w:t>
      </w:r>
    </w:p>
    <w:p w14:paraId="27CAB0DF" w14:textId="739DB777" w:rsidR="00AE3B0C" w:rsidRPr="00702FF7" w:rsidRDefault="00E967C8" w:rsidP="00E967C8">
      <w:pPr>
        <w:pStyle w:val="enumlev2"/>
        <w:rPr>
          <w:lang w:val="es-ES_tradnl"/>
        </w:rPr>
      </w:pPr>
      <w:r w:rsidRPr="00702FF7">
        <w:rPr>
          <w:lang w:val="es-ES_tradnl"/>
        </w:rPr>
        <w:t>•</w:t>
      </w:r>
      <w:r w:rsidRPr="00702FF7">
        <w:rPr>
          <w:lang w:val="es-ES_tradnl"/>
        </w:rPr>
        <w:tab/>
      </w:r>
      <w:r w:rsidR="00AE3B0C" w:rsidRPr="00702FF7">
        <w:rPr>
          <w:lang w:val="es-ES_tradnl"/>
        </w:rPr>
        <w:t>las interdependencias existentes entre las Comisiones de Estudio y los medios de que disponen para colaborar y coordinar un intercambio oportuno de información;</w:t>
      </w:r>
    </w:p>
    <w:p w14:paraId="25F03334" w14:textId="0494335D" w:rsidR="00AE3B0C" w:rsidRPr="00702FF7" w:rsidRDefault="00E967C8" w:rsidP="00E967C8">
      <w:pPr>
        <w:pStyle w:val="enumlev2"/>
        <w:rPr>
          <w:lang w:val="es-ES_tradnl"/>
        </w:rPr>
      </w:pPr>
      <w:r w:rsidRPr="00702FF7">
        <w:rPr>
          <w:lang w:val="es-ES_tradnl"/>
        </w:rPr>
        <w:t>•</w:t>
      </w:r>
      <w:r w:rsidRPr="00702FF7">
        <w:rPr>
          <w:lang w:val="es-ES_tradnl"/>
        </w:rPr>
        <w:tab/>
      </w:r>
      <w:r w:rsidR="00AE3B0C" w:rsidRPr="00702FF7">
        <w:rPr>
          <w:lang w:val="es-ES_tradnl"/>
        </w:rPr>
        <w:t>el número de contribuciones y los niveles de participación; y</w:t>
      </w:r>
    </w:p>
    <w:p w14:paraId="0AE923B7" w14:textId="44833640" w:rsidR="00AE3B0C" w:rsidRPr="00702FF7" w:rsidRDefault="00E967C8" w:rsidP="00E967C8">
      <w:pPr>
        <w:pStyle w:val="enumlev2"/>
        <w:rPr>
          <w:lang w:val="es-ES_tradnl"/>
        </w:rPr>
      </w:pPr>
      <w:r w:rsidRPr="00702FF7">
        <w:rPr>
          <w:lang w:val="es-ES_tradnl"/>
        </w:rPr>
        <w:t>•</w:t>
      </w:r>
      <w:r w:rsidRPr="00702FF7">
        <w:rPr>
          <w:lang w:val="es-ES_tradnl"/>
        </w:rPr>
        <w:tab/>
      </w:r>
      <w:r w:rsidR="00AE3B0C" w:rsidRPr="00702FF7">
        <w:rPr>
          <w:lang w:val="es-ES_tradnl"/>
        </w:rPr>
        <w:t>los aspectos relacionados con la evolución tecnológica de los servicios de radiocomunicaciones y sus aplicaciones, lo que podría exigir la revisión periódica de la estructura y el marco del Sector de Radiocomunicaciones.</w:t>
      </w:r>
    </w:p>
    <w:p w14:paraId="2D0BE472" w14:textId="3DAA3190" w:rsidR="00AE3B0C" w:rsidRPr="00702FF7" w:rsidRDefault="00E967C8" w:rsidP="00E967C8">
      <w:pPr>
        <w:pStyle w:val="enumlev1"/>
        <w:rPr>
          <w:lang w:val="es-ES_tradnl"/>
        </w:rPr>
      </w:pPr>
      <w:r w:rsidRPr="00702FF7">
        <w:rPr>
          <w:lang w:val="es-ES_tradnl"/>
        </w:rPr>
        <w:t>–</w:t>
      </w:r>
      <w:r w:rsidRPr="00702FF7">
        <w:rPr>
          <w:lang w:val="es-ES_tradnl"/>
        </w:rPr>
        <w:tab/>
      </w:r>
      <w:r w:rsidR="00AE3B0C" w:rsidRPr="00702FF7">
        <w:rPr>
          <w:lang w:val="es-ES_tradnl"/>
        </w:rPr>
        <w:t>Tener en cuenta, en la medida de lo posible, la información factual pertinente, véanse la frecuencia y la duración de las reuniones, el volumen de contribuciones, los productos aprobados, las tendencias de participación, las dependencias entre Comisiones de Estudio y las repercusiones en el funcionamiento y los recursos de la BR.</w:t>
      </w:r>
    </w:p>
    <w:p w14:paraId="3C47AF66" w14:textId="453C40FF" w:rsidR="00AE3B0C" w:rsidRPr="00702FF7" w:rsidRDefault="00E967C8" w:rsidP="00E967C8">
      <w:pPr>
        <w:pStyle w:val="enumlev1"/>
        <w:rPr>
          <w:lang w:val="es-ES_tradnl"/>
        </w:rPr>
      </w:pPr>
      <w:r w:rsidRPr="00702FF7">
        <w:rPr>
          <w:lang w:val="es-ES_tradnl"/>
        </w:rPr>
        <w:t>–</w:t>
      </w:r>
      <w:r w:rsidRPr="00702FF7">
        <w:rPr>
          <w:lang w:val="es-ES_tradnl"/>
        </w:rPr>
        <w:tab/>
      </w:r>
      <w:r w:rsidR="00AE3B0C" w:rsidRPr="00702FF7">
        <w:rPr>
          <w:lang w:val="es-ES_tradnl"/>
        </w:rPr>
        <w:t xml:space="preserve">Evaluar si las dificultades detectadas pueden abordarse mediante la adopción de medidas estructurales o no estructurales, que persigan el refuerzo de la coordinación, la aclaración </w:t>
      </w:r>
      <w:r w:rsidR="00AE3B0C" w:rsidRPr="00702FF7">
        <w:rPr>
          <w:lang w:val="es-ES_tradnl"/>
        </w:rPr>
        <w:lastRenderedPageBreak/>
        <w:t>de los mandatos, la mejora de los métodos de trabajo o la redistribución de determinados temas y responsabilidades entre los grupos existentes, entre otros objetivos.</w:t>
      </w:r>
    </w:p>
    <w:p w14:paraId="2520A88F" w14:textId="7675A10E" w:rsidR="00AE3B0C" w:rsidRPr="00702FF7" w:rsidRDefault="00E967C8" w:rsidP="00D37E20">
      <w:pPr>
        <w:pStyle w:val="enumlev1"/>
        <w:rPr>
          <w:lang w:val="es-ES_tradnl"/>
        </w:rPr>
      </w:pPr>
      <w:r w:rsidRPr="00702FF7">
        <w:rPr>
          <w:lang w:val="es-ES_tradnl"/>
        </w:rPr>
        <w:t>–</w:t>
      </w:r>
      <w:r w:rsidRPr="00702FF7">
        <w:rPr>
          <w:lang w:val="es-ES_tradnl"/>
        </w:rPr>
        <w:tab/>
      </w:r>
      <w:r w:rsidR="00AE3B0C" w:rsidRPr="00702FF7">
        <w:rPr>
          <w:lang w:val="es-ES_tradnl"/>
        </w:rPr>
        <w:t>Examinar, según proceda, la eficacia del actual proceso de distribución del trabajo entre las Comisiones de Estudio y los Grupos de Trabajo, incluido el equilibrio entre las actividades relacionadas con las conferencias y las ajenas a ellas, y elaborar conclusiones y propuestas para mejorar la eficiencia y la capacidad de respuesta de los estudios del UIT-R, por ejemplo, en relación con los procedimientos, la coordinación, los mandatos, la distribución de la carga de trabajo y, en los casos que se justifique, la estructura.</w:t>
      </w:r>
    </w:p>
    <w:p w14:paraId="70EF3AE1" w14:textId="2F850747" w:rsidR="00AE3B0C" w:rsidRPr="00702FF7" w:rsidRDefault="00E967C8" w:rsidP="00D37E20">
      <w:pPr>
        <w:pStyle w:val="enumlev1"/>
        <w:rPr>
          <w:lang w:val="es-ES_tradnl"/>
        </w:rPr>
      </w:pPr>
      <w:r w:rsidRPr="00702FF7">
        <w:rPr>
          <w:lang w:val="es-ES_tradnl"/>
        </w:rPr>
        <w:t>–</w:t>
      </w:r>
      <w:r w:rsidRPr="00702FF7">
        <w:rPr>
          <w:lang w:val="es-ES_tradnl"/>
        </w:rPr>
        <w:tab/>
      </w:r>
      <w:r w:rsidR="00AE3B0C" w:rsidRPr="00702FF7">
        <w:rPr>
          <w:lang w:val="es-ES_tradnl"/>
        </w:rPr>
        <w:t xml:space="preserve">Partiendo de las consideraciones que anteceden, se invita al Grupo por Correspondencia a examinar el marco pertinente del UIT-R y a proponer, según proceda, enmiendas a </w:t>
      </w:r>
      <w:r w:rsidR="00AE3B0C" w:rsidRPr="00702FF7">
        <w:rPr>
          <w:rStyle w:val="Strong"/>
          <w:b w:val="0"/>
          <w:bCs w:val="0"/>
          <w:lang w:val="es-ES_tradnl"/>
        </w:rPr>
        <w:t xml:space="preserve">la </w:t>
      </w:r>
      <w:r w:rsidR="00AE3B0C" w:rsidRPr="00702FF7">
        <w:rPr>
          <w:rStyle w:val="Strong"/>
          <w:lang w:val="es-ES_tradnl"/>
        </w:rPr>
        <w:t>Resolución UIT-R 1-9</w:t>
      </w:r>
      <w:r w:rsidR="00AE3B0C" w:rsidRPr="00702FF7">
        <w:rPr>
          <w:rStyle w:val="Strong"/>
          <w:b w:val="0"/>
          <w:bCs w:val="0"/>
          <w:lang w:val="es-ES_tradnl"/>
        </w:rPr>
        <w:t xml:space="preserve"> </w:t>
      </w:r>
      <w:r w:rsidR="00AE3B0C" w:rsidRPr="00702FF7">
        <w:rPr>
          <w:lang w:val="es-ES_tradnl"/>
        </w:rPr>
        <w:t>(sobre los métodos de trabajo de la Asamblea de Radiocomunicaciones, de las Comisiones de Estudio de Radiocomunicaciones, del Grupo Asesor de Radiocomunicaciones y de otros grupos del Sector de Radiocomunicaciones) y a la</w:t>
      </w:r>
      <w:r w:rsidR="00AE3B0C" w:rsidRPr="00702FF7">
        <w:rPr>
          <w:rStyle w:val="Strong"/>
          <w:b w:val="0"/>
          <w:bCs w:val="0"/>
          <w:lang w:val="es-ES_tradnl"/>
        </w:rPr>
        <w:t xml:space="preserve"> </w:t>
      </w:r>
      <w:r w:rsidR="00AE3B0C" w:rsidRPr="00702FF7">
        <w:rPr>
          <w:rStyle w:val="Strong"/>
          <w:lang w:val="es-ES_tradnl"/>
        </w:rPr>
        <w:t xml:space="preserve">Resolución UIT-R 4-9 </w:t>
      </w:r>
      <w:r w:rsidR="00AE3B0C" w:rsidRPr="00702FF7">
        <w:rPr>
          <w:lang w:val="es-ES_tradnl"/>
        </w:rPr>
        <w:t>(sobre la estructura de las Comisiones de Estudio de Radiocomunicaciones), si fuera necesario</w:t>
      </w:r>
      <w:r w:rsidR="00702FF7">
        <w:rPr>
          <w:lang w:val="es-ES_tradnl"/>
        </w:rPr>
        <w:t>.</w:t>
      </w:r>
    </w:p>
    <w:p w14:paraId="24B2CE23" w14:textId="78A92022" w:rsidR="00AE3B0C" w:rsidRPr="00702FF7" w:rsidRDefault="00AE3B0C" w:rsidP="00E967C8">
      <w:pPr>
        <w:rPr>
          <w:lang w:val="es-ES_tradnl"/>
        </w:rPr>
      </w:pPr>
      <w:r w:rsidRPr="00702FF7">
        <w:rPr>
          <w:lang w:val="es-ES_tradnl"/>
        </w:rPr>
        <w:t>El GC proseguirá su labor inmediatamente después de la 33.ª reunión del GAR, con el objetivo de presentar un informe exhaustivo antes de la 34.ª reunión del GAR. Los trabajos se llevarán a cabo por correspondencia, conforme a lo previsto en las secciones § A1.3.2.9 y § A.1.3.2.10 de la</w:t>
      </w:r>
      <w:r w:rsidR="00AC79D1" w:rsidRPr="00702FF7">
        <w:rPr>
          <w:lang w:val="es-ES_tradnl"/>
        </w:rPr>
        <w:t> </w:t>
      </w:r>
      <w:r w:rsidRPr="00702FF7">
        <w:rPr>
          <w:lang w:val="es-ES_tradnl"/>
        </w:rPr>
        <w:t>Resolución UIT-R 1-9, por razones de eficiencia e inclusividad.</w:t>
      </w:r>
    </w:p>
    <w:p w14:paraId="7A9AED0D" w14:textId="3C7353E6" w:rsidR="00AE3B0C" w:rsidRPr="00702FF7" w:rsidRDefault="00AE3B0C" w:rsidP="00AC79D1">
      <w:pPr>
        <w:rPr>
          <w:lang w:val="es-ES_tradnl"/>
        </w:rPr>
      </w:pPr>
      <w:r w:rsidRPr="00702FF7">
        <w:rPr>
          <w:lang w:val="es-ES_tradnl"/>
        </w:rPr>
        <w:t xml:space="preserve">El GC está presidido por el </w:t>
      </w:r>
      <w:r w:rsidR="00CA406A" w:rsidRPr="00702FF7">
        <w:rPr>
          <w:lang w:val="es-ES_tradnl"/>
        </w:rPr>
        <w:t>Sr. </w:t>
      </w:r>
      <w:r w:rsidRPr="00702FF7">
        <w:rPr>
          <w:lang w:val="es-ES_tradnl"/>
        </w:rPr>
        <w:t xml:space="preserve">Abdulmalik Alorf (correo-e: </w:t>
      </w:r>
      <w:hyperlink r:id="rId102" w:history="1">
        <w:r w:rsidRPr="00702FF7">
          <w:rPr>
            <w:rStyle w:val="Hyperlink"/>
            <w:lang w:val="es-ES_tradnl"/>
          </w:rPr>
          <w:t>aorf@cst.gov.sa</w:t>
        </w:r>
      </w:hyperlink>
      <w:r w:rsidRPr="00702FF7">
        <w:rPr>
          <w:lang w:val="es-ES_tradnl"/>
        </w:rPr>
        <w:t>), quien coordinará las actividades y velará por la comunicación y presentación oportunas del informe del Grupo 45 días antes de la 34.ª</w:t>
      </w:r>
      <w:r w:rsidRPr="00702FF7">
        <w:rPr>
          <w:vertAlign w:val="superscript"/>
          <w:lang w:val="es-ES_tradnl"/>
        </w:rPr>
        <w:t xml:space="preserve"> </w:t>
      </w:r>
      <w:r w:rsidRPr="00702FF7">
        <w:rPr>
          <w:lang w:val="es-ES_tradnl"/>
        </w:rPr>
        <w:t>reunión del GAR.</w:t>
      </w:r>
    </w:p>
    <w:p w14:paraId="6635E23D" w14:textId="0FC5BD4C" w:rsidR="00D239B4" w:rsidRDefault="00AE3B0C" w:rsidP="00AC79D1">
      <w:pPr>
        <w:rPr>
          <w:lang w:val="es-ES_tradnl"/>
        </w:rPr>
      </w:pPr>
      <w:r w:rsidRPr="00702FF7">
        <w:rPr>
          <w:lang w:val="es-ES_tradnl"/>
        </w:rPr>
        <w:t>En la página web del GAR se facilitará información adicional pertinente para los trabajos de este Grupo por Correspondencia.</w:t>
      </w:r>
    </w:p>
    <w:p w14:paraId="2E6385ED" w14:textId="77777777" w:rsidR="00533FD9" w:rsidRPr="00CB088B" w:rsidRDefault="00533FD9" w:rsidP="00533FD9">
      <w:pPr>
        <w:jc w:val="center"/>
        <w:rPr>
          <w:lang w:val="fr-FR"/>
        </w:rPr>
      </w:pPr>
      <w:r w:rsidRPr="00CB088B">
        <w:rPr>
          <w:lang w:val="fr-FR"/>
        </w:rPr>
        <w:t>______________</w:t>
      </w:r>
    </w:p>
    <w:sectPr w:rsidR="00533FD9" w:rsidRPr="00CB088B" w:rsidSect="00B46E40">
      <w:footerReference w:type="first" r:id="rId103"/>
      <w:pgSz w:w="11907" w:h="16834" w:code="9"/>
      <w:pgMar w:top="1134" w:right="1134" w:bottom="993" w:left="1134" w:header="567"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B8EDF" w14:textId="77777777" w:rsidR="000B0FB0" w:rsidRDefault="000B0FB0">
      <w:r>
        <w:separator/>
      </w:r>
    </w:p>
  </w:endnote>
  <w:endnote w:type="continuationSeparator" w:id="0">
    <w:p w14:paraId="5750DE84" w14:textId="77777777" w:rsidR="000B0FB0" w:rsidRDefault="000B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altName w:val="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EF3E" w14:textId="77777777" w:rsidR="00AE3B0C" w:rsidRPr="00F57970" w:rsidRDefault="00AE3B0C" w:rsidP="00F57970">
    <w:pPr>
      <w:pStyle w:val="Footer"/>
      <w:spacing w:before="0" w:line="240" w:lineRule="auto"/>
      <w:jc w:val="center"/>
      <w:rPr>
        <w:sz w:val="19"/>
        <w:szCs w:val="19"/>
        <w:lang w:val="es-ES"/>
      </w:rPr>
    </w:pPr>
    <w:r w:rsidRPr="00353E34">
      <w:rPr>
        <w:color w:val="4F81BD" w:themeColor="accent1"/>
        <w:sz w:val="19"/>
        <w:szCs w:val="19"/>
        <w:lang w:val="es-ES"/>
      </w:rPr>
      <w:t>Unión Internacional de Telecomunicaciones • Place des Nations, CH-1211 Ginebra 20, Suiza</w:t>
    </w:r>
    <w:r w:rsidRPr="00353E34">
      <w:rPr>
        <w:color w:val="4F81BD" w:themeColor="accent1"/>
        <w:sz w:val="19"/>
        <w:szCs w:val="19"/>
        <w:lang w:val="es-ES"/>
      </w:rPr>
      <w:br/>
      <w:t xml:space="preserve">Tel.: +41 22 730 5111 • Correo-e: </w:t>
    </w:r>
    <w:hyperlink r:id="rId1" w:history="1">
      <w:r>
        <w:rPr>
          <w:rStyle w:val="Hyperlink"/>
          <w:sz w:val="19"/>
          <w:szCs w:val="19"/>
          <w:lang w:val="es-ES"/>
        </w:rPr>
        <w:t>itumail@itu.int</w:t>
      </w:r>
    </w:hyperlink>
    <w:r w:rsidRPr="00353E34">
      <w:rPr>
        <w:color w:val="4F81BD" w:themeColor="accent1"/>
        <w:sz w:val="19"/>
        <w:szCs w:val="19"/>
        <w:lang w:val="es-ES"/>
      </w:rPr>
      <w:t xml:space="preserve"> </w:t>
    </w:r>
    <w:r w:rsidRPr="00353E34">
      <w:rPr>
        <w:color w:val="4F81BD"/>
        <w:sz w:val="19"/>
        <w:szCs w:val="19"/>
        <w:lang w:val="es-ES"/>
      </w:rPr>
      <w:t xml:space="preserve">• Fax: +41 22 733 7256 • </w:t>
    </w:r>
    <w:hyperlink r:id="rId2" w:history="1">
      <w:r w:rsidRPr="00353E34">
        <w:rPr>
          <w:rStyle w:val="Hyperlink"/>
          <w:sz w:val="19"/>
          <w:szCs w:val="19"/>
          <w:lang w:val="es-ES"/>
        </w:rPr>
        <w:t>www.itu.int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650C" w14:textId="77777777" w:rsidR="00AE3B0C" w:rsidRDefault="00AE3B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A253" w14:textId="77777777" w:rsidR="00AE3B0C" w:rsidRDefault="00AE3B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4877" w14:textId="77777777" w:rsidR="00AE3B0C" w:rsidRPr="00E16B7B" w:rsidRDefault="00AE3B0C" w:rsidP="00E16B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2B5DD" w14:textId="4FEA9968" w:rsidR="005370F0" w:rsidRPr="00545F6B" w:rsidRDefault="005370F0" w:rsidP="00132DD2">
    <w:pPr>
      <w:pStyle w:val="Footer"/>
      <w:spacing w:before="0" w:line="240" w:lineRule="auto"/>
      <w:jc w:val="center"/>
      <w:rPr>
        <w:sz w:val="19"/>
        <w:szCs w:val="19"/>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59E93" w14:textId="77777777" w:rsidR="000B0FB0" w:rsidRDefault="000B0FB0">
      <w:r>
        <w:t>____________________</w:t>
      </w:r>
    </w:p>
  </w:footnote>
  <w:footnote w:type="continuationSeparator" w:id="0">
    <w:p w14:paraId="61A5CF3A" w14:textId="77777777" w:rsidR="000B0FB0" w:rsidRDefault="000B0FB0">
      <w:r>
        <w:continuationSeparator/>
      </w:r>
    </w:p>
  </w:footnote>
  <w:footnote w:id="1">
    <w:p w14:paraId="76FC97C6" w14:textId="6EB2718B" w:rsidR="00AE3B0C" w:rsidRPr="001370DC" w:rsidRDefault="00AE3B0C" w:rsidP="00AE3B0C">
      <w:pPr>
        <w:pStyle w:val="FootnoteText"/>
        <w:rPr>
          <w:lang w:val="fr-FR"/>
        </w:rPr>
      </w:pPr>
      <w:r>
        <w:rPr>
          <w:rStyle w:val="FootnoteReference"/>
        </w:rPr>
        <w:footnoteRef/>
      </w:r>
      <w:r w:rsidR="001370DC">
        <w:rPr>
          <w:lang w:val="fr-FR"/>
        </w:rPr>
        <w:tab/>
      </w:r>
      <w:r w:rsidRPr="000F497E">
        <w:rPr>
          <w:lang w:val="fr-FR"/>
        </w:rPr>
        <w:t>Véase</w:t>
      </w:r>
      <w:hyperlink r:id="rId1" w:tooltip="https://datahub.itu.int/data/?i=19303&amp;d=Technology&amp;g=11630" w:history="1">
        <w:r w:rsidRPr="00533FD9">
          <w:rPr>
            <w:lang w:val="fr-FR"/>
          </w:rPr>
          <w:t xml:space="preserve"> </w:t>
        </w:r>
        <w:r w:rsidRPr="000F497E">
          <w:rPr>
            <w:rStyle w:val="Hyperlink"/>
            <w:lang w:val="fr-FR"/>
          </w:rPr>
          <w:t>https://datahub.itu.int/data/?i=19303&amp;d=Technology&amp;g=11630</w:t>
        </w:r>
      </w:hyperlink>
      <w:r w:rsidR="001370DC">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76B42" w14:textId="77777777" w:rsidR="00AE3B0C" w:rsidRPr="000D79FA" w:rsidRDefault="00AE3B0C" w:rsidP="0087715E">
    <w:pPr>
      <w:pStyle w:val="Header"/>
      <w:jc w:val="center"/>
      <w:rPr>
        <w:szCs w:val="18"/>
      </w:rPr>
    </w:pPr>
    <w:r>
      <w:rPr>
        <w:szCs w:val="18"/>
      </w:rPr>
      <w:t>-</w:t>
    </w:r>
    <w:r w:rsidRPr="000D79FA">
      <w:rPr>
        <w:szCs w:val="18"/>
      </w:rPr>
      <w:fldChar w:fldCharType="begin"/>
    </w:r>
    <w:r w:rsidRPr="000D79FA">
      <w:rPr>
        <w:szCs w:val="18"/>
      </w:rPr>
      <w:instrText xml:space="preserve"> PAGE  \* MERGEFORMAT </w:instrText>
    </w:r>
    <w:r w:rsidRPr="000D79FA">
      <w:rPr>
        <w:szCs w:val="18"/>
      </w:rPr>
      <w:fldChar w:fldCharType="separate"/>
    </w:r>
    <w:r>
      <w:rPr>
        <w:noProof/>
        <w:szCs w:val="18"/>
      </w:rPr>
      <w:t>6</w:t>
    </w:r>
    <w:r w:rsidRPr="000D79FA">
      <w:rPr>
        <w:szCs w:val="18"/>
      </w:rPr>
      <w:fldChar w:fldCharType="end"/>
    </w:r>
    <w:r>
      <w:rPr>
        <w:szCs w:val="18"/>
      </w:rPr>
      <w:t xml:space="preserve"> -</w:t>
    </w:r>
  </w:p>
  <w:p w14:paraId="5BBAA535" w14:textId="77777777" w:rsidR="00AE3B0C" w:rsidRPr="00C4515A" w:rsidRDefault="00AE3B0C" w:rsidP="002A6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4DB9" w14:textId="639561ED" w:rsidR="00AE3B0C" w:rsidRPr="00836B17" w:rsidRDefault="00AE3B0C" w:rsidP="00BD0C61">
    <w:pPr>
      <w:pStyle w:val="Header"/>
      <w:jc w:val="center"/>
      <w:rPr>
        <w:sz w:val="22"/>
        <w:szCs w:val="20"/>
      </w:rPr>
    </w:pPr>
    <w:r w:rsidRPr="00836B17">
      <w:rPr>
        <w:sz w:val="22"/>
        <w:szCs w:val="20"/>
        <w:lang w:val="fr-CA"/>
      </w:rPr>
      <w:t>-</w:t>
    </w:r>
    <w:r w:rsidR="00836B17" w:rsidRPr="00836B17">
      <w:rPr>
        <w:sz w:val="22"/>
        <w:szCs w:val="20"/>
        <w:lang w:val="fr-CA"/>
      </w:rPr>
      <w:t xml:space="preserve"> </w:t>
    </w:r>
    <w:r w:rsidRPr="00836B17">
      <w:rPr>
        <w:sz w:val="22"/>
        <w:szCs w:val="20"/>
        <w:lang w:val="fr-CA"/>
      </w:rPr>
      <w:fldChar w:fldCharType="begin"/>
    </w:r>
    <w:r w:rsidRPr="00836B17">
      <w:rPr>
        <w:sz w:val="22"/>
        <w:szCs w:val="20"/>
        <w:lang w:val="fr-CA"/>
      </w:rPr>
      <w:instrText xml:space="preserve"> PAGE   \* MERGEFORMAT </w:instrText>
    </w:r>
    <w:r w:rsidRPr="00836B17">
      <w:rPr>
        <w:sz w:val="22"/>
        <w:szCs w:val="20"/>
        <w:lang w:val="fr-CA"/>
      </w:rPr>
      <w:fldChar w:fldCharType="separate"/>
    </w:r>
    <w:r w:rsidRPr="00836B17">
      <w:rPr>
        <w:sz w:val="22"/>
        <w:szCs w:val="20"/>
        <w:lang w:val="fr-CA"/>
      </w:rPr>
      <w:t>10</w:t>
    </w:r>
    <w:r w:rsidRPr="00836B17">
      <w:rPr>
        <w:noProof/>
        <w:sz w:val="22"/>
        <w:szCs w:val="20"/>
        <w:lang w:val="fr-CA"/>
      </w:rPr>
      <w:fldChar w:fldCharType="end"/>
    </w:r>
    <w:r w:rsidRPr="00836B17">
      <w:rPr>
        <w:noProof/>
        <w:sz w:val="22"/>
        <w:szCs w:val="20"/>
        <w:lang w:val="fr-CA"/>
      </w:rPr>
      <w:t xml:space="preserve"> -</w:t>
    </w:r>
  </w:p>
  <w:p w14:paraId="68FBAA64" w14:textId="77777777" w:rsidR="00AE3B0C" w:rsidRPr="001A433B" w:rsidRDefault="00AE3B0C" w:rsidP="00654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0"/>
    </w:tblGrid>
    <w:tr w:rsidR="00AE3B0C" w:rsidRPr="00BA4D13" w14:paraId="1E1F39F5" w14:textId="77777777" w:rsidTr="000B001D">
      <w:tc>
        <w:tcPr>
          <w:tcW w:w="9810" w:type="dxa"/>
          <w:hideMark/>
        </w:tcPr>
        <w:p w14:paraId="2813E404" w14:textId="571BC2F0" w:rsidR="00AE3B0C" w:rsidRPr="00BA4D13" w:rsidRDefault="003D461A" w:rsidP="005C6937">
          <w:pPr>
            <w:pStyle w:val="Header"/>
            <w:spacing w:line="360" w:lineRule="auto"/>
            <w:rPr>
              <w:lang w:val="en-GB"/>
            </w:rPr>
          </w:pPr>
          <w:r>
            <w:t xml:space="preserve">  </w:t>
          </w:r>
          <w:r w:rsidR="00AE3B0C" w:rsidRPr="00BA4D13">
            <w:rPr>
              <w:noProof/>
            </w:rPr>
            <w:drawing>
              <wp:inline distT="0" distB="0" distL="0" distR="0" wp14:anchorId="583D73F9" wp14:editId="4896F03F">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00AE3B0C" w:rsidRPr="00BA4D13">
            <w:rPr>
              <w:noProof/>
            </w:rPr>
            <w:drawing>
              <wp:inline distT="0" distB="0" distL="0" distR="0" wp14:anchorId="618B8417" wp14:editId="40575314">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2EFF30F0" w14:textId="77777777" w:rsidR="00AE3B0C" w:rsidRDefault="00AE3B0C" w:rsidP="00912343">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D7FC0" w14:textId="74DAAFD7" w:rsidR="00AE3B0C" w:rsidRPr="001D177A" w:rsidRDefault="00AE3B0C" w:rsidP="004D1116">
    <w:pPr>
      <w:pStyle w:val="Header"/>
      <w:jc w:val="center"/>
      <w:rPr>
        <w:sz w:val="22"/>
      </w:rPr>
    </w:pPr>
    <w:r w:rsidRPr="001D177A">
      <w:rPr>
        <w:sz w:val="22"/>
        <w:lang w:val="fr-CA"/>
      </w:rPr>
      <w:t>-</w:t>
    </w:r>
    <w:r w:rsidR="00836B17">
      <w:rPr>
        <w:sz w:val="22"/>
        <w:lang w:val="fr-CA"/>
      </w:rPr>
      <w:t xml:space="preserve"> </w:t>
    </w:r>
    <w:r w:rsidRPr="001D177A">
      <w:rPr>
        <w:sz w:val="22"/>
        <w:lang w:val="fr-CA"/>
      </w:rPr>
      <w:fldChar w:fldCharType="begin"/>
    </w:r>
    <w:r w:rsidRPr="001D177A">
      <w:rPr>
        <w:sz w:val="22"/>
        <w:lang w:val="fr-CA"/>
      </w:rPr>
      <w:instrText xml:space="preserve"> PAGE   \* MERGEFORMAT </w:instrText>
    </w:r>
    <w:r w:rsidRPr="001D177A">
      <w:rPr>
        <w:sz w:val="22"/>
        <w:lang w:val="fr-CA"/>
      </w:rPr>
      <w:fldChar w:fldCharType="separate"/>
    </w:r>
    <w:r w:rsidRPr="001D177A">
      <w:rPr>
        <w:sz w:val="22"/>
        <w:lang w:val="fr-CA"/>
      </w:rPr>
      <w:t>3</w:t>
    </w:r>
    <w:r w:rsidRPr="001D177A">
      <w:rPr>
        <w:noProof/>
        <w:sz w:val="22"/>
        <w:lang w:val="fr-CA"/>
      </w:rPr>
      <w:fldChar w:fldCharType="end"/>
    </w:r>
    <w:r w:rsidRPr="001D177A">
      <w:rPr>
        <w:noProof/>
        <w:sz w:val="22"/>
        <w:lang w:val="fr-CA"/>
      </w:rPr>
      <w:t xml:space="preserve"> -</w:t>
    </w:r>
  </w:p>
  <w:p w14:paraId="17FAB661" w14:textId="77777777" w:rsidR="00AE3B0C" w:rsidRPr="004D1116" w:rsidRDefault="00AE3B0C" w:rsidP="004D11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CEEA" w14:textId="366A41CD" w:rsidR="00AE3B0C" w:rsidRPr="001D177A" w:rsidRDefault="00AE3B0C" w:rsidP="00580A6D">
    <w:pPr>
      <w:pStyle w:val="Header"/>
      <w:jc w:val="center"/>
      <w:rPr>
        <w:sz w:val="22"/>
      </w:rPr>
    </w:pPr>
    <w:r w:rsidRPr="001D177A">
      <w:rPr>
        <w:sz w:val="22"/>
        <w:lang w:val="fr-CA"/>
      </w:rPr>
      <w:t>-</w:t>
    </w:r>
    <w:r w:rsidR="00836B17">
      <w:rPr>
        <w:sz w:val="22"/>
        <w:lang w:val="fr-CA"/>
      </w:rPr>
      <w:t xml:space="preserve"> </w:t>
    </w:r>
    <w:r w:rsidRPr="001D177A">
      <w:rPr>
        <w:sz w:val="22"/>
        <w:lang w:val="fr-CA"/>
      </w:rPr>
      <w:fldChar w:fldCharType="begin"/>
    </w:r>
    <w:r w:rsidRPr="001D177A">
      <w:rPr>
        <w:sz w:val="22"/>
        <w:lang w:val="fr-CA"/>
      </w:rPr>
      <w:instrText xml:space="preserve"> PAGE   \* MERGEFORMAT </w:instrText>
    </w:r>
    <w:r w:rsidRPr="001D177A">
      <w:rPr>
        <w:sz w:val="22"/>
        <w:lang w:val="fr-CA"/>
      </w:rPr>
      <w:fldChar w:fldCharType="separate"/>
    </w:r>
    <w:r w:rsidRPr="001D177A">
      <w:rPr>
        <w:sz w:val="22"/>
        <w:lang w:val="fr-CA"/>
      </w:rPr>
      <w:t>2</w:t>
    </w:r>
    <w:r w:rsidRPr="001D177A">
      <w:rPr>
        <w:noProof/>
        <w:sz w:val="22"/>
        <w:lang w:val="fr-CA"/>
      </w:rPr>
      <w:fldChar w:fldCharType="end"/>
    </w:r>
    <w:r w:rsidR="00836B17">
      <w:rPr>
        <w:noProof/>
        <w:sz w:val="22"/>
        <w:lang w:val="fr-CA"/>
      </w:rPr>
      <w:t xml:space="preserve"> </w:t>
    </w:r>
    <w:r w:rsidRPr="001D177A">
      <w:rPr>
        <w:noProof/>
        <w:sz w:val="22"/>
        <w:lang w:val="fr-C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5E0DF5"/>
    <w:multiLevelType w:val="hybridMultilevel"/>
    <w:tmpl w:val="9B883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9021B"/>
    <w:multiLevelType w:val="hybridMultilevel"/>
    <w:tmpl w:val="7F8EEC48"/>
    <w:lvl w:ilvl="0" w:tplc="2FA2A5F2">
      <w:start w:val="1"/>
      <w:numFmt w:val="decimal"/>
      <w:lvlText w:val="%1."/>
      <w:lvlJc w:val="left"/>
      <w:pPr>
        <w:ind w:left="720" w:hanging="360"/>
      </w:pPr>
    </w:lvl>
    <w:lvl w:ilvl="1" w:tplc="CA827620">
      <w:start w:val="1"/>
      <w:numFmt w:val="lowerLetter"/>
      <w:lvlText w:val="%2."/>
      <w:lvlJc w:val="left"/>
      <w:pPr>
        <w:ind w:left="1440" w:hanging="360"/>
      </w:pPr>
    </w:lvl>
    <w:lvl w:ilvl="2" w:tplc="137A9FDE">
      <w:start w:val="1"/>
      <w:numFmt w:val="lowerRoman"/>
      <w:lvlText w:val="%3."/>
      <w:lvlJc w:val="right"/>
      <w:pPr>
        <w:ind w:left="2160" w:hanging="180"/>
      </w:pPr>
    </w:lvl>
    <w:lvl w:ilvl="3" w:tplc="9846575A">
      <w:start w:val="1"/>
      <w:numFmt w:val="decimal"/>
      <w:lvlText w:val="%4."/>
      <w:lvlJc w:val="left"/>
      <w:pPr>
        <w:ind w:left="2880" w:hanging="360"/>
      </w:pPr>
    </w:lvl>
    <w:lvl w:ilvl="4" w:tplc="83DAACE0">
      <w:start w:val="1"/>
      <w:numFmt w:val="lowerLetter"/>
      <w:lvlText w:val="%5."/>
      <w:lvlJc w:val="left"/>
      <w:pPr>
        <w:ind w:left="3600" w:hanging="360"/>
      </w:pPr>
    </w:lvl>
    <w:lvl w:ilvl="5" w:tplc="C18CB3DC">
      <w:start w:val="1"/>
      <w:numFmt w:val="lowerRoman"/>
      <w:lvlText w:val="%6."/>
      <w:lvlJc w:val="right"/>
      <w:pPr>
        <w:ind w:left="4320" w:hanging="180"/>
      </w:pPr>
    </w:lvl>
    <w:lvl w:ilvl="6" w:tplc="8646A4E4">
      <w:start w:val="1"/>
      <w:numFmt w:val="decimal"/>
      <w:lvlText w:val="%7."/>
      <w:lvlJc w:val="left"/>
      <w:pPr>
        <w:ind w:left="5040" w:hanging="360"/>
      </w:pPr>
    </w:lvl>
    <w:lvl w:ilvl="7" w:tplc="714C092C">
      <w:start w:val="1"/>
      <w:numFmt w:val="lowerLetter"/>
      <w:lvlText w:val="%8."/>
      <w:lvlJc w:val="left"/>
      <w:pPr>
        <w:ind w:left="5760" w:hanging="360"/>
      </w:pPr>
    </w:lvl>
    <w:lvl w:ilvl="8" w:tplc="58647DA6">
      <w:start w:val="1"/>
      <w:numFmt w:val="lowerRoman"/>
      <w:lvlText w:val="%9."/>
      <w:lvlJc w:val="right"/>
      <w:pPr>
        <w:ind w:left="6480" w:hanging="180"/>
      </w:pPr>
    </w:lvl>
  </w:abstractNum>
  <w:abstractNum w:abstractNumId="6" w15:restartNumberingAfterBreak="0">
    <w:nsid w:val="0FEB676B"/>
    <w:multiLevelType w:val="hybridMultilevel"/>
    <w:tmpl w:val="C7B29B66"/>
    <w:lvl w:ilvl="0" w:tplc="C79053CA">
      <w:start w:val="2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0F06D5E"/>
    <w:multiLevelType w:val="hybridMultilevel"/>
    <w:tmpl w:val="DBE0B7D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9"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15:restartNumberingAfterBreak="0">
    <w:nsid w:val="50047534"/>
    <w:multiLevelType w:val="hybridMultilevel"/>
    <w:tmpl w:val="4A7E4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7A0136"/>
    <w:multiLevelType w:val="hybridMultilevel"/>
    <w:tmpl w:val="6C542D00"/>
    <w:lvl w:ilvl="0" w:tplc="1A3CD41A">
      <w:numFmt w:val="bullet"/>
      <w:lvlText w:val="-"/>
      <w:lvlJc w:val="left"/>
      <w:pPr>
        <w:ind w:left="1154" w:hanging="360"/>
      </w:pPr>
      <w:rPr>
        <w:rFonts w:ascii="Times New Roman" w:eastAsiaTheme="minorHAnsi"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2" w15:restartNumberingAfterBreak="0">
    <w:nsid w:val="65C62E6F"/>
    <w:multiLevelType w:val="hybridMultilevel"/>
    <w:tmpl w:val="8642F774"/>
    <w:lvl w:ilvl="0" w:tplc="180A77C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EA16F61"/>
    <w:multiLevelType w:val="hybridMultilevel"/>
    <w:tmpl w:val="7C4A8E2E"/>
    <w:lvl w:ilvl="0" w:tplc="A926A0D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3B716E9"/>
    <w:multiLevelType w:val="hybridMultilevel"/>
    <w:tmpl w:val="38E06516"/>
    <w:lvl w:ilvl="0" w:tplc="180A77C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18091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9789161">
    <w:abstractNumId w:val="9"/>
  </w:num>
  <w:num w:numId="3" w16cid:durableId="511720426">
    <w:abstractNumId w:val="4"/>
  </w:num>
  <w:num w:numId="4" w16cid:durableId="1917014476">
    <w:abstractNumId w:val="10"/>
  </w:num>
  <w:num w:numId="5" w16cid:durableId="1434089836">
    <w:abstractNumId w:val="5"/>
  </w:num>
  <w:num w:numId="6" w16cid:durableId="827668673">
    <w:abstractNumId w:val="14"/>
  </w:num>
  <w:num w:numId="7" w16cid:durableId="125321635">
    <w:abstractNumId w:val="12"/>
  </w:num>
  <w:num w:numId="8" w16cid:durableId="1988314310">
    <w:abstractNumId w:val="6"/>
  </w:num>
  <w:num w:numId="9" w16cid:durableId="606697253">
    <w:abstractNumId w:val="13"/>
  </w:num>
  <w:num w:numId="10" w16cid:durableId="1600989324">
    <w:abstractNumId w:val="11"/>
  </w:num>
  <w:num w:numId="11" w16cid:durableId="18129886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fr-CH" w:vendorID="64" w:dllVersion="6"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2B7EE0"/>
    <w:rsid w:val="00006A31"/>
    <w:rsid w:val="00006C82"/>
    <w:rsid w:val="00010E30"/>
    <w:rsid w:val="00015C76"/>
    <w:rsid w:val="000163F1"/>
    <w:rsid w:val="00022E0C"/>
    <w:rsid w:val="00026CF8"/>
    <w:rsid w:val="00030BD7"/>
    <w:rsid w:val="00031E64"/>
    <w:rsid w:val="00034340"/>
    <w:rsid w:val="00035CB3"/>
    <w:rsid w:val="00045A8D"/>
    <w:rsid w:val="0005167A"/>
    <w:rsid w:val="00054E5D"/>
    <w:rsid w:val="00070258"/>
    <w:rsid w:val="0007323C"/>
    <w:rsid w:val="00086D03"/>
    <w:rsid w:val="000A096A"/>
    <w:rsid w:val="000A375E"/>
    <w:rsid w:val="000A6987"/>
    <w:rsid w:val="000A7051"/>
    <w:rsid w:val="000B0AF6"/>
    <w:rsid w:val="000B0E9B"/>
    <w:rsid w:val="000B0FB0"/>
    <w:rsid w:val="000B2CAE"/>
    <w:rsid w:val="000B3B97"/>
    <w:rsid w:val="000C03C7"/>
    <w:rsid w:val="000C15DE"/>
    <w:rsid w:val="000C2AD0"/>
    <w:rsid w:val="000D3F3B"/>
    <w:rsid w:val="000E3DEE"/>
    <w:rsid w:val="000E4BCD"/>
    <w:rsid w:val="00100B72"/>
    <w:rsid w:val="00101F7D"/>
    <w:rsid w:val="00103C76"/>
    <w:rsid w:val="0011265F"/>
    <w:rsid w:val="00117282"/>
    <w:rsid w:val="00117389"/>
    <w:rsid w:val="00117C93"/>
    <w:rsid w:val="00121C2D"/>
    <w:rsid w:val="00126725"/>
    <w:rsid w:val="00132DD2"/>
    <w:rsid w:val="00134404"/>
    <w:rsid w:val="001370DC"/>
    <w:rsid w:val="00144DFB"/>
    <w:rsid w:val="00145AC7"/>
    <w:rsid w:val="00187CA3"/>
    <w:rsid w:val="00195EB7"/>
    <w:rsid w:val="00196710"/>
    <w:rsid w:val="00196770"/>
    <w:rsid w:val="00197324"/>
    <w:rsid w:val="001B351B"/>
    <w:rsid w:val="001B3D4D"/>
    <w:rsid w:val="001B42C9"/>
    <w:rsid w:val="001C06DB"/>
    <w:rsid w:val="001C6971"/>
    <w:rsid w:val="001D2785"/>
    <w:rsid w:val="001D7070"/>
    <w:rsid w:val="001F2170"/>
    <w:rsid w:val="001F3948"/>
    <w:rsid w:val="001F5A49"/>
    <w:rsid w:val="00201097"/>
    <w:rsid w:val="00201B6E"/>
    <w:rsid w:val="00227E8A"/>
    <w:rsid w:val="002302B3"/>
    <w:rsid w:val="00230C66"/>
    <w:rsid w:val="00235A29"/>
    <w:rsid w:val="00241526"/>
    <w:rsid w:val="002443A2"/>
    <w:rsid w:val="00257BE7"/>
    <w:rsid w:val="00266E74"/>
    <w:rsid w:val="00283C3B"/>
    <w:rsid w:val="002861E6"/>
    <w:rsid w:val="00287D18"/>
    <w:rsid w:val="00291AA5"/>
    <w:rsid w:val="002A2618"/>
    <w:rsid w:val="002A5DD7"/>
    <w:rsid w:val="002B0CAC"/>
    <w:rsid w:val="002B3A51"/>
    <w:rsid w:val="002B7EE0"/>
    <w:rsid w:val="002D5A15"/>
    <w:rsid w:val="002D5BDD"/>
    <w:rsid w:val="002E3D27"/>
    <w:rsid w:val="002F0890"/>
    <w:rsid w:val="002F2531"/>
    <w:rsid w:val="002F4967"/>
    <w:rsid w:val="00306452"/>
    <w:rsid w:val="00311970"/>
    <w:rsid w:val="003134F7"/>
    <w:rsid w:val="00316935"/>
    <w:rsid w:val="003266ED"/>
    <w:rsid w:val="00326C68"/>
    <w:rsid w:val="0033029C"/>
    <w:rsid w:val="003370B8"/>
    <w:rsid w:val="00345D38"/>
    <w:rsid w:val="00352097"/>
    <w:rsid w:val="00353E34"/>
    <w:rsid w:val="003666FF"/>
    <w:rsid w:val="0037309C"/>
    <w:rsid w:val="003750B3"/>
    <w:rsid w:val="00380A6E"/>
    <w:rsid w:val="003836D4"/>
    <w:rsid w:val="003974CD"/>
    <w:rsid w:val="003A1F49"/>
    <w:rsid w:val="003A55ED"/>
    <w:rsid w:val="003A5D52"/>
    <w:rsid w:val="003B2BDA"/>
    <w:rsid w:val="003B55EC"/>
    <w:rsid w:val="003C2EA7"/>
    <w:rsid w:val="003C4471"/>
    <w:rsid w:val="003C7D41"/>
    <w:rsid w:val="003D461A"/>
    <w:rsid w:val="003D4A69"/>
    <w:rsid w:val="003E32A4"/>
    <w:rsid w:val="003E504F"/>
    <w:rsid w:val="003E78D6"/>
    <w:rsid w:val="003F0E9F"/>
    <w:rsid w:val="00400573"/>
    <w:rsid w:val="004007A3"/>
    <w:rsid w:val="00406D71"/>
    <w:rsid w:val="00421C8A"/>
    <w:rsid w:val="004326DB"/>
    <w:rsid w:val="0043682E"/>
    <w:rsid w:val="00447ECB"/>
    <w:rsid w:val="004623F7"/>
    <w:rsid w:val="00480F51"/>
    <w:rsid w:val="00481124"/>
    <w:rsid w:val="004815EB"/>
    <w:rsid w:val="00487569"/>
    <w:rsid w:val="00496864"/>
    <w:rsid w:val="00496920"/>
    <w:rsid w:val="004A4496"/>
    <w:rsid w:val="004A5F47"/>
    <w:rsid w:val="004B11AB"/>
    <w:rsid w:val="004B4895"/>
    <w:rsid w:val="004B7C9A"/>
    <w:rsid w:val="004C4225"/>
    <w:rsid w:val="004C6779"/>
    <w:rsid w:val="004D733B"/>
    <w:rsid w:val="004E0DC4"/>
    <w:rsid w:val="004E0FB5"/>
    <w:rsid w:val="004E43BB"/>
    <w:rsid w:val="004E460D"/>
    <w:rsid w:val="004F178E"/>
    <w:rsid w:val="004F4543"/>
    <w:rsid w:val="004F57BB"/>
    <w:rsid w:val="00505309"/>
    <w:rsid w:val="0050789B"/>
    <w:rsid w:val="005224A1"/>
    <w:rsid w:val="00533FD9"/>
    <w:rsid w:val="00534372"/>
    <w:rsid w:val="00535FEF"/>
    <w:rsid w:val="005370F0"/>
    <w:rsid w:val="00543DF8"/>
    <w:rsid w:val="00545F6B"/>
    <w:rsid w:val="00546101"/>
    <w:rsid w:val="00553364"/>
    <w:rsid w:val="00553DD7"/>
    <w:rsid w:val="005638CF"/>
    <w:rsid w:val="0056741E"/>
    <w:rsid w:val="0057325A"/>
    <w:rsid w:val="0057469A"/>
    <w:rsid w:val="00580814"/>
    <w:rsid w:val="00583A0B"/>
    <w:rsid w:val="005A03A3"/>
    <w:rsid w:val="005A2B92"/>
    <w:rsid w:val="005A3F66"/>
    <w:rsid w:val="005A79E9"/>
    <w:rsid w:val="005B214C"/>
    <w:rsid w:val="005B4CDA"/>
    <w:rsid w:val="005D3669"/>
    <w:rsid w:val="005E5EB3"/>
    <w:rsid w:val="005F3CB6"/>
    <w:rsid w:val="005F4522"/>
    <w:rsid w:val="005F657C"/>
    <w:rsid w:val="00602D53"/>
    <w:rsid w:val="006047E5"/>
    <w:rsid w:val="0064371D"/>
    <w:rsid w:val="00650543"/>
    <w:rsid w:val="00650B2A"/>
    <w:rsid w:val="00651777"/>
    <w:rsid w:val="006550F8"/>
    <w:rsid w:val="006829F3"/>
    <w:rsid w:val="006A3612"/>
    <w:rsid w:val="006A518B"/>
    <w:rsid w:val="006B0590"/>
    <w:rsid w:val="006B49DA"/>
    <w:rsid w:val="006C53F8"/>
    <w:rsid w:val="006C7CDE"/>
    <w:rsid w:val="006D63F0"/>
    <w:rsid w:val="00702FF7"/>
    <w:rsid w:val="007234B1"/>
    <w:rsid w:val="00723D08"/>
    <w:rsid w:val="00725FDA"/>
    <w:rsid w:val="00727816"/>
    <w:rsid w:val="00730B9A"/>
    <w:rsid w:val="00750CFA"/>
    <w:rsid w:val="007553DA"/>
    <w:rsid w:val="00775DB8"/>
    <w:rsid w:val="00782354"/>
    <w:rsid w:val="007921A7"/>
    <w:rsid w:val="007A6A73"/>
    <w:rsid w:val="007B3DB1"/>
    <w:rsid w:val="007D183E"/>
    <w:rsid w:val="007D43D0"/>
    <w:rsid w:val="007E1833"/>
    <w:rsid w:val="007E1A16"/>
    <w:rsid w:val="007E3F13"/>
    <w:rsid w:val="007F751A"/>
    <w:rsid w:val="00800012"/>
    <w:rsid w:val="0080261F"/>
    <w:rsid w:val="00805A02"/>
    <w:rsid w:val="00806160"/>
    <w:rsid w:val="008143A4"/>
    <w:rsid w:val="0081513E"/>
    <w:rsid w:val="00836B17"/>
    <w:rsid w:val="00852CA4"/>
    <w:rsid w:val="00854131"/>
    <w:rsid w:val="0085652D"/>
    <w:rsid w:val="0086295A"/>
    <w:rsid w:val="0087694B"/>
    <w:rsid w:val="00880F4D"/>
    <w:rsid w:val="008B35A3"/>
    <w:rsid w:val="008B37E1"/>
    <w:rsid w:val="008B45F8"/>
    <w:rsid w:val="008C2E74"/>
    <w:rsid w:val="008D3347"/>
    <w:rsid w:val="008D5409"/>
    <w:rsid w:val="008D6955"/>
    <w:rsid w:val="008E006D"/>
    <w:rsid w:val="008E38B4"/>
    <w:rsid w:val="008F4F21"/>
    <w:rsid w:val="00904D4A"/>
    <w:rsid w:val="009076D7"/>
    <w:rsid w:val="00912DAB"/>
    <w:rsid w:val="009151BA"/>
    <w:rsid w:val="009213D7"/>
    <w:rsid w:val="00925023"/>
    <w:rsid w:val="009277BC"/>
    <w:rsid w:val="00927D57"/>
    <w:rsid w:val="00931A51"/>
    <w:rsid w:val="00947185"/>
    <w:rsid w:val="009518B3"/>
    <w:rsid w:val="00963D9D"/>
    <w:rsid w:val="0098013E"/>
    <w:rsid w:val="00981B54"/>
    <w:rsid w:val="009842C3"/>
    <w:rsid w:val="009A009A"/>
    <w:rsid w:val="009A6BB6"/>
    <w:rsid w:val="009B3F43"/>
    <w:rsid w:val="009B5CFA"/>
    <w:rsid w:val="009C161F"/>
    <w:rsid w:val="009C56B4"/>
    <w:rsid w:val="009D4CBB"/>
    <w:rsid w:val="009D51A2"/>
    <w:rsid w:val="009E04A8"/>
    <w:rsid w:val="009E4595"/>
    <w:rsid w:val="009E4AEC"/>
    <w:rsid w:val="009E5BD8"/>
    <w:rsid w:val="009E681E"/>
    <w:rsid w:val="00A119E6"/>
    <w:rsid w:val="00A20FBC"/>
    <w:rsid w:val="00A31370"/>
    <w:rsid w:val="00A34D6F"/>
    <w:rsid w:val="00A41F91"/>
    <w:rsid w:val="00A63355"/>
    <w:rsid w:val="00A7596D"/>
    <w:rsid w:val="00A80EFE"/>
    <w:rsid w:val="00A87E6C"/>
    <w:rsid w:val="00A963DF"/>
    <w:rsid w:val="00A96D3A"/>
    <w:rsid w:val="00AC0C22"/>
    <w:rsid w:val="00AC3896"/>
    <w:rsid w:val="00AC79D1"/>
    <w:rsid w:val="00AD2CF2"/>
    <w:rsid w:val="00AE2D88"/>
    <w:rsid w:val="00AE3B0C"/>
    <w:rsid w:val="00AE6F6F"/>
    <w:rsid w:val="00AF3325"/>
    <w:rsid w:val="00AF34D9"/>
    <w:rsid w:val="00AF3998"/>
    <w:rsid w:val="00AF5B37"/>
    <w:rsid w:val="00AF70DA"/>
    <w:rsid w:val="00B019D3"/>
    <w:rsid w:val="00B23FC9"/>
    <w:rsid w:val="00B33A8D"/>
    <w:rsid w:val="00B34CF9"/>
    <w:rsid w:val="00B37559"/>
    <w:rsid w:val="00B4054B"/>
    <w:rsid w:val="00B4491F"/>
    <w:rsid w:val="00B44C74"/>
    <w:rsid w:val="00B46E40"/>
    <w:rsid w:val="00B51417"/>
    <w:rsid w:val="00B579B0"/>
    <w:rsid w:val="00B57D11"/>
    <w:rsid w:val="00B649D7"/>
    <w:rsid w:val="00B763AD"/>
    <w:rsid w:val="00B81C2F"/>
    <w:rsid w:val="00B90743"/>
    <w:rsid w:val="00B90C45"/>
    <w:rsid w:val="00B933BE"/>
    <w:rsid w:val="00BD6738"/>
    <w:rsid w:val="00BD7E5E"/>
    <w:rsid w:val="00BE63DB"/>
    <w:rsid w:val="00BE6574"/>
    <w:rsid w:val="00C07319"/>
    <w:rsid w:val="00C16FD2"/>
    <w:rsid w:val="00C3451F"/>
    <w:rsid w:val="00C4395E"/>
    <w:rsid w:val="00C47FFD"/>
    <w:rsid w:val="00C51E92"/>
    <w:rsid w:val="00C57E2C"/>
    <w:rsid w:val="00C608B7"/>
    <w:rsid w:val="00C65130"/>
    <w:rsid w:val="00C66F24"/>
    <w:rsid w:val="00C76D7F"/>
    <w:rsid w:val="00C813AA"/>
    <w:rsid w:val="00C9291E"/>
    <w:rsid w:val="00CA3F44"/>
    <w:rsid w:val="00CA406A"/>
    <w:rsid w:val="00CA4E58"/>
    <w:rsid w:val="00CB3771"/>
    <w:rsid w:val="00CB44BF"/>
    <w:rsid w:val="00CB4ED0"/>
    <w:rsid w:val="00CB5153"/>
    <w:rsid w:val="00CE076A"/>
    <w:rsid w:val="00CE463D"/>
    <w:rsid w:val="00CF01A4"/>
    <w:rsid w:val="00CF7B6D"/>
    <w:rsid w:val="00D107D5"/>
    <w:rsid w:val="00D10BA0"/>
    <w:rsid w:val="00D21694"/>
    <w:rsid w:val="00D239B4"/>
    <w:rsid w:val="00D24EB5"/>
    <w:rsid w:val="00D35AB9"/>
    <w:rsid w:val="00D37E20"/>
    <w:rsid w:val="00D41571"/>
    <w:rsid w:val="00D416A0"/>
    <w:rsid w:val="00D47672"/>
    <w:rsid w:val="00D5123C"/>
    <w:rsid w:val="00D55560"/>
    <w:rsid w:val="00D61C5A"/>
    <w:rsid w:val="00D63BFF"/>
    <w:rsid w:val="00D63CAD"/>
    <w:rsid w:val="00D6790C"/>
    <w:rsid w:val="00D73277"/>
    <w:rsid w:val="00D76586"/>
    <w:rsid w:val="00D82657"/>
    <w:rsid w:val="00D87E20"/>
    <w:rsid w:val="00D97EF5"/>
    <w:rsid w:val="00DA4037"/>
    <w:rsid w:val="00DB04C8"/>
    <w:rsid w:val="00DB0B51"/>
    <w:rsid w:val="00DC18F1"/>
    <w:rsid w:val="00DE66A5"/>
    <w:rsid w:val="00DF18A4"/>
    <w:rsid w:val="00DF1EF8"/>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786"/>
    <w:rsid w:val="00E55996"/>
    <w:rsid w:val="00E64254"/>
    <w:rsid w:val="00E67928"/>
    <w:rsid w:val="00E70FB5"/>
    <w:rsid w:val="00E915AF"/>
    <w:rsid w:val="00E96415"/>
    <w:rsid w:val="00E967C8"/>
    <w:rsid w:val="00EA15B3"/>
    <w:rsid w:val="00EB2358"/>
    <w:rsid w:val="00EB3EB8"/>
    <w:rsid w:val="00EC00EF"/>
    <w:rsid w:val="00EC02FE"/>
    <w:rsid w:val="00EC4A96"/>
    <w:rsid w:val="00EE03A0"/>
    <w:rsid w:val="00F23B36"/>
    <w:rsid w:val="00F424BF"/>
    <w:rsid w:val="00F44FC3"/>
    <w:rsid w:val="00F46107"/>
    <w:rsid w:val="00F468C5"/>
    <w:rsid w:val="00F52F39"/>
    <w:rsid w:val="00F6184F"/>
    <w:rsid w:val="00F8310E"/>
    <w:rsid w:val="00F914DD"/>
    <w:rsid w:val="00FA2358"/>
    <w:rsid w:val="00FB2592"/>
    <w:rsid w:val="00FB2810"/>
    <w:rsid w:val="00FB7A2C"/>
    <w:rsid w:val="00FC2947"/>
    <w:rsid w:val="00FE0818"/>
    <w:rsid w:val="00FE37E7"/>
    <w:rsid w:val="00FE4822"/>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30C465"/>
  <w15:docId w15:val="{540A99F6-8275-4534-8B63-70D0CB54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5F47"/>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rsid w:val="004326DB"/>
    <w:rPr>
      <w:position w:val="6"/>
      <w:sz w:val="18"/>
    </w:rPr>
  </w:style>
  <w:style w:type="paragraph" w:styleId="FootnoteText">
    <w:name w:val="footnote text"/>
    <w:basedOn w:val="Note"/>
    <w:link w:val="FootnoteTextChar"/>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link w:val="SourceChar"/>
    <w:qFormat/>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0163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2"/>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link w:val="Title1Char"/>
    <w:qFormat/>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超?级链,Style 58,超????,하이퍼링크2,超链接1,하이퍼링크21,超??级链Ú,fL????,fL?级,超??级链,超?级链Ú,’´?级链,’´????,’´??级链Ú,’´??级,超?级链?,Style?,S"/>
    <w:basedOn w:val="DefaultParagraphFont"/>
    <w:qForma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paragraph" w:customStyle="1" w:styleId="FigureLegend0">
    <w:name w:val="Figure_Legend"/>
    <w:basedOn w:val="Normal"/>
    <w:rsid w:val="00A96D3A"/>
    <w:pPr>
      <w:keepNext/>
      <w:keepLines/>
      <w:tabs>
        <w:tab w:val="clear" w:pos="794"/>
        <w:tab w:val="clear" w:pos="1191"/>
        <w:tab w:val="clear" w:pos="1588"/>
        <w:tab w:val="clear" w:pos="1985"/>
      </w:tabs>
      <w:spacing w:before="20" w:after="20" w:line="240" w:lineRule="auto"/>
      <w:jc w:val="left"/>
    </w:pPr>
    <w:rPr>
      <w:rFonts w:ascii="Times New Roman" w:hAnsi="Times New Roman" w:cs="Times New Roman"/>
      <w:sz w:val="18"/>
      <w:szCs w:val="20"/>
      <w:lang w:val="es-ES_tradnl"/>
    </w:rPr>
  </w:style>
  <w:style w:type="table" w:styleId="TableGrid">
    <w:name w:val="Table Grid"/>
    <w:basedOn w:val="TableNormal"/>
    <w:uiPriority w:val="59"/>
    <w:rsid w:val="009E4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1,O5,Para_sk,Resume Title,- Bullets"/>
    <w:basedOn w:val="Normal"/>
    <w:link w:val="ListParagraphChar"/>
    <w:uiPriority w:val="34"/>
    <w:qFormat/>
    <w:rsid w:val="005370F0"/>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basedOn w:val="DefaultParagraphFont"/>
    <w:link w:val="Header"/>
    <w:rsid w:val="001B3D4D"/>
    <w:rPr>
      <w:sz w:val="24"/>
      <w:szCs w:val="22"/>
      <w:lang w:val="en-US" w:eastAsia="en-US"/>
    </w:rPr>
  </w:style>
  <w:style w:type="character" w:styleId="UnresolvedMention">
    <w:name w:val="Unresolved Mention"/>
    <w:basedOn w:val="DefaultParagraphFont"/>
    <w:uiPriority w:val="99"/>
    <w:semiHidden/>
    <w:unhideWhenUsed/>
    <w:rsid w:val="00353E34"/>
    <w:rPr>
      <w:color w:val="605E5C"/>
      <w:shd w:val="clear" w:color="auto" w:fill="E1DFDD"/>
    </w:rPr>
  </w:style>
  <w:style w:type="paragraph" w:customStyle="1" w:styleId="AnnexNo">
    <w:name w:val="Annex_No"/>
    <w:basedOn w:val="Normal"/>
    <w:next w:val="Normal"/>
    <w:link w:val="AnnexNoChar"/>
    <w:rsid w:val="00AE3B0C"/>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heme="minorHAnsi" w:hAnsiTheme="minorHAnsi" w:cs="Times New Roman"/>
      <w:caps/>
      <w:sz w:val="26"/>
      <w:szCs w:val="20"/>
      <w:lang w:val="ru-RU"/>
    </w:rPr>
  </w:style>
  <w:style w:type="character" w:customStyle="1" w:styleId="AnnexNoChar">
    <w:name w:val="Annex_No Char"/>
    <w:link w:val="AnnexNo"/>
    <w:locked/>
    <w:rsid w:val="00AE3B0C"/>
    <w:rPr>
      <w:rFonts w:asciiTheme="minorHAnsi" w:hAnsiTheme="minorHAnsi" w:cs="Times New Roman"/>
      <w:caps/>
      <w:sz w:val="26"/>
      <w:lang w:val="ru-RU" w:eastAsia="en-US"/>
    </w:rPr>
  </w:style>
  <w:style w:type="paragraph" w:customStyle="1" w:styleId="Annextitle">
    <w:name w:val="Annex_title"/>
    <w:basedOn w:val="Normal"/>
    <w:next w:val="Normal"/>
    <w:link w:val="AnnextitleChar1"/>
    <w:rsid w:val="00AE3B0C"/>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heme="minorHAnsi" w:hAnsiTheme="minorHAnsi" w:cs="Times New Roman"/>
      <w:b/>
      <w:sz w:val="26"/>
      <w:szCs w:val="20"/>
      <w:lang w:val="ru-RU"/>
    </w:rPr>
  </w:style>
  <w:style w:type="character" w:customStyle="1" w:styleId="AnnextitleChar1">
    <w:name w:val="Annex_title Char1"/>
    <w:link w:val="Annextitle"/>
    <w:locked/>
    <w:rsid w:val="00AE3B0C"/>
    <w:rPr>
      <w:rFonts w:asciiTheme="minorHAnsi" w:hAnsiTheme="minorHAnsi" w:cs="Times New Roman"/>
      <w:b/>
      <w:sz w:val="26"/>
      <w:lang w:val="ru-RU" w:eastAsia="en-US"/>
    </w:rPr>
  </w:style>
  <w:style w:type="paragraph" w:customStyle="1" w:styleId="Reasons">
    <w:name w:val="Reasons"/>
    <w:basedOn w:val="Normal"/>
    <w:qFormat/>
    <w:rsid w:val="00AE3B0C"/>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heme="minorEastAsia" w:hAnsi="Times New Roman" w:cs="Times New Roman"/>
      <w:szCs w:val="20"/>
    </w:rPr>
  </w:style>
  <w:style w:type="character" w:customStyle="1" w:styleId="ListParagraphChar">
    <w:name w:val="List Paragraph Char"/>
    <w:aliases w:val="Recommendation Char,List Paragraph11 Char,O5 Char,Para_sk Char,Resume Title Char,- Bullets Char"/>
    <w:basedOn w:val="DefaultParagraphFont"/>
    <w:link w:val="ListParagraph"/>
    <w:uiPriority w:val="34"/>
    <w:locked/>
    <w:rsid w:val="00AE3B0C"/>
    <w:rPr>
      <w:rFonts w:eastAsia="SimSun" w:cs="Times New Roman"/>
      <w:sz w:val="22"/>
      <w:szCs w:val="22"/>
      <w:lang w:val="en-US"/>
    </w:rPr>
  </w:style>
  <w:style w:type="paragraph" w:customStyle="1" w:styleId="Pa21">
    <w:name w:val="Pa21"/>
    <w:basedOn w:val="Normal"/>
    <w:next w:val="Normal"/>
    <w:uiPriority w:val="99"/>
    <w:rsid w:val="00AE3B0C"/>
    <w:pPr>
      <w:tabs>
        <w:tab w:val="clear" w:pos="794"/>
        <w:tab w:val="clear" w:pos="1191"/>
        <w:tab w:val="clear" w:pos="1588"/>
        <w:tab w:val="clear" w:pos="1985"/>
      </w:tabs>
      <w:overflowPunct/>
      <w:spacing w:before="0" w:line="231" w:lineRule="atLeast"/>
      <w:jc w:val="left"/>
      <w:textAlignment w:val="auto"/>
    </w:pPr>
    <w:rPr>
      <w:rFonts w:eastAsiaTheme="minorEastAsia"/>
      <w:szCs w:val="24"/>
      <w:lang w:val="en-GB" w:eastAsia="zh-CN"/>
    </w:rPr>
  </w:style>
  <w:style w:type="paragraph" w:styleId="Revision">
    <w:name w:val="Revision"/>
    <w:hidden/>
    <w:uiPriority w:val="99"/>
    <w:semiHidden/>
    <w:rsid w:val="00AE3B0C"/>
    <w:rPr>
      <w:sz w:val="24"/>
      <w:szCs w:val="22"/>
      <w:lang w:val="en-US" w:eastAsia="en-US"/>
    </w:rPr>
  </w:style>
  <w:style w:type="paragraph" w:styleId="CommentSubject">
    <w:name w:val="annotation subject"/>
    <w:basedOn w:val="CommentText"/>
    <w:next w:val="CommentText"/>
    <w:link w:val="CommentSubjectChar"/>
    <w:semiHidden/>
    <w:unhideWhenUsed/>
    <w:rsid w:val="00AE3B0C"/>
    <w:pPr>
      <w:spacing w:line="240" w:lineRule="auto"/>
    </w:pPr>
    <w:rPr>
      <w:b/>
      <w:bCs/>
      <w:szCs w:val="20"/>
    </w:rPr>
  </w:style>
  <w:style w:type="character" w:customStyle="1" w:styleId="CommentTextChar">
    <w:name w:val="Comment Text Char"/>
    <w:basedOn w:val="DefaultParagraphFont"/>
    <w:link w:val="CommentText"/>
    <w:semiHidden/>
    <w:rsid w:val="00AE3B0C"/>
    <w:rPr>
      <w:szCs w:val="22"/>
      <w:lang w:val="en-US" w:eastAsia="en-US"/>
    </w:rPr>
  </w:style>
  <w:style w:type="character" w:customStyle="1" w:styleId="CommentSubjectChar">
    <w:name w:val="Comment Subject Char"/>
    <w:basedOn w:val="CommentTextChar"/>
    <w:link w:val="CommentSubject"/>
    <w:semiHidden/>
    <w:rsid w:val="00AE3B0C"/>
    <w:rPr>
      <w:b/>
      <w:bCs/>
      <w:szCs w:val="22"/>
      <w:lang w:val="en-US" w:eastAsia="en-US"/>
    </w:rPr>
  </w:style>
  <w:style w:type="character" w:customStyle="1" w:styleId="SourceChar">
    <w:name w:val="Source Char"/>
    <w:link w:val="Source"/>
    <w:locked/>
    <w:rsid w:val="00AE3B0C"/>
    <w:rPr>
      <w:b/>
      <w:sz w:val="28"/>
      <w:szCs w:val="22"/>
      <w:lang w:val="en-US" w:eastAsia="en-US"/>
    </w:rPr>
  </w:style>
  <w:style w:type="character" w:customStyle="1" w:styleId="Title1Char">
    <w:name w:val="Title 1 Char"/>
    <w:link w:val="Title1"/>
    <w:qFormat/>
    <w:locked/>
    <w:rsid w:val="00AE3B0C"/>
    <w:rPr>
      <w:caps/>
      <w:sz w:val="28"/>
      <w:szCs w:val="22"/>
      <w:lang w:val="en-US" w:eastAsia="en-US"/>
    </w:rPr>
  </w:style>
  <w:style w:type="character" w:customStyle="1" w:styleId="FootnoteTextChar">
    <w:name w:val="Footnote Text Char"/>
    <w:basedOn w:val="DefaultParagraphFont"/>
    <w:link w:val="FootnoteText"/>
    <w:rsid w:val="00AE3B0C"/>
    <w:rPr>
      <w:szCs w:val="22"/>
      <w:lang w:val="en-US" w:eastAsia="en-US"/>
    </w:rPr>
  </w:style>
  <w:style w:type="character" w:customStyle="1" w:styleId="enumlev1Char">
    <w:name w:val="enumlev1 Char"/>
    <w:basedOn w:val="DefaultParagraphFont"/>
    <w:link w:val="enumlev1"/>
    <w:rsid w:val="00AE3B0C"/>
    <w:rPr>
      <w:sz w:val="24"/>
      <w:szCs w:val="22"/>
      <w:lang w:val="en-US" w:eastAsia="en-US"/>
    </w:rPr>
  </w:style>
  <w:style w:type="character" w:styleId="Mention">
    <w:name w:val="Mention"/>
    <w:basedOn w:val="DefaultParagraphFont"/>
    <w:uiPriority w:val="99"/>
    <w:unhideWhenUsed/>
    <w:rsid w:val="00AE3B0C"/>
    <w:rPr>
      <w:color w:val="2B579A"/>
      <w:shd w:val="clear" w:color="auto" w:fill="E1DFDD"/>
    </w:rPr>
  </w:style>
  <w:style w:type="character" w:customStyle="1" w:styleId="FooterChar">
    <w:name w:val="Footer Char"/>
    <w:basedOn w:val="DefaultParagraphFont"/>
    <w:link w:val="Footer"/>
    <w:rsid w:val="00AE3B0C"/>
    <w:rPr>
      <w:sz w:val="24"/>
      <w:szCs w:val="22"/>
      <w:lang w:val="en-US" w:eastAsia="en-US"/>
    </w:rPr>
  </w:style>
  <w:style w:type="character" w:styleId="FollowedHyperlink">
    <w:name w:val="FollowedHyperlink"/>
    <w:basedOn w:val="DefaultParagraphFont"/>
    <w:semiHidden/>
    <w:unhideWhenUsed/>
    <w:rsid w:val="00AE3B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3-RAG-C-0059/es" TargetMode="External"/><Relationship Id="rId21" Type="http://schemas.openxmlformats.org/officeDocument/2006/relationships/hyperlink" Target="https://www.itu.int/md/R23-RAG-C-0058/es" TargetMode="External"/><Relationship Id="rId42" Type="http://schemas.openxmlformats.org/officeDocument/2006/relationships/hyperlink" Target="https://www.itu.int/md/R23-RAG-C-0071/es" TargetMode="External"/><Relationship Id="rId47" Type="http://schemas.openxmlformats.org/officeDocument/2006/relationships/hyperlink" Target="https://www.itu.int/md/R23-RAG-C-0058/es" TargetMode="External"/><Relationship Id="rId63" Type="http://schemas.openxmlformats.org/officeDocument/2006/relationships/hyperlink" Target="https://www.itu.int/md/R23-RAG-C-0058/es" TargetMode="External"/><Relationship Id="rId68" Type="http://schemas.openxmlformats.org/officeDocument/2006/relationships/hyperlink" Target="https://www.itu.int/md/R23-RAG-C-0058/en" TargetMode="External"/><Relationship Id="rId84" Type="http://schemas.openxmlformats.org/officeDocument/2006/relationships/hyperlink" Target="https://www.itu.int/md/R23-RAG-C-0050/es" TargetMode="External"/><Relationship Id="rId89" Type="http://schemas.openxmlformats.org/officeDocument/2006/relationships/hyperlink" Target="https://www.itu.int/md/R23-RAG-C-0055/es" TargetMode="External"/><Relationship Id="rId16" Type="http://schemas.openxmlformats.org/officeDocument/2006/relationships/hyperlink" Target="https://www.itu.int/md/R23-RAG-C-0058/es" TargetMode="External"/><Relationship Id="rId11" Type="http://schemas.openxmlformats.org/officeDocument/2006/relationships/header" Target="header3.xml"/><Relationship Id="rId32" Type="http://schemas.openxmlformats.org/officeDocument/2006/relationships/hyperlink" Target="https://www.itu.int/md/R23-RAG-C-0058/es" TargetMode="External"/><Relationship Id="rId37" Type="http://schemas.openxmlformats.org/officeDocument/2006/relationships/hyperlink" Target="https://www.itu.int/md/R23-RAG-C-0073/es" TargetMode="External"/><Relationship Id="rId53" Type="http://schemas.openxmlformats.org/officeDocument/2006/relationships/hyperlink" Target="https://www.itu.int/md/R23-RAG-C-0067/es" TargetMode="External"/><Relationship Id="rId58" Type="http://schemas.openxmlformats.org/officeDocument/2006/relationships/hyperlink" Target="https://www.itu.int/md/R23-RAG-C-0058/es" TargetMode="External"/><Relationship Id="rId74" Type="http://schemas.openxmlformats.org/officeDocument/2006/relationships/footer" Target="footer2.xml"/><Relationship Id="rId79" Type="http://schemas.openxmlformats.org/officeDocument/2006/relationships/image" Target="media/image3.jpeg"/><Relationship Id="rId102" Type="http://schemas.openxmlformats.org/officeDocument/2006/relationships/hyperlink" Target="mailto:aorf@cst.gov.sa" TargetMode="External"/><Relationship Id="rId5" Type="http://schemas.openxmlformats.org/officeDocument/2006/relationships/webSettings" Target="webSettings.xml"/><Relationship Id="rId90" Type="http://schemas.openxmlformats.org/officeDocument/2006/relationships/hyperlink" Target="https://www.itu.int/md/S26-CWGSFP4-260112-TD-0002/es" TargetMode="External"/><Relationship Id="rId95" Type="http://schemas.openxmlformats.org/officeDocument/2006/relationships/hyperlink" Target="https://www.itu.int/md/R23-RAG-260330-TD-0012/es" TargetMode="External"/><Relationship Id="rId22" Type="http://schemas.openxmlformats.org/officeDocument/2006/relationships/hyperlink" Target="https://www.itu.int/md/R23-RAG-C-0055/es" TargetMode="External"/><Relationship Id="rId27" Type="http://schemas.openxmlformats.org/officeDocument/2006/relationships/hyperlink" Target="https://www.itu.int/md/R23-RAG-C-0060/es" TargetMode="External"/><Relationship Id="rId43" Type="http://schemas.openxmlformats.org/officeDocument/2006/relationships/hyperlink" Target="https://www.itu.int/md/R23-RAG-C-0058/es" TargetMode="External"/><Relationship Id="rId48" Type="http://schemas.openxmlformats.org/officeDocument/2006/relationships/hyperlink" Target="https://www.itu.int/md/R23-RAG-C-0079/es" TargetMode="External"/><Relationship Id="rId64" Type="http://schemas.openxmlformats.org/officeDocument/2006/relationships/hyperlink" Target="https://www.itu.int/md/R23-RAG-C-0058/en" TargetMode="External"/><Relationship Id="rId69" Type="http://schemas.openxmlformats.org/officeDocument/2006/relationships/hyperlink" Target="https://www.itu.int/md/R23-RAG-C-0058/es" TargetMode="External"/><Relationship Id="rId80" Type="http://schemas.openxmlformats.org/officeDocument/2006/relationships/hyperlink" Target="https://www.itu.int/md/R23-RAG-C-0058/es" TargetMode="External"/><Relationship Id="rId85" Type="http://schemas.openxmlformats.org/officeDocument/2006/relationships/hyperlink" Target="https://www.itu.int/md/S26-CWGSFP4-C-0006/es" TargetMode="External"/><Relationship Id="rId12" Type="http://schemas.openxmlformats.org/officeDocument/2006/relationships/footer" Target="footer1.xml"/><Relationship Id="rId17" Type="http://schemas.openxmlformats.org/officeDocument/2006/relationships/hyperlink" Target="https://www.itu.int/md/R23-RAG-C-0058/es" TargetMode="External"/><Relationship Id="rId33" Type="http://schemas.openxmlformats.org/officeDocument/2006/relationships/hyperlink" Target="https://www.itu.int/md/R23-RAG-C-0062/es" TargetMode="External"/><Relationship Id="rId38" Type="http://schemas.openxmlformats.org/officeDocument/2006/relationships/hyperlink" Target="https://www.itu.int/md/R23-RAG-C-0058/es" TargetMode="External"/><Relationship Id="rId59" Type="http://schemas.openxmlformats.org/officeDocument/2006/relationships/hyperlink" Target="https://www.itu.int/md/R23-RAG-C-0058/es" TargetMode="External"/><Relationship Id="rId103" Type="http://schemas.openxmlformats.org/officeDocument/2006/relationships/footer" Target="footer5.xml"/><Relationship Id="rId20" Type="http://schemas.openxmlformats.org/officeDocument/2006/relationships/hyperlink" Target="https://www.itu.int/md/R23-RAG-C-0058/es" TargetMode="External"/><Relationship Id="rId41" Type="http://schemas.openxmlformats.org/officeDocument/2006/relationships/hyperlink" Target="https://www.itu.int/md/R23-RAG-C-0058/es" TargetMode="External"/><Relationship Id="rId54" Type="http://schemas.openxmlformats.org/officeDocument/2006/relationships/hyperlink" Target="https://www.itu.int/en/general-secretariat/Pages/ISCG/default.aspx" TargetMode="External"/><Relationship Id="rId62" Type="http://schemas.openxmlformats.org/officeDocument/2006/relationships/hyperlink" Target="https://www.itu.int/md/R23-RAG-C-0058/es" TargetMode="External"/><Relationship Id="rId70" Type="http://schemas.openxmlformats.org/officeDocument/2006/relationships/hyperlink" Target="https://www.itu.int/md/R23-RAG-C-0058/es" TargetMode="External"/><Relationship Id="rId75" Type="http://schemas.openxmlformats.org/officeDocument/2006/relationships/footer" Target="footer3.xml"/><Relationship Id="rId83" Type="http://schemas.openxmlformats.org/officeDocument/2006/relationships/hyperlink" Target="mailto:mjnoobi@cst.gov.sa" TargetMode="External"/><Relationship Id="rId88" Type="http://schemas.openxmlformats.org/officeDocument/2006/relationships/hyperlink" Target="https://www.itu.int/md/S26-CWGSFP4-C-0006/es" TargetMode="External"/><Relationship Id="rId91" Type="http://schemas.openxmlformats.org/officeDocument/2006/relationships/hyperlink" Target="http://itu.int/md/S26-CWGSFP4-260112-TD-0002/es" TargetMode="External"/><Relationship Id="rId9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23-RAG-C-0058/es" TargetMode="External"/><Relationship Id="rId23" Type="http://schemas.openxmlformats.org/officeDocument/2006/relationships/hyperlink" Target="https://www.itu.int/md/R23-RAG-C-0074/es" TargetMode="External"/><Relationship Id="rId28" Type="http://schemas.openxmlformats.org/officeDocument/2006/relationships/hyperlink" Target="https://www.itu.int/md/R23-RAG-C-0064/es" TargetMode="External"/><Relationship Id="rId36" Type="http://schemas.openxmlformats.org/officeDocument/2006/relationships/hyperlink" Target="https://www.itu.int/md/R23-RAG-C-0072/es" TargetMode="External"/><Relationship Id="rId49" Type="http://schemas.openxmlformats.org/officeDocument/2006/relationships/hyperlink" Target="https://www.itu.int/md/R23-RAG-C-0058/es" TargetMode="External"/><Relationship Id="rId57" Type="http://schemas.openxmlformats.org/officeDocument/2006/relationships/hyperlink" Target="https://www.itu.int/md/R23-RAG-C-0048/es" TargetMode="External"/><Relationship Id="rId10" Type="http://schemas.openxmlformats.org/officeDocument/2006/relationships/header" Target="header2.xml"/><Relationship Id="rId31" Type="http://schemas.openxmlformats.org/officeDocument/2006/relationships/hyperlink" Target="https://www.itu.int/md/S26-CL-C-0065/en" TargetMode="External"/><Relationship Id="rId44" Type="http://schemas.openxmlformats.org/officeDocument/2006/relationships/hyperlink" Target="https://www.itu.int/md/R23-RAG-C-0058/es" TargetMode="External"/><Relationship Id="rId52" Type="http://schemas.openxmlformats.org/officeDocument/2006/relationships/hyperlink" Target="https://www.itu.int/md/R23-RAG-C-0056/es" TargetMode="External"/><Relationship Id="rId60" Type="http://schemas.openxmlformats.org/officeDocument/2006/relationships/hyperlink" Target="https://www.itu.int/md/R23-RAG-C-0069/es" TargetMode="External"/><Relationship Id="rId65" Type="http://schemas.openxmlformats.org/officeDocument/2006/relationships/hyperlink" Target="https://www.itu.int/md/R23-RAG-C-0058/es" TargetMode="External"/><Relationship Id="rId73" Type="http://schemas.openxmlformats.org/officeDocument/2006/relationships/header" Target="header4.xml"/><Relationship Id="rId78" Type="http://schemas.openxmlformats.org/officeDocument/2006/relationships/hyperlink" Target="https://www.itu.int/md/R23-RAG-260330-TD-0009/es" TargetMode="External"/><Relationship Id="rId81" Type="http://schemas.openxmlformats.org/officeDocument/2006/relationships/hyperlink" Target="https://www.itu.int/md/R23-RAG-260330-TD-0008/es" TargetMode="External"/><Relationship Id="rId86" Type="http://schemas.openxmlformats.org/officeDocument/2006/relationships/hyperlink" Target="https://www.itu.int/md/R23-RAG-C-0055/es" TargetMode="External"/><Relationship Id="rId94" Type="http://schemas.openxmlformats.org/officeDocument/2006/relationships/hyperlink" Target="https://www.itu.int/md/S26-CWGSFP4-C-0006/es" TargetMode="External"/><Relationship Id="rId99" Type="http://schemas.openxmlformats.org/officeDocument/2006/relationships/hyperlink" Target="https://www.itu.int/md/R23-RAG-260330-TD-0010/es" TargetMode="External"/><Relationship Id="rId101" Type="http://schemas.openxmlformats.org/officeDocument/2006/relationships/hyperlink" Target="https://www.itu.int/md/R23-RAG-260330-TD-0013/es"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tu.int/md/R23-RAG-ADM-0004/es" TargetMode="External"/><Relationship Id="rId18" Type="http://schemas.openxmlformats.org/officeDocument/2006/relationships/hyperlink" Target="https://www.itu.int/md/R23-RAG-C-0058/es" TargetMode="External"/><Relationship Id="rId39" Type="http://schemas.openxmlformats.org/officeDocument/2006/relationships/hyperlink" Target="https://www.itu.int/md/R23-RAG-C-0057/es" TargetMode="External"/><Relationship Id="rId34" Type="http://schemas.openxmlformats.org/officeDocument/2006/relationships/hyperlink" Target="https://www.itu.int/md/R23-RAG-C-0065/es" TargetMode="External"/><Relationship Id="rId50" Type="http://schemas.openxmlformats.org/officeDocument/2006/relationships/hyperlink" Target="https://www.itu.int/md/R23-RAG-C-0077/es" TargetMode="External"/><Relationship Id="rId55" Type="http://schemas.openxmlformats.org/officeDocument/2006/relationships/hyperlink" Target="https://www.itu.int/md/R23-RAG-C-0066/es" TargetMode="External"/><Relationship Id="rId76" Type="http://schemas.openxmlformats.org/officeDocument/2006/relationships/header" Target="header5.xml"/><Relationship Id="rId97" Type="http://schemas.openxmlformats.org/officeDocument/2006/relationships/hyperlink" Target="https://www.itu.int/pub/R-RES-R.2"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tu.int/md/R23-RAG-C-0070/es" TargetMode="External"/><Relationship Id="rId92" Type="http://schemas.openxmlformats.org/officeDocument/2006/relationships/hyperlink" Target="https://www.itu.int/md/S26-CWGSFP4-C-0006/es" TargetMode="External"/><Relationship Id="rId2" Type="http://schemas.openxmlformats.org/officeDocument/2006/relationships/numbering" Target="numbering.xml"/><Relationship Id="rId29" Type="http://schemas.openxmlformats.org/officeDocument/2006/relationships/hyperlink" Target="https://www.itu.int/md/R23-RAG-C-0068/es" TargetMode="External"/><Relationship Id="rId24" Type="http://schemas.openxmlformats.org/officeDocument/2006/relationships/hyperlink" Target="https://www.itu.int/md/R23-RAG-C-0024/en" TargetMode="External"/><Relationship Id="rId40" Type="http://schemas.openxmlformats.org/officeDocument/2006/relationships/hyperlink" Target="https://www.itu.int/md/R23-RAG-C-0058/es" TargetMode="External"/><Relationship Id="rId45" Type="http://schemas.openxmlformats.org/officeDocument/2006/relationships/hyperlink" Target="https://www.itu.int/md/R00-CR-CIR-0504/en" TargetMode="External"/><Relationship Id="rId66" Type="http://schemas.openxmlformats.org/officeDocument/2006/relationships/hyperlink" Target="https://www.itu.int/md/R23-RAG-C-0058/es" TargetMode="External"/><Relationship Id="rId87" Type="http://schemas.openxmlformats.org/officeDocument/2006/relationships/hyperlink" Target="https://www.itu.int/md/S26-CWGSFP4-260112-TD-0002/es" TargetMode="External"/><Relationship Id="rId61" Type="http://schemas.openxmlformats.org/officeDocument/2006/relationships/hyperlink" Target="https://www.itu.int/md/R23-RAG-C-0076/es" TargetMode="External"/><Relationship Id="rId82" Type="http://schemas.openxmlformats.org/officeDocument/2006/relationships/hyperlink" Target="https://www.itu.int/md/R23-RAG-C-0055/es" TargetMode="External"/><Relationship Id="rId19" Type="http://schemas.openxmlformats.org/officeDocument/2006/relationships/hyperlink" Target="https://www.itu.int/md/R23-RAG-C-0075/es" TargetMode="External"/><Relationship Id="rId14" Type="http://schemas.openxmlformats.org/officeDocument/2006/relationships/hyperlink" Target="https://www.itu.int/md/R23-RAG-C-0058/es" TargetMode="External"/><Relationship Id="rId30" Type="http://schemas.openxmlformats.org/officeDocument/2006/relationships/hyperlink" Target="https://www.itu.int/md/R23-RAG-C-0058/es" TargetMode="External"/><Relationship Id="rId35" Type="http://schemas.openxmlformats.org/officeDocument/2006/relationships/hyperlink" Target="https://www.itu.int/md/R23-RAG-260330-TD-0007/es" TargetMode="External"/><Relationship Id="rId56" Type="http://schemas.openxmlformats.org/officeDocument/2006/relationships/hyperlink" Target="https://www.itu.int/md/S26-CL-C-0024/es" TargetMode="External"/><Relationship Id="rId77" Type="http://schemas.openxmlformats.org/officeDocument/2006/relationships/footer" Target="footer4.xml"/><Relationship Id="rId100" Type="http://schemas.openxmlformats.org/officeDocument/2006/relationships/hyperlink" Target="https://www.itu.int/md/R23-RAG-C-0057/es" TargetMode="External"/><Relationship Id="rId105" Type="http://schemas.openxmlformats.org/officeDocument/2006/relationships/theme" Target="theme/theme1.xml"/><Relationship Id="rId8" Type="http://schemas.openxmlformats.org/officeDocument/2006/relationships/hyperlink" Target="https://www.itu.int/rag/" TargetMode="External"/><Relationship Id="rId51" Type="http://schemas.openxmlformats.org/officeDocument/2006/relationships/hyperlink" Target="https://www.itu.int/md/R23-RAG-C-0058/es" TargetMode="External"/><Relationship Id="rId72" Type="http://schemas.openxmlformats.org/officeDocument/2006/relationships/hyperlink" Target="https://www.itu.int/md/R23-RAG-C-0078/es" TargetMode="External"/><Relationship Id="rId93" Type="http://schemas.openxmlformats.org/officeDocument/2006/relationships/hyperlink" Target="http://itu.int/md/S26-CWGSFP4-260112-TD-0002/es" TargetMode="External"/><Relationship Id="rId98" Type="http://schemas.openxmlformats.org/officeDocument/2006/relationships/hyperlink" Target="mailto:fabghamdi@citc.gov.sa" TargetMode="External"/><Relationship Id="rId3" Type="http://schemas.openxmlformats.org/officeDocument/2006/relationships/styles" Target="styles.xml"/><Relationship Id="rId25" Type="http://schemas.openxmlformats.org/officeDocument/2006/relationships/hyperlink" Target="https://www.itu.int/md/R23-RAG-C-0054/es" TargetMode="External"/><Relationship Id="rId46" Type="http://schemas.openxmlformats.org/officeDocument/2006/relationships/hyperlink" Target="https://www.itu.int/md/R00-CA-CIR-0270/en" TargetMode="External"/><Relationship Id="rId67" Type="http://schemas.openxmlformats.org/officeDocument/2006/relationships/hyperlink" Target="https://www.itu.int/md/R23-RAG-C-0058/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atahub.itu.int/data/?i=19303&amp;d=Technology&amp;g=1163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2387C-DC9E-461E-8AFA-8ECF22AA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1395</TotalTime>
  <Pages>26</Pages>
  <Words>8529</Words>
  <Characters>44871</Characters>
  <Application>Microsoft Office Word</Application>
  <DocSecurity>0</DocSecurity>
  <Lines>862</Lines>
  <Paragraphs>374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53948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35</cp:revision>
  <cp:lastPrinted>2013-03-08T10:15:00Z</cp:lastPrinted>
  <dcterms:created xsi:type="dcterms:W3CDTF">2026-04-20T11:38:00Z</dcterms:created>
  <dcterms:modified xsi:type="dcterms:W3CDTF">2026-05-04T08:59:00Z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