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5DA762" w14:textId="77777777" w:rsidTr="00306452">
        <w:trPr>
          <w:jc w:val="center"/>
        </w:trPr>
        <w:tc>
          <w:tcPr>
            <w:tcW w:w="9889" w:type="dxa"/>
            <w:gridSpan w:val="3"/>
            <w:shd w:val="clear" w:color="auto" w:fill="auto"/>
          </w:tcPr>
          <w:p w14:paraId="2A165FB5"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376270D4" w14:textId="77777777" w:rsidR="00E53DCE" w:rsidRDefault="00E53DCE" w:rsidP="006160CB">
            <w:pPr>
              <w:spacing w:before="0"/>
              <w:jc w:val="left"/>
              <w:rPr>
                <w:rFonts w:cstheme="minorHAnsi"/>
                <w:b/>
                <w:bCs/>
                <w:color w:val="808080"/>
                <w:sz w:val="28"/>
                <w:szCs w:val="28"/>
                <w:lang w:val="en-GB"/>
              </w:rPr>
            </w:pPr>
          </w:p>
          <w:p w14:paraId="568F5932"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78EADAD6" w14:textId="77777777" w:rsidTr="00306452">
        <w:trPr>
          <w:jc w:val="center"/>
        </w:trPr>
        <w:tc>
          <w:tcPr>
            <w:tcW w:w="7054" w:type="dxa"/>
            <w:gridSpan w:val="2"/>
            <w:shd w:val="clear" w:color="auto" w:fill="auto"/>
          </w:tcPr>
          <w:p w14:paraId="27EB3ABD" w14:textId="39693732" w:rsidR="00E53DCE" w:rsidRPr="001B3D4D" w:rsidRDefault="00A96D3A" w:rsidP="006160CB">
            <w:pPr>
              <w:spacing w:before="0"/>
              <w:jc w:val="left"/>
              <w:rPr>
                <w:szCs w:val="24"/>
                <w:lang w:val="es-ES"/>
              </w:rPr>
            </w:pPr>
            <w:r w:rsidRPr="001B3D4D">
              <w:rPr>
                <w:szCs w:val="24"/>
                <w:lang w:val="es-ES"/>
              </w:rPr>
              <w:t>Circular Administrativa</w:t>
            </w:r>
          </w:p>
          <w:p w14:paraId="063919DD" w14:textId="66FF1D5A" w:rsidR="00E53DCE" w:rsidRPr="001B3D4D" w:rsidRDefault="001B3D4D" w:rsidP="006160CB">
            <w:pPr>
              <w:spacing w:before="0"/>
              <w:jc w:val="left"/>
              <w:rPr>
                <w:b/>
                <w:bCs/>
                <w:szCs w:val="24"/>
                <w:lang w:val="es-ES"/>
              </w:rPr>
            </w:pPr>
            <w:r w:rsidRPr="001B3D4D">
              <w:rPr>
                <w:b/>
                <w:bCs/>
                <w:szCs w:val="24"/>
                <w:lang w:val="es-ES"/>
              </w:rPr>
              <w:t>CA/</w:t>
            </w:r>
            <w:r w:rsidR="007C1EE9">
              <w:rPr>
                <w:b/>
                <w:bCs/>
                <w:szCs w:val="24"/>
                <w:lang w:val="es-ES"/>
              </w:rPr>
              <w:t>280</w:t>
            </w:r>
          </w:p>
        </w:tc>
        <w:tc>
          <w:tcPr>
            <w:tcW w:w="2835" w:type="dxa"/>
            <w:shd w:val="clear" w:color="auto" w:fill="auto"/>
          </w:tcPr>
          <w:p w14:paraId="57A1E569" w14:textId="7D1A591B" w:rsidR="00E53DCE" w:rsidRPr="002B7EE0" w:rsidRDefault="007C1EE9" w:rsidP="006160CB">
            <w:pPr>
              <w:spacing w:before="0"/>
              <w:jc w:val="right"/>
              <w:rPr>
                <w:szCs w:val="24"/>
                <w:lang w:val="fr-FR"/>
              </w:rPr>
            </w:pPr>
            <w:r>
              <w:rPr>
                <w:bCs/>
                <w:szCs w:val="24"/>
                <w:lang w:val="fr-FR"/>
              </w:rPr>
              <w:t>21</w:t>
            </w:r>
            <w:r w:rsidR="00A96D3A" w:rsidRPr="002B7EE0">
              <w:rPr>
                <w:bCs/>
                <w:szCs w:val="24"/>
                <w:lang w:val="fr-FR"/>
              </w:rPr>
              <w:t xml:space="preserve"> de enero de 20</w:t>
            </w:r>
            <w:r w:rsidR="002B7EE0" w:rsidRPr="002B7EE0">
              <w:rPr>
                <w:bCs/>
                <w:szCs w:val="24"/>
                <w:lang w:val="fr-FR"/>
              </w:rPr>
              <w:t>2</w:t>
            </w:r>
            <w:r>
              <w:rPr>
                <w:bCs/>
                <w:szCs w:val="24"/>
                <w:lang w:val="fr-FR"/>
              </w:rPr>
              <w:t>6</w:t>
            </w:r>
          </w:p>
        </w:tc>
      </w:tr>
      <w:tr w:rsidR="00E53DCE" w:rsidRPr="0033029C" w14:paraId="23FA71D6" w14:textId="77777777" w:rsidTr="00306452">
        <w:trPr>
          <w:jc w:val="center"/>
        </w:trPr>
        <w:tc>
          <w:tcPr>
            <w:tcW w:w="9889" w:type="dxa"/>
            <w:gridSpan w:val="3"/>
            <w:shd w:val="clear" w:color="auto" w:fill="auto"/>
          </w:tcPr>
          <w:p w14:paraId="64DA40F2" w14:textId="77777777" w:rsidR="00E53DCE" w:rsidRPr="0033029C" w:rsidRDefault="00E53DCE" w:rsidP="006160CB">
            <w:pPr>
              <w:spacing w:before="0"/>
              <w:jc w:val="left"/>
              <w:rPr>
                <w:rFonts w:cs="Arial"/>
                <w:szCs w:val="24"/>
                <w:lang w:val="en-GB"/>
              </w:rPr>
            </w:pPr>
          </w:p>
        </w:tc>
      </w:tr>
      <w:tr w:rsidR="00E53DCE" w:rsidRPr="0033029C" w14:paraId="1655811C" w14:textId="77777777" w:rsidTr="00306452">
        <w:trPr>
          <w:jc w:val="center"/>
        </w:trPr>
        <w:tc>
          <w:tcPr>
            <w:tcW w:w="9889" w:type="dxa"/>
            <w:gridSpan w:val="3"/>
            <w:shd w:val="clear" w:color="auto" w:fill="auto"/>
          </w:tcPr>
          <w:p w14:paraId="59EDE420" w14:textId="77777777" w:rsidR="00E53DCE" w:rsidRPr="0033029C" w:rsidRDefault="00E53DCE" w:rsidP="006160CB">
            <w:pPr>
              <w:spacing w:before="0"/>
              <w:jc w:val="left"/>
              <w:rPr>
                <w:szCs w:val="24"/>
              </w:rPr>
            </w:pPr>
          </w:p>
        </w:tc>
      </w:tr>
      <w:tr w:rsidR="00E53DCE" w:rsidRPr="007C1EE9" w14:paraId="0E3A879C" w14:textId="77777777" w:rsidTr="00306452">
        <w:trPr>
          <w:jc w:val="center"/>
        </w:trPr>
        <w:tc>
          <w:tcPr>
            <w:tcW w:w="9889" w:type="dxa"/>
            <w:gridSpan w:val="3"/>
            <w:shd w:val="clear" w:color="auto" w:fill="auto"/>
          </w:tcPr>
          <w:p w14:paraId="6946CEB5" w14:textId="0379A3B0" w:rsidR="00E53DCE" w:rsidRPr="0033029C" w:rsidRDefault="00FE4822" w:rsidP="006160CB">
            <w:pPr>
              <w:spacing w:before="0"/>
              <w:jc w:val="left"/>
              <w:rPr>
                <w:b/>
                <w:bCs/>
                <w:szCs w:val="24"/>
                <w:lang w:val="es-ES"/>
              </w:rPr>
            </w:pPr>
            <w:r w:rsidRPr="0033029C">
              <w:rPr>
                <w:b/>
                <w:szCs w:val="24"/>
                <w:lang w:val="es-ES"/>
              </w:rPr>
              <w:t>A las Administraciones de los Estados Miembros de la UIT</w:t>
            </w:r>
            <w:r w:rsidR="007C1EE9">
              <w:rPr>
                <w:b/>
                <w:szCs w:val="24"/>
                <w:lang w:val="es-ES"/>
              </w:rPr>
              <w:t xml:space="preserve">, </w:t>
            </w:r>
            <w:r w:rsidR="007C1EE9">
              <w:rPr>
                <w:rFonts w:asciiTheme="minorHAnsi" w:hAnsiTheme="minorHAnsi"/>
                <w:b/>
                <w:bCs/>
                <w:lang w:val="es-ES"/>
              </w:rPr>
              <w:t xml:space="preserve">a </w:t>
            </w:r>
            <w:r w:rsidR="007C1EE9" w:rsidRPr="00710513">
              <w:rPr>
                <w:rFonts w:asciiTheme="minorHAnsi" w:hAnsiTheme="minorHAnsi"/>
                <w:b/>
                <w:bCs/>
                <w:lang w:val="es-ES"/>
              </w:rPr>
              <w:t>los Miembros de Sector de Radiocomun</w:t>
            </w:r>
            <w:r w:rsidR="007C1EE9">
              <w:rPr>
                <w:rFonts w:asciiTheme="minorHAnsi" w:hAnsiTheme="minorHAnsi"/>
                <w:b/>
                <w:bCs/>
                <w:lang w:val="es-ES"/>
              </w:rPr>
              <w:t>icaciones y a las Instituciones Académicas de la UIT</w:t>
            </w:r>
          </w:p>
          <w:p w14:paraId="5C74F727" w14:textId="77777777" w:rsidR="00E53DCE" w:rsidRPr="0033029C" w:rsidRDefault="00E53DCE" w:rsidP="006160CB">
            <w:pPr>
              <w:spacing w:before="0"/>
              <w:jc w:val="left"/>
              <w:rPr>
                <w:b/>
                <w:bCs/>
                <w:szCs w:val="24"/>
                <w:lang w:val="es-ES"/>
              </w:rPr>
            </w:pPr>
          </w:p>
        </w:tc>
      </w:tr>
      <w:tr w:rsidR="00E53DCE" w:rsidRPr="007C1EE9" w14:paraId="6E5174A1" w14:textId="77777777" w:rsidTr="00306452">
        <w:trPr>
          <w:jc w:val="center"/>
        </w:trPr>
        <w:tc>
          <w:tcPr>
            <w:tcW w:w="9889" w:type="dxa"/>
            <w:gridSpan w:val="3"/>
            <w:shd w:val="clear" w:color="auto" w:fill="auto"/>
          </w:tcPr>
          <w:p w14:paraId="7671297C" w14:textId="77777777" w:rsidR="00E53DCE" w:rsidRPr="0033029C" w:rsidRDefault="00E53DCE" w:rsidP="006160CB">
            <w:pPr>
              <w:spacing w:before="0"/>
              <w:jc w:val="left"/>
              <w:rPr>
                <w:szCs w:val="24"/>
                <w:lang w:val="es-ES"/>
              </w:rPr>
            </w:pPr>
          </w:p>
        </w:tc>
      </w:tr>
      <w:tr w:rsidR="00E53DCE" w:rsidRPr="007C1EE9" w14:paraId="422DC366" w14:textId="77777777" w:rsidTr="00306452">
        <w:trPr>
          <w:jc w:val="center"/>
        </w:trPr>
        <w:tc>
          <w:tcPr>
            <w:tcW w:w="9889" w:type="dxa"/>
            <w:gridSpan w:val="3"/>
            <w:shd w:val="clear" w:color="auto" w:fill="auto"/>
          </w:tcPr>
          <w:p w14:paraId="45F4249F" w14:textId="77777777" w:rsidR="00E53DCE" w:rsidRPr="0033029C" w:rsidRDefault="00E53DCE" w:rsidP="006160CB">
            <w:pPr>
              <w:spacing w:before="0"/>
              <w:jc w:val="left"/>
              <w:rPr>
                <w:szCs w:val="24"/>
                <w:lang w:val="es-ES"/>
              </w:rPr>
            </w:pPr>
          </w:p>
        </w:tc>
      </w:tr>
      <w:tr w:rsidR="00E53DCE" w:rsidRPr="007C1EE9" w14:paraId="7967D88C" w14:textId="77777777" w:rsidTr="00306452">
        <w:trPr>
          <w:jc w:val="center"/>
        </w:trPr>
        <w:tc>
          <w:tcPr>
            <w:tcW w:w="1526" w:type="dxa"/>
            <w:shd w:val="clear" w:color="auto" w:fill="auto"/>
          </w:tcPr>
          <w:p w14:paraId="70ADFF83" w14:textId="77777777" w:rsidR="00E53DCE" w:rsidRPr="0033029C" w:rsidRDefault="00311970" w:rsidP="006160CB">
            <w:pPr>
              <w:tabs>
                <w:tab w:val="clear" w:pos="1588"/>
                <w:tab w:val="left" w:pos="1560"/>
              </w:tabs>
              <w:spacing w:before="0"/>
              <w:jc w:val="left"/>
              <w:rPr>
                <w:szCs w:val="24"/>
              </w:rPr>
            </w:pPr>
            <w:r>
              <w:rPr>
                <w:szCs w:val="24"/>
              </w:rPr>
              <w:t>Asunto</w:t>
            </w:r>
            <w:r w:rsidRPr="0033029C">
              <w:rPr>
                <w:szCs w:val="24"/>
              </w:rPr>
              <w:t>:</w:t>
            </w:r>
          </w:p>
        </w:tc>
        <w:tc>
          <w:tcPr>
            <w:tcW w:w="8363" w:type="dxa"/>
            <w:gridSpan w:val="2"/>
            <w:vMerge w:val="restart"/>
            <w:shd w:val="clear" w:color="auto" w:fill="auto"/>
          </w:tcPr>
          <w:p w14:paraId="5E302E2A" w14:textId="74B3CC5A" w:rsidR="00E53DCE" w:rsidRPr="007C1EE9" w:rsidRDefault="007C1EE9" w:rsidP="002A3F03">
            <w:pPr>
              <w:tabs>
                <w:tab w:val="clear" w:pos="1588"/>
                <w:tab w:val="left" w:pos="1560"/>
              </w:tabs>
              <w:spacing w:before="0" w:after="120"/>
              <w:rPr>
                <w:b/>
                <w:bCs/>
                <w:szCs w:val="24"/>
                <w:lang w:val="es-ES"/>
              </w:rPr>
            </w:pPr>
            <w:r w:rsidRPr="00710513">
              <w:rPr>
                <w:rFonts w:asciiTheme="minorHAnsi" w:hAnsiTheme="minorHAnsi"/>
                <w:b/>
                <w:bCs/>
                <w:szCs w:val="24"/>
                <w:lang w:val="es-ES"/>
              </w:rPr>
              <w:t>Trigésima tercera reunión del Grupo Asesor de Radiocomunicaciones (GAR), Ginebra, 30 de marzo-2 de abril de 2026</w:t>
            </w:r>
          </w:p>
        </w:tc>
      </w:tr>
      <w:tr w:rsidR="00E53DCE" w:rsidRPr="007C1EE9" w14:paraId="29D86432" w14:textId="77777777" w:rsidTr="00306452">
        <w:trPr>
          <w:jc w:val="center"/>
        </w:trPr>
        <w:tc>
          <w:tcPr>
            <w:tcW w:w="1526" w:type="dxa"/>
            <w:shd w:val="clear" w:color="auto" w:fill="auto"/>
          </w:tcPr>
          <w:p w14:paraId="1FEB6427" w14:textId="77777777" w:rsidR="00E53DCE" w:rsidRPr="007C1EE9"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246DF839" w14:textId="77777777" w:rsidR="00E53DCE" w:rsidRPr="007C1EE9" w:rsidRDefault="00E53DCE" w:rsidP="006160CB">
            <w:pPr>
              <w:tabs>
                <w:tab w:val="clear" w:pos="1588"/>
                <w:tab w:val="left" w:pos="1560"/>
              </w:tabs>
              <w:spacing w:before="0"/>
              <w:rPr>
                <w:b/>
                <w:bCs/>
                <w:szCs w:val="24"/>
                <w:lang w:val="es-ES"/>
              </w:rPr>
            </w:pPr>
          </w:p>
        </w:tc>
      </w:tr>
      <w:tr w:rsidR="00E53DCE" w:rsidRPr="007C1EE9" w14:paraId="5037386F" w14:textId="77777777" w:rsidTr="00306452">
        <w:trPr>
          <w:jc w:val="center"/>
        </w:trPr>
        <w:tc>
          <w:tcPr>
            <w:tcW w:w="1526" w:type="dxa"/>
            <w:shd w:val="clear" w:color="auto" w:fill="auto"/>
          </w:tcPr>
          <w:p w14:paraId="6D88A28F" w14:textId="77777777" w:rsidR="00E53DCE" w:rsidRPr="007C1EE9" w:rsidRDefault="00E53DCE" w:rsidP="006160CB">
            <w:pPr>
              <w:tabs>
                <w:tab w:val="clear" w:pos="1588"/>
                <w:tab w:val="left" w:pos="1560"/>
              </w:tabs>
              <w:spacing w:before="0"/>
              <w:jc w:val="left"/>
              <w:rPr>
                <w:b/>
                <w:bCs/>
                <w:szCs w:val="24"/>
                <w:lang w:val="es-ES"/>
              </w:rPr>
            </w:pPr>
          </w:p>
        </w:tc>
        <w:tc>
          <w:tcPr>
            <w:tcW w:w="8363" w:type="dxa"/>
            <w:gridSpan w:val="2"/>
            <w:vMerge/>
            <w:shd w:val="clear" w:color="auto" w:fill="auto"/>
          </w:tcPr>
          <w:p w14:paraId="2DD14455" w14:textId="77777777" w:rsidR="00E53DCE" w:rsidRPr="007C1EE9" w:rsidRDefault="00E53DCE" w:rsidP="006160CB">
            <w:pPr>
              <w:tabs>
                <w:tab w:val="clear" w:pos="1588"/>
                <w:tab w:val="left" w:pos="1560"/>
              </w:tabs>
              <w:spacing w:before="0"/>
              <w:rPr>
                <w:b/>
                <w:bCs/>
                <w:szCs w:val="24"/>
                <w:lang w:val="es-ES"/>
              </w:rPr>
            </w:pPr>
          </w:p>
        </w:tc>
      </w:tr>
      <w:tr w:rsidR="00E53DCE" w:rsidRPr="007C1EE9" w14:paraId="5F932205" w14:textId="77777777" w:rsidTr="00306452">
        <w:trPr>
          <w:jc w:val="center"/>
        </w:trPr>
        <w:tc>
          <w:tcPr>
            <w:tcW w:w="9889" w:type="dxa"/>
            <w:gridSpan w:val="3"/>
            <w:shd w:val="clear" w:color="auto" w:fill="auto"/>
          </w:tcPr>
          <w:p w14:paraId="717CE612" w14:textId="77777777" w:rsidR="00E53DCE" w:rsidRPr="007C1EE9" w:rsidRDefault="00E53DCE" w:rsidP="00E53DCE">
            <w:pPr>
              <w:tabs>
                <w:tab w:val="clear" w:pos="1588"/>
                <w:tab w:val="left" w:pos="1560"/>
              </w:tabs>
              <w:spacing w:before="0"/>
              <w:jc w:val="left"/>
              <w:rPr>
                <w:szCs w:val="24"/>
                <w:lang w:val="es-ES"/>
              </w:rPr>
            </w:pPr>
          </w:p>
        </w:tc>
      </w:tr>
      <w:tr w:rsidR="00E53DCE" w:rsidRPr="007C1EE9" w14:paraId="7E3DF0C0" w14:textId="77777777" w:rsidTr="00306452">
        <w:trPr>
          <w:jc w:val="center"/>
        </w:trPr>
        <w:tc>
          <w:tcPr>
            <w:tcW w:w="9889" w:type="dxa"/>
            <w:gridSpan w:val="3"/>
            <w:shd w:val="clear" w:color="auto" w:fill="auto"/>
          </w:tcPr>
          <w:p w14:paraId="2A8CFFCC" w14:textId="77777777" w:rsidR="00E53DCE" w:rsidRPr="007C1EE9" w:rsidRDefault="00E53DCE" w:rsidP="006160CB">
            <w:pPr>
              <w:spacing w:before="0"/>
              <w:jc w:val="left"/>
              <w:rPr>
                <w:b/>
                <w:bCs/>
                <w:szCs w:val="24"/>
                <w:lang w:val="es-ES"/>
              </w:rPr>
            </w:pPr>
          </w:p>
        </w:tc>
      </w:tr>
    </w:tbl>
    <w:p w14:paraId="130BFECF" w14:textId="10EFBA45" w:rsidR="00D316C8" w:rsidRPr="007C1EE9" w:rsidRDefault="007C1EE9" w:rsidP="007C1EE9">
      <w:pPr>
        <w:rPr>
          <w:rFonts w:asciiTheme="minorHAnsi" w:hAnsiTheme="minorHAnsi" w:cstheme="minorHAnsi"/>
          <w:szCs w:val="24"/>
          <w:lang w:val="es-ES"/>
        </w:rPr>
      </w:pPr>
      <w:r w:rsidRPr="00710513">
        <w:rPr>
          <w:szCs w:val="24"/>
          <w:lang w:val="es-ES"/>
        </w:rPr>
        <w:t xml:space="preserve">Por la </w:t>
      </w:r>
      <w:r w:rsidRPr="007C1EE9">
        <w:rPr>
          <w:rFonts w:asciiTheme="minorHAnsi" w:hAnsiTheme="minorHAnsi" w:cstheme="minorHAnsi"/>
          <w:szCs w:val="24"/>
          <w:lang w:val="es-ES"/>
        </w:rPr>
        <w:t>presente Circular Administrativa deseo anunciar que la trigésimo tercera reunión del Grupo Asesor de Radiocomunicaciones (GAR) se celebrará en la Sede de la UIT en Ginebra del 30 de marzo al 2 de abril de 2026, ambos inclusive.</w:t>
      </w:r>
    </w:p>
    <w:p w14:paraId="417634EF"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Según se estipula en el Artículo 11A del Convenio de la UIT, la participación en el GAR está abierta a representantes de las Administraciones de los Estados Miembros y a representantes de los Miembros de Sector, así como a los Presidentes de las Comisiones de Estudio y otros grupos.</w:t>
      </w:r>
    </w:p>
    <w:p w14:paraId="6ED97E1A"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Las tareas principales del GAR son, entre otras, examinar prioridades, programas, operaciones, temas financieros y estrategias en relación con las Asambleas de Radiocomunicaciones, Comisiones de Estudio y preparativos de Conferencias de Radiocomunicaciones, y todo tema específico que le someta una conferencia de la Unión, una Asamblea de Radiocomunicaciones o el Consejo. El GAR recomienda medidas encaminadas a fomentar la cooperación y la coordinación con otros órganos normativos, con el Sector de Normalización de las Telecomunicaciones, con el Sector de Desarrollo de las Telecomunicaciones y con la Secretaría General.</w:t>
      </w:r>
    </w:p>
    <w:p w14:paraId="28C79E03" w14:textId="236472F8"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En el </w:t>
      </w:r>
      <w:r w:rsidRPr="007C1EE9">
        <w:rPr>
          <w:rFonts w:asciiTheme="minorHAnsi" w:hAnsiTheme="minorHAnsi" w:cstheme="minorHAnsi"/>
          <w:b/>
          <w:bCs/>
          <w:szCs w:val="24"/>
          <w:lang w:val="es-ES"/>
        </w:rPr>
        <w:t>Anexo</w:t>
      </w:r>
      <w:r w:rsidRPr="007C1EE9">
        <w:rPr>
          <w:rFonts w:asciiTheme="minorHAnsi" w:hAnsiTheme="minorHAnsi" w:cstheme="minorHAnsi"/>
          <w:szCs w:val="24"/>
          <w:lang w:val="es-ES"/>
        </w:rPr>
        <w:t xml:space="preserve"> figura el proyecto de orden del día preparado en consulta con el Presidente del GAR.</w:t>
      </w:r>
    </w:p>
    <w:p w14:paraId="0D05A898" w14:textId="5F9B4911"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Todos los documentos e información administrative relativos a la próxima reunión del GAR se publicarán en la página web de la UIT en </w:t>
      </w:r>
      <w:hyperlink r:id="rId8" w:history="1">
        <w:r w:rsidRPr="007C1EE9">
          <w:rPr>
            <w:rStyle w:val="Hyperlink"/>
          </w:rPr>
          <w:t>https://itu.int/rag</w:t>
        </w:r>
      </w:hyperlink>
      <w:r w:rsidRPr="007C1EE9">
        <w:rPr>
          <w:rFonts w:asciiTheme="minorHAnsi" w:hAnsiTheme="minorHAnsi" w:cstheme="minorHAnsi"/>
          <w:szCs w:val="24"/>
          <w:lang w:val="es-ES"/>
        </w:rPr>
        <w:t xml:space="preserve"> en cuanto estén disponibles.</w:t>
      </w:r>
    </w:p>
    <w:p w14:paraId="2D2177FB" w14:textId="77777777" w:rsidR="007C1EE9" w:rsidRPr="007C1EE9" w:rsidRDefault="007C1EE9" w:rsidP="007C1EE9">
      <w:pPr>
        <w:pStyle w:val="Headingb"/>
        <w:rPr>
          <w:lang w:val="es-ES"/>
        </w:rPr>
      </w:pPr>
      <w:r w:rsidRPr="007C1EE9">
        <w:rPr>
          <w:lang w:val="es-ES"/>
        </w:rPr>
        <w:t>Contribuciones</w:t>
      </w:r>
    </w:p>
    <w:p w14:paraId="7804AAD4"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Las contribuciones deben dirigirse a la Oficina de Radiocomunicaciones (BR) a la dirección </w:t>
      </w:r>
      <w:hyperlink r:id="rId9" w:history="1">
        <w:r w:rsidRPr="007C1EE9">
          <w:rPr>
            <w:rStyle w:val="Hyperlink"/>
          </w:rPr>
          <w:t>brrag@itu.int</w:t>
        </w:r>
      </w:hyperlink>
      <w:r w:rsidRPr="007C1EE9">
        <w:rPr>
          <w:rFonts w:asciiTheme="minorHAnsi" w:hAnsiTheme="minorHAnsi" w:cstheme="minorHAnsi"/>
          <w:szCs w:val="24"/>
          <w:lang w:val="es-ES"/>
        </w:rPr>
        <w:t>, con copia al Presidente y los Vicepresidentes del GAR (véanse las direcciones de correo electrónico indicadas en la página web del GAR).</w:t>
      </w:r>
    </w:p>
    <w:p w14:paraId="661A6E44"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Para garantizar la traducción de los documentos del GAR en los seis idiomas de la Unión, las contribuciones deben presentarse antes del </w:t>
      </w:r>
      <w:r w:rsidRPr="007C1EE9">
        <w:rPr>
          <w:rFonts w:asciiTheme="minorHAnsi" w:hAnsiTheme="minorHAnsi" w:cstheme="minorHAnsi"/>
          <w:b/>
          <w:bCs/>
          <w:szCs w:val="24"/>
          <w:lang w:val="es-ES"/>
        </w:rPr>
        <w:t>16 de marzo de 2026</w:t>
      </w:r>
      <w:r w:rsidRPr="007C1EE9">
        <w:rPr>
          <w:rFonts w:asciiTheme="minorHAnsi" w:hAnsiTheme="minorHAnsi" w:cstheme="minorHAnsi"/>
          <w:szCs w:val="24"/>
          <w:lang w:val="es-ES"/>
        </w:rPr>
        <w:t xml:space="preserve">. Las contribuciones recibidas después de esa fecha se publicarán únicamente en el idioma original. </w:t>
      </w:r>
    </w:p>
    <w:p w14:paraId="1FB311FF" w14:textId="1B6BF582" w:rsidR="007C1EE9" w:rsidRPr="007C1EE9" w:rsidRDefault="007C1EE9" w:rsidP="007C1EE9">
      <w:pPr>
        <w:pStyle w:val="Headingb"/>
        <w:rPr>
          <w:lang w:val="es-ES"/>
        </w:rPr>
      </w:pPr>
      <w:r w:rsidRPr="007C1EE9">
        <w:rPr>
          <w:lang w:val="es-ES"/>
        </w:rPr>
        <w:lastRenderedPageBreak/>
        <w:t>Calendario de la reunión, participación a distancia, interpretación y transmisión por la we</w:t>
      </w:r>
      <w:r w:rsidR="00844848">
        <w:rPr>
          <w:lang w:val="es-ES"/>
        </w:rPr>
        <w:t>b</w:t>
      </w:r>
    </w:p>
    <w:p w14:paraId="33C61FF4" w14:textId="637B6EF5"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La reunión del GAR empezará a las 09.30 horas del 30 de marzo. El calendario de reuniones del GAR podrá consultarse </w:t>
      </w:r>
      <w:hyperlink r:id="rId10" w:history="1">
        <w:r w:rsidRPr="007C1EE9">
          <w:rPr>
            <w:rStyle w:val="Hyperlink"/>
          </w:rPr>
          <w:t>aquí</w:t>
        </w:r>
      </w:hyperlink>
      <w:r w:rsidRPr="007C1EE9">
        <w:rPr>
          <w:rFonts w:asciiTheme="minorHAnsi" w:hAnsiTheme="minorHAnsi" w:cstheme="minorHAnsi"/>
          <w:szCs w:val="24"/>
          <w:lang w:val="es-ES"/>
        </w:rPr>
        <w:t>.</w:t>
      </w:r>
    </w:p>
    <w:p w14:paraId="52C4B5F2" w14:textId="23C500C2" w:rsidR="007C1EE9" w:rsidRPr="007C1EE9" w:rsidRDefault="007C1EE9" w:rsidP="007C1EE9">
      <w:pPr>
        <w:rPr>
          <w:rFonts w:asciiTheme="minorHAnsi" w:hAnsiTheme="minorHAnsi" w:cstheme="minorHAnsi"/>
          <w:szCs w:val="24"/>
          <w:lang w:val="es-ES"/>
        </w:rPr>
      </w:pPr>
      <w:bookmarkStart w:id="0" w:name="_Hlk52981897"/>
      <w:r w:rsidRPr="007C1EE9">
        <w:rPr>
          <w:rFonts w:asciiTheme="minorHAnsi" w:hAnsiTheme="minorHAnsi" w:cstheme="minorHAnsi"/>
          <w:szCs w:val="24"/>
          <w:lang w:val="es-ES"/>
        </w:rPr>
        <w:t xml:space="preserve">Durante la reunión del GAR se podrá participar a distancia utilizando la plataforma </w:t>
      </w:r>
      <w:hyperlink r:id="rId11" w:history="1">
        <w:r w:rsidRPr="007C1EE9">
          <w:rPr>
            <w:rStyle w:val="Hyperlink"/>
            <w:lang w:val="es-ES"/>
          </w:rPr>
          <w:t>Zoom</w:t>
        </w:r>
      </w:hyperlink>
      <w:r w:rsidRPr="007C1EE9">
        <w:rPr>
          <w:rFonts w:asciiTheme="minorHAnsi" w:hAnsiTheme="minorHAnsi" w:cstheme="minorHAnsi"/>
          <w:szCs w:val="24"/>
          <w:lang w:val="es-ES"/>
        </w:rPr>
        <w:t>.</w:t>
      </w:r>
    </w:p>
    <w:p w14:paraId="5F84EABD" w14:textId="17B64E4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El segundo día de la reunión del GAR, el 31 de marzo, se dedicará a considerar los asuntos relacionados con el examen del Plan Estratégico de la UIT y el Plan Operacional del UIT-R.</w:t>
      </w:r>
    </w:p>
    <w:p w14:paraId="092E4F19" w14:textId="47E5A94C"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Además, las sesiones se transmitirán por Internet y se grabarán en los seis idiomas para su visualización durante y después de la reunión, respectivamente.</w:t>
      </w:r>
    </w:p>
    <w:p w14:paraId="509D1DEA" w14:textId="35B017A3"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Habida cuenta de las limitaciones presupuestarias y de la disponibilidad de intérpretes, </w:t>
      </w:r>
      <w:r w:rsidRPr="007C1EE9">
        <w:rPr>
          <w:rFonts w:asciiTheme="minorHAnsi" w:hAnsiTheme="minorHAnsi" w:cstheme="minorHAnsi"/>
          <w:b/>
          <w:bCs/>
          <w:szCs w:val="24"/>
          <w:lang w:val="es-ES"/>
        </w:rPr>
        <w:t>se ruega a los Estados Miembros que confirmen antes del 28 de febrero de 2026</w:t>
      </w:r>
      <w:r>
        <w:rPr>
          <w:rFonts w:asciiTheme="minorHAnsi" w:hAnsiTheme="minorHAnsi" w:cstheme="minorHAnsi"/>
          <w:szCs w:val="24"/>
          <w:lang w:val="es-ES"/>
        </w:rPr>
        <w:t xml:space="preserve"> </w:t>
      </w:r>
      <w:r w:rsidRPr="007C1EE9">
        <w:rPr>
          <w:rFonts w:asciiTheme="minorHAnsi" w:hAnsiTheme="minorHAnsi" w:cstheme="minorHAnsi"/>
          <w:szCs w:val="24"/>
          <w:lang w:val="es-ES"/>
        </w:rPr>
        <w:t>si necesitan interpretación al árabe, el chino o el español. La interpretación al francés y al ruso ya se ha confirmado para esta reunión.</w:t>
      </w:r>
    </w:p>
    <w:bookmarkEnd w:id="0"/>
    <w:p w14:paraId="36917DD0" w14:textId="77777777" w:rsidR="007C1EE9" w:rsidRPr="007C1EE9" w:rsidRDefault="007C1EE9" w:rsidP="007C1EE9">
      <w:pPr>
        <w:pStyle w:val="Headingb"/>
        <w:rPr>
          <w:lang w:val="es-ES"/>
        </w:rPr>
      </w:pPr>
      <w:r w:rsidRPr="007C1EE9">
        <w:rPr>
          <w:lang w:val="es-ES"/>
        </w:rPr>
        <w:t>Inscripción</w:t>
      </w:r>
    </w:p>
    <w:p w14:paraId="06946C4F"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La inscripción anticipada es obligatoria y se llevará a cabo exclusivamente en línea. Los participantes deben cumplimentar primero un formulario de inscripción en línea y luego solicitar la aprobación de su inscripción a su coordinador designado (DFP) para la inscripción en eventos del UIT</w:t>
      </w:r>
      <w:r w:rsidRPr="007C1EE9">
        <w:rPr>
          <w:rFonts w:asciiTheme="minorHAnsi" w:hAnsiTheme="minorHAnsi" w:cstheme="minorHAnsi"/>
          <w:szCs w:val="24"/>
          <w:lang w:val="es-ES"/>
        </w:rPr>
        <w:noBreakHyphen/>
        <w:t>R.</w:t>
      </w:r>
    </w:p>
    <w:p w14:paraId="070BBAB7"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Los participantes encontrarán la información necesaria sobre la inscripción de delegados en la página web del GAR.</w:t>
      </w:r>
    </w:p>
    <w:p w14:paraId="6806B1CE" w14:textId="3F87A20E" w:rsidR="007C1EE9" w:rsidRPr="007C1EE9" w:rsidRDefault="007C1EE9" w:rsidP="007C1EE9">
      <w:pPr>
        <w:pStyle w:val="Headingb"/>
        <w:rPr>
          <w:lang w:val="es-ES"/>
        </w:rPr>
      </w:pPr>
      <w:r w:rsidRPr="007C1EE9">
        <w:rPr>
          <w:lang w:val="es-ES"/>
        </w:rPr>
        <w:t>Información general</w:t>
      </w:r>
    </w:p>
    <w:p w14:paraId="63E015EF" w14:textId="77777777" w:rsidR="007C1EE9"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Para más información, sírvase visitar el sitio web del GAR en la dirección </w:t>
      </w:r>
      <w:hyperlink r:id="rId12" w:history="1">
        <w:r w:rsidRPr="007C1EE9">
          <w:rPr>
            <w:rStyle w:val="Hyperlink"/>
            <w:lang w:val="es-ES"/>
          </w:rPr>
          <w:t>https://itu.int/rag</w:t>
        </w:r>
      </w:hyperlink>
      <w:r w:rsidRPr="007C1EE9">
        <w:rPr>
          <w:rFonts w:asciiTheme="minorHAnsi" w:hAnsiTheme="minorHAnsi" w:cstheme="minorHAnsi"/>
          <w:szCs w:val="24"/>
          <w:lang w:val="es-ES"/>
        </w:rPr>
        <w:t>.</w:t>
      </w:r>
    </w:p>
    <w:p w14:paraId="4E3AFC80" w14:textId="26B65375" w:rsidR="00D21694" w:rsidRPr="007C1EE9" w:rsidRDefault="007C1EE9" w:rsidP="007C1EE9">
      <w:pPr>
        <w:rPr>
          <w:rFonts w:asciiTheme="minorHAnsi" w:hAnsiTheme="minorHAnsi" w:cstheme="minorHAnsi"/>
          <w:szCs w:val="24"/>
          <w:lang w:val="es-ES"/>
        </w:rPr>
      </w:pPr>
      <w:r w:rsidRPr="007C1EE9">
        <w:rPr>
          <w:rFonts w:asciiTheme="minorHAnsi" w:hAnsiTheme="minorHAnsi" w:cstheme="minorHAnsi"/>
          <w:szCs w:val="24"/>
          <w:lang w:val="es-ES"/>
        </w:rPr>
        <w:t xml:space="preserve">La Oficina queda a su disposición para responder a cualquier cuestión relacionada con la presente Circular Administrativa (la persona de contacto en la Oficina de Radiocomunicaciones es la Sra. Diana Tomimura, correo-e: </w:t>
      </w:r>
      <w:hyperlink r:id="rId13" w:history="1">
        <w:r w:rsidRPr="007C1EE9">
          <w:rPr>
            <w:rStyle w:val="Hyperlink"/>
          </w:rPr>
          <w:t>diana.tomimura@itu.int</w:t>
        </w:r>
      </w:hyperlink>
      <w:r w:rsidRPr="007C1EE9">
        <w:rPr>
          <w:rFonts w:asciiTheme="minorHAnsi" w:hAnsiTheme="minorHAnsi" w:cstheme="minorHAnsi"/>
          <w:szCs w:val="24"/>
          <w:lang w:val="es-ES"/>
        </w:rPr>
        <w:t>).</w:t>
      </w:r>
    </w:p>
    <w:p w14:paraId="2ABC1DAE" w14:textId="714BF21A" w:rsidR="00031E64" w:rsidRDefault="001B3D4D" w:rsidP="007C1EE9">
      <w:pPr>
        <w:spacing w:before="1200" w:line="240" w:lineRule="auto"/>
        <w:jc w:val="left"/>
        <w:rPr>
          <w:szCs w:val="24"/>
          <w:lang w:val="es-ES"/>
        </w:rPr>
      </w:pPr>
      <w:r w:rsidRPr="00A62B6A">
        <w:rPr>
          <w:rFonts w:asciiTheme="minorHAnsi" w:hAnsiTheme="minorHAnsi" w:cstheme="minorHAnsi"/>
        </w:rPr>
        <w:t>Mario Maniewicz</w:t>
      </w:r>
      <w:r w:rsidR="00E53DCE" w:rsidRPr="0033029C">
        <w:rPr>
          <w:szCs w:val="24"/>
          <w:lang w:val="es-ES"/>
        </w:rPr>
        <w:br/>
      </w:r>
      <w:r w:rsidR="00A96D3A" w:rsidRPr="0033029C">
        <w:rPr>
          <w:szCs w:val="24"/>
          <w:lang w:val="es-ES"/>
        </w:rPr>
        <w:t>Director</w:t>
      </w:r>
    </w:p>
    <w:p w14:paraId="0DCB6A97" w14:textId="3C7FC310" w:rsidR="00D239B4" w:rsidRDefault="007C1EE9" w:rsidP="007C1EE9">
      <w:pPr>
        <w:spacing w:before="2000" w:line="240" w:lineRule="auto"/>
        <w:jc w:val="left"/>
        <w:rPr>
          <w:rFonts w:asciiTheme="minorHAnsi" w:hAnsiTheme="minorHAnsi" w:cstheme="minorHAnsi"/>
          <w:szCs w:val="24"/>
          <w:lang w:val="es-ES"/>
        </w:rPr>
      </w:pPr>
      <w:r w:rsidRPr="007C1EE9">
        <w:rPr>
          <w:rFonts w:asciiTheme="minorHAnsi" w:hAnsiTheme="minorHAnsi" w:cstheme="minorHAnsi"/>
          <w:b/>
          <w:bCs/>
          <w:szCs w:val="24"/>
          <w:lang w:val="es-ES"/>
        </w:rPr>
        <w:t>Anexo:</w:t>
      </w:r>
      <w:r>
        <w:rPr>
          <w:rFonts w:asciiTheme="minorHAnsi" w:hAnsiTheme="minorHAnsi" w:cstheme="minorHAnsi"/>
          <w:szCs w:val="24"/>
          <w:lang w:val="es-ES"/>
        </w:rPr>
        <w:t xml:space="preserve"> 1</w:t>
      </w:r>
    </w:p>
    <w:p w14:paraId="0C6B18D4" w14:textId="03A43298" w:rsidR="007C1EE9" w:rsidRDefault="007C1EE9">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s-ES"/>
        </w:rPr>
      </w:pPr>
      <w:r>
        <w:rPr>
          <w:rFonts w:asciiTheme="minorHAnsi" w:hAnsiTheme="minorHAnsi" w:cstheme="minorHAnsi"/>
          <w:szCs w:val="24"/>
          <w:lang w:val="es-ES"/>
        </w:rPr>
        <w:br w:type="page"/>
      </w:r>
    </w:p>
    <w:p w14:paraId="4D4B44CA" w14:textId="77777777" w:rsidR="007C1EE9" w:rsidRPr="00E64FC4" w:rsidRDefault="007C1EE9" w:rsidP="007C1EE9">
      <w:pPr>
        <w:pStyle w:val="AnnexNoTitle"/>
        <w:rPr>
          <w:rFonts w:cstheme="minorHAnsi"/>
          <w:szCs w:val="24"/>
          <w:lang w:val="es-ES"/>
        </w:rPr>
      </w:pPr>
      <w:r w:rsidRPr="00E64FC4">
        <w:rPr>
          <w:lang w:val="es-ES"/>
        </w:rPr>
        <w:lastRenderedPageBreak/>
        <w:t>ANEXO</w:t>
      </w:r>
      <w:r w:rsidRPr="00E64FC4">
        <w:rPr>
          <w:lang w:val="es-ES"/>
        </w:rPr>
        <w:br/>
      </w:r>
      <w:r w:rsidRPr="00E64FC4">
        <w:rPr>
          <w:lang w:val="es-ES"/>
        </w:rPr>
        <w:br/>
      </w:r>
      <w:r w:rsidRPr="00E64FC4">
        <w:rPr>
          <w:rFonts w:cstheme="minorHAnsi"/>
          <w:szCs w:val="24"/>
          <w:lang w:val="es-ES"/>
        </w:rPr>
        <w:t>Proyecto de orden del día de la trigésima tercera reunión del Grupo Asesor de</w:t>
      </w:r>
      <w:r>
        <w:rPr>
          <w:rFonts w:cstheme="minorHAnsi"/>
          <w:szCs w:val="24"/>
          <w:lang w:val="es-ES"/>
        </w:rPr>
        <w:t xml:space="preserve"> Radiocomunicaciones</w:t>
      </w:r>
    </w:p>
    <w:p w14:paraId="5B9ACD61" w14:textId="01E8C954" w:rsidR="007C1EE9" w:rsidRPr="00E64FC4" w:rsidRDefault="007C1EE9" w:rsidP="007C1EE9">
      <w:pPr>
        <w:tabs>
          <w:tab w:val="center" w:pos="4890"/>
          <w:tab w:val="left" w:pos="6660"/>
        </w:tabs>
        <w:spacing w:after="100" w:afterAutospacing="1"/>
        <w:jc w:val="center"/>
        <w:rPr>
          <w:rFonts w:cstheme="minorHAnsi"/>
          <w:b/>
          <w:szCs w:val="24"/>
          <w:lang w:val="es-ES"/>
        </w:rPr>
      </w:pPr>
      <w:r w:rsidRPr="00E64FC4">
        <w:rPr>
          <w:rFonts w:asciiTheme="minorHAnsi" w:hAnsiTheme="minorHAnsi"/>
          <w:b/>
          <w:bCs/>
          <w:szCs w:val="24"/>
          <w:lang w:val="es-ES"/>
        </w:rPr>
        <w:t xml:space="preserve">30 de marzo </w:t>
      </w:r>
      <w:r w:rsidRPr="007C1EE9">
        <w:rPr>
          <w:rFonts w:asciiTheme="minorHAnsi" w:hAnsiTheme="minorHAnsi"/>
          <w:b/>
          <w:bCs/>
          <w:szCs w:val="24"/>
          <w:lang w:val="es-ES"/>
        </w:rPr>
        <w:t>–</w:t>
      </w:r>
      <w:r w:rsidRPr="00E64FC4">
        <w:rPr>
          <w:rFonts w:asciiTheme="minorHAnsi" w:hAnsiTheme="minorHAnsi"/>
          <w:b/>
          <w:bCs/>
          <w:szCs w:val="24"/>
          <w:lang w:val="es-ES"/>
        </w:rPr>
        <w:t xml:space="preserve"> 2 de abril de 2026</w:t>
      </w:r>
    </w:p>
    <w:tbl>
      <w:tblPr>
        <w:tblW w:w="9967" w:type="dxa"/>
        <w:tblInd w:w="108" w:type="dxa"/>
        <w:tblLook w:val="04A0" w:firstRow="1" w:lastRow="0" w:firstColumn="1" w:lastColumn="0" w:noHBand="0" w:noVBand="1"/>
      </w:tblPr>
      <w:tblGrid>
        <w:gridCol w:w="967"/>
        <w:gridCol w:w="7755"/>
        <w:gridCol w:w="1245"/>
      </w:tblGrid>
      <w:tr w:rsidR="007C1EE9" w:rsidRPr="00D43732" w14:paraId="4C47405A" w14:textId="77777777" w:rsidTr="00D80A8B">
        <w:tc>
          <w:tcPr>
            <w:tcW w:w="967" w:type="dxa"/>
          </w:tcPr>
          <w:p w14:paraId="2EDAAE74" w14:textId="66DF0518" w:rsidR="007C1EE9" w:rsidRPr="00E64FC4" w:rsidRDefault="007C1EE9" w:rsidP="007C1EE9">
            <w:pPr>
              <w:rPr>
                <w:lang w:val="es-ES"/>
              </w:rPr>
            </w:pPr>
            <w:r>
              <w:rPr>
                <w:lang w:val="es-ES"/>
              </w:rPr>
              <w:t>1</w:t>
            </w:r>
          </w:p>
        </w:tc>
        <w:tc>
          <w:tcPr>
            <w:tcW w:w="7755" w:type="dxa"/>
            <w:hideMark/>
          </w:tcPr>
          <w:p w14:paraId="16637056" w14:textId="77777777" w:rsidR="007C1EE9" w:rsidRPr="00D43732" w:rsidRDefault="007C1EE9" w:rsidP="00D80A8B">
            <w:pPr>
              <w:rPr>
                <w:rFonts w:asciiTheme="minorHAnsi" w:hAnsiTheme="minorHAnsi" w:cstheme="minorHAnsi"/>
                <w:szCs w:val="24"/>
              </w:rPr>
            </w:pPr>
            <w:r w:rsidRPr="00D43732">
              <w:rPr>
                <w:rFonts w:asciiTheme="minorHAnsi" w:hAnsiTheme="minorHAnsi" w:cstheme="minorHAnsi"/>
                <w:szCs w:val="24"/>
              </w:rPr>
              <w:t>O</w:t>
            </w:r>
            <w:r>
              <w:rPr>
                <w:rFonts w:asciiTheme="minorHAnsi" w:hAnsiTheme="minorHAnsi" w:cstheme="minorHAnsi"/>
                <w:szCs w:val="24"/>
              </w:rPr>
              <w:t>bservaciones preliminaries</w:t>
            </w:r>
          </w:p>
        </w:tc>
        <w:tc>
          <w:tcPr>
            <w:tcW w:w="1245" w:type="dxa"/>
          </w:tcPr>
          <w:p w14:paraId="7FD93EB2" w14:textId="77777777" w:rsidR="007C1EE9" w:rsidRPr="00D43732" w:rsidRDefault="007C1EE9" w:rsidP="00D80A8B">
            <w:pPr>
              <w:jc w:val="left"/>
              <w:rPr>
                <w:rFonts w:asciiTheme="minorHAnsi" w:hAnsiTheme="minorHAnsi" w:cstheme="minorHAnsi"/>
                <w:szCs w:val="24"/>
              </w:rPr>
            </w:pPr>
          </w:p>
        </w:tc>
      </w:tr>
      <w:tr w:rsidR="007C1EE9" w:rsidRPr="00065655" w14:paraId="530FE690" w14:textId="77777777" w:rsidTr="00D80A8B">
        <w:tc>
          <w:tcPr>
            <w:tcW w:w="967" w:type="dxa"/>
          </w:tcPr>
          <w:p w14:paraId="647CA91D" w14:textId="14D348BB" w:rsidR="007C1EE9" w:rsidRPr="00F10216" w:rsidRDefault="007C1EE9" w:rsidP="007C1EE9">
            <w:r>
              <w:t>2</w:t>
            </w:r>
          </w:p>
        </w:tc>
        <w:tc>
          <w:tcPr>
            <w:tcW w:w="7755" w:type="dxa"/>
            <w:hideMark/>
          </w:tcPr>
          <w:p w14:paraId="1D70B75F" w14:textId="77777777" w:rsidR="007C1EE9" w:rsidRPr="00E64FC4" w:rsidRDefault="007C1EE9" w:rsidP="00D80A8B">
            <w:pPr>
              <w:rPr>
                <w:rFonts w:asciiTheme="minorHAnsi" w:hAnsiTheme="minorHAnsi" w:cstheme="minorHAnsi"/>
                <w:szCs w:val="24"/>
                <w:lang w:val="es-ES"/>
              </w:rPr>
            </w:pPr>
            <w:r w:rsidRPr="00E64FC4">
              <w:rPr>
                <w:rFonts w:asciiTheme="minorHAnsi" w:hAnsiTheme="minorHAnsi" w:cstheme="minorHAnsi"/>
                <w:szCs w:val="24"/>
                <w:lang w:val="es-ES"/>
              </w:rPr>
              <w:t>Aprobación del orden del día</w:t>
            </w:r>
          </w:p>
        </w:tc>
        <w:tc>
          <w:tcPr>
            <w:tcW w:w="1245" w:type="dxa"/>
          </w:tcPr>
          <w:p w14:paraId="08377854" w14:textId="77777777" w:rsidR="007C1EE9" w:rsidRPr="00E64FC4" w:rsidRDefault="007C1EE9" w:rsidP="00D80A8B">
            <w:pPr>
              <w:spacing w:line="259" w:lineRule="auto"/>
              <w:jc w:val="left"/>
              <w:rPr>
                <w:rFonts w:asciiTheme="minorHAnsi" w:hAnsiTheme="minorHAnsi" w:cstheme="minorHAnsi"/>
                <w:szCs w:val="24"/>
                <w:lang w:val="es-ES"/>
              </w:rPr>
            </w:pPr>
          </w:p>
        </w:tc>
      </w:tr>
      <w:tr w:rsidR="007C1EE9" w:rsidRPr="00065655" w14:paraId="774C5292" w14:textId="77777777" w:rsidTr="00D80A8B">
        <w:tc>
          <w:tcPr>
            <w:tcW w:w="967" w:type="dxa"/>
          </w:tcPr>
          <w:p w14:paraId="240CF70F" w14:textId="0899EDB4" w:rsidR="007C1EE9" w:rsidRPr="00E64FC4" w:rsidRDefault="007C1EE9" w:rsidP="007C1EE9">
            <w:pPr>
              <w:rPr>
                <w:lang w:val="es-ES"/>
              </w:rPr>
            </w:pPr>
            <w:r>
              <w:rPr>
                <w:lang w:val="es-ES"/>
              </w:rPr>
              <w:t>3</w:t>
            </w:r>
          </w:p>
        </w:tc>
        <w:tc>
          <w:tcPr>
            <w:tcW w:w="7755" w:type="dxa"/>
          </w:tcPr>
          <w:p w14:paraId="206EBEA3" w14:textId="509CA898" w:rsidR="007C1EE9" w:rsidRPr="00E64FC4" w:rsidRDefault="007C1EE9" w:rsidP="00D80A8B">
            <w:pPr>
              <w:rPr>
                <w:rFonts w:asciiTheme="minorHAnsi" w:hAnsiTheme="minorHAnsi" w:cstheme="minorHAnsi"/>
                <w:szCs w:val="24"/>
                <w:lang w:val="es-ES"/>
              </w:rPr>
            </w:pPr>
            <w:r w:rsidRPr="00E64FC4">
              <w:rPr>
                <w:rFonts w:asciiTheme="minorHAnsi" w:hAnsiTheme="minorHAnsi" w:cstheme="minorHAnsi"/>
                <w:szCs w:val="24"/>
                <w:lang w:val="es-ES"/>
              </w:rPr>
              <w:t>Informe a la 33</w:t>
            </w:r>
            <w:r w:rsidR="00844848">
              <w:rPr>
                <w:rFonts w:asciiTheme="minorHAnsi" w:hAnsiTheme="minorHAnsi" w:cstheme="minorHAnsi"/>
                <w:szCs w:val="24"/>
                <w:lang w:val="es-ES"/>
              </w:rPr>
              <w:t>.</w:t>
            </w:r>
            <w:r w:rsidRPr="00E64FC4">
              <w:rPr>
                <w:rFonts w:asciiTheme="minorHAnsi" w:hAnsiTheme="minorHAnsi" w:cstheme="minorHAnsi"/>
                <w:szCs w:val="24"/>
                <w:lang w:val="es-ES"/>
              </w:rPr>
              <w:t>ª reunión del Grupo Asesor de Radiocomunicacione</w:t>
            </w:r>
            <w:r>
              <w:rPr>
                <w:rFonts w:asciiTheme="minorHAnsi" w:hAnsiTheme="minorHAnsi" w:cstheme="minorHAnsi"/>
                <w:szCs w:val="24"/>
                <w:lang w:val="es-ES"/>
              </w:rPr>
              <w:t>s</w:t>
            </w:r>
          </w:p>
        </w:tc>
        <w:tc>
          <w:tcPr>
            <w:tcW w:w="1245" w:type="dxa"/>
          </w:tcPr>
          <w:p w14:paraId="539431EE" w14:textId="77777777" w:rsidR="007C1EE9" w:rsidRPr="00E64FC4" w:rsidRDefault="007C1EE9" w:rsidP="00D80A8B">
            <w:pPr>
              <w:jc w:val="left"/>
              <w:rPr>
                <w:rFonts w:asciiTheme="minorHAnsi" w:hAnsiTheme="minorHAnsi" w:cstheme="minorHAnsi"/>
                <w:szCs w:val="24"/>
                <w:lang w:val="es-ES"/>
              </w:rPr>
            </w:pPr>
          </w:p>
        </w:tc>
      </w:tr>
      <w:tr w:rsidR="007C1EE9" w:rsidRPr="00065655" w14:paraId="7C2486E6" w14:textId="77777777" w:rsidTr="00D80A8B">
        <w:tc>
          <w:tcPr>
            <w:tcW w:w="967" w:type="dxa"/>
          </w:tcPr>
          <w:p w14:paraId="4608A672" w14:textId="1440B59C" w:rsidR="007C1EE9" w:rsidRPr="00E64FC4" w:rsidRDefault="007C1EE9" w:rsidP="007C1EE9">
            <w:pPr>
              <w:rPr>
                <w:lang w:val="es-ES"/>
              </w:rPr>
            </w:pPr>
            <w:r>
              <w:rPr>
                <w:lang w:val="es-ES"/>
              </w:rPr>
              <w:t>4</w:t>
            </w:r>
          </w:p>
        </w:tc>
        <w:tc>
          <w:tcPr>
            <w:tcW w:w="7755" w:type="dxa"/>
            <w:hideMark/>
          </w:tcPr>
          <w:p w14:paraId="54E6438C" w14:textId="24FC9CD9" w:rsidR="007C1EE9" w:rsidRPr="00E64FC4" w:rsidRDefault="007C1EE9" w:rsidP="00D80A8B">
            <w:pPr>
              <w:rPr>
                <w:rFonts w:asciiTheme="minorHAnsi" w:hAnsiTheme="minorHAnsi" w:cstheme="minorBidi"/>
                <w:szCs w:val="24"/>
                <w:lang w:val="es-ES" w:eastAsia="en-GB"/>
              </w:rPr>
            </w:pPr>
            <w:r w:rsidRPr="00E64FC4">
              <w:rPr>
                <w:rFonts w:asciiTheme="minorHAnsi" w:hAnsiTheme="minorHAnsi" w:cstheme="minorBidi"/>
                <w:szCs w:val="24"/>
                <w:lang w:val="es-ES"/>
              </w:rPr>
              <w:t>Asuntos relativos al Consejo de la UIT</w:t>
            </w:r>
          </w:p>
          <w:p w14:paraId="20BA2D6D" w14:textId="704D2E8C" w:rsidR="007C1EE9" w:rsidRPr="00E64FC4" w:rsidRDefault="007C1EE9" w:rsidP="007C1EE9">
            <w:pPr>
              <w:pStyle w:val="enumlev1"/>
              <w:rPr>
                <w:lang w:val="es-ES" w:eastAsia="en-GB"/>
              </w:rPr>
            </w:pPr>
            <w:r w:rsidRPr="007C1EE9">
              <w:rPr>
                <w:lang w:val="es-ES" w:eastAsia="en-GB"/>
              </w:rPr>
              <w:t>•</w:t>
            </w:r>
            <w:r>
              <w:rPr>
                <w:lang w:val="es-ES" w:eastAsia="en-GB"/>
              </w:rPr>
              <w:tab/>
            </w:r>
            <w:r w:rsidRPr="00E64FC4">
              <w:rPr>
                <w:lang w:val="es-ES" w:eastAsia="en-GB"/>
              </w:rPr>
              <w:t>Plan Estratégico de la UIT para 2028-2031</w:t>
            </w:r>
          </w:p>
        </w:tc>
        <w:tc>
          <w:tcPr>
            <w:tcW w:w="1245" w:type="dxa"/>
          </w:tcPr>
          <w:p w14:paraId="216D60BA" w14:textId="77777777" w:rsidR="007C1EE9" w:rsidRPr="00E64FC4" w:rsidRDefault="007C1EE9" w:rsidP="00D80A8B">
            <w:pPr>
              <w:jc w:val="left"/>
              <w:rPr>
                <w:rFonts w:asciiTheme="minorHAnsi" w:hAnsiTheme="minorHAnsi" w:cstheme="minorHAnsi"/>
                <w:szCs w:val="24"/>
                <w:lang w:val="es-ES"/>
              </w:rPr>
            </w:pPr>
          </w:p>
        </w:tc>
      </w:tr>
      <w:tr w:rsidR="007C1EE9" w:rsidRPr="00065655" w14:paraId="76A56A51" w14:textId="77777777" w:rsidTr="00D80A8B">
        <w:tc>
          <w:tcPr>
            <w:tcW w:w="967" w:type="dxa"/>
          </w:tcPr>
          <w:p w14:paraId="205822C3" w14:textId="1183E363" w:rsidR="007C1EE9" w:rsidRPr="00E64FC4" w:rsidRDefault="007C1EE9" w:rsidP="007C1EE9">
            <w:pPr>
              <w:rPr>
                <w:lang w:val="es-ES"/>
              </w:rPr>
            </w:pPr>
            <w:r>
              <w:rPr>
                <w:lang w:val="es-ES"/>
              </w:rPr>
              <w:t>5</w:t>
            </w:r>
          </w:p>
        </w:tc>
        <w:tc>
          <w:tcPr>
            <w:tcW w:w="7755" w:type="dxa"/>
          </w:tcPr>
          <w:p w14:paraId="703A5A65" w14:textId="77777777" w:rsidR="007C1EE9" w:rsidRPr="00E64FC4" w:rsidRDefault="007C1EE9" w:rsidP="00D80A8B">
            <w:pPr>
              <w:rPr>
                <w:rFonts w:asciiTheme="minorHAnsi" w:hAnsiTheme="minorHAnsi" w:cstheme="minorBidi"/>
                <w:szCs w:val="24"/>
                <w:lang w:val="es-ES" w:eastAsia="en-GB"/>
              </w:rPr>
            </w:pPr>
            <w:r w:rsidRPr="00E64FC4">
              <w:rPr>
                <w:rFonts w:asciiTheme="minorHAnsi" w:hAnsiTheme="minorHAnsi" w:cstheme="minorHAnsi"/>
                <w:szCs w:val="24"/>
                <w:lang w:val="es-ES" w:eastAsia="en-GB"/>
              </w:rPr>
              <w:t>Plan Operacional del UIT-R</w:t>
            </w:r>
          </w:p>
        </w:tc>
        <w:tc>
          <w:tcPr>
            <w:tcW w:w="1245" w:type="dxa"/>
          </w:tcPr>
          <w:p w14:paraId="09AAC071" w14:textId="77777777" w:rsidR="007C1EE9" w:rsidRPr="00E64FC4" w:rsidRDefault="007C1EE9" w:rsidP="00D80A8B">
            <w:pPr>
              <w:jc w:val="left"/>
              <w:rPr>
                <w:rFonts w:asciiTheme="minorHAnsi" w:hAnsiTheme="minorHAnsi" w:cstheme="minorHAnsi"/>
                <w:szCs w:val="24"/>
                <w:lang w:val="es-ES"/>
              </w:rPr>
            </w:pPr>
          </w:p>
        </w:tc>
      </w:tr>
      <w:tr w:rsidR="007C1EE9" w:rsidRPr="00065655" w14:paraId="57B91EA9" w14:textId="77777777" w:rsidTr="00D80A8B">
        <w:tc>
          <w:tcPr>
            <w:tcW w:w="967" w:type="dxa"/>
          </w:tcPr>
          <w:p w14:paraId="42EC9944" w14:textId="0BB70BE8" w:rsidR="007C1EE9" w:rsidRPr="00E64FC4" w:rsidRDefault="007C1EE9" w:rsidP="007C1EE9">
            <w:pPr>
              <w:rPr>
                <w:lang w:val="es-ES"/>
              </w:rPr>
            </w:pPr>
            <w:r>
              <w:rPr>
                <w:lang w:val="es-ES"/>
              </w:rPr>
              <w:t>6</w:t>
            </w:r>
          </w:p>
        </w:tc>
        <w:tc>
          <w:tcPr>
            <w:tcW w:w="7755" w:type="dxa"/>
          </w:tcPr>
          <w:p w14:paraId="09C098A7" w14:textId="77777777" w:rsidR="007C1EE9" w:rsidRPr="00E64FC4" w:rsidRDefault="007C1EE9" w:rsidP="00D80A8B">
            <w:pPr>
              <w:rPr>
                <w:rFonts w:asciiTheme="minorHAnsi" w:hAnsiTheme="minorHAnsi" w:cstheme="minorBidi"/>
                <w:szCs w:val="24"/>
                <w:lang w:val="es-ES"/>
              </w:rPr>
            </w:pPr>
            <w:r w:rsidRPr="00E64FC4">
              <w:rPr>
                <w:rFonts w:asciiTheme="minorHAnsi" w:hAnsiTheme="minorHAnsi" w:cstheme="minorBidi"/>
                <w:szCs w:val="24"/>
                <w:lang w:val="es-ES"/>
              </w:rPr>
              <w:t>Aplicación de</w:t>
            </w:r>
            <w:r>
              <w:rPr>
                <w:rFonts w:asciiTheme="minorHAnsi" w:hAnsiTheme="minorHAnsi" w:cstheme="minorBidi"/>
                <w:szCs w:val="24"/>
                <w:lang w:val="es-ES"/>
              </w:rPr>
              <w:t xml:space="preserve"> </w:t>
            </w:r>
            <w:r w:rsidRPr="00E64FC4">
              <w:rPr>
                <w:rFonts w:asciiTheme="minorHAnsi" w:hAnsiTheme="minorHAnsi" w:cstheme="minorBidi"/>
                <w:szCs w:val="24"/>
                <w:lang w:val="es-ES"/>
              </w:rPr>
              <w:t>las decision</w:t>
            </w:r>
            <w:r>
              <w:rPr>
                <w:rFonts w:asciiTheme="minorHAnsi" w:hAnsiTheme="minorHAnsi" w:cstheme="minorBidi"/>
                <w:szCs w:val="24"/>
                <w:lang w:val="es-ES"/>
              </w:rPr>
              <w:t>e</w:t>
            </w:r>
            <w:r w:rsidRPr="00E64FC4">
              <w:rPr>
                <w:rFonts w:asciiTheme="minorHAnsi" w:hAnsiTheme="minorHAnsi" w:cstheme="minorBidi"/>
                <w:szCs w:val="24"/>
                <w:lang w:val="es-ES"/>
              </w:rPr>
              <w:t>s de l</w:t>
            </w:r>
            <w:r>
              <w:rPr>
                <w:rFonts w:asciiTheme="minorHAnsi" w:hAnsiTheme="minorHAnsi" w:cstheme="minorBidi"/>
                <w:szCs w:val="24"/>
                <w:lang w:val="es-ES"/>
              </w:rPr>
              <w:t>a AR-23</w:t>
            </w:r>
          </w:p>
          <w:p w14:paraId="3CACF511" w14:textId="41CD1805" w:rsidR="007C1EE9" w:rsidRPr="00E64FC4" w:rsidRDefault="007C1EE9" w:rsidP="007C1EE9">
            <w:pPr>
              <w:pStyle w:val="enumlev1"/>
              <w:rPr>
                <w:rFonts w:cstheme="minorBidi"/>
                <w:lang w:val="es-ES"/>
              </w:rPr>
            </w:pPr>
            <w:r w:rsidRPr="007C1EE9">
              <w:rPr>
                <w:lang w:val="es-ES"/>
              </w:rPr>
              <w:t>•</w:t>
            </w:r>
            <w:r>
              <w:rPr>
                <w:lang w:val="es-ES"/>
              </w:rPr>
              <w:tab/>
            </w:r>
            <w:r w:rsidRPr="00E64FC4">
              <w:rPr>
                <w:lang w:val="es-ES"/>
              </w:rPr>
              <w:t>Informe del Grupo por Correspondencia del GAR sobr</w:t>
            </w:r>
            <w:r>
              <w:rPr>
                <w:lang w:val="es-ES"/>
              </w:rPr>
              <w:t>e la mejora del proceso de la Reunión Preparatoria de la Conferencia (RPC)</w:t>
            </w:r>
          </w:p>
        </w:tc>
        <w:tc>
          <w:tcPr>
            <w:tcW w:w="1245" w:type="dxa"/>
          </w:tcPr>
          <w:p w14:paraId="52426212" w14:textId="77777777" w:rsidR="007C1EE9" w:rsidRPr="00E64FC4" w:rsidRDefault="007C1EE9" w:rsidP="00D80A8B">
            <w:pPr>
              <w:jc w:val="left"/>
              <w:rPr>
                <w:rFonts w:asciiTheme="minorHAnsi" w:hAnsiTheme="minorHAnsi" w:cstheme="minorHAnsi"/>
                <w:szCs w:val="24"/>
                <w:lang w:val="es-ES"/>
              </w:rPr>
            </w:pPr>
          </w:p>
        </w:tc>
      </w:tr>
      <w:tr w:rsidR="007C1EE9" w:rsidRPr="00065655" w14:paraId="26DCC3A0" w14:textId="77777777" w:rsidTr="00D80A8B">
        <w:tc>
          <w:tcPr>
            <w:tcW w:w="967" w:type="dxa"/>
          </w:tcPr>
          <w:p w14:paraId="73DA163A" w14:textId="08508CF1" w:rsidR="007C1EE9" w:rsidRPr="00E64FC4" w:rsidRDefault="007C1EE9" w:rsidP="007C1EE9">
            <w:pPr>
              <w:rPr>
                <w:lang w:val="es-ES"/>
              </w:rPr>
            </w:pPr>
            <w:r>
              <w:rPr>
                <w:lang w:val="es-ES"/>
              </w:rPr>
              <w:t>7</w:t>
            </w:r>
          </w:p>
        </w:tc>
        <w:tc>
          <w:tcPr>
            <w:tcW w:w="7755" w:type="dxa"/>
          </w:tcPr>
          <w:p w14:paraId="1093B14D" w14:textId="77777777" w:rsidR="007C1EE9" w:rsidRPr="00E64FC4" w:rsidRDefault="007C1EE9" w:rsidP="00D80A8B">
            <w:pPr>
              <w:rPr>
                <w:rFonts w:asciiTheme="minorHAnsi" w:hAnsiTheme="minorHAnsi" w:cstheme="minorBidi"/>
                <w:szCs w:val="24"/>
                <w:lang w:val="es-ES"/>
              </w:rPr>
            </w:pPr>
            <w:r w:rsidRPr="00E64FC4">
              <w:rPr>
                <w:rFonts w:asciiTheme="minorHAnsi" w:hAnsiTheme="minorHAnsi" w:cstheme="minorBidi"/>
                <w:szCs w:val="24"/>
                <w:lang w:val="es-ES"/>
              </w:rPr>
              <w:t>Aplicación de las decision</w:t>
            </w:r>
            <w:r>
              <w:rPr>
                <w:rFonts w:asciiTheme="minorHAnsi" w:hAnsiTheme="minorHAnsi" w:cstheme="minorBidi"/>
                <w:szCs w:val="24"/>
                <w:lang w:val="es-ES"/>
              </w:rPr>
              <w:t>es de la CMR-23</w:t>
            </w:r>
          </w:p>
        </w:tc>
        <w:tc>
          <w:tcPr>
            <w:tcW w:w="1245" w:type="dxa"/>
          </w:tcPr>
          <w:p w14:paraId="0D057EC3" w14:textId="77777777" w:rsidR="007C1EE9" w:rsidRPr="00E64FC4" w:rsidRDefault="007C1EE9" w:rsidP="00D80A8B">
            <w:pPr>
              <w:jc w:val="left"/>
              <w:rPr>
                <w:rFonts w:asciiTheme="minorHAnsi" w:hAnsiTheme="minorHAnsi" w:cstheme="minorHAnsi"/>
                <w:szCs w:val="24"/>
                <w:lang w:val="es-ES"/>
              </w:rPr>
            </w:pPr>
          </w:p>
        </w:tc>
      </w:tr>
      <w:tr w:rsidR="007C1EE9" w:rsidRPr="00065655" w14:paraId="2C02D011" w14:textId="77777777" w:rsidTr="00D80A8B">
        <w:tc>
          <w:tcPr>
            <w:tcW w:w="967" w:type="dxa"/>
          </w:tcPr>
          <w:p w14:paraId="7E49A138" w14:textId="153B9BDF" w:rsidR="007C1EE9" w:rsidRPr="00E64FC4" w:rsidRDefault="007C1EE9" w:rsidP="007C1EE9">
            <w:pPr>
              <w:rPr>
                <w:lang w:val="es-ES"/>
              </w:rPr>
            </w:pPr>
            <w:r>
              <w:rPr>
                <w:lang w:val="es-ES"/>
              </w:rPr>
              <w:t>8</w:t>
            </w:r>
          </w:p>
        </w:tc>
        <w:tc>
          <w:tcPr>
            <w:tcW w:w="7755" w:type="dxa"/>
          </w:tcPr>
          <w:p w14:paraId="69BAE836" w14:textId="77777777" w:rsidR="007C1EE9" w:rsidRPr="0097021A" w:rsidRDefault="007C1EE9" w:rsidP="00D80A8B">
            <w:pPr>
              <w:rPr>
                <w:rFonts w:asciiTheme="minorHAnsi" w:hAnsiTheme="minorHAnsi" w:cstheme="minorHAnsi"/>
                <w:szCs w:val="24"/>
                <w:lang w:val="es-ES"/>
              </w:rPr>
            </w:pPr>
            <w:r w:rsidRPr="0097021A">
              <w:rPr>
                <w:rFonts w:asciiTheme="minorHAnsi" w:hAnsiTheme="minorHAnsi" w:cstheme="minorBidi"/>
                <w:szCs w:val="24"/>
                <w:lang w:val="es-ES"/>
              </w:rPr>
              <w:t>Preparativos para la AR/CMR-27</w:t>
            </w:r>
          </w:p>
        </w:tc>
        <w:tc>
          <w:tcPr>
            <w:tcW w:w="1245" w:type="dxa"/>
          </w:tcPr>
          <w:p w14:paraId="426B5E05" w14:textId="77777777" w:rsidR="007C1EE9" w:rsidRPr="0097021A" w:rsidRDefault="007C1EE9" w:rsidP="00D80A8B">
            <w:pPr>
              <w:jc w:val="left"/>
              <w:rPr>
                <w:rFonts w:asciiTheme="minorHAnsi" w:hAnsiTheme="minorHAnsi" w:cstheme="minorHAnsi"/>
                <w:szCs w:val="24"/>
                <w:lang w:val="es-ES"/>
              </w:rPr>
            </w:pPr>
          </w:p>
        </w:tc>
      </w:tr>
      <w:tr w:rsidR="007C1EE9" w:rsidRPr="00065655" w14:paraId="7FC41C5C" w14:textId="77777777" w:rsidTr="00D80A8B">
        <w:tc>
          <w:tcPr>
            <w:tcW w:w="967" w:type="dxa"/>
          </w:tcPr>
          <w:p w14:paraId="02F4E563" w14:textId="2AD774D5" w:rsidR="007C1EE9" w:rsidRPr="0097021A" w:rsidRDefault="007C1EE9" w:rsidP="007C1EE9">
            <w:pPr>
              <w:rPr>
                <w:lang w:val="es-ES"/>
              </w:rPr>
            </w:pPr>
            <w:r>
              <w:rPr>
                <w:lang w:val="es-ES"/>
              </w:rPr>
              <w:t>9</w:t>
            </w:r>
          </w:p>
        </w:tc>
        <w:tc>
          <w:tcPr>
            <w:tcW w:w="7755" w:type="dxa"/>
          </w:tcPr>
          <w:p w14:paraId="0810A5D7" w14:textId="77777777" w:rsidR="007C1EE9" w:rsidRPr="0097021A" w:rsidRDefault="007C1EE9" w:rsidP="00D80A8B">
            <w:pPr>
              <w:rPr>
                <w:rFonts w:asciiTheme="minorHAnsi" w:hAnsiTheme="minorHAnsi" w:cstheme="minorHAnsi"/>
                <w:szCs w:val="24"/>
                <w:lang w:val="es-ES"/>
              </w:rPr>
            </w:pPr>
            <w:r w:rsidRPr="0097021A">
              <w:rPr>
                <w:rFonts w:asciiTheme="minorHAnsi" w:hAnsiTheme="minorHAnsi" w:cstheme="minorHAnsi"/>
                <w:szCs w:val="24"/>
                <w:lang w:val="es-ES"/>
              </w:rPr>
              <w:t>Actividades de las Comisiones de Estudio</w:t>
            </w:r>
          </w:p>
          <w:p w14:paraId="01B6D64B" w14:textId="393A5EEA" w:rsidR="007C1EE9" w:rsidRPr="0097021A" w:rsidRDefault="007C1EE9" w:rsidP="007C1EE9">
            <w:pPr>
              <w:pStyle w:val="enumlev1"/>
              <w:rPr>
                <w:lang w:val="es-ES"/>
              </w:rPr>
            </w:pPr>
            <w:r w:rsidRPr="007C1EE9">
              <w:rPr>
                <w:lang w:val="es-ES"/>
              </w:rPr>
              <w:t>•</w:t>
            </w:r>
            <w:r>
              <w:rPr>
                <w:lang w:val="es-ES"/>
              </w:rPr>
              <w:tab/>
            </w:r>
            <w:r w:rsidRPr="0097021A">
              <w:rPr>
                <w:lang w:val="es-ES"/>
              </w:rPr>
              <w:t>Directrices asociadas a la Resolución UIT-R 1-9</w:t>
            </w:r>
          </w:p>
        </w:tc>
        <w:tc>
          <w:tcPr>
            <w:tcW w:w="1245" w:type="dxa"/>
          </w:tcPr>
          <w:p w14:paraId="5E47B3A8" w14:textId="77777777" w:rsidR="007C1EE9" w:rsidRPr="0097021A" w:rsidRDefault="007C1EE9" w:rsidP="00D80A8B">
            <w:pPr>
              <w:jc w:val="left"/>
              <w:rPr>
                <w:rFonts w:asciiTheme="minorHAnsi" w:hAnsiTheme="minorHAnsi" w:cstheme="minorHAnsi"/>
                <w:szCs w:val="24"/>
                <w:lang w:val="es-ES"/>
              </w:rPr>
            </w:pPr>
          </w:p>
        </w:tc>
      </w:tr>
      <w:tr w:rsidR="007C1EE9" w:rsidRPr="00D43732" w14:paraId="394B2BE7" w14:textId="77777777" w:rsidTr="00D80A8B">
        <w:tc>
          <w:tcPr>
            <w:tcW w:w="967" w:type="dxa"/>
          </w:tcPr>
          <w:p w14:paraId="2180E7B1" w14:textId="1A4FBA90" w:rsidR="007C1EE9" w:rsidRPr="0097021A" w:rsidRDefault="007C1EE9" w:rsidP="007C1EE9">
            <w:pPr>
              <w:rPr>
                <w:lang w:val="es-ES"/>
              </w:rPr>
            </w:pPr>
            <w:r>
              <w:rPr>
                <w:lang w:val="es-ES"/>
              </w:rPr>
              <w:t>10</w:t>
            </w:r>
          </w:p>
        </w:tc>
        <w:tc>
          <w:tcPr>
            <w:tcW w:w="7755" w:type="dxa"/>
            <w:hideMark/>
          </w:tcPr>
          <w:p w14:paraId="694524ED" w14:textId="77777777" w:rsidR="007C1EE9" w:rsidRPr="00D43732" w:rsidRDefault="007C1EE9" w:rsidP="00D80A8B">
            <w:pPr>
              <w:rPr>
                <w:rFonts w:asciiTheme="minorHAnsi" w:hAnsiTheme="minorHAnsi" w:cstheme="minorHAnsi"/>
                <w:szCs w:val="24"/>
              </w:rPr>
            </w:pPr>
            <w:r>
              <w:rPr>
                <w:rFonts w:asciiTheme="minorHAnsi" w:hAnsiTheme="minorHAnsi" w:cstheme="minorHAnsi"/>
                <w:szCs w:val="24"/>
              </w:rPr>
              <w:t>Actividades intersectoriales</w:t>
            </w:r>
          </w:p>
        </w:tc>
        <w:tc>
          <w:tcPr>
            <w:tcW w:w="1245" w:type="dxa"/>
          </w:tcPr>
          <w:p w14:paraId="1CA677B5" w14:textId="77777777" w:rsidR="007C1EE9" w:rsidRPr="00D43732" w:rsidRDefault="007C1EE9" w:rsidP="00D80A8B">
            <w:pPr>
              <w:spacing w:line="257" w:lineRule="auto"/>
              <w:jc w:val="left"/>
              <w:rPr>
                <w:rFonts w:asciiTheme="minorHAnsi" w:hAnsiTheme="minorHAnsi" w:cstheme="minorHAnsi"/>
                <w:szCs w:val="24"/>
                <w:lang w:val="fr-CH"/>
              </w:rPr>
            </w:pPr>
          </w:p>
        </w:tc>
      </w:tr>
      <w:tr w:rsidR="007C1EE9" w:rsidRPr="00065655" w14:paraId="4701CFFD" w14:textId="77777777" w:rsidTr="00D80A8B">
        <w:tc>
          <w:tcPr>
            <w:tcW w:w="967" w:type="dxa"/>
          </w:tcPr>
          <w:p w14:paraId="13E00BE5" w14:textId="7FB4D896" w:rsidR="007C1EE9" w:rsidRPr="00F10216" w:rsidRDefault="007C1EE9" w:rsidP="007C1EE9">
            <w:r>
              <w:t>11</w:t>
            </w:r>
          </w:p>
        </w:tc>
        <w:tc>
          <w:tcPr>
            <w:tcW w:w="7755" w:type="dxa"/>
            <w:hideMark/>
          </w:tcPr>
          <w:p w14:paraId="153514E7" w14:textId="0A19EB34" w:rsidR="007C1EE9" w:rsidRPr="0097021A" w:rsidRDefault="007C1EE9" w:rsidP="00D80A8B">
            <w:pPr>
              <w:rPr>
                <w:rFonts w:asciiTheme="minorHAnsi" w:hAnsiTheme="minorHAnsi" w:cstheme="minorHAnsi"/>
                <w:szCs w:val="24"/>
                <w:lang w:val="es-ES"/>
              </w:rPr>
            </w:pPr>
            <w:r w:rsidRPr="0097021A">
              <w:rPr>
                <w:rFonts w:asciiTheme="minorHAnsi" w:hAnsiTheme="minorHAnsi" w:cstheme="minorHAnsi"/>
                <w:szCs w:val="24"/>
                <w:lang w:val="es-ES"/>
              </w:rPr>
              <w:t>Sistema de información de la BR</w:t>
            </w:r>
          </w:p>
        </w:tc>
        <w:tc>
          <w:tcPr>
            <w:tcW w:w="1245" w:type="dxa"/>
          </w:tcPr>
          <w:p w14:paraId="306FAB0D" w14:textId="77777777" w:rsidR="007C1EE9" w:rsidRPr="0097021A" w:rsidRDefault="007C1EE9" w:rsidP="00D80A8B">
            <w:pPr>
              <w:spacing w:line="259" w:lineRule="auto"/>
              <w:jc w:val="left"/>
              <w:rPr>
                <w:rFonts w:asciiTheme="minorHAnsi" w:hAnsiTheme="minorHAnsi" w:cstheme="minorHAnsi"/>
                <w:szCs w:val="24"/>
                <w:lang w:val="es-ES"/>
              </w:rPr>
            </w:pPr>
          </w:p>
        </w:tc>
      </w:tr>
      <w:tr w:rsidR="007C1EE9" w:rsidRPr="00D43732" w14:paraId="1176F779" w14:textId="77777777" w:rsidTr="00D80A8B">
        <w:tc>
          <w:tcPr>
            <w:tcW w:w="967" w:type="dxa"/>
          </w:tcPr>
          <w:p w14:paraId="2B94F494" w14:textId="57E5EE1F" w:rsidR="007C1EE9" w:rsidRPr="0097021A" w:rsidRDefault="007C1EE9" w:rsidP="007C1EE9">
            <w:pPr>
              <w:rPr>
                <w:lang w:val="es-ES"/>
              </w:rPr>
            </w:pPr>
            <w:r>
              <w:rPr>
                <w:lang w:val="es-ES"/>
              </w:rPr>
              <w:t>12</w:t>
            </w:r>
          </w:p>
        </w:tc>
        <w:tc>
          <w:tcPr>
            <w:tcW w:w="7755" w:type="dxa"/>
          </w:tcPr>
          <w:p w14:paraId="0C77992D" w14:textId="77777777" w:rsidR="007C1EE9" w:rsidRPr="00D43732" w:rsidRDefault="007C1EE9" w:rsidP="00D80A8B">
            <w:pPr>
              <w:rPr>
                <w:rFonts w:asciiTheme="minorHAnsi" w:hAnsiTheme="minorHAnsi" w:cstheme="minorHAnsi"/>
                <w:szCs w:val="24"/>
              </w:rPr>
            </w:pPr>
            <w:r>
              <w:rPr>
                <w:rFonts w:asciiTheme="minorHAnsi" w:hAnsiTheme="minorHAnsi" w:cstheme="minorHAnsi"/>
                <w:szCs w:val="24"/>
              </w:rPr>
              <w:t>Actividades de comunicación</w:t>
            </w:r>
          </w:p>
        </w:tc>
        <w:tc>
          <w:tcPr>
            <w:tcW w:w="1245" w:type="dxa"/>
          </w:tcPr>
          <w:p w14:paraId="633C0ACB" w14:textId="77777777" w:rsidR="007C1EE9" w:rsidRPr="00D43732" w:rsidRDefault="007C1EE9" w:rsidP="00D80A8B">
            <w:pPr>
              <w:jc w:val="left"/>
              <w:rPr>
                <w:rFonts w:asciiTheme="minorHAnsi" w:hAnsiTheme="minorHAnsi" w:cstheme="minorHAnsi"/>
                <w:szCs w:val="24"/>
              </w:rPr>
            </w:pPr>
          </w:p>
        </w:tc>
      </w:tr>
      <w:tr w:rsidR="007C1EE9" w:rsidRPr="00065655" w14:paraId="04871464" w14:textId="77777777" w:rsidTr="00D80A8B">
        <w:tc>
          <w:tcPr>
            <w:tcW w:w="967" w:type="dxa"/>
          </w:tcPr>
          <w:p w14:paraId="1C009BC0" w14:textId="2AED1060" w:rsidR="007C1EE9" w:rsidRPr="00F10216" w:rsidRDefault="007C1EE9" w:rsidP="007C1EE9">
            <w:r>
              <w:t>13</w:t>
            </w:r>
          </w:p>
        </w:tc>
        <w:tc>
          <w:tcPr>
            <w:tcW w:w="7755" w:type="dxa"/>
            <w:hideMark/>
          </w:tcPr>
          <w:p w14:paraId="5E63D077" w14:textId="77777777" w:rsidR="007C1EE9" w:rsidRPr="0097021A" w:rsidRDefault="007C1EE9" w:rsidP="00D80A8B">
            <w:pPr>
              <w:rPr>
                <w:rFonts w:asciiTheme="minorHAnsi" w:hAnsiTheme="minorHAnsi" w:cstheme="minorHAnsi"/>
                <w:szCs w:val="24"/>
                <w:lang w:val="es-ES"/>
              </w:rPr>
            </w:pPr>
            <w:r w:rsidRPr="0097021A">
              <w:rPr>
                <w:rFonts w:asciiTheme="minorHAnsi" w:hAnsiTheme="minorHAnsi" w:cstheme="minorHAnsi"/>
                <w:szCs w:val="24"/>
                <w:lang w:val="es-ES"/>
              </w:rPr>
              <w:t>Fecha de la próxima reunión</w:t>
            </w:r>
          </w:p>
        </w:tc>
        <w:tc>
          <w:tcPr>
            <w:tcW w:w="1245" w:type="dxa"/>
          </w:tcPr>
          <w:p w14:paraId="36415C84" w14:textId="77777777" w:rsidR="007C1EE9" w:rsidRPr="0097021A" w:rsidRDefault="007C1EE9" w:rsidP="00D80A8B">
            <w:pPr>
              <w:jc w:val="left"/>
              <w:rPr>
                <w:rFonts w:asciiTheme="minorHAnsi" w:hAnsiTheme="minorHAnsi" w:cstheme="minorHAnsi"/>
                <w:szCs w:val="24"/>
                <w:lang w:val="es-ES"/>
              </w:rPr>
            </w:pPr>
          </w:p>
        </w:tc>
      </w:tr>
      <w:tr w:rsidR="007C1EE9" w:rsidRPr="00D43732" w14:paraId="174D46E7" w14:textId="77777777" w:rsidTr="00D80A8B">
        <w:tc>
          <w:tcPr>
            <w:tcW w:w="967" w:type="dxa"/>
          </w:tcPr>
          <w:p w14:paraId="4D25EB09" w14:textId="639A090A" w:rsidR="007C1EE9" w:rsidRPr="0097021A" w:rsidRDefault="007C1EE9" w:rsidP="007C1EE9">
            <w:pPr>
              <w:rPr>
                <w:lang w:val="es-ES"/>
              </w:rPr>
            </w:pPr>
            <w:r>
              <w:rPr>
                <w:lang w:val="es-ES"/>
              </w:rPr>
              <w:t>14</w:t>
            </w:r>
          </w:p>
        </w:tc>
        <w:tc>
          <w:tcPr>
            <w:tcW w:w="7755" w:type="dxa"/>
            <w:hideMark/>
          </w:tcPr>
          <w:p w14:paraId="42B6A6A4" w14:textId="77777777" w:rsidR="007C1EE9" w:rsidRPr="00D43732" w:rsidRDefault="007C1EE9" w:rsidP="00D80A8B">
            <w:pPr>
              <w:rPr>
                <w:rFonts w:asciiTheme="minorHAnsi" w:hAnsiTheme="minorHAnsi" w:cstheme="minorHAnsi"/>
                <w:szCs w:val="24"/>
              </w:rPr>
            </w:pPr>
            <w:r>
              <w:rPr>
                <w:rFonts w:asciiTheme="minorHAnsi" w:hAnsiTheme="minorHAnsi" w:cstheme="minorHAnsi"/>
                <w:szCs w:val="24"/>
              </w:rPr>
              <w:t>Otros asuntos</w:t>
            </w:r>
          </w:p>
        </w:tc>
        <w:tc>
          <w:tcPr>
            <w:tcW w:w="1245" w:type="dxa"/>
          </w:tcPr>
          <w:p w14:paraId="7423AA68" w14:textId="77777777" w:rsidR="007C1EE9" w:rsidRPr="00D43732" w:rsidRDefault="007C1EE9" w:rsidP="00D80A8B">
            <w:pPr>
              <w:jc w:val="left"/>
              <w:rPr>
                <w:rFonts w:asciiTheme="minorHAnsi" w:hAnsiTheme="minorHAnsi" w:cstheme="minorHAnsi"/>
                <w:szCs w:val="24"/>
              </w:rPr>
            </w:pPr>
          </w:p>
        </w:tc>
      </w:tr>
    </w:tbl>
    <w:p w14:paraId="4D359FD3" w14:textId="7A0714E8" w:rsidR="007C1EE9" w:rsidRPr="0033029C" w:rsidRDefault="007C1EE9" w:rsidP="007C1EE9">
      <w:pPr>
        <w:tabs>
          <w:tab w:val="clear" w:pos="794"/>
          <w:tab w:val="clear" w:pos="1191"/>
          <w:tab w:val="clear" w:pos="1588"/>
          <w:tab w:val="clear" w:pos="1985"/>
          <w:tab w:val="center" w:pos="7088"/>
        </w:tabs>
        <w:spacing w:before="1200" w:line="240" w:lineRule="auto"/>
        <w:rPr>
          <w:rFonts w:asciiTheme="minorHAnsi" w:hAnsiTheme="minorHAnsi" w:cstheme="minorHAnsi"/>
          <w:szCs w:val="24"/>
          <w:lang w:val="es-ES"/>
        </w:rPr>
      </w:pPr>
      <w:r w:rsidRPr="00065655">
        <w:rPr>
          <w:rFonts w:asciiTheme="minorHAnsi" w:hAnsiTheme="minorHAnsi" w:cstheme="minorHAnsi"/>
          <w:szCs w:val="24"/>
          <w:lang w:val="es-ES"/>
        </w:rPr>
        <w:tab/>
      </w:r>
      <w:r w:rsidRPr="0097021A">
        <w:rPr>
          <w:rFonts w:asciiTheme="minorHAnsi" w:hAnsiTheme="minorHAnsi" w:cstheme="minorHAnsi"/>
          <w:szCs w:val="24"/>
          <w:lang w:val="es-ES"/>
        </w:rPr>
        <w:t>Sr. Mohammad Aljnoobi</w:t>
      </w:r>
      <w:r w:rsidRPr="0097021A">
        <w:rPr>
          <w:rFonts w:asciiTheme="minorHAnsi" w:hAnsiTheme="minorHAnsi" w:cstheme="minorHAnsi"/>
          <w:szCs w:val="24"/>
          <w:lang w:val="es-ES"/>
        </w:rPr>
        <w:br/>
      </w:r>
      <w:r w:rsidRPr="0097021A">
        <w:rPr>
          <w:rFonts w:asciiTheme="minorHAnsi" w:hAnsiTheme="minorHAnsi" w:cstheme="minorHAnsi"/>
          <w:szCs w:val="24"/>
          <w:lang w:val="es-ES"/>
        </w:rPr>
        <w:tab/>
        <w:t>Presidente del Grupo Asesor d</w:t>
      </w:r>
      <w:r>
        <w:rPr>
          <w:rFonts w:asciiTheme="minorHAnsi" w:hAnsiTheme="minorHAnsi" w:cstheme="minorHAnsi"/>
          <w:szCs w:val="24"/>
          <w:lang w:val="es-ES"/>
        </w:rPr>
        <w:t>e Radiocomunicaciones</w:t>
      </w:r>
      <w:r>
        <w:rPr>
          <w:rFonts w:asciiTheme="minorHAnsi" w:hAnsiTheme="minorHAnsi" w:cstheme="minorHAnsi"/>
          <w:szCs w:val="24"/>
          <w:lang w:val="es-ES"/>
        </w:rPr>
        <w:br/>
      </w:r>
      <w:r w:rsidRPr="0097021A">
        <w:rPr>
          <w:rFonts w:asciiTheme="minorHAnsi" w:hAnsiTheme="minorHAnsi" w:cstheme="minorHAnsi"/>
          <w:szCs w:val="24"/>
          <w:lang w:val="es-ES"/>
        </w:rPr>
        <w:tab/>
      </w:r>
      <w:hyperlink r:id="rId14" w:history="1">
        <w:r w:rsidRPr="0097021A">
          <w:rPr>
            <w:rStyle w:val="Hyperlink"/>
            <w:rFonts w:asciiTheme="minorHAnsi" w:hAnsiTheme="minorHAnsi" w:cstheme="minorHAnsi"/>
            <w:szCs w:val="24"/>
            <w:lang w:val="es-ES"/>
          </w:rPr>
          <w:t>mjnoobi@cst.gov.sa</w:t>
        </w:r>
      </w:hyperlink>
    </w:p>
    <w:sectPr w:rsidR="007C1EE9" w:rsidRPr="0033029C" w:rsidSect="00D316C8">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CE81" w14:textId="77777777" w:rsidR="007C1EE9" w:rsidRDefault="007C1EE9">
      <w:r>
        <w:separator/>
      </w:r>
    </w:p>
  </w:endnote>
  <w:endnote w:type="continuationSeparator" w:id="0">
    <w:p w14:paraId="60BD5A04" w14:textId="77777777" w:rsidR="007C1EE9" w:rsidRDefault="007C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B714" w14:textId="77777777" w:rsidR="0082526C" w:rsidRDefault="00825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5407" w14:textId="77777777" w:rsidR="0082526C" w:rsidRDefault="00825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944"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r w:rsidRPr="00353E34">
      <w:fldChar w:fldCharType="begin"/>
    </w:r>
    <w:r w:rsidRPr="00353E34">
      <w:rPr>
        <w:sz w:val="19"/>
        <w:szCs w:val="19"/>
        <w:lang w:val="es-ES"/>
        <w:rPrChange w:id="1" w:author="Fernandez Jimenez, Virginia" w:date="2022-10-18T15:06:00Z">
          <w:rPr/>
        </w:rPrChange>
      </w:rPr>
      <w:instrText xml:space="preserve"> HYPERLINK "http://www.itu.int" </w:instrText>
    </w:r>
    <w:r w:rsidRPr="00353E34">
      <w:fldChar w:fldCharType="separate"/>
    </w:r>
    <w:r w:rsidRPr="00353E34">
      <w:rPr>
        <w:rStyle w:val="Hyperlink"/>
        <w:sz w:val="19"/>
        <w:szCs w:val="19"/>
        <w:lang w:val="es-ES"/>
      </w:rPr>
      <w:t>www.itu.int</w:t>
    </w:r>
    <w:r w:rsidRPr="00353E34">
      <w:rPr>
        <w:rStyle w:val="Hyperlink"/>
        <w:sz w:val="19"/>
        <w:szCs w:val="19"/>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D62E" w14:textId="77777777" w:rsidR="007C1EE9" w:rsidRDefault="007C1EE9">
      <w:r>
        <w:t>____________________</w:t>
      </w:r>
    </w:p>
  </w:footnote>
  <w:footnote w:type="continuationSeparator" w:id="0">
    <w:p w14:paraId="7F7BC2D4" w14:textId="77777777" w:rsidR="007C1EE9" w:rsidRDefault="007C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50AE5"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0134" w14:textId="77777777" w:rsidR="00D316C8" w:rsidRPr="00D239B4" w:rsidRDefault="00D316C8" w:rsidP="00D316C8">
    <w:pPr>
      <w:pStyle w:val="Header"/>
      <w:jc w:val="center"/>
      <w:rPr>
        <w:sz w:val="18"/>
        <w:szCs w:val="16"/>
      </w:rPr>
    </w:pP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sz w:val="18"/>
        <w:szCs w:val="16"/>
      </w:rPr>
      <w:t>2</w:t>
    </w:r>
    <w:r w:rsidRPr="00D239B4">
      <w:rPr>
        <w:rStyle w:val="PageNumbe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5ACB33FD" w14:textId="77777777" w:rsidTr="002A3F03">
      <w:tc>
        <w:tcPr>
          <w:tcW w:w="9862" w:type="dxa"/>
          <w:tcMar>
            <w:left w:w="0" w:type="dxa"/>
          </w:tcMar>
        </w:tcPr>
        <w:p w14:paraId="47BA8D4A"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57E63D28" wp14:editId="36C512AE">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09649A0"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89412F9"/>
    <w:multiLevelType w:val="hybridMultilevel"/>
    <w:tmpl w:val="40C2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777C30D1"/>
    <w:multiLevelType w:val="hybridMultilevel"/>
    <w:tmpl w:val="FBB4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6"/>
  </w:num>
  <w:num w:numId="3" w16cid:durableId="1721006763">
    <w:abstractNumId w:val="7"/>
  </w:num>
  <w:num w:numId="4" w16cid:durableId="11172148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09C1"/>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5DB8"/>
    <w:rsid w:val="00782354"/>
    <w:rsid w:val="007921A7"/>
    <w:rsid w:val="007B3DB1"/>
    <w:rsid w:val="007C1EE9"/>
    <w:rsid w:val="007D183E"/>
    <w:rsid w:val="007D43D0"/>
    <w:rsid w:val="007E1833"/>
    <w:rsid w:val="007E3F13"/>
    <w:rsid w:val="007F751A"/>
    <w:rsid w:val="00800012"/>
    <w:rsid w:val="0080261F"/>
    <w:rsid w:val="00805A02"/>
    <w:rsid w:val="00806160"/>
    <w:rsid w:val="008143A4"/>
    <w:rsid w:val="0081513E"/>
    <w:rsid w:val="0082526C"/>
    <w:rsid w:val="00844848"/>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0503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u.int/rag" TargetMode="External"/><Relationship Id="rId13" Type="http://schemas.openxmlformats.org/officeDocument/2006/relationships/hyperlink" Target="mailto:diana.tomimura@itu.i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u.int/ra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download"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itu.int/en/events/Pages/Geneva-schedule.aspx?sector=ITU-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brrag@itu.int" TargetMode="External"/><Relationship Id="rId14" Type="http://schemas.openxmlformats.org/officeDocument/2006/relationships/hyperlink" Target="mailto:mjnoobi@cst.gov.sa" TargetMode="External"/><Relationship Id="rId22"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782</Words>
  <Characters>4620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5392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Spanish</cp:lastModifiedBy>
  <cp:revision>4</cp:revision>
  <cp:lastPrinted>2013-03-08T10:15:00Z</cp:lastPrinted>
  <dcterms:created xsi:type="dcterms:W3CDTF">2026-01-21T15:18:00Z</dcterms:created>
  <dcterms:modified xsi:type="dcterms:W3CDTF">2026-01-21T16:32:00Z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