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49291B" w14:paraId="6ACA6A86" w14:textId="77777777" w:rsidTr="00306452">
        <w:trPr>
          <w:jc w:val="center"/>
        </w:trPr>
        <w:tc>
          <w:tcPr>
            <w:tcW w:w="9889" w:type="dxa"/>
            <w:gridSpan w:val="3"/>
          </w:tcPr>
          <w:p w14:paraId="16F88DD1" w14:textId="77777777" w:rsidR="00E53DCE" w:rsidRPr="0049291B" w:rsidRDefault="00A96D3A" w:rsidP="006160CB">
            <w:pPr>
              <w:spacing w:before="0"/>
              <w:jc w:val="left"/>
              <w:rPr>
                <w:rFonts w:cstheme="minorHAnsi"/>
                <w:b/>
                <w:bCs/>
                <w:color w:val="808080"/>
                <w:sz w:val="28"/>
                <w:szCs w:val="28"/>
                <w:lang w:val="es-ES"/>
              </w:rPr>
            </w:pPr>
            <w:r w:rsidRPr="0049291B">
              <w:rPr>
                <w:rFonts w:cstheme="minorHAnsi"/>
                <w:b/>
                <w:bCs/>
                <w:color w:val="808080"/>
                <w:sz w:val="28"/>
                <w:szCs w:val="28"/>
                <w:lang w:val="es-ES"/>
              </w:rPr>
              <w:t>Oficina de Radiocomunicaciones (BR)</w:t>
            </w:r>
          </w:p>
          <w:p w14:paraId="58653E8D" w14:textId="77777777" w:rsidR="00E53DCE" w:rsidRPr="0049291B" w:rsidRDefault="00E53DCE" w:rsidP="006160CB">
            <w:pPr>
              <w:spacing w:before="0"/>
              <w:jc w:val="left"/>
              <w:rPr>
                <w:rFonts w:cstheme="minorHAnsi"/>
                <w:b/>
                <w:bCs/>
                <w:color w:val="808080"/>
                <w:sz w:val="28"/>
                <w:szCs w:val="28"/>
                <w:lang w:val="es-ES"/>
              </w:rPr>
            </w:pPr>
          </w:p>
          <w:p w14:paraId="3F1D86D5" w14:textId="77777777" w:rsidR="00E53DCE" w:rsidRPr="0049291B" w:rsidRDefault="00E53DCE" w:rsidP="006160CB">
            <w:pPr>
              <w:spacing w:before="0"/>
              <w:jc w:val="left"/>
              <w:rPr>
                <w:rFonts w:cs="Times New Roman Bold"/>
                <w:b/>
                <w:bCs/>
                <w:color w:val="808080"/>
                <w:sz w:val="28"/>
                <w:szCs w:val="28"/>
                <w:lang w:val="es-ES"/>
              </w:rPr>
            </w:pPr>
          </w:p>
        </w:tc>
      </w:tr>
      <w:tr w:rsidR="00E53DCE" w:rsidRPr="0049291B" w14:paraId="62A60443" w14:textId="77777777" w:rsidTr="00306452">
        <w:trPr>
          <w:jc w:val="center"/>
        </w:trPr>
        <w:tc>
          <w:tcPr>
            <w:tcW w:w="7054" w:type="dxa"/>
            <w:gridSpan w:val="2"/>
          </w:tcPr>
          <w:p w14:paraId="72658C04" w14:textId="6AB6197B" w:rsidR="00E53DCE" w:rsidRPr="0049291B" w:rsidRDefault="00A96D3A" w:rsidP="006160CB">
            <w:pPr>
              <w:spacing w:before="0"/>
              <w:jc w:val="left"/>
              <w:rPr>
                <w:szCs w:val="24"/>
                <w:lang w:val="es-ES"/>
              </w:rPr>
            </w:pPr>
            <w:r w:rsidRPr="0049291B">
              <w:rPr>
                <w:szCs w:val="24"/>
                <w:lang w:val="es-ES"/>
              </w:rPr>
              <w:t>Circular Administrativa</w:t>
            </w:r>
          </w:p>
          <w:p w14:paraId="3CB960AD" w14:textId="2969F3E0" w:rsidR="00E53DCE" w:rsidRPr="0049291B" w:rsidRDefault="001B3D4D" w:rsidP="006160CB">
            <w:pPr>
              <w:spacing w:before="0"/>
              <w:jc w:val="left"/>
              <w:rPr>
                <w:b/>
                <w:bCs/>
                <w:szCs w:val="24"/>
                <w:lang w:val="es-ES"/>
              </w:rPr>
            </w:pPr>
            <w:r w:rsidRPr="0049291B">
              <w:rPr>
                <w:b/>
                <w:bCs/>
                <w:szCs w:val="24"/>
                <w:lang w:val="es-ES"/>
              </w:rPr>
              <w:t>CA/</w:t>
            </w:r>
            <w:r w:rsidR="00570A4C" w:rsidRPr="0049291B">
              <w:rPr>
                <w:b/>
                <w:bCs/>
                <w:szCs w:val="24"/>
                <w:lang w:val="es-ES"/>
              </w:rPr>
              <w:t>279</w:t>
            </w:r>
          </w:p>
        </w:tc>
        <w:tc>
          <w:tcPr>
            <w:tcW w:w="2835" w:type="dxa"/>
          </w:tcPr>
          <w:p w14:paraId="2EBEA3FE" w14:textId="4283BEC1" w:rsidR="00E53DCE" w:rsidRPr="0049291B" w:rsidRDefault="00570A4C" w:rsidP="006160CB">
            <w:pPr>
              <w:spacing w:before="0"/>
              <w:jc w:val="right"/>
              <w:rPr>
                <w:szCs w:val="24"/>
                <w:lang w:val="es-ES"/>
              </w:rPr>
            </w:pPr>
            <w:r w:rsidRPr="0049291B">
              <w:rPr>
                <w:bCs/>
                <w:szCs w:val="24"/>
                <w:lang w:val="es-ES"/>
              </w:rPr>
              <w:t>30 de octubre de 2025</w:t>
            </w:r>
          </w:p>
        </w:tc>
      </w:tr>
      <w:tr w:rsidR="00E53DCE" w:rsidRPr="0049291B" w14:paraId="5E74B5BD" w14:textId="77777777" w:rsidTr="00306452">
        <w:trPr>
          <w:jc w:val="center"/>
        </w:trPr>
        <w:tc>
          <w:tcPr>
            <w:tcW w:w="9889" w:type="dxa"/>
            <w:gridSpan w:val="3"/>
          </w:tcPr>
          <w:p w14:paraId="15FE7900" w14:textId="77777777" w:rsidR="00E53DCE" w:rsidRPr="0049291B" w:rsidRDefault="00E53DCE" w:rsidP="006160CB">
            <w:pPr>
              <w:spacing w:before="0"/>
              <w:jc w:val="left"/>
              <w:rPr>
                <w:rFonts w:cs="Arial"/>
                <w:szCs w:val="24"/>
                <w:lang w:val="es-ES"/>
              </w:rPr>
            </w:pPr>
          </w:p>
        </w:tc>
      </w:tr>
      <w:tr w:rsidR="00E53DCE" w:rsidRPr="0049291B" w14:paraId="73841D4F" w14:textId="77777777" w:rsidTr="00306452">
        <w:trPr>
          <w:jc w:val="center"/>
        </w:trPr>
        <w:tc>
          <w:tcPr>
            <w:tcW w:w="9889" w:type="dxa"/>
            <w:gridSpan w:val="3"/>
          </w:tcPr>
          <w:p w14:paraId="3E6CEB1A" w14:textId="77777777" w:rsidR="00E53DCE" w:rsidRPr="0049291B" w:rsidRDefault="00E53DCE" w:rsidP="006160CB">
            <w:pPr>
              <w:spacing w:before="0"/>
              <w:jc w:val="left"/>
              <w:rPr>
                <w:szCs w:val="24"/>
                <w:lang w:val="es-ES"/>
              </w:rPr>
            </w:pPr>
          </w:p>
        </w:tc>
      </w:tr>
      <w:tr w:rsidR="00E53DCE" w:rsidRPr="0049291B" w14:paraId="06B8A844" w14:textId="77777777" w:rsidTr="00306452">
        <w:trPr>
          <w:jc w:val="center"/>
        </w:trPr>
        <w:tc>
          <w:tcPr>
            <w:tcW w:w="9889" w:type="dxa"/>
            <w:gridSpan w:val="3"/>
          </w:tcPr>
          <w:p w14:paraId="7ECFD8AF" w14:textId="77777777" w:rsidR="00E53DCE" w:rsidRPr="0049291B" w:rsidRDefault="00E53DCE" w:rsidP="006160CB">
            <w:pPr>
              <w:spacing w:before="0"/>
              <w:jc w:val="left"/>
              <w:rPr>
                <w:b/>
                <w:bCs/>
                <w:szCs w:val="24"/>
                <w:lang w:val="es-ES"/>
              </w:rPr>
            </w:pPr>
          </w:p>
        </w:tc>
      </w:tr>
      <w:tr w:rsidR="00E53DCE" w:rsidRPr="0049291B" w14:paraId="49A28501" w14:textId="77777777" w:rsidTr="00306452">
        <w:trPr>
          <w:jc w:val="center"/>
        </w:trPr>
        <w:tc>
          <w:tcPr>
            <w:tcW w:w="9889" w:type="dxa"/>
            <w:gridSpan w:val="3"/>
          </w:tcPr>
          <w:p w14:paraId="751BE163" w14:textId="77777777" w:rsidR="00E53DCE" w:rsidRPr="0049291B" w:rsidRDefault="00E53DCE" w:rsidP="006160CB">
            <w:pPr>
              <w:spacing w:before="0"/>
              <w:jc w:val="left"/>
              <w:rPr>
                <w:szCs w:val="24"/>
                <w:lang w:val="es-ES"/>
              </w:rPr>
            </w:pPr>
          </w:p>
        </w:tc>
      </w:tr>
      <w:tr w:rsidR="00E53DCE" w:rsidRPr="0049291B" w14:paraId="673F6B0A" w14:textId="77777777" w:rsidTr="00306452">
        <w:trPr>
          <w:jc w:val="center"/>
        </w:trPr>
        <w:tc>
          <w:tcPr>
            <w:tcW w:w="9889" w:type="dxa"/>
            <w:gridSpan w:val="3"/>
          </w:tcPr>
          <w:p w14:paraId="7AD562E2" w14:textId="77777777" w:rsidR="00E53DCE" w:rsidRPr="0049291B" w:rsidRDefault="00E53DCE" w:rsidP="006160CB">
            <w:pPr>
              <w:spacing w:before="0"/>
              <w:jc w:val="left"/>
              <w:rPr>
                <w:szCs w:val="24"/>
                <w:lang w:val="es-ES"/>
              </w:rPr>
            </w:pPr>
          </w:p>
        </w:tc>
      </w:tr>
      <w:tr w:rsidR="00E53DCE" w:rsidRPr="00BA2D6D" w14:paraId="557AE504" w14:textId="77777777" w:rsidTr="00306452">
        <w:trPr>
          <w:jc w:val="center"/>
        </w:trPr>
        <w:tc>
          <w:tcPr>
            <w:tcW w:w="1526" w:type="dxa"/>
          </w:tcPr>
          <w:p w14:paraId="06FA510D" w14:textId="77777777" w:rsidR="00E53DCE" w:rsidRPr="0049291B" w:rsidRDefault="00311970" w:rsidP="006160CB">
            <w:pPr>
              <w:tabs>
                <w:tab w:val="clear" w:pos="1588"/>
                <w:tab w:val="left" w:pos="1560"/>
              </w:tabs>
              <w:spacing w:before="0"/>
              <w:jc w:val="left"/>
              <w:rPr>
                <w:szCs w:val="24"/>
                <w:lang w:val="es-ES"/>
              </w:rPr>
            </w:pPr>
            <w:r w:rsidRPr="0049291B">
              <w:rPr>
                <w:szCs w:val="24"/>
                <w:lang w:val="es-ES"/>
              </w:rPr>
              <w:t>Asunto:</w:t>
            </w:r>
          </w:p>
        </w:tc>
        <w:tc>
          <w:tcPr>
            <w:tcW w:w="8363" w:type="dxa"/>
            <w:gridSpan w:val="2"/>
            <w:vMerge w:val="restart"/>
          </w:tcPr>
          <w:p w14:paraId="4C042136" w14:textId="3D23ED99" w:rsidR="00E53DCE" w:rsidRPr="0049291B" w:rsidRDefault="00570A4C" w:rsidP="002A3F03">
            <w:pPr>
              <w:tabs>
                <w:tab w:val="clear" w:pos="1588"/>
                <w:tab w:val="left" w:pos="1560"/>
              </w:tabs>
              <w:spacing w:before="0" w:after="120"/>
              <w:rPr>
                <w:b/>
                <w:bCs/>
                <w:szCs w:val="24"/>
                <w:lang w:val="es-ES"/>
              </w:rPr>
            </w:pPr>
            <w:r w:rsidRPr="0049291B">
              <w:rPr>
                <w:b/>
                <w:bCs/>
                <w:color w:val="000000"/>
                <w:lang w:val="es-ES"/>
              </w:rPr>
              <w:t xml:space="preserve">Sesión especial del Grupo Asesor de Radiocomunicaciones (GAR) para examinar la contribución del Grupo por Correspondencia (GC) del GAR sobre el Plan Estratégico de la UIT 2028-2031, 9 de diciembre de 2025, </w:t>
            </w:r>
            <w:r w:rsidR="00522C29" w:rsidRPr="0049291B">
              <w:rPr>
                <w:b/>
                <w:bCs/>
                <w:color w:val="000000"/>
                <w:lang w:val="es-ES"/>
              </w:rPr>
              <w:t xml:space="preserve">de </w:t>
            </w:r>
            <w:r w:rsidRPr="0049291B">
              <w:rPr>
                <w:b/>
                <w:bCs/>
                <w:color w:val="000000"/>
                <w:lang w:val="es-ES"/>
              </w:rPr>
              <w:t>13.00 a 16.00 horas (CET)</w:t>
            </w:r>
          </w:p>
        </w:tc>
      </w:tr>
      <w:tr w:rsidR="00E53DCE" w:rsidRPr="00BA2D6D" w14:paraId="72BED255" w14:textId="77777777" w:rsidTr="00306452">
        <w:trPr>
          <w:jc w:val="center"/>
        </w:trPr>
        <w:tc>
          <w:tcPr>
            <w:tcW w:w="1526" w:type="dxa"/>
          </w:tcPr>
          <w:p w14:paraId="66B0A078" w14:textId="77777777" w:rsidR="00E53DCE" w:rsidRPr="0049291B" w:rsidRDefault="00E53DCE" w:rsidP="006160CB">
            <w:pPr>
              <w:tabs>
                <w:tab w:val="clear" w:pos="1588"/>
                <w:tab w:val="left" w:pos="1560"/>
              </w:tabs>
              <w:spacing w:before="0"/>
              <w:jc w:val="left"/>
              <w:rPr>
                <w:b/>
                <w:bCs/>
                <w:szCs w:val="24"/>
                <w:lang w:val="es-ES"/>
              </w:rPr>
            </w:pPr>
          </w:p>
        </w:tc>
        <w:tc>
          <w:tcPr>
            <w:tcW w:w="8363" w:type="dxa"/>
            <w:gridSpan w:val="2"/>
            <w:vMerge/>
          </w:tcPr>
          <w:p w14:paraId="21090984" w14:textId="77777777" w:rsidR="00E53DCE" w:rsidRPr="0049291B" w:rsidRDefault="00E53DCE" w:rsidP="006160CB">
            <w:pPr>
              <w:tabs>
                <w:tab w:val="clear" w:pos="1588"/>
                <w:tab w:val="left" w:pos="1560"/>
              </w:tabs>
              <w:spacing w:before="0"/>
              <w:rPr>
                <w:b/>
                <w:bCs/>
                <w:szCs w:val="24"/>
                <w:lang w:val="es-ES"/>
              </w:rPr>
            </w:pPr>
          </w:p>
        </w:tc>
      </w:tr>
      <w:tr w:rsidR="00E53DCE" w:rsidRPr="00BA2D6D" w14:paraId="7128AE14" w14:textId="77777777" w:rsidTr="00306452">
        <w:trPr>
          <w:jc w:val="center"/>
        </w:trPr>
        <w:tc>
          <w:tcPr>
            <w:tcW w:w="1526" w:type="dxa"/>
          </w:tcPr>
          <w:p w14:paraId="1D980EBA" w14:textId="77777777" w:rsidR="00E53DCE" w:rsidRPr="0049291B" w:rsidRDefault="00E53DCE" w:rsidP="006160CB">
            <w:pPr>
              <w:tabs>
                <w:tab w:val="clear" w:pos="1588"/>
                <w:tab w:val="left" w:pos="1560"/>
              </w:tabs>
              <w:spacing w:before="0"/>
              <w:jc w:val="left"/>
              <w:rPr>
                <w:b/>
                <w:bCs/>
                <w:szCs w:val="24"/>
                <w:lang w:val="es-ES"/>
              </w:rPr>
            </w:pPr>
          </w:p>
        </w:tc>
        <w:tc>
          <w:tcPr>
            <w:tcW w:w="8363" w:type="dxa"/>
            <w:gridSpan w:val="2"/>
            <w:vMerge/>
          </w:tcPr>
          <w:p w14:paraId="6D79B52F" w14:textId="77777777" w:rsidR="00E53DCE" w:rsidRPr="0049291B" w:rsidRDefault="00E53DCE" w:rsidP="006160CB">
            <w:pPr>
              <w:tabs>
                <w:tab w:val="clear" w:pos="1588"/>
                <w:tab w:val="left" w:pos="1560"/>
              </w:tabs>
              <w:spacing w:before="0"/>
              <w:rPr>
                <w:b/>
                <w:bCs/>
                <w:szCs w:val="24"/>
                <w:lang w:val="es-ES"/>
              </w:rPr>
            </w:pPr>
          </w:p>
        </w:tc>
      </w:tr>
      <w:tr w:rsidR="00E53DCE" w:rsidRPr="00BA2D6D" w14:paraId="00CDA9C3" w14:textId="77777777" w:rsidTr="00306452">
        <w:trPr>
          <w:jc w:val="center"/>
        </w:trPr>
        <w:tc>
          <w:tcPr>
            <w:tcW w:w="9889" w:type="dxa"/>
            <w:gridSpan w:val="3"/>
          </w:tcPr>
          <w:p w14:paraId="40AB2595" w14:textId="77777777" w:rsidR="00E53DCE" w:rsidRPr="0049291B" w:rsidRDefault="00E53DCE" w:rsidP="00E53DCE">
            <w:pPr>
              <w:tabs>
                <w:tab w:val="clear" w:pos="1588"/>
                <w:tab w:val="left" w:pos="1560"/>
              </w:tabs>
              <w:spacing w:before="0"/>
              <w:jc w:val="left"/>
              <w:rPr>
                <w:szCs w:val="24"/>
                <w:lang w:val="es-ES"/>
              </w:rPr>
            </w:pPr>
          </w:p>
        </w:tc>
      </w:tr>
      <w:tr w:rsidR="00E53DCE" w:rsidRPr="00BA2D6D" w14:paraId="404705D9" w14:textId="77777777" w:rsidTr="00306452">
        <w:trPr>
          <w:jc w:val="center"/>
        </w:trPr>
        <w:tc>
          <w:tcPr>
            <w:tcW w:w="9889" w:type="dxa"/>
            <w:gridSpan w:val="3"/>
          </w:tcPr>
          <w:p w14:paraId="6CF64F24" w14:textId="77777777" w:rsidR="00E53DCE" w:rsidRPr="0049291B" w:rsidRDefault="00E53DCE" w:rsidP="006160CB">
            <w:pPr>
              <w:spacing w:before="0"/>
              <w:jc w:val="left"/>
              <w:rPr>
                <w:b/>
                <w:bCs/>
                <w:szCs w:val="24"/>
                <w:lang w:val="es-ES"/>
              </w:rPr>
            </w:pPr>
          </w:p>
        </w:tc>
      </w:tr>
    </w:tbl>
    <w:p w14:paraId="7FB83F41" w14:textId="2A674C59" w:rsidR="00E53DCE" w:rsidRPr="0049291B" w:rsidRDefault="00F62D5B" w:rsidP="00E53DCE">
      <w:pPr>
        <w:rPr>
          <w:szCs w:val="24"/>
          <w:lang w:val="es-ES"/>
        </w:rPr>
      </w:pPr>
      <w:r w:rsidRPr="0049291B">
        <w:rPr>
          <w:szCs w:val="24"/>
          <w:lang w:val="es-ES"/>
        </w:rPr>
        <w:t>De conformidad con el resumen de conclusiones de la trigésima segunda reunión del GAR (véase la Carta</w:t>
      </w:r>
      <w:r w:rsidR="0046018E">
        <w:rPr>
          <w:szCs w:val="24"/>
          <w:lang w:val="es-ES"/>
        </w:rPr>
        <w:t> </w:t>
      </w:r>
      <w:r w:rsidRPr="0049291B">
        <w:rPr>
          <w:szCs w:val="24"/>
          <w:lang w:val="es-ES"/>
        </w:rPr>
        <w:t xml:space="preserve">Circular </w:t>
      </w:r>
      <w:r>
        <w:fldChar w:fldCharType="begin"/>
      </w:r>
      <w:r w:rsidRPr="00BA2D6D">
        <w:rPr>
          <w:lang w:val="es-ES"/>
        </w:rPr>
        <w:instrText>HYPERLINK "https://www.itu.int/md/R00-CA-CIR-0277/es"</w:instrText>
      </w:r>
      <w:r>
        <w:fldChar w:fldCharType="separate"/>
      </w:r>
      <w:r w:rsidRPr="0049291B">
        <w:rPr>
          <w:rStyle w:val="Hyperlink"/>
          <w:szCs w:val="24"/>
          <w:lang w:val="es-ES"/>
        </w:rPr>
        <w:t>CA/277</w:t>
      </w:r>
      <w:r>
        <w:fldChar w:fldCharType="end"/>
      </w:r>
      <w:r w:rsidRPr="0049291B">
        <w:rPr>
          <w:szCs w:val="24"/>
          <w:lang w:val="es-ES"/>
        </w:rPr>
        <w:t xml:space="preserve"> de la BR):</w:t>
      </w:r>
    </w:p>
    <w:p w14:paraId="6C3F5084" w14:textId="7B46106B" w:rsidR="00F62D5B" w:rsidRPr="0049291B" w:rsidRDefault="00F62D5B" w:rsidP="00F62D5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Pr>
          <w:rFonts w:asciiTheme="minorHAnsi" w:hAnsiTheme="minorHAnsi" w:cstheme="minorHAnsi"/>
          <w:i/>
          <w:iCs/>
          <w:szCs w:val="24"/>
          <w:lang w:val="es-ES"/>
        </w:rPr>
      </w:pPr>
      <w:r w:rsidRPr="0049291B">
        <w:rPr>
          <w:i/>
          <w:iCs/>
          <w:lang w:val="es-ES"/>
        </w:rPr>
        <w:t>El GAR reconoció la importancia de que el Grupo Asesor contribuyera a la redacción del proyecto del Plan Estratégico de la UIT para el periodo 2028-2031.</w:t>
      </w:r>
    </w:p>
    <w:p w14:paraId="535CA985" w14:textId="3A26BDA4" w:rsidR="00F62D5B" w:rsidRPr="0049291B" w:rsidRDefault="00F62D5B" w:rsidP="00F62D5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Pr>
          <w:rFonts w:asciiTheme="minorHAnsi" w:hAnsiTheme="minorHAnsi" w:cstheme="minorHAnsi"/>
          <w:i/>
          <w:iCs/>
          <w:szCs w:val="24"/>
          <w:lang w:val="es-ES"/>
        </w:rPr>
      </w:pPr>
      <w:r w:rsidRPr="0049291B">
        <w:rPr>
          <w:i/>
          <w:iCs/>
          <w:lang w:val="es-ES"/>
        </w:rPr>
        <w:t>El GAR acordó la creación de un Grupo por Correspondencia (GC) sobre el Plan Estratégico de la UIT para 2028-2031 cuyo mandato figura en el Anexo 1 al presente documento.</w:t>
      </w:r>
    </w:p>
    <w:p w14:paraId="0B708B50" w14:textId="34B91D06" w:rsidR="00F62D5B" w:rsidRPr="0049291B" w:rsidRDefault="00F62D5B" w:rsidP="00F62D5B">
      <w:pPr>
        <w:rPr>
          <w:color w:val="000000"/>
          <w:szCs w:val="24"/>
          <w:lang w:val="es-ES"/>
        </w:rPr>
      </w:pPr>
      <w:r w:rsidRPr="0049291B">
        <w:rPr>
          <w:lang w:val="es-ES"/>
        </w:rPr>
        <w:t>El Grupo por Correspondencia (GC) del GAR sobre el Plan Estratégico de la UIT para 2028</w:t>
      </w:r>
      <w:r w:rsidR="0046018E">
        <w:rPr>
          <w:lang w:val="es-ES"/>
        </w:rPr>
        <w:noBreakHyphen/>
      </w:r>
      <w:r w:rsidRPr="0049291B">
        <w:rPr>
          <w:lang w:val="es-ES"/>
        </w:rPr>
        <w:t>2031</w:t>
      </w:r>
      <w:r w:rsidR="00B322AA" w:rsidRPr="0049291B">
        <w:rPr>
          <w:rStyle w:val="FootnoteReference"/>
          <w:lang w:val="es-ES"/>
        </w:rPr>
        <w:footnoteReference w:id="1"/>
      </w:r>
      <w:r w:rsidRPr="0049291B">
        <w:rPr>
          <w:lang w:val="es-ES"/>
        </w:rPr>
        <w:t xml:space="preserve"> presentará a la Sesión Especial del GAR un proyecto de contribución para el 4.º Grupo de Trabajo del Consejo sobre los Planes Estratégico y Financiero de la UIT para 2028-2031 (GTC-PEF), previsto para enero de 2026.</w:t>
      </w:r>
    </w:p>
    <w:p w14:paraId="779D45B7" w14:textId="1677394B" w:rsidR="00F62D5B" w:rsidRPr="0049291B" w:rsidRDefault="00F62D5B" w:rsidP="00F62D5B">
      <w:pPr>
        <w:rPr>
          <w:lang w:val="es-ES"/>
        </w:rPr>
      </w:pPr>
      <w:r w:rsidRPr="0049291B">
        <w:rPr>
          <w:lang w:val="es-ES"/>
        </w:rPr>
        <w:t>El Grupo por Correspondencia (GC) del GAR sobre el Plan Estratégico de la UIT 2028-2031 ha preparado un proyecto de contribución para su consideración por la Sesión Especial del GAR. El GAR examinará y revisará este proyecto de contribución antes de presentarlo a la 4</w:t>
      </w:r>
      <w:r w:rsidR="00522C29" w:rsidRPr="0049291B">
        <w:rPr>
          <w:lang w:val="es-ES"/>
        </w:rPr>
        <w:t>.</w:t>
      </w:r>
      <w:r w:rsidRPr="0049291B">
        <w:rPr>
          <w:lang w:val="es-ES"/>
        </w:rPr>
        <w:t>ª reunión del Grupo de Trabajo del Consejo sobre los Planes Estratégico y Financiero de la UIT para 2028-2031 (GTC</w:t>
      </w:r>
      <w:r w:rsidR="00B322AA" w:rsidRPr="0049291B">
        <w:rPr>
          <w:lang w:val="es-ES"/>
        </w:rPr>
        <w:noBreakHyphen/>
      </w:r>
      <w:r w:rsidRPr="0049291B">
        <w:rPr>
          <w:lang w:val="es-ES"/>
        </w:rPr>
        <w:t>PEF), prevista para enero de 2026.</w:t>
      </w:r>
    </w:p>
    <w:p w14:paraId="67886C86" w14:textId="57E8AB47" w:rsidR="00F62D5B" w:rsidRPr="0049291B" w:rsidRDefault="00F62D5B" w:rsidP="0046018E">
      <w:pPr>
        <w:spacing w:after="240"/>
        <w:rPr>
          <w:rFonts w:asciiTheme="minorHAnsi" w:hAnsiTheme="minorHAnsi" w:cstheme="minorBidi"/>
          <w:szCs w:val="24"/>
          <w:lang w:val="es-ES"/>
        </w:rPr>
      </w:pPr>
      <w:r w:rsidRPr="0049291B">
        <w:rPr>
          <w:lang w:val="es-ES"/>
        </w:rPr>
        <w:t>Por consiguiente, se convocará una reunión virtual del GAR para examinar y finalizar la contribución del GAR al GTC-PEF:</w:t>
      </w:r>
    </w:p>
    <w:tbl>
      <w:tblPr>
        <w:tblW w:w="4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98"/>
        <w:gridCol w:w="1507"/>
        <w:gridCol w:w="1964"/>
        <w:gridCol w:w="1774"/>
        <w:gridCol w:w="1165"/>
      </w:tblGrid>
      <w:tr w:rsidR="00B322AA" w:rsidRPr="0049291B" w14:paraId="5BA9FF1B" w14:textId="77777777" w:rsidTr="00270488">
        <w:trPr>
          <w:jc w:val="center"/>
        </w:trPr>
        <w:tc>
          <w:tcPr>
            <w:tcW w:w="1593" w:type="pct"/>
            <w:vAlign w:val="center"/>
          </w:tcPr>
          <w:p w14:paraId="375D29DD" w14:textId="77777777" w:rsidR="00B322AA" w:rsidRPr="0049291B" w:rsidRDefault="00B322AA" w:rsidP="00B322AA">
            <w:pPr>
              <w:pStyle w:val="Tablehead"/>
              <w:jc w:val="left"/>
              <w:rPr>
                <w:lang w:val="es-ES"/>
              </w:rPr>
            </w:pPr>
            <w:r w:rsidRPr="0049291B">
              <w:rPr>
                <w:lang w:val="es-ES"/>
              </w:rPr>
              <w:t>Reunión</w:t>
            </w:r>
          </w:p>
        </w:tc>
        <w:tc>
          <w:tcPr>
            <w:tcW w:w="801" w:type="pct"/>
            <w:vAlign w:val="center"/>
          </w:tcPr>
          <w:p w14:paraId="0C1BDFD3" w14:textId="77777777" w:rsidR="00B322AA" w:rsidRPr="0049291B" w:rsidRDefault="00B322AA" w:rsidP="00B322AA">
            <w:pPr>
              <w:pStyle w:val="Tablehead"/>
              <w:rPr>
                <w:lang w:val="es-ES"/>
              </w:rPr>
            </w:pPr>
            <w:r w:rsidRPr="0049291B">
              <w:rPr>
                <w:lang w:val="es-ES"/>
              </w:rPr>
              <w:t>Fecha</w:t>
            </w:r>
          </w:p>
        </w:tc>
        <w:tc>
          <w:tcPr>
            <w:tcW w:w="1044" w:type="pct"/>
            <w:vAlign w:val="center"/>
          </w:tcPr>
          <w:p w14:paraId="246661A5" w14:textId="77777777" w:rsidR="00B322AA" w:rsidRPr="0049291B" w:rsidRDefault="00B322AA" w:rsidP="00B322AA">
            <w:pPr>
              <w:pStyle w:val="Tablehead"/>
              <w:rPr>
                <w:lang w:val="es-ES"/>
              </w:rPr>
            </w:pPr>
            <w:r w:rsidRPr="0049291B">
              <w:rPr>
                <w:lang w:val="es-ES"/>
              </w:rPr>
              <w:t>Horario (CET)</w:t>
            </w:r>
          </w:p>
        </w:tc>
        <w:tc>
          <w:tcPr>
            <w:tcW w:w="943" w:type="pct"/>
            <w:vAlign w:val="center"/>
          </w:tcPr>
          <w:p w14:paraId="06BCAF11" w14:textId="77777777" w:rsidR="00B322AA" w:rsidRPr="0049291B" w:rsidRDefault="00B322AA" w:rsidP="00B322AA">
            <w:pPr>
              <w:pStyle w:val="Tablehead"/>
              <w:rPr>
                <w:lang w:val="es-ES"/>
              </w:rPr>
            </w:pPr>
            <w:r w:rsidRPr="0049291B">
              <w:rPr>
                <w:lang w:val="es-ES"/>
              </w:rPr>
              <w:t>Plazo para las contribuciones</w:t>
            </w:r>
          </w:p>
        </w:tc>
        <w:tc>
          <w:tcPr>
            <w:tcW w:w="619" w:type="pct"/>
            <w:vAlign w:val="center"/>
          </w:tcPr>
          <w:p w14:paraId="0F94D487" w14:textId="77777777" w:rsidR="00B322AA" w:rsidRPr="0049291B" w:rsidRDefault="00B322AA" w:rsidP="00B322AA">
            <w:pPr>
              <w:pStyle w:val="Tablehead"/>
              <w:rPr>
                <w:lang w:val="es-ES"/>
              </w:rPr>
            </w:pPr>
            <w:r w:rsidRPr="0049291B">
              <w:rPr>
                <w:lang w:val="es-ES"/>
              </w:rPr>
              <w:t>Formato</w:t>
            </w:r>
          </w:p>
        </w:tc>
      </w:tr>
      <w:tr w:rsidR="00B322AA" w:rsidRPr="0049291B" w14:paraId="752EE12E" w14:textId="77777777" w:rsidTr="00270488">
        <w:trPr>
          <w:jc w:val="center"/>
        </w:trPr>
        <w:tc>
          <w:tcPr>
            <w:tcW w:w="1593" w:type="pct"/>
            <w:vAlign w:val="center"/>
          </w:tcPr>
          <w:p w14:paraId="23AC9443" w14:textId="42E4F735" w:rsidR="00B322AA" w:rsidRPr="0049291B" w:rsidRDefault="00B322AA" w:rsidP="00270488">
            <w:pPr>
              <w:pStyle w:val="Tabletext"/>
              <w:keepLines/>
              <w:rPr>
                <w:rFonts w:asciiTheme="minorHAnsi" w:hAnsiTheme="minorHAnsi" w:cstheme="minorHAnsi"/>
                <w:b/>
                <w:bCs/>
                <w:sz w:val="24"/>
                <w:szCs w:val="24"/>
                <w:lang w:val="es-ES"/>
              </w:rPr>
            </w:pPr>
            <w:r w:rsidRPr="0049291B">
              <w:rPr>
                <w:b/>
                <w:bCs/>
                <w:color w:val="000000"/>
                <w:lang w:val="es-ES"/>
              </w:rPr>
              <w:t>Sesión del GAR para examinar la contribución del GC-GAR al Plan Estratégico de la UIT para 2028</w:t>
            </w:r>
            <w:r w:rsidRPr="0049291B">
              <w:rPr>
                <w:b/>
                <w:bCs/>
                <w:color w:val="000000"/>
                <w:lang w:val="es-ES"/>
              </w:rPr>
              <w:noBreakHyphen/>
              <w:t>2031</w:t>
            </w:r>
          </w:p>
        </w:tc>
        <w:tc>
          <w:tcPr>
            <w:tcW w:w="801" w:type="pct"/>
            <w:vAlign w:val="center"/>
          </w:tcPr>
          <w:p w14:paraId="2EC0A5EF" w14:textId="77777777" w:rsidR="00B322AA" w:rsidRPr="0049291B" w:rsidRDefault="00B322AA" w:rsidP="00270488">
            <w:pPr>
              <w:pStyle w:val="Tabletext"/>
              <w:keepLines/>
              <w:jc w:val="center"/>
              <w:rPr>
                <w:rFonts w:asciiTheme="minorHAnsi" w:hAnsiTheme="minorHAnsi" w:cstheme="minorHAnsi"/>
                <w:bCs/>
                <w:sz w:val="24"/>
                <w:szCs w:val="24"/>
                <w:lang w:val="es-ES"/>
              </w:rPr>
            </w:pPr>
            <w:r w:rsidRPr="0049291B">
              <w:rPr>
                <w:color w:val="000000"/>
                <w:lang w:val="es-ES"/>
              </w:rPr>
              <w:t>9 de diciembre de 2025</w:t>
            </w:r>
          </w:p>
        </w:tc>
        <w:tc>
          <w:tcPr>
            <w:tcW w:w="1044" w:type="pct"/>
            <w:vAlign w:val="center"/>
          </w:tcPr>
          <w:p w14:paraId="2FAA8244" w14:textId="77777777" w:rsidR="00B322AA" w:rsidRPr="0049291B" w:rsidRDefault="00B322AA" w:rsidP="00270488">
            <w:pPr>
              <w:pStyle w:val="Tabletext"/>
              <w:keepLines/>
              <w:jc w:val="center"/>
              <w:rPr>
                <w:rFonts w:asciiTheme="minorHAnsi" w:hAnsiTheme="minorHAnsi" w:cstheme="minorHAnsi"/>
                <w:sz w:val="24"/>
                <w:szCs w:val="24"/>
                <w:lang w:val="es-ES"/>
              </w:rPr>
            </w:pPr>
            <w:r w:rsidRPr="0049291B">
              <w:rPr>
                <w:color w:val="000000"/>
                <w:lang w:val="es-ES"/>
              </w:rPr>
              <w:t>13.00 a 16.00</w:t>
            </w:r>
          </w:p>
        </w:tc>
        <w:tc>
          <w:tcPr>
            <w:tcW w:w="943" w:type="pct"/>
            <w:vAlign w:val="center"/>
          </w:tcPr>
          <w:p w14:paraId="3B542646" w14:textId="2D1DA57E" w:rsidR="00B322AA" w:rsidRPr="0049291B" w:rsidRDefault="00B322AA" w:rsidP="00270488">
            <w:pPr>
              <w:pStyle w:val="Tabletext"/>
              <w:keepLines/>
              <w:jc w:val="center"/>
              <w:rPr>
                <w:rFonts w:asciiTheme="minorHAnsi" w:hAnsiTheme="minorHAnsi" w:cstheme="minorHAnsi"/>
                <w:sz w:val="24"/>
                <w:szCs w:val="24"/>
                <w:lang w:val="es-ES"/>
              </w:rPr>
            </w:pPr>
            <w:r w:rsidRPr="0049291B">
              <w:rPr>
                <w:color w:val="000000"/>
                <w:lang w:val="es-ES"/>
              </w:rPr>
              <w:t xml:space="preserve">25 de noviembre de 2025 </w:t>
            </w:r>
          </w:p>
        </w:tc>
        <w:tc>
          <w:tcPr>
            <w:tcW w:w="619" w:type="pct"/>
            <w:vAlign w:val="center"/>
          </w:tcPr>
          <w:p w14:paraId="264D0E6B" w14:textId="5294DB6C" w:rsidR="00B322AA" w:rsidRPr="0049291B" w:rsidRDefault="00B322AA" w:rsidP="00270488">
            <w:pPr>
              <w:pStyle w:val="Tabletext"/>
              <w:keepLines/>
              <w:jc w:val="center"/>
              <w:rPr>
                <w:rFonts w:asciiTheme="minorHAnsi" w:hAnsiTheme="minorHAnsi" w:cstheme="minorHAnsi"/>
                <w:bCs/>
                <w:sz w:val="24"/>
                <w:szCs w:val="24"/>
                <w:lang w:val="es-ES"/>
              </w:rPr>
            </w:pPr>
            <w:r w:rsidRPr="0049291B">
              <w:rPr>
                <w:color w:val="000000"/>
                <w:lang w:val="es-ES"/>
              </w:rPr>
              <w:t>Virtual</w:t>
            </w:r>
          </w:p>
        </w:tc>
      </w:tr>
    </w:tbl>
    <w:p w14:paraId="3F809713" w14:textId="35D6E8CC" w:rsidR="00B322AA" w:rsidRPr="0049291B" w:rsidRDefault="00B322AA" w:rsidP="00B322AA">
      <w:pPr>
        <w:rPr>
          <w:rFonts w:asciiTheme="minorHAnsi" w:hAnsiTheme="minorHAnsi" w:cstheme="minorHAnsi"/>
          <w:szCs w:val="24"/>
          <w:lang w:val="es-ES"/>
        </w:rPr>
      </w:pPr>
      <w:r w:rsidRPr="0049291B">
        <w:rPr>
          <w:lang w:val="es-ES"/>
        </w:rPr>
        <w:lastRenderedPageBreak/>
        <w:t>Según se estipula en el Artículo 11A del Convenio de la UIT, la participación en el GAR está abierta a representantes de las Administraciones de los Estados Miembros y a representantes de los Miembros de Sector, así como a los Presidentes de las Comisiones de Estudio y otros grupos.</w:t>
      </w:r>
    </w:p>
    <w:p w14:paraId="43307DC8" w14:textId="77777777" w:rsidR="00B322AA" w:rsidRPr="0049291B" w:rsidRDefault="00B322AA" w:rsidP="00B322AA">
      <w:pPr>
        <w:rPr>
          <w:rFonts w:asciiTheme="minorHAnsi" w:hAnsiTheme="minorHAnsi" w:cstheme="minorHAnsi"/>
          <w:szCs w:val="24"/>
          <w:lang w:val="es-ES"/>
        </w:rPr>
      </w:pPr>
      <w:r w:rsidRPr="0049291B">
        <w:rPr>
          <w:lang w:val="es-ES"/>
        </w:rPr>
        <w:t>Las tareas principales del GAR son, entre otras, examinar prioridades, programas, operaciones, temas financieros y estrategias en relación con las Asambleas de Radiocomunicaciones, Comisiones de Estudio y preparativos de Conferencias de Radiocomunicaciones, y todo tema específico que le someta una conferencia de la Unión, una Asamblea de Radiocomunicaciones o el Consejo. El GAR recomienda medidas encaminadas a fomentar la cooperación y la coordinación con otros órganos normativos, con el Sector de Normalización de las Telecomunicaciones, con el Sector de Desarrollo de las Telecomunicaciones y con la Secretaría General.</w:t>
      </w:r>
    </w:p>
    <w:p w14:paraId="36563F3E" w14:textId="10ADAAF6" w:rsidR="00B322AA" w:rsidRPr="0049291B" w:rsidRDefault="00B322AA" w:rsidP="00B322AA">
      <w:pPr>
        <w:rPr>
          <w:rFonts w:asciiTheme="minorHAnsi" w:hAnsiTheme="minorHAnsi" w:cstheme="minorHAnsi"/>
          <w:szCs w:val="24"/>
          <w:lang w:val="es-ES"/>
        </w:rPr>
      </w:pPr>
      <w:r w:rsidRPr="0049291B">
        <w:rPr>
          <w:lang w:val="es-ES"/>
        </w:rPr>
        <w:t xml:space="preserve">En el </w:t>
      </w:r>
      <w:r w:rsidRPr="0049291B">
        <w:rPr>
          <w:b/>
          <w:bCs/>
          <w:lang w:val="es-ES"/>
        </w:rPr>
        <w:t>Anexo</w:t>
      </w:r>
      <w:r w:rsidRPr="0049291B">
        <w:rPr>
          <w:lang w:val="es-ES"/>
        </w:rPr>
        <w:t xml:space="preserve"> figura el proyecto de orden del día preparado en consulta con el Presidente del GAR.</w:t>
      </w:r>
    </w:p>
    <w:p w14:paraId="25C50258" w14:textId="31AB3D95" w:rsidR="00B322AA" w:rsidRPr="0049291B" w:rsidRDefault="00B322AA" w:rsidP="00B322AA">
      <w:pPr>
        <w:rPr>
          <w:rFonts w:asciiTheme="minorHAnsi" w:hAnsiTheme="minorHAnsi" w:cstheme="minorHAnsi"/>
          <w:szCs w:val="24"/>
          <w:lang w:val="es-ES"/>
        </w:rPr>
      </w:pPr>
      <w:r w:rsidRPr="0049291B">
        <w:rPr>
          <w:lang w:val="es-ES"/>
        </w:rPr>
        <w:t xml:space="preserve">Todos los documentos e información administrativa relativos a la próxima reunión del GAR se publicarán en la página web de la UIT en </w:t>
      </w:r>
      <w:hyperlink r:id="rId8" w:anchor="/es" w:history="1">
        <w:r w:rsidR="008C7C95" w:rsidRPr="0049291B">
          <w:rPr>
            <w:rStyle w:val="Hyperlink"/>
            <w:lang w:val="es-ES"/>
          </w:rPr>
          <w:t>https://www.itu.int/rag</w:t>
        </w:r>
      </w:hyperlink>
      <w:r w:rsidR="008C7C95" w:rsidRPr="0049291B">
        <w:rPr>
          <w:lang w:val="es-ES"/>
        </w:rPr>
        <w:t xml:space="preserve"> </w:t>
      </w:r>
      <w:r w:rsidRPr="0049291B">
        <w:rPr>
          <w:lang w:val="es-ES"/>
        </w:rPr>
        <w:t>en cuanto estén disponibles.</w:t>
      </w:r>
      <w:hyperlink r:id="rId9" w:history="1"/>
    </w:p>
    <w:p w14:paraId="11F7B520" w14:textId="77777777" w:rsidR="00B322AA" w:rsidRPr="0049291B" w:rsidRDefault="00B322AA" w:rsidP="00B322AA">
      <w:pPr>
        <w:pStyle w:val="Headingb"/>
        <w:rPr>
          <w:lang w:val="es-ES"/>
        </w:rPr>
      </w:pPr>
      <w:r w:rsidRPr="0049291B">
        <w:rPr>
          <w:lang w:val="es-ES"/>
        </w:rPr>
        <w:t>Contribuciones</w:t>
      </w:r>
    </w:p>
    <w:p w14:paraId="66EC4738" w14:textId="28AE71B7" w:rsidR="00B322AA" w:rsidRPr="0049291B" w:rsidRDefault="00B322AA" w:rsidP="00B322AA">
      <w:pPr>
        <w:tabs>
          <w:tab w:val="clear" w:pos="794"/>
          <w:tab w:val="clear" w:pos="1191"/>
          <w:tab w:val="clear" w:pos="1588"/>
          <w:tab w:val="clear" w:pos="1985"/>
        </w:tabs>
        <w:rPr>
          <w:rFonts w:asciiTheme="minorHAnsi" w:hAnsiTheme="minorHAnsi" w:cstheme="minorHAnsi"/>
          <w:szCs w:val="24"/>
          <w:lang w:val="es-ES"/>
        </w:rPr>
      </w:pPr>
      <w:r w:rsidRPr="0049291B">
        <w:rPr>
          <w:lang w:val="es-ES"/>
        </w:rPr>
        <w:t xml:space="preserve">Las contribuciones deben dirigirse a la Oficina de Radiocomunicaciones (BR) a la dirección </w:t>
      </w:r>
      <w:hyperlink r:id="rId10" w:history="1">
        <w:r w:rsidRPr="0049291B">
          <w:rPr>
            <w:rStyle w:val="Hyperlink"/>
            <w:lang w:val="es-ES"/>
          </w:rPr>
          <w:t>brrag@itu.int</w:t>
        </w:r>
      </w:hyperlink>
      <w:r w:rsidRPr="0049291B">
        <w:rPr>
          <w:lang w:val="es-ES"/>
        </w:rPr>
        <w:t xml:space="preserve">, con copia al Presidente y los Vicepresidentes del GAR (véanse las direcciones de correo electrónico indicadas en la </w:t>
      </w:r>
      <w:hyperlink r:id="rId11" w:history="1">
        <w:r w:rsidRPr="0049291B">
          <w:rPr>
            <w:rStyle w:val="Hyperlink"/>
            <w:lang w:val="es-ES"/>
          </w:rPr>
          <w:t>página web del GAR</w:t>
        </w:r>
      </w:hyperlink>
      <w:r w:rsidRPr="0049291B">
        <w:rPr>
          <w:lang w:val="es-ES"/>
        </w:rPr>
        <w:t>).</w:t>
      </w:r>
      <w:hyperlink r:id="rId12" w:history="1"/>
      <w:hyperlink r:id="rId13" w:history="1"/>
    </w:p>
    <w:p w14:paraId="11750AD6" w14:textId="474D5125" w:rsidR="00B322AA" w:rsidRPr="0049291B" w:rsidRDefault="00B322AA" w:rsidP="00B322AA">
      <w:pPr>
        <w:tabs>
          <w:tab w:val="clear" w:pos="794"/>
          <w:tab w:val="clear" w:pos="1191"/>
          <w:tab w:val="clear" w:pos="1588"/>
          <w:tab w:val="clear" w:pos="1985"/>
        </w:tabs>
        <w:rPr>
          <w:rFonts w:asciiTheme="minorHAnsi" w:hAnsiTheme="minorHAnsi" w:cstheme="minorHAnsi"/>
          <w:szCs w:val="24"/>
          <w:lang w:val="es-ES"/>
        </w:rPr>
      </w:pPr>
      <w:r w:rsidRPr="0049291B">
        <w:rPr>
          <w:lang w:val="es-ES"/>
        </w:rPr>
        <w:t>Para garantizar la traducción de los documentos del GAR en los seis idiomas de la Unión, las contribuciones deben presentarse antes de la fecha límite mencionada en el cuadro anterior. Las contribuciones recibidas después de esa fecha se publicarán únicamente en el idioma original.</w:t>
      </w:r>
    </w:p>
    <w:p w14:paraId="522D5EE6" w14:textId="7C2EE635" w:rsidR="00B322AA" w:rsidRPr="0049291B" w:rsidRDefault="00B322AA" w:rsidP="0049291B">
      <w:pPr>
        <w:pStyle w:val="Headingb"/>
        <w:rPr>
          <w:lang w:val="es-ES"/>
        </w:rPr>
      </w:pPr>
      <w:bookmarkStart w:id="0" w:name="_Hlk52981897"/>
      <w:r w:rsidRPr="0049291B">
        <w:rPr>
          <w:lang w:val="es-ES"/>
        </w:rPr>
        <w:t>Participación a distancia, interpretación y transmisión por la web</w:t>
      </w:r>
    </w:p>
    <w:p w14:paraId="319E8F5F" w14:textId="13F2A0E9" w:rsidR="00B322AA" w:rsidRPr="0049291B" w:rsidRDefault="00B322AA" w:rsidP="00B322AA">
      <w:pPr>
        <w:tabs>
          <w:tab w:val="clear" w:pos="794"/>
          <w:tab w:val="clear" w:pos="1191"/>
          <w:tab w:val="clear" w:pos="1588"/>
          <w:tab w:val="clear" w:pos="1985"/>
        </w:tabs>
        <w:rPr>
          <w:rFonts w:asciiTheme="minorHAnsi" w:hAnsiTheme="minorHAnsi" w:cstheme="minorHAnsi"/>
          <w:szCs w:val="24"/>
          <w:lang w:val="es-ES"/>
        </w:rPr>
      </w:pPr>
      <w:r w:rsidRPr="0049291B">
        <w:rPr>
          <w:lang w:val="es-ES"/>
        </w:rPr>
        <w:t xml:space="preserve">Esta sesión del GAR se llevará a cabo de forma totalmente virtual utilizando la plataforma </w:t>
      </w:r>
      <w:hyperlink r:id="rId14" w:history="1">
        <w:proofErr w:type="gramStart"/>
        <w:r w:rsidRPr="0049291B">
          <w:rPr>
            <w:rStyle w:val="Hyperlink"/>
            <w:lang w:val="es-ES"/>
          </w:rPr>
          <w:t>Zoom</w:t>
        </w:r>
        <w:proofErr w:type="gramEnd"/>
      </w:hyperlink>
      <w:r w:rsidRPr="0049291B">
        <w:rPr>
          <w:lang w:val="es-ES"/>
        </w:rPr>
        <w:t>.</w:t>
      </w:r>
      <w:hyperlink r:id="rId15" w:history="1"/>
    </w:p>
    <w:p w14:paraId="2AEF05FB" w14:textId="77777777" w:rsidR="00B322AA" w:rsidRPr="0049291B" w:rsidRDefault="00B322AA" w:rsidP="00B322AA">
      <w:pPr>
        <w:tabs>
          <w:tab w:val="clear" w:pos="794"/>
          <w:tab w:val="clear" w:pos="1191"/>
          <w:tab w:val="clear" w:pos="1588"/>
          <w:tab w:val="clear" w:pos="1985"/>
        </w:tabs>
        <w:rPr>
          <w:rFonts w:asciiTheme="minorHAnsi" w:hAnsiTheme="minorHAnsi" w:cstheme="minorHAnsi"/>
          <w:szCs w:val="24"/>
          <w:lang w:val="es-ES"/>
        </w:rPr>
      </w:pPr>
      <w:r w:rsidRPr="0049291B">
        <w:rPr>
          <w:lang w:val="es-ES"/>
        </w:rPr>
        <w:t xml:space="preserve">Debido a las limitaciones financieras y a la disponibilidad de intérpretes, se ruega a los </w:t>
      </w:r>
      <w:r w:rsidRPr="0049291B">
        <w:rPr>
          <w:b/>
          <w:bCs/>
          <w:lang w:val="es-ES"/>
        </w:rPr>
        <w:t>Estados Miembros que confirmen antes del 17 de noviembre de 2025</w:t>
      </w:r>
      <w:r w:rsidRPr="0049291B">
        <w:rPr>
          <w:lang w:val="es-ES"/>
        </w:rPr>
        <w:t xml:space="preserve"> la necesidad de interpretación en árabe, chino o español. La interpretación en francés y ruso ya está confirmada para esta reunión.</w:t>
      </w:r>
    </w:p>
    <w:p w14:paraId="2EC53930" w14:textId="5E13CE4E" w:rsidR="00B322AA" w:rsidRPr="0049291B" w:rsidRDefault="00B322AA" w:rsidP="00B322AA">
      <w:pPr>
        <w:tabs>
          <w:tab w:val="clear" w:pos="794"/>
          <w:tab w:val="clear" w:pos="1191"/>
          <w:tab w:val="clear" w:pos="1588"/>
          <w:tab w:val="clear" w:pos="1985"/>
        </w:tabs>
        <w:rPr>
          <w:rFonts w:asciiTheme="minorHAnsi" w:hAnsiTheme="minorHAnsi" w:cstheme="minorHAnsi"/>
          <w:szCs w:val="24"/>
          <w:lang w:val="es-ES"/>
        </w:rPr>
      </w:pPr>
      <w:r w:rsidRPr="0049291B">
        <w:rPr>
          <w:lang w:val="es-ES"/>
        </w:rPr>
        <w:t>Además, la sesión del GAR se transmitirá por Internet y se grabará en los seis idiomas para su visualización durante y después de la reunión, respectivamente. No es necesario inscribirse en la reunión para seguir la transmisión por la web.</w:t>
      </w:r>
    </w:p>
    <w:bookmarkEnd w:id="0"/>
    <w:p w14:paraId="5F2FB975" w14:textId="77777777" w:rsidR="00B322AA" w:rsidRPr="0049291B" w:rsidRDefault="00B322AA" w:rsidP="0049291B">
      <w:pPr>
        <w:pStyle w:val="Headingb"/>
        <w:rPr>
          <w:lang w:val="es-ES"/>
        </w:rPr>
      </w:pPr>
      <w:r w:rsidRPr="0049291B">
        <w:rPr>
          <w:lang w:val="es-ES"/>
        </w:rPr>
        <w:t>Inscripción</w:t>
      </w:r>
    </w:p>
    <w:p w14:paraId="44EAA13C" w14:textId="77777777" w:rsidR="00B322AA" w:rsidRPr="0049291B" w:rsidRDefault="00B322AA" w:rsidP="00B322AA">
      <w:pPr>
        <w:tabs>
          <w:tab w:val="clear" w:pos="794"/>
          <w:tab w:val="clear" w:pos="1191"/>
          <w:tab w:val="clear" w:pos="1588"/>
          <w:tab w:val="clear" w:pos="1985"/>
        </w:tabs>
        <w:rPr>
          <w:rFonts w:asciiTheme="minorHAnsi" w:hAnsiTheme="minorHAnsi" w:cstheme="minorHAnsi"/>
          <w:szCs w:val="24"/>
          <w:lang w:val="es-ES"/>
        </w:rPr>
      </w:pPr>
      <w:r w:rsidRPr="0049291B">
        <w:rPr>
          <w:lang w:val="es-ES"/>
        </w:rPr>
        <w:t xml:space="preserve">La inscripción anticipada es obligatoria y se llevará a cabo exclusivamente en línea. Los participantes deben cumplimentar primero un formulario de inscripción en línea y luego solicitar la aprobación de su inscripción a su coordinador designado (DFP) para la inscripción en eventos del UIT-R. </w:t>
      </w:r>
    </w:p>
    <w:p w14:paraId="78384B91" w14:textId="4CD7EDD2" w:rsidR="00B322AA" w:rsidRPr="0049291B" w:rsidRDefault="00B322AA" w:rsidP="00B322AA">
      <w:pPr>
        <w:tabs>
          <w:tab w:val="clear" w:pos="794"/>
          <w:tab w:val="clear" w:pos="1191"/>
          <w:tab w:val="clear" w:pos="1588"/>
          <w:tab w:val="clear" w:pos="1985"/>
        </w:tabs>
        <w:rPr>
          <w:lang w:val="es-ES"/>
        </w:rPr>
      </w:pPr>
      <w:r w:rsidRPr="0049291B">
        <w:rPr>
          <w:lang w:val="es-ES"/>
        </w:rPr>
        <w:t>Los participantes encontrarán la información necesaria sobre la inscripción de delegados en la página web del GAR.</w:t>
      </w:r>
    </w:p>
    <w:p w14:paraId="12CB5DB8" w14:textId="3D05FC5B" w:rsidR="00B322AA" w:rsidRPr="0049291B" w:rsidRDefault="00B322AA" w:rsidP="00B322AA">
      <w:pPr>
        <w:tabs>
          <w:tab w:val="clear" w:pos="794"/>
          <w:tab w:val="clear" w:pos="1191"/>
          <w:tab w:val="clear" w:pos="1588"/>
          <w:tab w:val="clear" w:pos="1985"/>
        </w:tabs>
        <w:rPr>
          <w:lang w:val="es-ES"/>
        </w:rPr>
      </w:pPr>
      <w:r w:rsidRPr="0049291B">
        <w:rPr>
          <w:lang w:val="es-ES"/>
        </w:rPr>
        <w:br w:type="page"/>
      </w:r>
    </w:p>
    <w:p w14:paraId="144D77AB" w14:textId="3BFED7E0" w:rsidR="00B322AA" w:rsidRPr="0049291B" w:rsidRDefault="00B322AA" w:rsidP="0049291B">
      <w:pPr>
        <w:pStyle w:val="Headingb"/>
        <w:rPr>
          <w:lang w:val="es-ES"/>
        </w:rPr>
      </w:pPr>
      <w:r w:rsidRPr="0049291B">
        <w:rPr>
          <w:lang w:val="es-ES"/>
        </w:rPr>
        <w:lastRenderedPageBreak/>
        <w:t>Información general</w:t>
      </w:r>
    </w:p>
    <w:p w14:paraId="7AF48EBE" w14:textId="27A85D1F" w:rsidR="00B322AA" w:rsidRPr="0049291B" w:rsidRDefault="00B322AA" w:rsidP="00B322AA">
      <w:pPr>
        <w:tabs>
          <w:tab w:val="clear" w:pos="794"/>
          <w:tab w:val="clear" w:pos="1191"/>
          <w:tab w:val="clear" w:pos="1588"/>
          <w:tab w:val="clear" w:pos="1985"/>
        </w:tabs>
        <w:rPr>
          <w:rFonts w:asciiTheme="minorHAnsi" w:hAnsiTheme="minorHAnsi" w:cstheme="minorHAnsi"/>
          <w:szCs w:val="24"/>
          <w:lang w:val="es-ES"/>
        </w:rPr>
      </w:pPr>
      <w:r w:rsidRPr="0049291B">
        <w:rPr>
          <w:lang w:val="es-ES"/>
        </w:rPr>
        <w:t xml:space="preserve">Para más información, sírvase visitar el sitio web del GAR en la dirección </w:t>
      </w:r>
      <w:r w:rsidR="0049291B">
        <w:fldChar w:fldCharType="begin"/>
      </w:r>
      <w:r w:rsidR="0049291B" w:rsidRPr="00BA2D6D">
        <w:rPr>
          <w:lang w:val="it-IT"/>
        </w:rPr>
        <w:instrText>HYPERLINK "https://www.itu.int/rag/" \l "/es"</w:instrText>
      </w:r>
      <w:r w:rsidR="0049291B">
        <w:fldChar w:fldCharType="separate"/>
      </w:r>
      <w:r w:rsidR="0049291B">
        <w:rPr>
          <w:rStyle w:val="Hyperlink"/>
          <w:lang w:val="es-ES"/>
        </w:rPr>
        <w:t>https://www.itu.int/rag</w:t>
      </w:r>
      <w:r w:rsidR="0049291B">
        <w:fldChar w:fldCharType="end"/>
      </w:r>
      <w:r w:rsidRPr="0049291B">
        <w:rPr>
          <w:lang w:val="es-ES"/>
        </w:rPr>
        <w:t>.</w:t>
      </w:r>
      <w:r>
        <w:fldChar w:fldCharType="begin"/>
      </w:r>
      <w:r w:rsidRPr="00BA2D6D">
        <w:rPr>
          <w:lang w:val="it-IT"/>
        </w:rPr>
        <w:instrText>HYPERLINK "https://itu.int/rag"</w:instrText>
      </w:r>
      <w:r>
        <w:fldChar w:fldCharType="separate"/>
      </w:r>
      <w:r>
        <w:fldChar w:fldCharType="end"/>
      </w:r>
    </w:p>
    <w:p w14:paraId="2FC8FF4A" w14:textId="7757BCF3" w:rsidR="00B322AA" w:rsidRPr="0049291B" w:rsidRDefault="00B322AA" w:rsidP="00B322AA">
      <w:pPr>
        <w:tabs>
          <w:tab w:val="clear" w:pos="794"/>
          <w:tab w:val="clear" w:pos="1191"/>
          <w:tab w:val="clear" w:pos="1588"/>
          <w:tab w:val="clear" w:pos="1985"/>
        </w:tabs>
        <w:rPr>
          <w:lang w:val="es-ES"/>
        </w:rPr>
      </w:pPr>
      <w:r w:rsidRPr="0049291B">
        <w:rPr>
          <w:lang w:val="es-ES"/>
        </w:rPr>
        <w:t>La Oficina queda a su disposición para responder a cualquier cuestión relacionada con la presente Circular Administrativa (la persona de contacto en la Oficina de Radiocomunicaciones es la Sra.</w:t>
      </w:r>
      <w:r w:rsidR="0046018E">
        <w:rPr>
          <w:lang w:val="es-ES"/>
        </w:rPr>
        <w:t> </w:t>
      </w:r>
      <w:r w:rsidRPr="0049291B">
        <w:rPr>
          <w:lang w:val="es-ES"/>
        </w:rPr>
        <w:t xml:space="preserve">Diana Tomimura, correo-e: </w:t>
      </w:r>
      <w:r>
        <w:fldChar w:fldCharType="begin"/>
      </w:r>
      <w:r w:rsidRPr="00BA2D6D">
        <w:rPr>
          <w:lang w:val="it-IT"/>
        </w:rPr>
        <w:instrText>HYPERLINK "mailto:diana.tomimura@itu.int"</w:instrText>
      </w:r>
      <w:r>
        <w:fldChar w:fldCharType="separate"/>
      </w:r>
      <w:r w:rsidRPr="0049291B">
        <w:rPr>
          <w:rStyle w:val="Hyperlink"/>
          <w:lang w:val="es-ES"/>
        </w:rPr>
        <w:t>diana.tomimura@itu.int</w:t>
      </w:r>
      <w:r>
        <w:fldChar w:fldCharType="end"/>
      </w:r>
      <w:r w:rsidRPr="0049291B">
        <w:rPr>
          <w:lang w:val="es-ES"/>
        </w:rPr>
        <w:t>).</w:t>
      </w:r>
    </w:p>
    <w:p w14:paraId="13151500" w14:textId="7BF8BE6B" w:rsidR="00B322AA" w:rsidRPr="0049291B" w:rsidRDefault="00B322AA" w:rsidP="00B322AA">
      <w:pPr>
        <w:tabs>
          <w:tab w:val="clear" w:pos="794"/>
          <w:tab w:val="clear" w:pos="1191"/>
          <w:tab w:val="clear" w:pos="1588"/>
          <w:tab w:val="clear" w:pos="1985"/>
        </w:tabs>
        <w:spacing w:before="1200"/>
        <w:jc w:val="left"/>
        <w:rPr>
          <w:rFonts w:asciiTheme="minorHAnsi" w:hAnsiTheme="minorHAnsi" w:cstheme="minorHAnsi"/>
          <w:szCs w:val="24"/>
          <w:lang w:val="es-ES"/>
        </w:rPr>
      </w:pPr>
      <w:r w:rsidRPr="0049291B">
        <w:rPr>
          <w:lang w:val="es-ES"/>
        </w:rPr>
        <w:t>Mario Maniewicz</w:t>
      </w:r>
      <w:r w:rsidRPr="0049291B">
        <w:rPr>
          <w:lang w:val="es-ES"/>
        </w:rPr>
        <w:br/>
      </w:r>
      <w:proofErr w:type="gramStart"/>
      <w:r w:rsidRPr="0049291B">
        <w:rPr>
          <w:lang w:val="es-ES"/>
        </w:rPr>
        <w:t>Director</w:t>
      </w:r>
      <w:proofErr w:type="gramEnd"/>
      <w:r>
        <w:fldChar w:fldCharType="begin"/>
      </w:r>
      <w:r w:rsidRPr="00BA2D6D">
        <w:rPr>
          <w:lang w:val="es-ES"/>
        </w:rPr>
        <w:instrText>HYPERLINK "mailto:diana.tomimura@itu.int"</w:instrText>
      </w:r>
      <w:r>
        <w:fldChar w:fldCharType="separate"/>
      </w:r>
      <w:r>
        <w:fldChar w:fldCharType="end"/>
      </w:r>
    </w:p>
    <w:p w14:paraId="02C9914F" w14:textId="391B2D64" w:rsidR="00D239B4" w:rsidRPr="0049291B" w:rsidRDefault="0022226B" w:rsidP="00BA2D6D">
      <w:pPr>
        <w:spacing w:before="1680" w:line="240" w:lineRule="auto"/>
        <w:jc w:val="left"/>
        <w:rPr>
          <w:rFonts w:asciiTheme="minorHAnsi" w:hAnsiTheme="minorHAnsi" w:cstheme="minorHAnsi"/>
          <w:szCs w:val="24"/>
          <w:lang w:val="es-ES"/>
        </w:rPr>
      </w:pPr>
      <w:r w:rsidRPr="0049291B">
        <w:rPr>
          <w:rFonts w:asciiTheme="minorHAnsi" w:hAnsiTheme="minorHAnsi" w:cstheme="minorHAnsi"/>
          <w:szCs w:val="24"/>
          <w:lang w:val="es-ES"/>
        </w:rPr>
        <w:t>Anexo: 1</w:t>
      </w:r>
    </w:p>
    <w:p w14:paraId="62A9354F" w14:textId="0F203FAC" w:rsidR="0022226B" w:rsidRPr="0049291B" w:rsidRDefault="0022226B" w:rsidP="0022226B">
      <w:pPr>
        <w:rPr>
          <w:lang w:val="es-ES"/>
        </w:rPr>
      </w:pPr>
      <w:r w:rsidRPr="0049291B">
        <w:rPr>
          <w:lang w:val="es-ES"/>
        </w:rPr>
        <w:br w:type="page"/>
      </w:r>
    </w:p>
    <w:p w14:paraId="143D50FB" w14:textId="7AE8C127" w:rsidR="0049291B" w:rsidRDefault="0022226B" w:rsidP="0022226B">
      <w:pPr>
        <w:pStyle w:val="AnnexNoTitle"/>
        <w:rPr>
          <w:lang w:val="es-ES"/>
        </w:rPr>
      </w:pPr>
      <w:r w:rsidRPr="0049291B">
        <w:rPr>
          <w:lang w:val="es-ES"/>
        </w:rPr>
        <w:lastRenderedPageBreak/>
        <w:t>ANEXO</w:t>
      </w:r>
      <w:r w:rsidR="0049291B">
        <w:rPr>
          <w:lang w:val="es-ES"/>
        </w:rPr>
        <w:br/>
      </w:r>
      <w:r w:rsidR="0049291B">
        <w:rPr>
          <w:lang w:val="es-ES"/>
        </w:rPr>
        <w:br/>
      </w:r>
      <w:r w:rsidRPr="0049291B">
        <w:rPr>
          <w:lang w:val="es-ES"/>
        </w:rPr>
        <w:t>Proyecto de orden del día de la Sesión Especial del Grupo Asesor de</w:t>
      </w:r>
      <w:r w:rsidR="0049291B">
        <w:rPr>
          <w:lang w:val="es-ES"/>
        </w:rPr>
        <w:t xml:space="preserve"> </w:t>
      </w:r>
      <w:r w:rsidRPr="0049291B">
        <w:rPr>
          <w:lang w:val="es-ES"/>
        </w:rPr>
        <w:t>Radiocomunicaciones (GAR) para examinar la contribución del Grupo</w:t>
      </w:r>
      <w:r w:rsidR="0049291B">
        <w:rPr>
          <w:lang w:val="es-ES"/>
        </w:rPr>
        <w:t xml:space="preserve"> </w:t>
      </w:r>
      <w:r w:rsidRPr="0049291B">
        <w:rPr>
          <w:lang w:val="es-ES"/>
        </w:rPr>
        <w:t>por Correspondencia (GC)</w:t>
      </w:r>
      <w:r w:rsidR="0049291B">
        <w:rPr>
          <w:lang w:val="es-ES"/>
        </w:rPr>
        <w:t xml:space="preserve"> </w:t>
      </w:r>
      <w:r w:rsidRPr="0049291B">
        <w:rPr>
          <w:lang w:val="es-ES"/>
        </w:rPr>
        <w:t>del GAR sobre</w:t>
      </w:r>
      <w:r w:rsidR="0049291B">
        <w:rPr>
          <w:lang w:val="es-ES"/>
        </w:rPr>
        <w:br/>
      </w:r>
      <w:r w:rsidRPr="0049291B">
        <w:rPr>
          <w:lang w:val="es-ES"/>
        </w:rPr>
        <w:t>el Plan Estratégico</w:t>
      </w:r>
      <w:r w:rsidR="0049291B">
        <w:rPr>
          <w:lang w:val="es-ES"/>
        </w:rPr>
        <w:t xml:space="preserve"> </w:t>
      </w:r>
      <w:r w:rsidRPr="0049291B">
        <w:rPr>
          <w:lang w:val="es-ES"/>
        </w:rPr>
        <w:t>de la UIT para 2028-2031</w:t>
      </w:r>
    </w:p>
    <w:p w14:paraId="63377011" w14:textId="00F679AD" w:rsidR="0022226B" w:rsidRDefault="0022226B" w:rsidP="0049291B">
      <w:pPr>
        <w:jc w:val="center"/>
        <w:rPr>
          <w:b/>
          <w:bCs/>
          <w:lang w:val="es-ES"/>
        </w:rPr>
      </w:pPr>
      <w:r w:rsidRPr="0049291B">
        <w:rPr>
          <w:b/>
          <w:bCs/>
          <w:lang w:val="es-ES"/>
        </w:rPr>
        <w:t xml:space="preserve">9 de diciembre de 2025, </w:t>
      </w:r>
      <w:r w:rsidR="0049291B">
        <w:rPr>
          <w:b/>
          <w:bCs/>
          <w:lang w:val="es-ES"/>
        </w:rPr>
        <w:t xml:space="preserve">de </w:t>
      </w:r>
      <w:r w:rsidRPr="0049291B">
        <w:rPr>
          <w:b/>
          <w:bCs/>
          <w:lang w:val="es-ES"/>
        </w:rPr>
        <w:t>13.00</w:t>
      </w:r>
      <w:r w:rsidR="0049291B">
        <w:rPr>
          <w:b/>
          <w:bCs/>
          <w:lang w:val="es-ES"/>
        </w:rPr>
        <w:t xml:space="preserve"> a </w:t>
      </w:r>
      <w:r w:rsidRPr="0049291B">
        <w:rPr>
          <w:b/>
          <w:bCs/>
          <w:lang w:val="es-ES"/>
        </w:rPr>
        <w:t>16.00 horas</w:t>
      </w:r>
      <w:r w:rsidR="0049291B">
        <w:rPr>
          <w:b/>
          <w:bCs/>
          <w:lang w:val="es-ES"/>
        </w:rPr>
        <w:br/>
      </w:r>
      <w:r w:rsidRPr="0049291B">
        <w:rPr>
          <w:b/>
          <w:bCs/>
          <w:lang w:val="es-ES"/>
        </w:rPr>
        <w:t>(CET) reunión virtual</w:t>
      </w:r>
    </w:p>
    <w:p w14:paraId="6CFC8234" w14:textId="77777777" w:rsidR="0049291B" w:rsidRPr="0049291B" w:rsidRDefault="0049291B" w:rsidP="0049291B">
      <w:pPr>
        <w:jc w:val="center"/>
        <w:rPr>
          <w:b/>
          <w:bCs/>
          <w:lang w:val="es-ES"/>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7467"/>
        <w:gridCol w:w="1503"/>
      </w:tblGrid>
      <w:tr w:rsidR="0022226B" w:rsidRPr="0049291B" w14:paraId="2E512003" w14:textId="77777777" w:rsidTr="00270488">
        <w:tc>
          <w:tcPr>
            <w:tcW w:w="642" w:type="dxa"/>
          </w:tcPr>
          <w:p w14:paraId="15E06FDB" w14:textId="77777777" w:rsidR="0022226B" w:rsidRPr="0049291B" w:rsidRDefault="0022226B" w:rsidP="0046018E">
            <w:pPr>
              <w:tabs>
                <w:tab w:val="left" w:pos="224"/>
              </w:tabs>
              <w:spacing w:after="120"/>
              <w:jc w:val="center"/>
              <w:rPr>
                <w:b/>
                <w:bCs/>
                <w:szCs w:val="24"/>
                <w:lang w:val="es-ES"/>
              </w:rPr>
            </w:pPr>
          </w:p>
        </w:tc>
        <w:tc>
          <w:tcPr>
            <w:tcW w:w="7467" w:type="dxa"/>
          </w:tcPr>
          <w:p w14:paraId="5E2FE91E" w14:textId="77777777" w:rsidR="0022226B" w:rsidRPr="0049291B" w:rsidRDefault="0022226B" w:rsidP="00270488">
            <w:pPr>
              <w:spacing w:after="120"/>
              <w:rPr>
                <w:szCs w:val="24"/>
                <w:lang w:val="es-ES"/>
              </w:rPr>
            </w:pPr>
          </w:p>
        </w:tc>
        <w:tc>
          <w:tcPr>
            <w:tcW w:w="1503" w:type="dxa"/>
          </w:tcPr>
          <w:p w14:paraId="6F0F0574" w14:textId="77777777" w:rsidR="0022226B" w:rsidRPr="0049291B" w:rsidRDefault="0022226B" w:rsidP="0049291B">
            <w:pPr>
              <w:pStyle w:val="Tablehead"/>
              <w:rPr>
                <w:szCs w:val="24"/>
                <w:lang w:val="es-ES"/>
              </w:rPr>
            </w:pPr>
            <w:r w:rsidRPr="0049291B">
              <w:rPr>
                <w:lang w:val="es-ES"/>
              </w:rPr>
              <w:t>Documentos</w:t>
            </w:r>
          </w:p>
        </w:tc>
      </w:tr>
      <w:tr w:rsidR="0022226B" w:rsidRPr="0049291B" w14:paraId="487AE48B" w14:textId="77777777" w:rsidTr="00270488">
        <w:tc>
          <w:tcPr>
            <w:tcW w:w="642" w:type="dxa"/>
            <w:hideMark/>
          </w:tcPr>
          <w:p w14:paraId="7945EA14" w14:textId="6231CC70" w:rsidR="0022226B" w:rsidRPr="0049291B" w:rsidRDefault="0022226B" w:rsidP="0046018E">
            <w:pPr>
              <w:pStyle w:val="Tabletext"/>
              <w:jc w:val="center"/>
              <w:rPr>
                <w:b/>
                <w:bCs/>
                <w:szCs w:val="24"/>
                <w:lang w:val="es-ES"/>
              </w:rPr>
            </w:pPr>
            <w:r w:rsidRPr="0049291B">
              <w:rPr>
                <w:b/>
                <w:bCs/>
                <w:lang w:val="es-ES"/>
              </w:rPr>
              <w:t>1</w:t>
            </w:r>
          </w:p>
        </w:tc>
        <w:tc>
          <w:tcPr>
            <w:tcW w:w="7467" w:type="dxa"/>
            <w:hideMark/>
          </w:tcPr>
          <w:p w14:paraId="0A31FD0D" w14:textId="77777777" w:rsidR="0022226B" w:rsidRPr="0049291B" w:rsidRDefault="0022226B" w:rsidP="0049291B">
            <w:pPr>
              <w:pStyle w:val="Tabletext"/>
              <w:rPr>
                <w:szCs w:val="24"/>
                <w:lang w:val="es-ES"/>
              </w:rPr>
            </w:pPr>
            <w:r w:rsidRPr="0049291B">
              <w:rPr>
                <w:lang w:val="es-ES"/>
              </w:rPr>
              <w:t>Observaciones preliminares</w:t>
            </w:r>
          </w:p>
        </w:tc>
        <w:tc>
          <w:tcPr>
            <w:tcW w:w="1503" w:type="dxa"/>
          </w:tcPr>
          <w:p w14:paraId="3AC591E5" w14:textId="77777777" w:rsidR="0022226B" w:rsidRPr="0049291B" w:rsidRDefault="0022226B" w:rsidP="0049291B">
            <w:pPr>
              <w:pStyle w:val="Tabletext"/>
              <w:rPr>
                <w:lang w:val="es-ES"/>
              </w:rPr>
            </w:pPr>
          </w:p>
        </w:tc>
      </w:tr>
      <w:tr w:rsidR="0022226B" w:rsidRPr="00BA2D6D" w14:paraId="517663DA" w14:textId="77777777" w:rsidTr="00270488">
        <w:tc>
          <w:tcPr>
            <w:tcW w:w="642" w:type="dxa"/>
          </w:tcPr>
          <w:p w14:paraId="2D9E86FB" w14:textId="2B7CC067" w:rsidR="0022226B" w:rsidRPr="0049291B" w:rsidRDefault="0022226B" w:rsidP="0046018E">
            <w:pPr>
              <w:pStyle w:val="Tabletext"/>
              <w:jc w:val="center"/>
              <w:rPr>
                <w:b/>
                <w:bCs/>
                <w:szCs w:val="24"/>
                <w:lang w:val="es-ES"/>
              </w:rPr>
            </w:pPr>
            <w:r w:rsidRPr="0049291B">
              <w:rPr>
                <w:b/>
                <w:bCs/>
                <w:lang w:val="es-ES"/>
              </w:rPr>
              <w:t>2</w:t>
            </w:r>
          </w:p>
        </w:tc>
        <w:tc>
          <w:tcPr>
            <w:tcW w:w="7467" w:type="dxa"/>
            <w:hideMark/>
          </w:tcPr>
          <w:p w14:paraId="35AD26E6" w14:textId="77777777" w:rsidR="0022226B" w:rsidRPr="0049291B" w:rsidRDefault="0022226B" w:rsidP="0049291B">
            <w:pPr>
              <w:pStyle w:val="Tabletext"/>
              <w:rPr>
                <w:szCs w:val="24"/>
                <w:lang w:val="es-ES"/>
              </w:rPr>
            </w:pPr>
            <w:r w:rsidRPr="0049291B">
              <w:rPr>
                <w:lang w:val="es-ES"/>
              </w:rPr>
              <w:t>Aprobación del orden del día</w:t>
            </w:r>
          </w:p>
        </w:tc>
        <w:tc>
          <w:tcPr>
            <w:tcW w:w="1503" w:type="dxa"/>
          </w:tcPr>
          <w:p w14:paraId="4EBA059E" w14:textId="77777777" w:rsidR="0022226B" w:rsidRPr="0049291B" w:rsidRDefault="0022226B" w:rsidP="0049291B">
            <w:pPr>
              <w:pStyle w:val="Tabletext"/>
              <w:rPr>
                <w:lang w:val="es-ES"/>
              </w:rPr>
            </w:pPr>
          </w:p>
        </w:tc>
      </w:tr>
      <w:tr w:rsidR="0022226B" w:rsidRPr="0049291B" w14:paraId="20F549C5" w14:textId="77777777" w:rsidTr="00270488">
        <w:trPr>
          <w:trHeight w:val="56"/>
        </w:trPr>
        <w:tc>
          <w:tcPr>
            <w:tcW w:w="642" w:type="dxa"/>
          </w:tcPr>
          <w:p w14:paraId="45E179C9" w14:textId="6BEDEF7B" w:rsidR="0022226B" w:rsidRPr="0049291B" w:rsidRDefault="0022226B" w:rsidP="0046018E">
            <w:pPr>
              <w:pStyle w:val="Tabletext"/>
              <w:jc w:val="center"/>
              <w:rPr>
                <w:b/>
                <w:bCs/>
                <w:szCs w:val="24"/>
                <w:lang w:val="es-ES"/>
              </w:rPr>
            </w:pPr>
            <w:r w:rsidRPr="0049291B">
              <w:rPr>
                <w:b/>
                <w:bCs/>
                <w:lang w:val="es-ES"/>
              </w:rPr>
              <w:t>3</w:t>
            </w:r>
          </w:p>
        </w:tc>
        <w:tc>
          <w:tcPr>
            <w:tcW w:w="7467" w:type="dxa"/>
          </w:tcPr>
          <w:p w14:paraId="7609FAD1" w14:textId="32E49637" w:rsidR="0022226B" w:rsidRPr="0049291B" w:rsidRDefault="0022226B" w:rsidP="007659C0">
            <w:pPr>
              <w:pStyle w:val="Tabletext"/>
              <w:rPr>
                <w:szCs w:val="24"/>
                <w:lang w:val="es-ES"/>
              </w:rPr>
            </w:pPr>
            <w:r w:rsidRPr="0049291B">
              <w:rPr>
                <w:lang w:val="es-ES"/>
              </w:rPr>
              <w:t xml:space="preserve">Informe del GC-GAR sobre </w:t>
            </w:r>
            <w:r w:rsidR="007659C0">
              <w:rPr>
                <w:lang w:val="es-ES"/>
              </w:rPr>
              <w:t>el</w:t>
            </w:r>
            <w:r w:rsidRPr="0049291B">
              <w:rPr>
                <w:lang w:val="es-ES"/>
              </w:rPr>
              <w:t xml:space="preserve"> Plan Estratégico de la UIT para 2028-2031</w:t>
            </w:r>
          </w:p>
        </w:tc>
        <w:tc>
          <w:tcPr>
            <w:tcW w:w="1503" w:type="dxa"/>
          </w:tcPr>
          <w:p w14:paraId="77E82C38" w14:textId="40AB9DD6" w:rsidR="0022226B" w:rsidRPr="0049291B" w:rsidRDefault="0022226B" w:rsidP="0049291B">
            <w:pPr>
              <w:pStyle w:val="Tabletext"/>
              <w:jc w:val="center"/>
              <w:rPr>
                <w:rStyle w:val="Hyperlink"/>
              </w:rPr>
            </w:pPr>
            <w:hyperlink r:id="rId16" w:history="1">
              <w:r w:rsidRPr="0049291B">
                <w:rPr>
                  <w:rStyle w:val="Hyperlink"/>
                </w:rPr>
                <w:t>51</w:t>
              </w:r>
            </w:hyperlink>
          </w:p>
        </w:tc>
      </w:tr>
      <w:tr w:rsidR="0022226B" w:rsidRPr="0049291B" w14:paraId="5E52C4C3" w14:textId="77777777" w:rsidTr="00270488">
        <w:tc>
          <w:tcPr>
            <w:tcW w:w="642" w:type="dxa"/>
            <w:hideMark/>
          </w:tcPr>
          <w:p w14:paraId="7D1BD3EB" w14:textId="22092723" w:rsidR="0022226B" w:rsidRPr="0049291B" w:rsidRDefault="0022226B" w:rsidP="0046018E">
            <w:pPr>
              <w:pStyle w:val="Tabletext"/>
              <w:jc w:val="center"/>
              <w:rPr>
                <w:b/>
                <w:bCs/>
                <w:szCs w:val="24"/>
                <w:lang w:val="es-ES"/>
              </w:rPr>
            </w:pPr>
            <w:r w:rsidRPr="0049291B">
              <w:rPr>
                <w:b/>
                <w:bCs/>
                <w:lang w:val="es-ES"/>
              </w:rPr>
              <w:t>4</w:t>
            </w:r>
          </w:p>
        </w:tc>
        <w:tc>
          <w:tcPr>
            <w:tcW w:w="7467" w:type="dxa"/>
          </w:tcPr>
          <w:p w14:paraId="2F9DD7E8" w14:textId="77777777" w:rsidR="0022226B" w:rsidRPr="0049291B" w:rsidRDefault="0022226B" w:rsidP="0049291B">
            <w:pPr>
              <w:pStyle w:val="Tabletext"/>
              <w:rPr>
                <w:szCs w:val="24"/>
                <w:lang w:val="es-ES"/>
              </w:rPr>
            </w:pPr>
            <w:r w:rsidRPr="0049291B">
              <w:rPr>
                <w:lang w:val="es-ES"/>
              </w:rPr>
              <w:t xml:space="preserve">Consideración de contribuciones </w:t>
            </w:r>
          </w:p>
        </w:tc>
        <w:tc>
          <w:tcPr>
            <w:tcW w:w="1503" w:type="dxa"/>
          </w:tcPr>
          <w:p w14:paraId="5570AABC" w14:textId="77777777" w:rsidR="0022226B" w:rsidRPr="0049291B" w:rsidRDefault="0022226B" w:rsidP="0049291B">
            <w:pPr>
              <w:pStyle w:val="Tabletext"/>
              <w:jc w:val="center"/>
              <w:rPr>
                <w:rStyle w:val="Hyperlink"/>
              </w:rPr>
            </w:pPr>
            <w:hyperlink r:id="rId17" w:history="1">
              <w:r w:rsidRPr="0049291B">
                <w:rPr>
                  <w:rStyle w:val="Hyperlink"/>
                </w:rPr>
                <w:t>49</w:t>
              </w:r>
            </w:hyperlink>
          </w:p>
        </w:tc>
      </w:tr>
      <w:tr w:rsidR="0022226B" w:rsidRPr="00BA2D6D" w14:paraId="2409ECAB" w14:textId="77777777" w:rsidTr="00270488">
        <w:tc>
          <w:tcPr>
            <w:tcW w:w="642" w:type="dxa"/>
            <w:hideMark/>
          </w:tcPr>
          <w:p w14:paraId="28535E35" w14:textId="542F4174" w:rsidR="0022226B" w:rsidRPr="0049291B" w:rsidRDefault="0022226B" w:rsidP="0046018E">
            <w:pPr>
              <w:pStyle w:val="Tabletext"/>
              <w:jc w:val="center"/>
              <w:rPr>
                <w:b/>
                <w:bCs/>
                <w:szCs w:val="24"/>
                <w:lang w:val="es-ES"/>
              </w:rPr>
            </w:pPr>
            <w:r w:rsidRPr="0049291B">
              <w:rPr>
                <w:b/>
                <w:bCs/>
                <w:lang w:val="es-ES"/>
              </w:rPr>
              <w:t>5</w:t>
            </w:r>
          </w:p>
        </w:tc>
        <w:tc>
          <w:tcPr>
            <w:tcW w:w="7467" w:type="dxa"/>
          </w:tcPr>
          <w:p w14:paraId="2151EA47" w14:textId="77777777" w:rsidR="0022226B" w:rsidRPr="0049291B" w:rsidRDefault="0022226B" w:rsidP="0049291B">
            <w:pPr>
              <w:pStyle w:val="Tabletext"/>
              <w:rPr>
                <w:szCs w:val="24"/>
                <w:lang w:val="es-ES"/>
              </w:rPr>
            </w:pPr>
            <w:r w:rsidRPr="0049291B">
              <w:rPr>
                <w:lang w:val="es-ES"/>
              </w:rPr>
              <w:t>Aprobación de la contribución del GAR a la reunión de enero de 2026 del Grupo de Trabajo del Consejo sobre los Planes Estratégico y Financiero para 2028-2031 (GTC-PEF)</w:t>
            </w:r>
          </w:p>
        </w:tc>
        <w:tc>
          <w:tcPr>
            <w:tcW w:w="1503" w:type="dxa"/>
          </w:tcPr>
          <w:p w14:paraId="5E956328" w14:textId="77777777" w:rsidR="0022226B" w:rsidRPr="0049291B" w:rsidRDefault="0022226B" w:rsidP="0049291B">
            <w:pPr>
              <w:pStyle w:val="Tabletext"/>
              <w:rPr>
                <w:lang w:val="es-ES"/>
              </w:rPr>
            </w:pPr>
          </w:p>
        </w:tc>
      </w:tr>
      <w:tr w:rsidR="0022226B" w:rsidRPr="0049291B" w14:paraId="21CEC589" w14:textId="77777777" w:rsidTr="00270488">
        <w:tc>
          <w:tcPr>
            <w:tcW w:w="642" w:type="dxa"/>
            <w:hideMark/>
          </w:tcPr>
          <w:p w14:paraId="2BC92E9E" w14:textId="33EEF3E1" w:rsidR="0022226B" w:rsidRPr="0049291B" w:rsidRDefault="0022226B" w:rsidP="0046018E">
            <w:pPr>
              <w:pStyle w:val="Tabletext"/>
              <w:jc w:val="center"/>
              <w:rPr>
                <w:b/>
                <w:bCs/>
                <w:szCs w:val="24"/>
                <w:lang w:val="es-ES"/>
              </w:rPr>
            </w:pPr>
            <w:r w:rsidRPr="0049291B">
              <w:rPr>
                <w:b/>
                <w:bCs/>
                <w:lang w:val="es-ES"/>
              </w:rPr>
              <w:t>6</w:t>
            </w:r>
          </w:p>
        </w:tc>
        <w:tc>
          <w:tcPr>
            <w:tcW w:w="7467" w:type="dxa"/>
          </w:tcPr>
          <w:p w14:paraId="600E3CB6" w14:textId="77777777" w:rsidR="0022226B" w:rsidRPr="0049291B" w:rsidRDefault="0022226B" w:rsidP="0049291B">
            <w:pPr>
              <w:pStyle w:val="Tabletext"/>
              <w:rPr>
                <w:szCs w:val="24"/>
                <w:lang w:val="es-ES"/>
              </w:rPr>
            </w:pPr>
            <w:r w:rsidRPr="0049291B">
              <w:rPr>
                <w:lang w:val="es-ES"/>
              </w:rPr>
              <w:t>Otros asuntos</w:t>
            </w:r>
          </w:p>
        </w:tc>
        <w:tc>
          <w:tcPr>
            <w:tcW w:w="1503" w:type="dxa"/>
          </w:tcPr>
          <w:p w14:paraId="1D3BFFBD" w14:textId="77777777" w:rsidR="0022226B" w:rsidRPr="0049291B" w:rsidRDefault="0022226B" w:rsidP="0049291B">
            <w:pPr>
              <w:pStyle w:val="Tabletext"/>
              <w:rPr>
                <w:lang w:val="es-ES"/>
              </w:rPr>
            </w:pPr>
          </w:p>
        </w:tc>
      </w:tr>
    </w:tbl>
    <w:p w14:paraId="5D557734" w14:textId="23ADCA18" w:rsidR="0022226B" w:rsidRPr="0049291B" w:rsidRDefault="0022226B" w:rsidP="0049291B">
      <w:pPr>
        <w:tabs>
          <w:tab w:val="clear" w:pos="794"/>
          <w:tab w:val="clear" w:pos="1191"/>
          <w:tab w:val="clear" w:pos="1588"/>
          <w:tab w:val="clear" w:pos="1985"/>
          <w:tab w:val="center" w:pos="7088"/>
        </w:tabs>
        <w:spacing w:before="960" w:line="240" w:lineRule="auto"/>
        <w:rPr>
          <w:lang w:val="es-ES"/>
        </w:rPr>
      </w:pPr>
      <w:r w:rsidRPr="0049291B">
        <w:rPr>
          <w:lang w:val="es-ES"/>
        </w:rPr>
        <w:tab/>
        <w:t xml:space="preserve">Sr. Mohammad </w:t>
      </w:r>
      <w:proofErr w:type="spellStart"/>
      <w:r w:rsidRPr="0049291B">
        <w:rPr>
          <w:lang w:val="es-ES"/>
        </w:rPr>
        <w:t>Aljnoobi</w:t>
      </w:r>
      <w:proofErr w:type="spellEnd"/>
    </w:p>
    <w:p w14:paraId="32CADC22" w14:textId="77777777" w:rsidR="0022226B" w:rsidRPr="0049291B" w:rsidRDefault="0022226B" w:rsidP="0022226B">
      <w:pPr>
        <w:tabs>
          <w:tab w:val="clear" w:pos="794"/>
          <w:tab w:val="clear" w:pos="1191"/>
          <w:tab w:val="clear" w:pos="1588"/>
          <w:tab w:val="clear" w:pos="1985"/>
          <w:tab w:val="center" w:pos="7088"/>
        </w:tabs>
        <w:spacing w:before="0" w:line="240" w:lineRule="auto"/>
        <w:rPr>
          <w:rFonts w:asciiTheme="minorHAnsi" w:hAnsiTheme="minorHAnsi" w:cstheme="minorHAnsi"/>
          <w:szCs w:val="24"/>
          <w:lang w:val="es-ES"/>
        </w:rPr>
      </w:pPr>
      <w:r w:rsidRPr="0049291B">
        <w:rPr>
          <w:lang w:val="es-ES"/>
        </w:rPr>
        <w:tab/>
        <w:t>Presidente del Grupo Asesor de Radiocomunicaciones</w:t>
      </w:r>
    </w:p>
    <w:p w14:paraId="50D85277" w14:textId="6E9EDF3D" w:rsidR="0022226B" w:rsidRPr="0049291B" w:rsidRDefault="0022226B" w:rsidP="0022226B">
      <w:pPr>
        <w:tabs>
          <w:tab w:val="clear" w:pos="794"/>
          <w:tab w:val="clear" w:pos="1191"/>
          <w:tab w:val="clear" w:pos="1588"/>
          <w:tab w:val="clear" w:pos="1985"/>
          <w:tab w:val="center" w:pos="7088"/>
        </w:tabs>
        <w:spacing w:before="0" w:line="240" w:lineRule="auto"/>
        <w:rPr>
          <w:lang w:val="es-ES"/>
        </w:rPr>
      </w:pPr>
      <w:r w:rsidRPr="0049291B">
        <w:rPr>
          <w:lang w:val="es-ES"/>
        </w:rPr>
        <w:tab/>
      </w:r>
      <w:hyperlink r:id="rId18" w:tooltip="mailto:mjnoobi@cst.gov.sa" w:history="1">
        <w:r w:rsidRPr="0049291B">
          <w:rPr>
            <w:rStyle w:val="Hyperlink"/>
            <w:rFonts w:asciiTheme="minorHAnsi" w:hAnsiTheme="minorHAnsi" w:cstheme="minorHAnsi"/>
            <w:szCs w:val="24"/>
            <w:lang w:val="es-ES"/>
          </w:rPr>
          <w:t>mjnoobi@cst.gov.sa</w:t>
        </w:r>
      </w:hyperlink>
      <w:r w:rsidRPr="0049291B">
        <w:rPr>
          <w:rFonts w:asciiTheme="minorHAnsi" w:hAnsiTheme="minorHAnsi" w:cstheme="minorHAnsi"/>
          <w:color w:val="0000FF"/>
          <w:szCs w:val="24"/>
          <w:u w:val="single"/>
          <w:lang w:val="es-ES"/>
        </w:rPr>
        <w:t xml:space="preserve"> </w:t>
      </w:r>
    </w:p>
    <w:sectPr w:rsidR="0022226B" w:rsidRPr="0049291B" w:rsidSect="00D316C8">
      <w:headerReference w:type="even" r:id="rId19"/>
      <w:headerReference w:type="default" r:id="rId20"/>
      <w:headerReference w:type="first" r:id="rId21"/>
      <w:footerReference w:type="first" r:id="rId22"/>
      <w:pgSz w:w="11907" w:h="16834" w:code="9"/>
      <w:pgMar w:top="1134" w:right="1134" w:bottom="993" w:left="1134" w:header="567" w:footer="8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0270E" w14:textId="77777777" w:rsidR="00D86E41" w:rsidRDefault="00D86E41">
      <w:r>
        <w:separator/>
      </w:r>
    </w:p>
  </w:endnote>
  <w:endnote w:type="continuationSeparator" w:id="0">
    <w:p w14:paraId="4DCB85A0" w14:textId="77777777" w:rsidR="00D86E41" w:rsidRDefault="00D8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DED3" w14:textId="77777777" w:rsidR="005370F0" w:rsidRPr="003B370E" w:rsidRDefault="00CF7B6D" w:rsidP="00132DD2">
    <w:pPr>
      <w:pStyle w:val="Footer"/>
      <w:spacing w:before="0" w:line="240" w:lineRule="auto"/>
      <w:jc w:val="center"/>
      <w:rPr>
        <w:sz w:val="19"/>
        <w:szCs w:val="19"/>
        <w:lang w:val="es-ES"/>
      </w:rPr>
    </w:pPr>
    <w:r w:rsidRPr="00353E34">
      <w:rPr>
        <w:color w:val="4F81BD" w:themeColor="accent1"/>
        <w:sz w:val="19"/>
        <w:szCs w:val="19"/>
        <w:lang w:val="es-ES"/>
      </w:rPr>
      <w:t xml:space="preserve">Unión Internacional de Telecomunicaciones • Place des </w:t>
    </w:r>
    <w:proofErr w:type="spellStart"/>
    <w:r w:rsidRPr="00353E34">
      <w:rPr>
        <w:color w:val="4F81BD" w:themeColor="accent1"/>
        <w:sz w:val="19"/>
        <w:szCs w:val="19"/>
        <w:lang w:val="es-ES"/>
      </w:rPr>
      <w:t>Nations</w:t>
    </w:r>
    <w:proofErr w:type="spellEnd"/>
    <w:r w:rsidRPr="00353E34">
      <w:rPr>
        <w:color w:val="4F81BD" w:themeColor="accent1"/>
        <w:sz w:val="19"/>
        <w:szCs w:val="19"/>
        <w:lang w:val="es-ES"/>
      </w:rPr>
      <w:t>, CH-1211 Ginebra 20, Suiza</w:t>
    </w:r>
    <w:r w:rsidRPr="00353E34">
      <w:rPr>
        <w:color w:val="4F81BD" w:themeColor="accent1"/>
        <w:sz w:val="19"/>
        <w:szCs w:val="19"/>
        <w:lang w:val="es-ES"/>
      </w:rPr>
      <w:br/>
      <w:t xml:space="preserve">Tel.: +41 22 730 5111 • Correo-e: </w:t>
    </w:r>
    <w:hyperlink r:id="rId1" w:history="1">
      <w:r w:rsidR="0082526C">
        <w:rPr>
          <w:rStyle w:val="Hyperlink"/>
          <w:sz w:val="19"/>
          <w:szCs w:val="19"/>
          <w:lang w:val="es-ES"/>
        </w:rPr>
        <w:t>itumail@itu.int</w:t>
      </w:r>
    </w:hyperlink>
    <w:r w:rsidRPr="00353E34">
      <w:rPr>
        <w:color w:val="4F81BD" w:themeColor="accent1"/>
        <w:sz w:val="19"/>
        <w:szCs w:val="19"/>
        <w:lang w:val="es-ES"/>
      </w:rPr>
      <w:t xml:space="preserve"> </w:t>
    </w:r>
    <w:r w:rsidRPr="00353E34">
      <w:rPr>
        <w:color w:val="4F81BD"/>
        <w:sz w:val="19"/>
        <w:szCs w:val="19"/>
        <w:lang w:val="es-ES"/>
      </w:rPr>
      <w:t xml:space="preserve">• Fax: +41 22 733 7256 • </w:t>
    </w:r>
    <w:r w:rsidRPr="00353E34">
      <w:fldChar w:fldCharType="begin"/>
    </w:r>
    <w:r w:rsidRPr="00353E34">
      <w:rPr>
        <w:sz w:val="19"/>
        <w:szCs w:val="19"/>
        <w:lang w:val="es-ES"/>
        <w:rPrChange w:id="1" w:author="Fernandez Jimenez, Virginia" w:date="2022-10-18T15:06:00Z">
          <w:rPr/>
        </w:rPrChange>
      </w:rPr>
      <w:instrText xml:space="preserve"> HYPERLINK "http://www.itu.int" </w:instrText>
    </w:r>
    <w:r w:rsidRPr="00353E34">
      <w:fldChar w:fldCharType="separate"/>
    </w:r>
    <w:r w:rsidRPr="00353E34">
      <w:rPr>
        <w:rStyle w:val="Hyperlink"/>
        <w:sz w:val="19"/>
        <w:szCs w:val="19"/>
        <w:lang w:val="es-ES"/>
      </w:rPr>
      <w:t>www.itu.int</w:t>
    </w:r>
    <w:r w:rsidRPr="00353E34">
      <w:rPr>
        <w:rStyle w:val="Hyperlink"/>
        <w:sz w:val="19"/>
        <w:szCs w:val="19"/>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986E" w14:textId="77777777" w:rsidR="00D86E41" w:rsidRDefault="00D86E41">
      <w:r>
        <w:t>____________________</w:t>
      </w:r>
    </w:p>
  </w:footnote>
  <w:footnote w:type="continuationSeparator" w:id="0">
    <w:p w14:paraId="0790744B" w14:textId="77777777" w:rsidR="00D86E41" w:rsidRDefault="00D86E41">
      <w:r>
        <w:continuationSeparator/>
      </w:r>
    </w:p>
  </w:footnote>
  <w:footnote w:id="1">
    <w:p w14:paraId="06361A57" w14:textId="1761BB96" w:rsidR="00B322AA" w:rsidRPr="00B322AA" w:rsidRDefault="00B322AA">
      <w:pPr>
        <w:pStyle w:val="FootnoteText"/>
        <w:rPr>
          <w:lang w:val="es-ES"/>
        </w:rPr>
      </w:pPr>
      <w:r>
        <w:rPr>
          <w:rStyle w:val="FootnoteReference"/>
        </w:rPr>
        <w:footnoteRef/>
      </w:r>
      <w:r w:rsidRPr="00B322AA">
        <w:rPr>
          <w:lang w:val="es-ES"/>
        </w:rPr>
        <w:tab/>
      </w:r>
      <w:r>
        <w:rPr>
          <w:lang w:val="es-ES"/>
        </w:rPr>
        <w:t xml:space="preserve">Puede encontrar más información sobre los trabajos del GC-GAR sobre el Plan Estratégico de la UIT para 2028-2031 </w:t>
      </w:r>
      <w:hyperlink r:id="rId1" w:anchor="/es" w:history="1">
        <w:r w:rsidRPr="00AC1994">
          <w:rPr>
            <w:rStyle w:val="Hyperlink"/>
            <w:lang w:val="es-ES"/>
          </w:rPr>
          <w:t>aquí</w:t>
        </w:r>
      </w:hyperlink>
      <w:r>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831D" w14:textId="77777777" w:rsidR="00E915AF" w:rsidRPr="00D239B4" w:rsidRDefault="001B42C9" w:rsidP="00D316C8">
    <w:pPr>
      <w:pStyle w:val="Header"/>
      <w:jc w:val="center"/>
      <w:rPr>
        <w:sz w:val="18"/>
        <w:szCs w:val="16"/>
      </w:rPr>
    </w:pPr>
    <w:r w:rsidRPr="00D239B4">
      <w:rPr>
        <w:rStyle w:val="PageNumber"/>
        <w:sz w:val="18"/>
        <w:szCs w:val="16"/>
      </w:rPr>
      <w:fldChar w:fldCharType="begin"/>
    </w:r>
    <w:r w:rsidR="00E915AF" w:rsidRPr="00D239B4">
      <w:rPr>
        <w:rStyle w:val="PageNumber"/>
        <w:sz w:val="18"/>
        <w:szCs w:val="16"/>
      </w:rPr>
      <w:instrText xml:space="preserve"> PAGE </w:instrText>
    </w:r>
    <w:r w:rsidRPr="00D239B4">
      <w:rPr>
        <w:rStyle w:val="PageNumber"/>
        <w:sz w:val="18"/>
        <w:szCs w:val="16"/>
      </w:rPr>
      <w:fldChar w:fldCharType="separate"/>
    </w:r>
    <w:r w:rsidR="00535FEF">
      <w:rPr>
        <w:rStyle w:val="PageNumber"/>
        <w:noProof/>
        <w:sz w:val="18"/>
        <w:szCs w:val="16"/>
      </w:rPr>
      <w:t>2</w:t>
    </w:r>
    <w:r w:rsidRPr="00D239B4">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6E4F" w14:textId="77777777" w:rsidR="00D316C8" w:rsidRPr="00D239B4" w:rsidRDefault="00D316C8" w:rsidP="00D316C8">
    <w:pPr>
      <w:pStyle w:val="Header"/>
      <w:jc w:val="center"/>
      <w:rPr>
        <w:sz w:val="18"/>
        <w:szCs w:val="16"/>
      </w:rPr>
    </w:pP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sidR="007659C0">
      <w:rPr>
        <w:rStyle w:val="PageNumber"/>
        <w:noProof/>
        <w:sz w:val="18"/>
        <w:szCs w:val="16"/>
      </w:rPr>
      <w:t>3</w:t>
    </w:r>
    <w:r w:rsidRPr="00D239B4">
      <w:rPr>
        <w:rStyle w:val="PageNumbe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tblGrid>
    <w:tr w:rsidR="002A3F03" w14:paraId="361C2C49" w14:textId="77777777" w:rsidTr="002A3F03">
      <w:tc>
        <w:tcPr>
          <w:tcW w:w="9862" w:type="dxa"/>
          <w:tcMar>
            <w:left w:w="0" w:type="dxa"/>
          </w:tcMar>
        </w:tcPr>
        <w:p w14:paraId="6E61B9A7" w14:textId="77777777" w:rsidR="002A3F03" w:rsidRDefault="002A3F03" w:rsidP="002B7EE0">
          <w:pPr>
            <w:pStyle w:val="FirstFooter"/>
            <w:spacing w:line="240" w:lineRule="auto"/>
            <w:ind w:left="-397" w:right="-397"/>
            <w:jc w:val="center"/>
          </w:pPr>
          <w:r>
            <w:rPr>
              <w:noProof/>
            </w:rPr>
            <w:drawing>
              <wp:inline distT="0" distB="0" distL="0" distR="0" wp14:anchorId="0237DFB7" wp14:editId="348E12BC">
                <wp:extent cx="765175" cy="765175"/>
                <wp:effectExtent l="0" t="0" r="0" b="0"/>
                <wp:docPr id="1350946514" name="Picture 135094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71DBC6A8"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745990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75292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6CF8"/>
    <w:rsid w:val="00030BD7"/>
    <w:rsid w:val="00031E64"/>
    <w:rsid w:val="00034340"/>
    <w:rsid w:val="00035CB3"/>
    <w:rsid w:val="00045A8D"/>
    <w:rsid w:val="0005167A"/>
    <w:rsid w:val="00054E5D"/>
    <w:rsid w:val="00067A79"/>
    <w:rsid w:val="00070258"/>
    <w:rsid w:val="0007323C"/>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2DD2"/>
    <w:rsid w:val="00134404"/>
    <w:rsid w:val="00144DFB"/>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2226B"/>
    <w:rsid w:val="002302B3"/>
    <w:rsid w:val="00230C66"/>
    <w:rsid w:val="00235A29"/>
    <w:rsid w:val="00241526"/>
    <w:rsid w:val="002443A2"/>
    <w:rsid w:val="00257BE7"/>
    <w:rsid w:val="00266E74"/>
    <w:rsid w:val="00283C3B"/>
    <w:rsid w:val="002861E6"/>
    <w:rsid w:val="00287D18"/>
    <w:rsid w:val="002A2618"/>
    <w:rsid w:val="002A3F03"/>
    <w:rsid w:val="002A5DD7"/>
    <w:rsid w:val="002B0CAC"/>
    <w:rsid w:val="002B7EE0"/>
    <w:rsid w:val="002D5A15"/>
    <w:rsid w:val="002D5BDD"/>
    <w:rsid w:val="002E3D27"/>
    <w:rsid w:val="002F0890"/>
    <w:rsid w:val="002F2531"/>
    <w:rsid w:val="002F4967"/>
    <w:rsid w:val="00306452"/>
    <w:rsid w:val="00311970"/>
    <w:rsid w:val="00316935"/>
    <w:rsid w:val="003266ED"/>
    <w:rsid w:val="00326C68"/>
    <w:rsid w:val="0033029C"/>
    <w:rsid w:val="003370B8"/>
    <w:rsid w:val="00345D38"/>
    <w:rsid w:val="00352097"/>
    <w:rsid w:val="00353E34"/>
    <w:rsid w:val="003666FF"/>
    <w:rsid w:val="0037309C"/>
    <w:rsid w:val="00380A6E"/>
    <w:rsid w:val="003836D4"/>
    <w:rsid w:val="003974CD"/>
    <w:rsid w:val="003A1F49"/>
    <w:rsid w:val="003A55ED"/>
    <w:rsid w:val="003A5D52"/>
    <w:rsid w:val="003B2BDA"/>
    <w:rsid w:val="003B370E"/>
    <w:rsid w:val="003B55EC"/>
    <w:rsid w:val="003C2EA7"/>
    <w:rsid w:val="003C4471"/>
    <w:rsid w:val="003C7D41"/>
    <w:rsid w:val="003D4A69"/>
    <w:rsid w:val="003E504F"/>
    <w:rsid w:val="003E78D6"/>
    <w:rsid w:val="003F0E9F"/>
    <w:rsid w:val="00400573"/>
    <w:rsid w:val="004007A3"/>
    <w:rsid w:val="00406D71"/>
    <w:rsid w:val="004326DB"/>
    <w:rsid w:val="0043682E"/>
    <w:rsid w:val="00447ECB"/>
    <w:rsid w:val="0046018E"/>
    <w:rsid w:val="004623F7"/>
    <w:rsid w:val="00480F51"/>
    <w:rsid w:val="00481124"/>
    <w:rsid w:val="004815EB"/>
    <w:rsid w:val="00487569"/>
    <w:rsid w:val="0049291B"/>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22C29"/>
    <w:rsid w:val="00534372"/>
    <w:rsid w:val="00535FEF"/>
    <w:rsid w:val="005370F0"/>
    <w:rsid w:val="00543DF8"/>
    <w:rsid w:val="00546101"/>
    <w:rsid w:val="00553364"/>
    <w:rsid w:val="00553DD7"/>
    <w:rsid w:val="005638CF"/>
    <w:rsid w:val="0056741E"/>
    <w:rsid w:val="00570A4C"/>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112A"/>
    <w:rsid w:val="006829F3"/>
    <w:rsid w:val="006A518B"/>
    <w:rsid w:val="006B0590"/>
    <w:rsid w:val="006B49DA"/>
    <w:rsid w:val="006C53F8"/>
    <w:rsid w:val="006C7CDE"/>
    <w:rsid w:val="007234B1"/>
    <w:rsid w:val="00723D08"/>
    <w:rsid w:val="00725FDA"/>
    <w:rsid w:val="00727816"/>
    <w:rsid w:val="00730B9A"/>
    <w:rsid w:val="00750CFA"/>
    <w:rsid w:val="007553DA"/>
    <w:rsid w:val="007659C0"/>
    <w:rsid w:val="00775DB8"/>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2526C"/>
    <w:rsid w:val="00854131"/>
    <w:rsid w:val="0085652D"/>
    <w:rsid w:val="0087694B"/>
    <w:rsid w:val="00880F4D"/>
    <w:rsid w:val="008B35A3"/>
    <w:rsid w:val="008B37E1"/>
    <w:rsid w:val="008B45F8"/>
    <w:rsid w:val="008C2E74"/>
    <w:rsid w:val="008C7C95"/>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3A0E"/>
    <w:rsid w:val="009C56B4"/>
    <w:rsid w:val="009D51A2"/>
    <w:rsid w:val="009E04A8"/>
    <w:rsid w:val="009E4595"/>
    <w:rsid w:val="009E4AEC"/>
    <w:rsid w:val="009E5BD8"/>
    <w:rsid w:val="009E681E"/>
    <w:rsid w:val="00A119E6"/>
    <w:rsid w:val="00A20FBC"/>
    <w:rsid w:val="00A31370"/>
    <w:rsid w:val="00A34D6F"/>
    <w:rsid w:val="00A41F91"/>
    <w:rsid w:val="00A63355"/>
    <w:rsid w:val="00A7596D"/>
    <w:rsid w:val="00A80EFE"/>
    <w:rsid w:val="00A963DF"/>
    <w:rsid w:val="00A96D3A"/>
    <w:rsid w:val="00AC0C22"/>
    <w:rsid w:val="00AC3896"/>
    <w:rsid w:val="00AD2CF2"/>
    <w:rsid w:val="00AE2D88"/>
    <w:rsid w:val="00AE6F6F"/>
    <w:rsid w:val="00AF3325"/>
    <w:rsid w:val="00AF34D9"/>
    <w:rsid w:val="00AF5B37"/>
    <w:rsid w:val="00AF70DA"/>
    <w:rsid w:val="00B019D3"/>
    <w:rsid w:val="00B322AA"/>
    <w:rsid w:val="00B34CF9"/>
    <w:rsid w:val="00B37559"/>
    <w:rsid w:val="00B4054B"/>
    <w:rsid w:val="00B579B0"/>
    <w:rsid w:val="00B57D11"/>
    <w:rsid w:val="00B649D7"/>
    <w:rsid w:val="00B81C2F"/>
    <w:rsid w:val="00B90743"/>
    <w:rsid w:val="00B90C45"/>
    <w:rsid w:val="00B933BE"/>
    <w:rsid w:val="00BA124F"/>
    <w:rsid w:val="00BA2D6D"/>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CF7B6D"/>
    <w:rsid w:val="00D10BA0"/>
    <w:rsid w:val="00D21694"/>
    <w:rsid w:val="00D239B4"/>
    <w:rsid w:val="00D24EB5"/>
    <w:rsid w:val="00D316C8"/>
    <w:rsid w:val="00D35AB9"/>
    <w:rsid w:val="00D41571"/>
    <w:rsid w:val="00D416A0"/>
    <w:rsid w:val="00D47672"/>
    <w:rsid w:val="00D5123C"/>
    <w:rsid w:val="00D55560"/>
    <w:rsid w:val="00D61C5A"/>
    <w:rsid w:val="00D63BFF"/>
    <w:rsid w:val="00D6790C"/>
    <w:rsid w:val="00D73277"/>
    <w:rsid w:val="00D76586"/>
    <w:rsid w:val="00D82657"/>
    <w:rsid w:val="00D86E41"/>
    <w:rsid w:val="00D87E20"/>
    <w:rsid w:val="00D97EF5"/>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566E4"/>
    <w:rsid w:val="00E64254"/>
    <w:rsid w:val="00E67928"/>
    <w:rsid w:val="00E70FB5"/>
    <w:rsid w:val="00E915AF"/>
    <w:rsid w:val="00E96415"/>
    <w:rsid w:val="00EA15B3"/>
    <w:rsid w:val="00EB13BF"/>
    <w:rsid w:val="00EB2358"/>
    <w:rsid w:val="00EB3EB8"/>
    <w:rsid w:val="00EC00EF"/>
    <w:rsid w:val="00EC02FE"/>
    <w:rsid w:val="00EC4A96"/>
    <w:rsid w:val="00EE03A0"/>
    <w:rsid w:val="00F424BF"/>
    <w:rsid w:val="00F44FC3"/>
    <w:rsid w:val="00F46107"/>
    <w:rsid w:val="00F468C5"/>
    <w:rsid w:val="00F52F39"/>
    <w:rsid w:val="00F6184F"/>
    <w:rsid w:val="00F62D5B"/>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7B69EA"/>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0E"/>
    <w:pPr>
      <w:tabs>
        <w:tab w:val="left" w:pos="794"/>
        <w:tab w:val="left" w:pos="1191"/>
        <w:tab w:val="left" w:pos="1588"/>
        <w:tab w:val="left" w:pos="1985"/>
      </w:tabs>
      <w:overflowPunct w:val="0"/>
      <w:autoSpaceDE w:val="0"/>
      <w:autoSpaceDN w:val="0"/>
      <w:adjustRightInd w:val="0"/>
      <w:spacing w:before="12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超级链接,超?级链,Style 58,超????,하이퍼링크2,超链接1,하이퍼링크21,超??级链Ú,fL????,fL?级,超??级链,超?级链Ú,’´?级链,’´????,’´??级链Ú,’´??级,超?级链?,Style?,S"/>
    <w:basedOn w:val="DefaultParagraphFont"/>
    <w:uiPriority w:val="99"/>
    <w:qForma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customStyle="1" w:styleId="UnresolvedMention1">
    <w:name w:val="Unresolved Mention1"/>
    <w:basedOn w:val="DefaultParagraphFont"/>
    <w:uiPriority w:val="99"/>
    <w:semiHidden/>
    <w:unhideWhenUsed/>
    <w:rsid w:val="00353E34"/>
    <w:rPr>
      <w:color w:val="605E5C"/>
      <w:shd w:val="clear" w:color="auto" w:fill="E1DFDD"/>
    </w:rPr>
  </w:style>
  <w:style w:type="character" w:customStyle="1" w:styleId="TabletextChar">
    <w:name w:val="Table_text Char"/>
    <w:link w:val="Tabletext"/>
    <w:uiPriority w:val="99"/>
    <w:locked/>
    <w:rsid w:val="00B322AA"/>
    <w:rPr>
      <w:szCs w:val="22"/>
      <w:lang w:val="en-US" w:eastAsia="en-US"/>
    </w:rPr>
  </w:style>
  <w:style w:type="character" w:customStyle="1" w:styleId="TableheadChar">
    <w:name w:val="Table_head Char"/>
    <w:basedOn w:val="DefaultParagraphFont"/>
    <w:link w:val="Tablehead"/>
    <w:uiPriority w:val="99"/>
    <w:locked/>
    <w:rsid w:val="00B322AA"/>
    <w:rPr>
      <w:b/>
      <w:szCs w:val="22"/>
      <w:lang w:val="en-US" w:eastAsia="en-US"/>
    </w:rPr>
  </w:style>
  <w:style w:type="character" w:styleId="FollowedHyperlink">
    <w:name w:val="FollowedHyperlink"/>
    <w:basedOn w:val="DefaultParagraphFont"/>
    <w:semiHidden/>
    <w:unhideWhenUsed/>
    <w:rsid w:val="008C7C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rag/" TargetMode="External"/><Relationship Id="rId13" Type="http://schemas.openxmlformats.org/officeDocument/2006/relationships/hyperlink" Target="https://www.itu.int/online/mm/scripts/s/gensel90?_filtertxt2=&amp;_filtertxt3=&amp;_filtertxt4=%2CRadiocommunication+Advisory+Group&amp;_filtertxt=&amp;_campaigntype=&amp;_descr=Radiocommunication+Advisory+Group&amp;_roles=-+All+-&amp;studyperiod=M-00000291" TargetMode="External"/><Relationship Id="rId18" Type="http://schemas.openxmlformats.org/officeDocument/2006/relationships/hyperlink" Target="mailto:mjnoobi@cst.gov.sa"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brrag@itu.int" TargetMode="External"/><Relationship Id="rId17" Type="http://schemas.openxmlformats.org/officeDocument/2006/relationships/hyperlink" Target="https://www.itu.int/md/R23-RAG-C-0049/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R23-RAG-C-0051/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th.itu.int/my.logout.php3?errorcode=20"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zoom.us/download" TargetMode="External"/><Relationship Id="rId23" Type="http://schemas.openxmlformats.org/officeDocument/2006/relationships/fontTable" Target="fontTable.xml"/><Relationship Id="rId10" Type="http://schemas.openxmlformats.org/officeDocument/2006/relationships/hyperlink" Target="mailto:brrag@itu.i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tu.int/rag" TargetMode="External"/><Relationship Id="rId14" Type="http://schemas.openxmlformats.org/officeDocument/2006/relationships/hyperlink" Target="https://zoom.us/es/download"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r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rag/correspondence-groups/on-sp-2028-203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9DC15-96D7-4BAE-8EB0-E7FD0AF4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921</Words>
  <Characters>5968</Characters>
  <Application>Microsoft Office Word</Application>
  <DocSecurity>0</DocSecurity>
  <Lines>161</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PS_BR Circulars</vt:lpstr>
      <vt:lpstr>ITU-T Rec. Book 1 Resolutions ITU-T Series A Recommendations:</vt:lpstr>
    </vt:vector>
  </TitlesOfParts>
  <Company>ITU</Company>
  <LinksUpToDate>false</LinksUpToDate>
  <CharactersWithSpaces>6805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PS_BR Circulars</dc:title>
  <dc:creator>Spanish1</dc:creator>
  <cp:lastModifiedBy>Panoussopoulos, Sonia</cp:lastModifiedBy>
  <cp:revision>3</cp:revision>
  <cp:lastPrinted>2013-03-08T10:15:00Z</cp:lastPrinted>
  <dcterms:created xsi:type="dcterms:W3CDTF">2025-10-28T16:15:00Z</dcterms:created>
  <dcterms:modified xsi:type="dcterms:W3CDTF">2025-10-30T08:42:00Z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