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373B1DA" w14:textId="77777777" w:rsidTr="004228FA">
        <w:trPr>
          <w:jc w:val="center"/>
        </w:trPr>
        <w:tc>
          <w:tcPr>
            <w:tcW w:w="9889" w:type="dxa"/>
            <w:gridSpan w:val="3"/>
          </w:tcPr>
          <w:p w14:paraId="131D11D0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des radiocommunications (BR)</w:t>
            </w:r>
          </w:p>
          <w:p w14:paraId="5D410CA3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238EAC46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773F7E" w14:paraId="32D03654" w14:textId="77777777" w:rsidTr="004228FA">
        <w:trPr>
          <w:jc w:val="center"/>
        </w:trPr>
        <w:tc>
          <w:tcPr>
            <w:tcW w:w="7054" w:type="dxa"/>
            <w:gridSpan w:val="2"/>
          </w:tcPr>
          <w:p w14:paraId="787AC96A" w14:textId="26278955" w:rsidR="00E53DCE" w:rsidRPr="00773F7E" w:rsidRDefault="00E53DCE" w:rsidP="006160CB">
            <w:pPr>
              <w:spacing w:before="0"/>
              <w:jc w:val="left"/>
              <w:rPr>
                <w:sz w:val="28"/>
                <w:szCs w:val="28"/>
                <w:lang w:val="fr-CH"/>
              </w:rPr>
            </w:pPr>
            <w:r w:rsidRPr="00AA781A">
              <w:rPr>
                <w:szCs w:val="24"/>
                <w:lang w:val="fr-CH"/>
              </w:rPr>
              <w:t>Circulaire administrative</w:t>
            </w:r>
          </w:p>
          <w:p w14:paraId="198DE3D1" w14:textId="33D8B03C" w:rsidR="00E53DCE" w:rsidRPr="00773F7E" w:rsidRDefault="00460A18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r w:rsidRPr="005912FE">
              <w:rPr>
                <w:b/>
                <w:bCs/>
                <w:szCs w:val="24"/>
                <w:lang w:val="fr-FR"/>
              </w:rPr>
              <w:t>CA/279</w:t>
            </w:r>
          </w:p>
        </w:tc>
        <w:tc>
          <w:tcPr>
            <w:tcW w:w="2835" w:type="dxa"/>
          </w:tcPr>
          <w:p w14:paraId="73698996" w14:textId="6B506BFA" w:rsidR="00E53DCE" w:rsidRPr="00773F7E" w:rsidRDefault="00AA781A" w:rsidP="00304636">
            <w:pPr>
              <w:spacing w:before="0"/>
              <w:jc w:val="right"/>
              <w:rPr>
                <w:sz w:val="28"/>
                <w:szCs w:val="28"/>
                <w:lang w:val="en-GB"/>
              </w:rPr>
            </w:pPr>
            <w:r w:rsidRPr="00773F7E">
              <w:rPr>
                <w:szCs w:val="24"/>
              </w:rPr>
              <w:t xml:space="preserve">Le </w:t>
            </w:r>
            <w:sdt>
              <w:sdtPr>
                <w:rPr>
                  <w:rFonts w:cs="Arial"/>
                  <w:szCs w:val="24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 w:fullDate="2025-10-30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460A18">
                  <w:rPr>
                    <w:rFonts w:cs="Arial"/>
                    <w:szCs w:val="24"/>
                    <w:lang w:val="fr-FR"/>
                  </w:rPr>
                  <w:t>30 octobre 2025</w:t>
                </w:r>
              </w:sdtContent>
            </w:sdt>
          </w:p>
        </w:tc>
      </w:tr>
      <w:tr w:rsidR="00E53DCE" w:rsidRPr="00773F7E" w14:paraId="21CF050B" w14:textId="77777777" w:rsidTr="004228FA">
        <w:trPr>
          <w:jc w:val="center"/>
        </w:trPr>
        <w:tc>
          <w:tcPr>
            <w:tcW w:w="9889" w:type="dxa"/>
            <w:gridSpan w:val="3"/>
          </w:tcPr>
          <w:p w14:paraId="78C111A6" w14:textId="77777777" w:rsidR="00E53DCE" w:rsidRPr="00773F7E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773F7E" w14:paraId="2F4E240B" w14:textId="77777777" w:rsidTr="004228FA">
        <w:trPr>
          <w:jc w:val="center"/>
        </w:trPr>
        <w:tc>
          <w:tcPr>
            <w:tcW w:w="9889" w:type="dxa"/>
            <w:gridSpan w:val="3"/>
          </w:tcPr>
          <w:p w14:paraId="1E0134AA" w14:textId="77777777" w:rsidR="00E53DCE" w:rsidRPr="00773F7E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D52AEB" w14:paraId="007114AC" w14:textId="77777777" w:rsidTr="004228FA">
        <w:trPr>
          <w:jc w:val="center"/>
        </w:trPr>
        <w:tc>
          <w:tcPr>
            <w:tcW w:w="9889" w:type="dxa"/>
            <w:gridSpan w:val="3"/>
          </w:tcPr>
          <w:p w14:paraId="43A7338A" w14:textId="77777777" w:rsidR="00E53DCE" w:rsidRPr="00773F7E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D52AEB" w14:paraId="6C559311" w14:textId="77777777" w:rsidTr="004228FA">
        <w:trPr>
          <w:jc w:val="center"/>
        </w:trPr>
        <w:tc>
          <w:tcPr>
            <w:tcW w:w="9889" w:type="dxa"/>
            <w:gridSpan w:val="3"/>
          </w:tcPr>
          <w:p w14:paraId="0D32AE4E" w14:textId="77777777" w:rsidR="00E53DCE" w:rsidRPr="00773F7E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D52AEB" w14:paraId="26C0E337" w14:textId="77777777" w:rsidTr="004228FA">
        <w:trPr>
          <w:jc w:val="center"/>
        </w:trPr>
        <w:tc>
          <w:tcPr>
            <w:tcW w:w="9889" w:type="dxa"/>
            <w:gridSpan w:val="3"/>
          </w:tcPr>
          <w:p w14:paraId="29F7E960" w14:textId="77777777" w:rsidR="00E53DCE" w:rsidRPr="00773F7E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0E7991" w14:paraId="2813E03B" w14:textId="77777777" w:rsidTr="004228FA">
        <w:trPr>
          <w:jc w:val="center"/>
        </w:trPr>
        <w:tc>
          <w:tcPr>
            <w:tcW w:w="1526" w:type="dxa"/>
          </w:tcPr>
          <w:p w14:paraId="50D97891" w14:textId="77777777" w:rsidR="00E53DCE" w:rsidRPr="00773F7E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r>
              <w:rPr>
                <w:lang w:val="fr-CH"/>
              </w:rPr>
              <w:t>Objet</w:t>
            </w:r>
            <w:r w:rsidR="00E53DCE" w:rsidRPr="00773F7E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41F3265F" w14:textId="57BC021F" w:rsidR="002052C9" w:rsidRPr="00460A18" w:rsidRDefault="00460A18" w:rsidP="00460A1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color w:val="000000"/>
                <w:lang w:val="fr-FR"/>
              </w:rPr>
            </w:pPr>
            <w:r w:rsidRPr="005912FE">
              <w:rPr>
                <w:b/>
                <w:bCs/>
                <w:color w:val="000000"/>
                <w:lang w:val="fr-FR"/>
              </w:rPr>
              <w:t>Session spéciale du Groupe consultatif des radiocommunications (GCR) consacrée à l</w:t>
            </w:r>
            <w:r>
              <w:rPr>
                <w:b/>
                <w:bCs/>
                <w:color w:val="000000"/>
                <w:lang w:val="fr-FR"/>
              </w:rPr>
              <w:t>'</w:t>
            </w:r>
            <w:r w:rsidRPr="005912FE">
              <w:rPr>
                <w:b/>
                <w:bCs/>
                <w:color w:val="000000"/>
                <w:lang w:val="fr-FR"/>
              </w:rPr>
              <w:t>examen de la contribution du Groupe de travail par correspondance du GCR sur le Plan stratégique de l</w:t>
            </w:r>
            <w:r>
              <w:rPr>
                <w:b/>
                <w:bCs/>
                <w:color w:val="000000"/>
                <w:lang w:val="fr-FR"/>
              </w:rPr>
              <w:t>'</w:t>
            </w:r>
            <w:r w:rsidRPr="005912FE">
              <w:rPr>
                <w:b/>
                <w:bCs/>
                <w:color w:val="000000"/>
                <w:lang w:val="fr-FR"/>
              </w:rPr>
              <w:t>UIT pour la période 2028-2031, 9 décembre 2025, 13</w:t>
            </w:r>
            <w:r>
              <w:rPr>
                <w:b/>
                <w:bCs/>
                <w:color w:val="000000"/>
                <w:lang w:val="fr-FR"/>
              </w:rPr>
              <w:t> </w:t>
            </w:r>
            <w:r w:rsidRPr="005912FE">
              <w:rPr>
                <w:b/>
                <w:bCs/>
                <w:color w:val="000000"/>
                <w:lang w:val="fr-FR"/>
              </w:rPr>
              <w:t>h</w:t>
            </w:r>
            <w:r>
              <w:rPr>
                <w:b/>
                <w:bCs/>
                <w:color w:val="000000"/>
                <w:lang w:val="fr-FR"/>
              </w:rPr>
              <w:t> </w:t>
            </w:r>
            <w:r w:rsidRPr="005912FE">
              <w:rPr>
                <w:b/>
                <w:bCs/>
                <w:color w:val="000000"/>
                <w:lang w:val="fr-FR"/>
              </w:rPr>
              <w:t>00-16 h 00 (CET)</w:t>
            </w:r>
          </w:p>
        </w:tc>
      </w:tr>
      <w:tr w:rsidR="00E53DCE" w:rsidRPr="000E7991" w14:paraId="61BFC634" w14:textId="77777777" w:rsidTr="004228FA">
        <w:trPr>
          <w:jc w:val="center"/>
        </w:trPr>
        <w:tc>
          <w:tcPr>
            <w:tcW w:w="1526" w:type="dxa"/>
          </w:tcPr>
          <w:p w14:paraId="1D8E097C" w14:textId="77777777" w:rsidR="00E53DCE" w:rsidRPr="002052C9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</w:tcPr>
          <w:p w14:paraId="6D0E898D" w14:textId="77777777" w:rsidR="00E53DCE" w:rsidRPr="002052C9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2052C9" w:rsidRPr="000E7991" w14:paraId="5D074085" w14:textId="77777777" w:rsidTr="004228FA">
        <w:trPr>
          <w:jc w:val="center"/>
        </w:trPr>
        <w:tc>
          <w:tcPr>
            <w:tcW w:w="1526" w:type="dxa"/>
          </w:tcPr>
          <w:p w14:paraId="48457FD2" w14:textId="77777777" w:rsidR="002052C9" w:rsidRPr="002052C9" w:rsidRDefault="002052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</w:tcPr>
          <w:p w14:paraId="2D457787" w14:textId="77777777" w:rsidR="002052C9" w:rsidRPr="002052C9" w:rsidRDefault="002052C9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0E7991" w14:paraId="16E0966F" w14:textId="77777777" w:rsidTr="004228FA">
        <w:trPr>
          <w:jc w:val="center"/>
        </w:trPr>
        <w:tc>
          <w:tcPr>
            <w:tcW w:w="1526" w:type="dxa"/>
          </w:tcPr>
          <w:p w14:paraId="1523ACF5" w14:textId="77777777" w:rsidR="00E53DCE" w:rsidRPr="002052C9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</w:tcPr>
          <w:p w14:paraId="14AEF458" w14:textId="77777777" w:rsidR="00E53DCE" w:rsidRPr="002052C9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0E7991" w14:paraId="7F2EC983" w14:textId="77777777" w:rsidTr="004228FA">
        <w:trPr>
          <w:jc w:val="center"/>
        </w:trPr>
        <w:tc>
          <w:tcPr>
            <w:tcW w:w="9889" w:type="dxa"/>
            <w:gridSpan w:val="3"/>
          </w:tcPr>
          <w:p w14:paraId="40F7D839" w14:textId="77777777" w:rsidR="00E53DCE" w:rsidRPr="002052C9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0E7991" w14:paraId="290A0292" w14:textId="77777777" w:rsidTr="004228FA">
        <w:trPr>
          <w:jc w:val="center"/>
        </w:trPr>
        <w:tc>
          <w:tcPr>
            <w:tcW w:w="9889" w:type="dxa"/>
            <w:gridSpan w:val="3"/>
          </w:tcPr>
          <w:p w14:paraId="40F59961" w14:textId="77777777" w:rsidR="00E53DCE" w:rsidRPr="002052C9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</w:tbl>
    <w:p w14:paraId="001156D6" w14:textId="726C0352" w:rsidR="00E53DCE" w:rsidRPr="002052C9" w:rsidRDefault="00460A18" w:rsidP="00E912E6">
      <w:pPr>
        <w:rPr>
          <w:szCs w:val="24"/>
          <w:lang w:val="fr-CH"/>
        </w:rPr>
      </w:pPr>
      <w:r w:rsidRPr="005912FE">
        <w:rPr>
          <w:lang w:val="fr-FR"/>
        </w:rPr>
        <w:t>Conformément au résumé des conclusions de la 32ème réunion du GCR (voir la Lettre circulaire </w:t>
      </w:r>
      <w:hyperlink r:id="rId8" w:history="1">
        <w:r w:rsidRPr="005912FE">
          <w:rPr>
            <w:rStyle w:val="Hyperlink"/>
            <w:rFonts w:asciiTheme="minorHAnsi" w:hAnsiTheme="minorHAnsi" w:cstheme="minorHAnsi"/>
            <w:szCs w:val="24"/>
            <w:lang w:val="fr-FR"/>
          </w:rPr>
          <w:t>CA/277</w:t>
        </w:r>
      </w:hyperlink>
      <w:r w:rsidRPr="005912FE">
        <w:rPr>
          <w:lang w:val="fr-FR"/>
        </w:rPr>
        <w:t xml:space="preserve"> du BR</w:t>
      </w:r>
      <w:proofErr w:type="gramStart"/>
      <w:r w:rsidRPr="005912FE">
        <w:rPr>
          <w:lang w:val="fr-FR"/>
        </w:rPr>
        <w:t>):</w:t>
      </w:r>
      <w:proofErr w:type="gramEnd"/>
    </w:p>
    <w:p w14:paraId="4A2193C3" w14:textId="491D6C26" w:rsidR="00460A18" w:rsidRPr="005912FE" w:rsidRDefault="003D44AC" w:rsidP="00E912E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80"/>
        <w:ind w:left="284"/>
        <w:rPr>
          <w:rFonts w:asciiTheme="minorHAnsi" w:hAnsiTheme="minorHAnsi" w:cstheme="minorHAnsi"/>
          <w:i/>
          <w:iCs/>
          <w:szCs w:val="24"/>
          <w:lang w:val="fr-FR"/>
        </w:rPr>
      </w:pPr>
      <w:r w:rsidRPr="00017423">
        <w:rPr>
          <w:lang w:val="fr-FR"/>
        </w:rPr>
        <w:t>«</w:t>
      </w:r>
      <w:r w:rsidR="00460A18" w:rsidRPr="005912FE">
        <w:rPr>
          <w:i/>
          <w:iCs/>
          <w:lang w:val="fr-FR"/>
        </w:rPr>
        <w:t>Le GCR a reconnu qu</w:t>
      </w:r>
      <w:r w:rsidR="00460A18">
        <w:rPr>
          <w:i/>
          <w:iCs/>
          <w:lang w:val="fr-FR"/>
        </w:rPr>
        <w:t>'</w:t>
      </w:r>
      <w:r w:rsidR="00460A18" w:rsidRPr="005912FE">
        <w:rPr>
          <w:i/>
          <w:iCs/>
          <w:lang w:val="fr-FR"/>
        </w:rPr>
        <w:t>il était important que le Groupe consultatif contribue à l</w:t>
      </w:r>
      <w:r w:rsidR="00460A18">
        <w:rPr>
          <w:i/>
          <w:iCs/>
          <w:lang w:val="fr-FR"/>
        </w:rPr>
        <w:t>'</w:t>
      </w:r>
      <w:r w:rsidR="00460A18" w:rsidRPr="005912FE">
        <w:rPr>
          <w:i/>
          <w:iCs/>
          <w:lang w:val="fr-FR"/>
        </w:rPr>
        <w:t xml:space="preserve">élaboration du </w:t>
      </w:r>
      <w:r w:rsidR="00017423">
        <w:rPr>
          <w:i/>
          <w:iCs/>
          <w:lang w:val="fr-FR"/>
        </w:rPr>
        <w:t>P</w:t>
      </w:r>
      <w:r w:rsidR="00460A18" w:rsidRPr="005912FE">
        <w:rPr>
          <w:i/>
          <w:iCs/>
          <w:lang w:val="fr-FR"/>
        </w:rPr>
        <w:t>lan stratégique de l</w:t>
      </w:r>
      <w:r w:rsidR="00460A18">
        <w:rPr>
          <w:i/>
          <w:iCs/>
          <w:lang w:val="fr-FR"/>
        </w:rPr>
        <w:t>'</w:t>
      </w:r>
      <w:r w:rsidR="00460A18" w:rsidRPr="005912FE">
        <w:rPr>
          <w:i/>
          <w:iCs/>
          <w:lang w:val="fr-FR"/>
        </w:rPr>
        <w:t>UIT pour la période 2028-2031.</w:t>
      </w:r>
    </w:p>
    <w:p w14:paraId="052E8153" w14:textId="079F2505" w:rsidR="00460A18" w:rsidRPr="005912FE" w:rsidRDefault="00460A18" w:rsidP="00E912E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80"/>
        <w:ind w:left="284"/>
        <w:rPr>
          <w:rFonts w:asciiTheme="minorHAnsi" w:hAnsiTheme="minorHAnsi" w:cstheme="minorHAnsi"/>
          <w:i/>
          <w:iCs/>
          <w:szCs w:val="24"/>
          <w:lang w:val="fr-FR"/>
        </w:rPr>
      </w:pPr>
      <w:r w:rsidRPr="005912FE">
        <w:rPr>
          <w:i/>
          <w:iCs/>
          <w:lang w:val="fr-FR"/>
        </w:rPr>
        <w:t>Le GCR a approuvé la création d</w:t>
      </w:r>
      <w:r>
        <w:rPr>
          <w:i/>
          <w:iCs/>
          <w:lang w:val="fr-FR"/>
        </w:rPr>
        <w:t>'</w:t>
      </w:r>
      <w:r w:rsidRPr="005912FE">
        <w:rPr>
          <w:i/>
          <w:iCs/>
          <w:lang w:val="fr-FR"/>
        </w:rPr>
        <w:t>un Groupe de travail par correspondance sur le Plan stratégique de l</w:t>
      </w:r>
      <w:r>
        <w:rPr>
          <w:i/>
          <w:iCs/>
          <w:lang w:val="fr-FR"/>
        </w:rPr>
        <w:t>'</w:t>
      </w:r>
      <w:r w:rsidRPr="005912FE">
        <w:rPr>
          <w:i/>
          <w:iCs/>
          <w:lang w:val="fr-FR"/>
        </w:rPr>
        <w:t>UIT pour la période 2028-2031, dont le mandat est reproduit dans l</w:t>
      </w:r>
      <w:r>
        <w:rPr>
          <w:i/>
          <w:iCs/>
          <w:lang w:val="fr-FR"/>
        </w:rPr>
        <w:t>'</w:t>
      </w:r>
      <w:r w:rsidRPr="005912FE">
        <w:rPr>
          <w:i/>
          <w:iCs/>
          <w:lang w:val="fr-FR"/>
        </w:rPr>
        <w:t>Annexe</w:t>
      </w:r>
      <w:r w:rsidR="004B1760">
        <w:rPr>
          <w:i/>
          <w:iCs/>
          <w:lang w:val="fr-FR"/>
        </w:rPr>
        <w:t> </w:t>
      </w:r>
      <w:r w:rsidRPr="005912FE">
        <w:rPr>
          <w:i/>
          <w:iCs/>
          <w:lang w:val="fr-FR"/>
        </w:rPr>
        <w:t xml:space="preserve">1 </w:t>
      </w:r>
      <w:r>
        <w:rPr>
          <w:i/>
          <w:iCs/>
          <w:lang w:val="fr-FR"/>
        </w:rPr>
        <w:t>[de la Lettre circulaire CA/277]</w:t>
      </w:r>
      <w:r w:rsidRPr="005912FE">
        <w:rPr>
          <w:i/>
          <w:iCs/>
          <w:lang w:val="fr-FR"/>
        </w:rPr>
        <w:t>.</w:t>
      </w:r>
      <w:r w:rsidR="003D44AC" w:rsidRPr="00017423">
        <w:rPr>
          <w:lang w:val="fr-FR"/>
        </w:rPr>
        <w:t>»</w:t>
      </w:r>
    </w:p>
    <w:p w14:paraId="64240CB1" w14:textId="1C9EE216" w:rsidR="00460A18" w:rsidRPr="005912FE" w:rsidRDefault="00460A18" w:rsidP="00E912E6">
      <w:pPr>
        <w:rPr>
          <w:color w:val="000000"/>
          <w:szCs w:val="24"/>
          <w:lang w:val="fr-FR"/>
        </w:rPr>
      </w:pPr>
      <w:r w:rsidRPr="005912FE">
        <w:rPr>
          <w:lang w:val="fr-FR"/>
        </w:rPr>
        <w:t>Le Groupe de travail par correspondance du GCR sur le Plan stratégique de l</w:t>
      </w:r>
      <w:r>
        <w:rPr>
          <w:lang w:val="fr-FR"/>
        </w:rPr>
        <w:t>'</w:t>
      </w:r>
      <w:r w:rsidRPr="005912FE">
        <w:rPr>
          <w:lang w:val="fr-FR"/>
        </w:rPr>
        <w:t>UIT pour la période</w:t>
      </w:r>
      <w:r w:rsidR="002F2ADB">
        <w:rPr>
          <w:lang w:val="fr-FR"/>
        </w:rPr>
        <w:t> </w:t>
      </w:r>
      <w:r w:rsidRPr="005912FE">
        <w:rPr>
          <w:lang w:val="fr-FR"/>
        </w:rPr>
        <w:t>2028-2031</w:t>
      </w:r>
      <w:r w:rsidRPr="005912FE">
        <w:rPr>
          <w:rStyle w:val="FootnoteReference"/>
          <w:rFonts w:asciiTheme="minorHAnsi" w:hAnsiTheme="minorHAnsi" w:cstheme="minorBidi"/>
          <w:sz w:val="24"/>
          <w:szCs w:val="24"/>
          <w:vertAlign w:val="superscript"/>
          <w:lang w:val="fr-FR"/>
        </w:rPr>
        <w:footnoteReference w:id="1"/>
      </w:r>
      <w:r w:rsidRPr="005912FE">
        <w:rPr>
          <w:lang w:val="fr-FR"/>
        </w:rPr>
        <w:t xml:space="preserve"> présentera à la session spéciale du GCR un projet de contribution à la quatrième réunion du Groupe de travail du Conseil chargé d</w:t>
      </w:r>
      <w:r>
        <w:rPr>
          <w:lang w:val="fr-FR"/>
        </w:rPr>
        <w:t>'</w:t>
      </w:r>
      <w:r w:rsidRPr="005912FE">
        <w:rPr>
          <w:lang w:val="fr-FR"/>
        </w:rPr>
        <w:t>élaborer le Plan stratégique et le Plan</w:t>
      </w:r>
      <w:r w:rsidR="002F2ADB">
        <w:rPr>
          <w:lang w:val="fr-FR"/>
        </w:rPr>
        <w:t> </w:t>
      </w:r>
      <w:r w:rsidRPr="005912FE">
        <w:rPr>
          <w:lang w:val="fr-FR"/>
        </w:rPr>
        <w:t>financier de l</w:t>
      </w:r>
      <w:r>
        <w:rPr>
          <w:lang w:val="fr-FR"/>
        </w:rPr>
        <w:t>'</w:t>
      </w:r>
      <w:r w:rsidRPr="005912FE">
        <w:rPr>
          <w:lang w:val="fr-FR"/>
        </w:rPr>
        <w:t>UIT pour la période 2028-2031 (GTC-SFP), prévue en janvier 2026.</w:t>
      </w:r>
    </w:p>
    <w:p w14:paraId="5607BD56" w14:textId="77777777" w:rsidR="00460A18" w:rsidRPr="005912FE" w:rsidRDefault="00460A18" w:rsidP="00E912E6">
      <w:pPr>
        <w:rPr>
          <w:lang w:val="fr-FR"/>
        </w:rPr>
      </w:pPr>
      <w:r>
        <w:rPr>
          <w:lang w:val="fr-FR"/>
        </w:rPr>
        <w:t>Ledit</w:t>
      </w:r>
      <w:r w:rsidRPr="005912FE">
        <w:rPr>
          <w:lang w:val="fr-FR"/>
        </w:rPr>
        <w:t xml:space="preserve"> groupe de travail par correspondance a élaboré un projet de contribution destiné à être examiné pendant la session spéciale du GCR. Le GCR examinera et révisera ce projet de contribution </w:t>
      </w:r>
      <w:r w:rsidRPr="00F60457">
        <w:rPr>
          <w:lang w:val="fr-FR"/>
        </w:rPr>
        <w:t>avant de le soumettre</w:t>
      </w:r>
      <w:r w:rsidRPr="005912FE">
        <w:rPr>
          <w:lang w:val="fr-FR"/>
        </w:rPr>
        <w:t xml:space="preserve"> à la quatrième réunion du GTC-SFP, prévue en janvier 2026.</w:t>
      </w:r>
    </w:p>
    <w:p w14:paraId="23669062" w14:textId="74D44632" w:rsidR="002A5DD7" w:rsidRPr="002052C9" w:rsidRDefault="00460A18" w:rsidP="00E912E6">
      <w:pPr>
        <w:rPr>
          <w:rFonts w:asciiTheme="minorHAnsi" w:hAnsiTheme="minorHAnsi" w:cstheme="minorHAnsi"/>
          <w:szCs w:val="24"/>
          <w:lang w:val="fr-CH"/>
        </w:rPr>
      </w:pPr>
      <w:r w:rsidRPr="005912FE">
        <w:rPr>
          <w:lang w:val="fr-FR"/>
        </w:rPr>
        <w:t>En conséquence, une réunion virtuelle du GCR sera organisée comme suit afin d</w:t>
      </w:r>
      <w:r>
        <w:rPr>
          <w:lang w:val="fr-FR"/>
        </w:rPr>
        <w:t>'</w:t>
      </w:r>
      <w:r w:rsidRPr="005912FE">
        <w:rPr>
          <w:lang w:val="fr-FR"/>
        </w:rPr>
        <w:t>examiner la contribution du GCR au GTC-SFP</w:t>
      </w:r>
      <w:r w:rsidR="003D44AC">
        <w:rPr>
          <w:lang w:val="fr-FR"/>
        </w:rPr>
        <w:t xml:space="preserve"> </w:t>
      </w:r>
      <w:r w:rsidRPr="005912FE">
        <w:rPr>
          <w:lang w:val="fr-FR"/>
        </w:rPr>
        <w:t>et d</w:t>
      </w:r>
      <w:r>
        <w:rPr>
          <w:lang w:val="fr-FR"/>
        </w:rPr>
        <w:t>'</w:t>
      </w:r>
      <w:r w:rsidRPr="005912FE">
        <w:rPr>
          <w:lang w:val="fr-FR"/>
        </w:rPr>
        <w:t>en établir la version finale: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6"/>
        <w:gridCol w:w="1277"/>
        <w:gridCol w:w="1560"/>
        <w:gridCol w:w="1984"/>
        <w:gridCol w:w="1049"/>
      </w:tblGrid>
      <w:tr w:rsidR="00460A18" w:rsidRPr="002F2ADB" w14:paraId="2F138112" w14:textId="77777777" w:rsidTr="00E912E6">
        <w:trPr>
          <w:jc w:val="center"/>
        </w:trPr>
        <w:tc>
          <w:tcPr>
            <w:tcW w:w="1929" w:type="pct"/>
            <w:vAlign w:val="center"/>
          </w:tcPr>
          <w:p w14:paraId="6CF610BE" w14:textId="77777777" w:rsidR="00460A18" w:rsidRPr="002F2ADB" w:rsidRDefault="00460A18" w:rsidP="00E12F63">
            <w:pPr>
              <w:pStyle w:val="Tablehead"/>
              <w:rPr>
                <w:szCs w:val="20"/>
                <w:lang w:val="fr-FR"/>
              </w:rPr>
            </w:pPr>
            <w:r w:rsidRPr="002F2ADB">
              <w:rPr>
                <w:szCs w:val="20"/>
                <w:lang w:val="fr-FR"/>
              </w:rPr>
              <w:lastRenderedPageBreak/>
              <w:t>Réunion</w:t>
            </w:r>
          </w:p>
        </w:tc>
        <w:tc>
          <w:tcPr>
            <w:tcW w:w="668" w:type="pct"/>
            <w:vAlign w:val="center"/>
          </w:tcPr>
          <w:p w14:paraId="36ED421C" w14:textId="77777777" w:rsidR="00460A18" w:rsidRPr="002F2ADB" w:rsidRDefault="00460A18" w:rsidP="00E12F63">
            <w:pPr>
              <w:pStyle w:val="Tablehead"/>
              <w:rPr>
                <w:szCs w:val="20"/>
                <w:lang w:val="fr-FR"/>
              </w:rPr>
            </w:pPr>
            <w:r w:rsidRPr="002F2ADB">
              <w:rPr>
                <w:szCs w:val="20"/>
                <w:lang w:val="fr-FR"/>
              </w:rPr>
              <w:t>Date</w:t>
            </w:r>
          </w:p>
        </w:tc>
        <w:tc>
          <w:tcPr>
            <w:tcW w:w="816" w:type="pct"/>
            <w:vAlign w:val="center"/>
          </w:tcPr>
          <w:p w14:paraId="470DF407" w14:textId="0B67A8BB" w:rsidR="00460A18" w:rsidRPr="002F2ADB" w:rsidRDefault="00460A18" w:rsidP="00E12F63">
            <w:pPr>
              <w:pStyle w:val="Tablehead"/>
              <w:rPr>
                <w:szCs w:val="20"/>
                <w:lang w:val="fr-FR"/>
              </w:rPr>
            </w:pPr>
            <w:r w:rsidRPr="002F2ADB">
              <w:rPr>
                <w:szCs w:val="20"/>
                <w:lang w:val="fr-FR"/>
              </w:rPr>
              <w:t xml:space="preserve">Horaires </w:t>
            </w:r>
            <w:r w:rsidR="00017423" w:rsidRPr="002F2ADB">
              <w:rPr>
                <w:szCs w:val="20"/>
                <w:lang w:val="fr-FR"/>
              </w:rPr>
              <w:br/>
            </w:r>
            <w:r w:rsidRPr="002F2ADB">
              <w:rPr>
                <w:szCs w:val="20"/>
                <w:lang w:val="fr-FR"/>
              </w:rPr>
              <w:t>(CET)</w:t>
            </w:r>
          </w:p>
        </w:tc>
        <w:tc>
          <w:tcPr>
            <w:tcW w:w="1038" w:type="pct"/>
            <w:vAlign w:val="center"/>
          </w:tcPr>
          <w:p w14:paraId="7D5791CC" w14:textId="77777777" w:rsidR="00460A18" w:rsidRPr="002F2ADB" w:rsidRDefault="00460A18" w:rsidP="00E12F63">
            <w:pPr>
              <w:pStyle w:val="Tablehead"/>
              <w:rPr>
                <w:szCs w:val="20"/>
                <w:lang w:val="fr-FR"/>
              </w:rPr>
            </w:pPr>
            <w:r w:rsidRPr="002F2ADB">
              <w:rPr>
                <w:szCs w:val="20"/>
                <w:lang w:val="fr-FR"/>
              </w:rPr>
              <w:t>Date limite de soumission des contributions</w:t>
            </w:r>
          </w:p>
        </w:tc>
        <w:tc>
          <w:tcPr>
            <w:tcW w:w="549" w:type="pct"/>
            <w:vAlign w:val="center"/>
          </w:tcPr>
          <w:p w14:paraId="23813679" w14:textId="77777777" w:rsidR="00460A18" w:rsidRPr="002F2ADB" w:rsidRDefault="00460A18" w:rsidP="00E12F63">
            <w:pPr>
              <w:pStyle w:val="Tablehead"/>
              <w:rPr>
                <w:szCs w:val="20"/>
                <w:lang w:val="fr-FR"/>
              </w:rPr>
            </w:pPr>
            <w:r w:rsidRPr="002F2ADB">
              <w:rPr>
                <w:szCs w:val="20"/>
                <w:lang w:val="fr-FR"/>
              </w:rPr>
              <w:t>Format</w:t>
            </w:r>
          </w:p>
        </w:tc>
      </w:tr>
      <w:tr w:rsidR="00460A18" w:rsidRPr="002F2ADB" w14:paraId="7FEF1A31" w14:textId="77777777" w:rsidTr="00E912E6">
        <w:trPr>
          <w:jc w:val="center"/>
        </w:trPr>
        <w:tc>
          <w:tcPr>
            <w:tcW w:w="1929" w:type="pct"/>
            <w:vAlign w:val="center"/>
          </w:tcPr>
          <w:p w14:paraId="1A4B6376" w14:textId="084CF535" w:rsidR="00460A18" w:rsidRPr="002F2ADB" w:rsidRDefault="00460A18" w:rsidP="00E12F63">
            <w:pPr>
              <w:pStyle w:val="Tabletext"/>
              <w:keepNext/>
              <w:rPr>
                <w:b/>
                <w:bCs/>
                <w:szCs w:val="20"/>
                <w:lang w:val="fr-FR"/>
              </w:rPr>
            </w:pPr>
            <w:r w:rsidRPr="002F2ADB">
              <w:rPr>
                <w:b/>
                <w:bCs/>
                <w:szCs w:val="20"/>
                <w:lang w:val="fr-FR"/>
              </w:rPr>
              <w:t>Session spéciale du GCR consacrée à l'examen de la contribution du Groupe de travail par correspondance du GCR sur le Plan</w:t>
            </w:r>
            <w:r w:rsidR="00017423" w:rsidRPr="002F2ADB">
              <w:rPr>
                <w:b/>
                <w:bCs/>
                <w:szCs w:val="20"/>
                <w:lang w:val="fr-FR"/>
              </w:rPr>
              <w:t> </w:t>
            </w:r>
            <w:r w:rsidRPr="002F2ADB">
              <w:rPr>
                <w:b/>
                <w:bCs/>
                <w:szCs w:val="20"/>
                <w:lang w:val="fr-FR"/>
              </w:rPr>
              <w:t>stratégique de l'UIT pour la période 2028-2031</w:t>
            </w:r>
          </w:p>
        </w:tc>
        <w:tc>
          <w:tcPr>
            <w:tcW w:w="668" w:type="pct"/>
            <w:vAlign w:val="center"/>
          </w:tcPr>
          <w:p w14:paraId="59336A20" w14:textId="77777777" w:rsidR="00460A18" w:rsidRPr="002F2ADB" w:rsidRDefault="00460A18" w:rsidP="00017423">
            <w:pPr>
              <w:pStyle w:val="Tabletext"/>
              <w:keepNext/>
              <w:jc w:val="center"/>
              <w:rPr>
                <w:szCs w:val="20"/>
                <w:lang w:val="fr-FR"/>
              </w:rPr>
            </w:pPr>
            <w:r w:rsidRPr="002F2ADB">
              <w:rPr>
                <w:szCs w:val="20"/>
                <w:lang w:val="fr-FR"/>
              </w:rPr>
              <w:t>9 décembre 2025</w:t>
            </w:r>
          </w:p>
        </w:tc>
        <w:tc>
          <w:tcPr>
            <w:tcW w:w="816" w:type="pct"/>
            <w:vAlign w:val="center"/>
          </w:tcPr>
          <w:p w14:paraId="247B39AC" w14:textId="69BE9E59" w:rsidR="00460A18" w:rsidRPr="002F2ADB" w:rsidRDefault="00460A18" w:rsidP="00017423">
            <w:pPr>
              <w:pStyle w:val="Tabletext"/>
              <w:keepNext/>
              <w:jc w:val="center"/>
              <w:rPr>
                <w:szCs w:val="20"/>
                <w:lang w:val="fr-FR"/>
              </w:rPr>
            </w:pPr>
            <w:r w:rsidRPr="002F2ADB">
              <w:rPr>
                <w:szCs w:val="20"/>
                <w:lang w:val="fr-FR"/>
              </w:rPr>
              <w:t xml:space="preserve">13 h 00 à </w:t>
            </w:r>
            <w:r w:rsidR="005C23CC" w:rsidRPr="002F2ADB">
              <w:rPr>
                <w:szCs w:val="20"/>
                <w:lang w:val="fr-FR"/>
              </w:rPr>
              <w:br/>
            </w:r>
            <w:r w:rsidRPr="002F2ADB">
              <w:rPr>
                <w:szCs w:val="20"/>
                <w:lang w:val="fr-FR"/>
              </w:rPr>
              <w:t>16 h 00</w:t>
            </w:r>
          </w:p>
        </w:tc>
        <w:tc>
          <w:tcPr>
            <w:tcW w:w="1038" w:type="pct"/>
            <w:vAlign w:val="center"/>
          </w:tcPr>
          <w:p w14:paraId="2660527A" w14:textId="45B592A1" w:rsidR="00460A18" w:rsidRPr="002F2ADB" w:rsidRDefault="00460A18" w:rsidP="00017423">
            <w:pPr>
              <w:pStyle w:val="Tabletext"/>
              <w:keepNext/>
              <w:jc w:val="center"/>
              <w:rPr>
                <w:szCs w:val="20"/>
                <w:lang w:val="fr-FR"/>
              </w:rPr>
            </w:pPr>
            <w:r w:rsidRPr="002F2ADB">
              <w:rPr>
                <w:szCs w:val="20"/>
                <w:lang w:val="fr-FR"/>
              </w:rPr>
              <w:t>25 novembre 2025</w:t>
            </w:r>
          </w:p>
        </w:tc>
        <w:tc>
          <w:tcPr>
            <w:tcW w:w="549" w:type="pct"/>
            <w:vAlign w:val="center"/>
          </w:tcPr>
          <w:p w14:paraId="5848E7BD" w14:textId="61C70D78" w:rsidR="00460A18" w:rsidRPr="002F2ADB" w:rsidRDefault="00460A18" w:rsidP="00017423">
            <w:pPr>
              <w:pStyle w:val="Tabletext"/>
              <w:keepNext/>
              <w:jc w:val="center"/>
              <w:rPr>
                <w:szCs w:val="20"/>
                <w:lang w:val="fr-FR"/>
              </w:rPr>
            </w:pPr>
            <w:r w:rsidRPr="002F2ADB">
              <w:rPr>
                <w:szCs w:val="20"/>
                <w:lang w:val="fr-FR"/>
              </w:rPr>
              <w:t>Virtuel</w:t>
            </w:r>
          </w:p>
        </w:tc>
      </w:tr>
    </w:tbl>
    <w:p w14:paraId="0ACAB03C" w14:textId="23D0FDFC" w:rsidR="00460A18" w:rsidRPr="005912FE" w:rsidRDefault="00460A18" w:rsidP="00E912E6">
      <w:pPr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>Comme indiqué dans l</w:t>
      </w:r>
      <w:r>
        <w:rPr>
          <w:lang w:val="fr-FR"/>
        </w:rPr>
        <w:t>'</w:t>
      </w:r>
      <w:r w:rsidRPr="005912FE">
        <w:rPr>
          <w:lang w:val="fr-FR"/>
        </w:rPr>
        <w:t>article 11A de la Convention de l</w:t>
      </w:r>
      <w:r>
        <w:rPr>
          <w:lang w:val="fr-FR"/>
        </w:rPr>
        <w:t>'</w:t>
      </w:r>
      <w:r w:rsidRPr="005912FE">
        <w:rPr>
          <w:lang w:val="fr-FR"/>
        </w:rPr>
        <w:t xml:space="preserve">UIT, le GCR est ouvert à la participation des représentants des Administrations des États Membres et des représentants des Membres du Secteur ainsi que des </w:t>
      </w:r>
      <w:r w:rsidR="00017423">
        <w:rPr>
          <w:lang w:val="fr-FR"/>
        </w:rPr>
        <w:t>p</w:t>
      </w:r>
      <w:r w:rsidRPr="005912FE">
        <w:rPr>
          <w:lang w:val="fr-FR"/>
        </w:rPr>
        <w:t xml:space="preserve">résidents des </w:t>
      </w:r>
      <w:r>
        <w:rPr>
          <w:lang w:val="fr-FR"/>
        </w:rPr>
        <w:t>c</w:t>
      </w:r>
      <w:r w:rsidRPr="005912FE">
        <w:rPr>
          <w:lang w:val="fr-FR"/>
        </w:rPr>
        <w:t>ommissions d</w:t>
      </w:r>
      <w:r>
        <w:rPr>
          <w:lang w:val="fr-FR"/>
        </w:rPr>
        <w:t>'</w:t>
      </w:r>
      <w:r w:rsidRPr="005912FE">
        <w:rPr>
          <w:lang w:val="fr-FR"/>
        </w:rPr>
        <w:t>études et autres groupes.</w:t>
      </w:r>
    </w:p>
    <w:p w14:paraId="1CD7A10D" w14:textId="2C619900" w:rsidR="00460A18" w:rsidRPr="005912FE" w:rsidRDefault="00460A18" w:rsidP="00E912E6">
      <w:pPr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>Le GCR est notamment chargé d</w:t>
      </w:r>
      <w:r>
        <w:rPr>
          <w:lang w:val="fr-FR"/>
        </w:rPr>
        <w:t>'</w:t>
      </w:r>
      <w:r w:rsidRPr="005912FE">
        <w:rPr>
          <w:lang w:val="fr-FR"/>
        </w:rPr>
        <w:t>examiner les priorités, les programmes, les opérations, les questions financières et les stratégies concernant les Assemblées des radiocommunications, les commissions d</w:t>
      </w:r>
      <w:r>
        <w:rPr>
          <w:lang w:val="fr-FR"/>
        </w:rPr>
        <w:t>'</w:t>
      </w:r>
      <w:r w:rsidRPr="005912FE">
        <w:rPr>
          <w:lang w:val="fr-FR"/>
        </w:rPr>
        <w:t xml:space="preserve">études et la préparation des </w:t>
      </w:r>
      <w:r w:rsidR="00017423">
        <w:rPr>
          <w:lang w:val="fr-FR"/>
        </w:rPr>
        <w:t>c</w:t>
      </w:r>
      <w:r w:rsidRPr="005912FE">
        <w:rPr>
          <w:lang w:val="fr-FR"/>
        </w:rPr>
        <w:t>onférences des radiocommunications ainsi que toute question particulière que lui confie une conférence de l</w:t>
      </w:r>
      <w:r>
        <w:rPr>
          <w:lang w:val="fr-FR"/>
        </w:rPr>
        <w:t>'</w:t>
      </w:r>
      <w:r w:rsidRPr="005912FE">
        <w:rPr>
          <w:lang w:val="fr-FR"/>
        </w:rPr>
        <w:t>Union, une Assemblée des radiocommunications ou le Conseil. Il recommande des mesures visant à encourager la coopération et la coordination avec d</w:t>
      </w:r>
      <w:r>
        <w:rPr>
          <w:lang w:val="fr-FR"/>
        </w:rPr>
        <w:t>'</w:t>
      </w:r>
      <w:r w:rsidRPr="005912FE">
        <w:rPr>
          <w:lang w:val="fr-FR"/>
        </w:rPr>
        <w:t>autres organes de normalisation, avec le Secteur de la normalisation des télécommunications, avec le Secteur du développement des télécommunications et avec le Secrétariat général.</w:t>
      </w:r>
    </w:p>
    <w:p w14:paraId="174A2C7E" w14:textId="0425248F" w:rsidR="00460A18" w:rsidRPr="005912FE" w:rsidRDefault="00460A18" w:rsidP="00E912E6">
      <w:pPr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>Le projet d</w:t>
      </w:r>
      <w:r>
        <w:rPr>
          <w:lang w:val="fr-FR"/>
        </w:rPr>
        <w:t>'</w:t>
      </w:r>
      <w:r w:rsidRPr="005912FE">
        <w:rPr>
          <w:lang w:val="fr-FR"/>
        </w:rPr>
        <w:t>ordre du jour a été établi en concertation avec le Président du GCR et est reproduit dans l</w:t>
      </w:r>
      <w:r>
        <w:rPr>
          <w:lang w:val="fr-FR"/>
        </w:rPr>
        <w:t>'</w:t>
      </w:r>
      <w:r w:rsidRPr="005912FE">
        <w:rPr>
          <w:b/>
          <w:bCs/>
          <w:lang w:val="fr-FR"/>
        </w:rPr>
        <w:t>Annexe</w:t>
      </w:r>
      <w:r w:rsidRPr="005912FE">
        <w:rPr>
          <w:lang w:val="fr-FR"/>
        </w:rPr>
        <w:t>.</w:t>
      </w:r>
    </w:p>
    <w:p w14:paraId="13999D2A" w14:textId="041C7342" w:rsidR="00460A18" w:rsidRPr="005912FE" w:rsidRDefault="00460A18" w:rsidP="00E912E6">
      <w:pPr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>Tous les documents et renseignements administratifs concernant la prochaine réunion du GCR seront mis sur le site web de l</w:t>
      </w:r>
      <w:r>
        <w:rPr>
          <w:lang w:val="fr-FR"/>
        </w:rPr>
        <w:t>'</w:t>
      </w:r>
      <w:r w:rsidRPr="005912FE">
        <w:rPr>
          <w:lang w:val="fr-FR"/>
        </w:rPr>
        <w:t>UIT à l</w:t>
      </w:r>
      <w:r>
        <w:rPr>
          <w:lang w:val="fr-FR"/>
        </w:rPr>
        <w:t>'</w:t>
      </w:r>
      <w:r w:rsidRPr="005912FE">
        <w:rPr>
          <w:lang w:val="fr-FR"/>
        </w:rPr>
        <w:t xml:space="preserve">adresse </w:t>
      </w:r>
      <w:hyperlink r:id="rId9" w:anchor="/fr" w:history="1">
        <w:r w:rsidR="00D56104" w:rsidRPr="00D56104">
          <w:rPr>
            <w:rStyle w:val="Hyperlink"/>
            <w:rFonts w:asciiTheme="minorHAnsi" w:hAnsiTheme="minorHAnsi" w:cstheme="minorHAnsi"/>
            <w:szCs w:val="24"/>
            <w:lang w:val="fr-CH"/>
          </w:rPr>
          <w:t>https://itu.int/rag</w:t>
        </w:r>
      </w:hyperlink>
      <w:r w:rsidRPr="005912FE">
        <w:rPr>
          <w:lang w:val="fr-FR"/>
        </w:rPr>
        <w:t xml:space="preserve"> dès qu</w:t>
      </w:r>
      <w:r>
        <w:rPr>
          <w:lang w:val="fr-FR"/>
        </w:rPr>
        <w:t>'</w:t>
      </w:r>
      <w:r w:rsidRPr="005912FE">
        <w:rPr>
          <w:lang w:val="fr-FR"/>
        </w:rPr>
        <w:t>ils seront prêts.</w:t>
      </w:r>
      <w:hyperlink r:id="rId10" w:history="1"/>
    </w:p>
    <w:p w14:paraId="072F215D" w14:textId="77777777" w:rsidR="00460A18" w:rsidRPr="005912FE" w:rsidRDefault="00460A18" w:rsidP="00E912E6">
      <w:pPr>
        <w:pStyle w:val="Headingb"/>
        <w:spacing w:before="360"/>
        <w:rPr>
          <w:rFonts w:asciiTheme="minorHAnsi" w:hAnsiTheme="minorHAnsi" w:cstheme="minorHAnsi"/>
          <w:szCs w:val="24"/>
          <w:lang w:val="fr-FR"/>
        </w:rPr>
      </w:pPr>
      <w:r w:rsidRPr="005912FE">
        <w:rPr>
          <w:bCs/>
          <w:lang w:val="fr-FR"/>
        </w:rPr>
        <w:t>Contributions</w:t>
      </w:r>
    </w:p>
    <w:p w14:paraId="361F9CBD" w14:textId="5BA815F1" w:rsidR="00460A18" w:rsidRPr="005912FE" w:rsidRDefault="00460A18" w:rsidP="00E912E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>Les contributions devront être soumises au Bureau des radiocommunications (BR) à l</w:t>
      </w:r>
      <w:r>
        <w:rPr>
          <w:lang w:val="fr-FR"/>
        </w:rPr>
        <w:t>'</w:t>
      </w:r>
      <w:r w:rsidRPr="005912FE">
        <w:rPr>
          <w:lang w:val="fr-FR"/>
        </w:rPr>
        <w:t xml:space="preserve">adresse </w:t>
      </w:r>
      <w:hyperlink r:id="rId11" w:history="1">
        <w:r w:rsidRPr="005912FE">
          <w:rPr>
            <w:rStyle w:val="Hyperlink"/>
            <w:rFonts w:asciiTheme="minorHAnsi" w:hAnsiTheme="minorHAnsi" w:cstheme="minorHAnsi"/>
            <w:szCs w:val="24"/>
            <w:lang w:val="fr-FR"/>
          </w:rPr>
          <w:t>brrag@itu.int</w:t>
        </w:r>
      </w:hyperlink>
      <w:r w:rsidRPr="005912FE">
        <w:rPr>
          <w:lang w:val="fr-FR"/>
        </w:rPr>
        <w:t xml:space="preserve">, avec copie au Président et aux Vice-Présidents du GCR (voir les adresses électroniques indiquées sur le </w:t>
      </w:r>
      <w:hyperlink r:id="rId12" w:history="1">
        <w:r w:rsidRPr="005912FE">
          <w:rPr>
            <w:rStyle w:val="Hyperlink"/>
            <w:lang w:val="fr-FR"/>
          </w:rPr>
          <w:t>site web du GCR</w:t>
        </w:r>
      </w:hyperlink>
      <w:r w:rsidRPr="005912FE">
        <w:rPr>
          <w:lang w:val="fr-FR"/>
        </w:rPr>
        <w:t>).</w:t>
      </w:r>
      <w:hyperlink r:id="rId13" w:history="1"/>
      <w:hyperlink r:id="rId14" w:history="1"/>
    </w:p>
    <w:p w14:paraId="75CCE216" w14:textId="79E8A7B9" w:rsidR="00460A18" w:rsidRDefault="00460A18" w:rsidP="00E912E6">
      <w:pPr>
        <w:tabs>
          <w:tab w:val="clear" w:pos="794"/>
          <w:tab w:val="clear" w:pos="1191"/>
          <w:tab w:val="clear" w:pos="1588"/>
          <w:tab w:val="clear" w:pos="1985"/>
        </w:tabs>
        <w:rPr>
          <w:lang w:val="fr-FR"/>
        </w:rPr>
      </w:pPr>
      <w:r w:rsidRPr="005912FE">
        <w:rPr>
          <w:lang w:val="fr-FR"/>
        </w:rPr>
        <w:t>Pour pouvoir assurer la traduction des documents du GCR dans les six langues de l</w:t>
      </w:r>
      <w:r>
        <w:rPr>
          <w:lang w:val="fr-FR"/>
        </w:rPr>
        <w:t>'</w:t>
      </w:r>
      <w:r w:rsidRPr="005912FE">
        <w:rPr>
          <w:lang w:val="fr-FR"/>
        </w:rPr>
        <w:t>Union, les contributions doivent être soumises avant la date limite indiquée dans le tableau ci-dessus. Les contributions reçues après cette date seront publiées dans la langue originale seulement.</w:t>
      </w:r>
    </w:p>
    <w:p w14:paraId="500A679E" w14:textId="77777777" w:rsidR="00460A18" w:rsidRPr="00E912E6" w:rsidRDefault="00460A18" w:rsidP="00E912E6">
      <w:pPr>
        <w:pStyle w:val="Headingb"/>
        <w:rPr>
          <w:lang w:val="fr-FR"/>
        </w:rPr>
      </w:pPr>
      <w:bookmarkStart w:id="0" w:name="_Hlk52981897"/>
      <w:r w:rsidRPr="00E912E6">
        <w:rPr>
          <w:lang w:val="fr-FR"/>
        </w:rPr>
        <w:t xml:space="preserve">Participation à distance, interprétation et diffusion sur le web </w:t>
      </w:r>
    </w:p>
    <w:p w14:paraId="3A35FB87" w14:textId="11D594E0" w:rsidR="00460A18" w:rsidRPr="005912FE" w:rsidRDefault="00460A18" w:rsidP="00E912E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 xml:space="preserve">Cette session du GCR se déroulera de manière entièrement virtuelle sur la plate-forme </w:t>
      </w:r>
      <w:hyperlink r:id="rId15" w:history="1">
        <w:r w:rsidRPr="005912FE">
          <w:rPr>
            <w:rStyle w:val="Hyperlink"/>
            <w:lang w:val="fr-FR"/>
          </w:rPr>
          <w:t>Zoom</w:t>
        </w:r>
      </w:hyperlink>
      <w:r w:rsidRPr="005912FE">
        <w:rPr>
          <w:lang w:val="fr-FR"/>
        </w:rPr>
        <w:t>.</w:t>
      </w:r>
      <w:hyperlink r:id="rId16" w:history="1"/>
    </w:p>
    <w:p w14:paraId="43FF4FCC" w14:textId="030AE546" w:rsidR="00460A18" w:rsidRPr="005912FE" w:rsidRDefault="00460A18" w:rsidP="00E912E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 xml:space="preserve">En raison des contraintes financières et de la disponibilité des interprètes, </w:t>
      </w:r>
      <w:r w:rsidRPr="005912FE">
        <w:rPr>
          <w:b/>
          <w:bCs/>
          <w:lang w:val="fr-FR"/>
        </w:rPr>
        <w:t>les États Membres sont priés de confirmer, au plus tard le 17 novembre 2025</w:t>
      </w:r>
      <w:r w:rsidRPr="005912FE">
        <w:rPr>
          <w:lang w:val="fr-FR"/>
        </w:rPr>
        <w:t>, si un service d</w:t>
      </w:r>
      <w:r>
        <w:rPr>
          <w:lang w:val="fr-FR"/>
        </w:rPr>
        <w:t>'</w:t>
      </w:r>
      <w:r w:rsidRPr="005912FE">
        <w:rPr>
          <w:lang w:val="fr-FR"/>
        </w:rPr>
        <w:t>interprétation est nécessaire en arabe, en chinois ou en espagnol. La nécessité d</w:t>
      </w:r>
      <w:r>
        <w:rPr>
          <w:lang w:val="fr-FR"/>
        </w:rPr>
        <w:t>'</w:t>
      </w:r>
      <w:r w:rsidRPr="005912FE">
        <w:rPr>
          <w:lang w:val="fr-FR"/>
        </w:rPr>
        <w:t>un service d</w:t>
      </w:r>
      <w:r>
        <w:rPr>
          <w:lang w:val="fr-FR"/>
        </w:rPr>
        <w:t>'</w:t>
      </w:r>
      <w:r w:rsidRPr="005912FE">
        <w:rPr>
          <w:lang w:val="fr-FR"/>
        </w:rPr>
        <w:t>interprétation en français et en russe a déjà été confirmée pour cette réunion.</w:t>
      </w:r>
    </w:p>
    <w:p w14:paraId="34A51236" w14:textId="0981DB04" w:rsidR="00460A18" w:rsidRPr="005912FE" w:rsidRDefault="00460A18" w:rsidP="00E912E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>La session du GCR sera en outre diffusée sur le web et enregistrée dans les six langues pour visionnage pendant et après la réunion. Il n</w:t>
      </w:r>
      <w:r>
        <w:rPr>
          <w:lang w:val="fr-FR"/>
        </w:rPr>
        <w:t>'</w:t>
      </w:r>
      <w:r w:rsidRPr="005912FE">
        <w:rPr>
          <w:lang w:val="fr-FR"/>
        </w:rPr>
        <w:t>est pas nécessaire de s</w:t>
      </w:r>
      <w:r>
        <w:rPr>
          <w:lang w:val="fr-FR"/>
        </w:rPr>
        <w:t>'</w:t>
      </w:r>
      <w:r w:rsidRPr="005912FE">
        <w:rPr>
          <w:lang w:val="fr-FR"/>
        </w:rPr>
        <w:t xml:space="preserve">inscrire à la réunion pour suivre la diffusion sur le web. </w:t>
      </w:r>
    </w:p>
    <w:bookmarkEnd w:id="0"/>
    <w:p w14:paraId="3BB877EF" w14:textId="77777777" w:rsidR="00460A18" w:rsidRPr="000E7991" w:rsidRDefault="00460A18" w:rsidP="00E912E6">
      <w:pPr>
        <w:pStyle w:val="Headingb"/>
        <w:rPr>
          <w:lang w:val="fr-FR"/>
        </w:rPr>
      </w:pPr>
      <w:r w:rsidRPr="000E7991">
        <w:rPr>
          <w:lang w:val="fr-FR"/>
        </w:rPr>
        <w:lastRenderedPageBreak/>
        <w:t>Inscription</w:t>
      </w:r>
    </w:p>
    <w:p w14:paraId="2EDDEF41" w14:textId="5A4191DF" w:rsidR="00460A18" w:rsidRPr="005912FE" w:rsidRDefault="00460A18" w:rsidP="00E912E6">
      <w:pPr>
        <w:keepLines/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>L</w:t>
      </w:r>
      <w:r>
        <w:rPr>
          <w:lang w:val="fr-FR"/>
        </w:rPr>
        <w:t>'</w:t>
      </w:r>
      <w:r w:rsidRPr="005912FE">
        <w:rPr>
          <w:lang w:val="fr-FR"/>
        </w:rPr>
        <w:t>inscription préalable est obligatoire et s</w:t>
      </w:r>
      <w:r>
        <w:rPr>
          <w:lang w:val="fr-FR"/>
        </w:rPr>
        <w:t>'</w:t>
      </w:r>
      <w:r w:rsidRPr="005912FE">
        <w:rPr>
          <w:lang w:val="fr-FR"/>
        </w:rPr>
        <w:t>effectue exclusivement en ligne. Les participants doivent en premier lieu remplir un formulaire de demande d</w:t>
      </w:r>
      <w:r>
        <w:rPr>
          <w:lang w:val="fr-FR"/>
        </w:rPr>
        <w:t>'</w:t>
      </w:r>
      <w:r w:rsidRPr="005912FE">
        <w:rPr>
          <w:lang w:val="fr-FR"/>
        </w:rPr>
        <w:t>inscription en ligne, après quoi ils reçoivent la validation de leur inscription de la part de leur coordonnateur désigné pour l</w:t>
      </w:r>
      <w:r>
        <w:rPr>
          <w:lang w:val="fr-FR"/>
        </w:rPr>
        <w:t>'</w:t>
      </w:r>
      <w:r w:rsidRPr="005912FE">
        <w:rPr>
          <w:lang w:val="fr-FR"/>
        </w:rPr>
        <w:t>inscription aux manifestations de l</w:t>
      </w:r>
      <w:r>
        <w:rPr>
          <w:lang w:val="fr-FR"/>
        </w:rPr>
        <w:t>'</w:t>
      </w:r>
      <w:r w:rsidRPr="005912FE">
        <w:rPr>
          <w:lang w:val="fr-FR"/>
        </w:rPr>
        <w:t xml:space="preserve">UIT-R. </w:t>
      </w:r>
    </w:p>
    <w:p w14:paraId="13306BE1" w14:textId="0BE22A1F" w:rsidR="00D56104" w:rsidRDefault="00460A18" w:rsidP="00E912E6">
      <w:pPr>
        <w:tabs>
          <w:tab w:val="clear" w:pos="794"/>
          <w:tab w:val="clear" w:pos="1191"/>
          <w:tab w:val="clear" w:pos="1588"/>
          <w:tab w:val="clear" w:pos="1985"/>
        </w:tabs>
        <w:rPr>
          <w:lang w:val="fr-FR"/>
        </w:rPr>
      </w:pPr>
      <w:r w:rsidRPr="005912FE">
        <w:rPr>
          <w:lang w:val="fr-FR"/>
        </w:rPr>
        <w:t>Les participants trouveront les renseignements nécessaires concernant l</w:t>
      </w:r>
      <w:r>
        <w:rPr>
          <w:lang w:val="fr-FR"/>
        </w:rPr>
        <w:t>'</w:t>
      </w:r>
      <w:r w:rsidRPr="005912FE">
        <w:rPr>
          <w:lang w:val="fr-FR"/>
        </w:rPr>
        <w:t>inscription des délégués sur le site web du GCR.</w:t>
      </w:r>
    </w:p>
    <w:p w14:paraId="43A7535B" w14:textId="2662AAF5" w:rsidR="00460A18" w:rsidRPr="00E912E6" w:rsidRDefault="00460A18" w:rsidP="00E912E6">
      <w:pPr>
        <w:pStyle w:val="Headingb"/>
      </w:pPr>
      <w:proofErr w:type="spellStart"/>
      <w:r w:rsidRPr="00E912E6">
        <w:t>Informations</w:t>
      </w:r>
      <w:proofErr w:type="spellEnd"/>
      <w:r w:rsidRPr="00E912E6">
        <w:t xml:space="preserve"> </w:t>
      </w:r>
      <w:proofErr w:type="spellStart"/>
      <w:r w:rsidRPr="00E912E6">
        <w:t>générales</w:t>
      </w:r>
      <w:proofErr w:type="spellEnd"/>
    </w:p>
    <w:p w14:paraId="0535A1E1" w14:textId="492BC3F9" w:rsidR="00460A18" w:rsidRPr="005912FE" w:rsidRDefault="00460A18" w:rsidP="00E912E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>De plus amples informations sont disponibles sur le site web du GCR, à l</w:t>
      </w:r>
      <w:r>
        <w:rPr>
          <w:lang w:val="fr-FR"/>
        </w:rPr>
        <w:t>'</w:t>
      </w:r>
      <w:r w:rsidRPr="005912FE">
        <w:rPr>
          <w:lang w:val="fr-FR"/>
        </w:rPr>
        <w:t xml:space="preserve">adresse </w:t>
      </w:r>
      <w:hyperlink r:id="rId17" w:anchor="/fr" w:history="1">
        <w:r w:rsidRPr="005912FE">
          <w:rPr>
            <w:rStyle w:val="Hyperlink"/>
            <w:rFonts w:asciiTheme="minorHAnsi" w:hAnsiTheme="minorHAnsi" w:cstheme="minorHAnsi"/>
            <w:szCs w:val="24"/>
            <w:lang w:val="fr-FR"/>
          </w:rPr>
          <w:t>https://itu.int/rag</w:t>
        </w:r>
      </w:hyperlink>
      <w:r w:rsidRPr="005912FE">
        <w:rPr>
          <w:lang w:val="fr-FR"/>
        </w:rPr>
        <w:t>.</w:t>
      </w:r>
      <w:hyperlink r:id="rId18" w:history="1"/>
    </w:p>
    <w:p w14:paraId="758FE3B7" w14:textId="2F5EE115" w:rsidR="00460A18" w:rsidRPr="005912FE" w:rsidRDefault="00460A18" w:rsidP="00E912E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 xml:space="preserve">Le Bureau des radiocommunications reste à votre disposition pour toute question concernant la présente </w:t>
      </w:r>
      <w:r w:rsidR="002F2ADB">
        <w:rPr>
          <w:lang w:val="fr-FR"/>
        </w:rPr>
        <w:t>c</w:t>
      </w:r>
      <w:r w:rsidRPr="005912FE">
        <w:rPr>
          <w:lang w:val="fr-FR"/>
        </w:rPr>
        <w:t xml:space="preserve">irculaire administrative (la personne à contacter au Bureau des radiocommunications est Mme Diana Tomimura </w:t>
      </w:r>
      <w:r w:rsidR="007C66E5" w:rsidRPr="007C66E5">
        <w:rPr>
          <w:lang w:val="fr-FR"/>
        </w:rPr>
        <w:t>–</w:t>
      </w:r>
      <w:r w:rsidR="007C66E5">
        <w:rPr>
          <w:lang w:val="fr-FR"/>
        </w:rPr>
        <w:t xml:space="preserve"> </w:t>
      </w:r>
      <w:proofErr w:type="gramStart"/>
      <w:r w:rsidRPr="005912FE">
        <w:rPr>
          <w:lang w:val="fr-FR"/>
        </w:rPr>
        <w:t>courriel:</w:t>
      </w:r>
      <w:proofErr w:type="gramEnd"/>
      <w:r w:rsidRPr="005912FE">
        <w:rPr>
          <w:lang w:val="fr-FR"/>
        </w:rPr>
        <w:t xml:space="preserve"> </w:t>
      </w:r>
      <w:hyperlink r:id="rId19" w:history="1">
        <w:r w:rsidRPr="005912FE">
          <w:rPr>
            <w:rStyle w:val="Hyperlink"/>
            <w:rFonts w:asciiTheme="minorHAnsi" w:hAnsiTheme="minorHAnsi" w:cstheme="minorHAnsi"/>
            <w:szCs w:val="24"/>
            <w:lang w:val="fr-FR"/>
          </w:rPr>
          <w:t>diana.tomimura@itu.int</w:t>
        </w:r>
      </w:hyperlink>
      <w:r w:rsidRPr="005912FE">
        <w:rPr>
          <w:lang w:val="fr-FR"/>
        </w:rPr>
        <w:t xml:space="preserve">). </w:t>
      </w:r>
      <w:hyperlink r:id="rId20" w:history="1"/>
    </w:p>
    <w:p w14:paraId="5DCAA9C4" w14:textId="77777777" w:rsidR="00460A18" w:rsidRPr="005912FE" w:rsidRDefault="00460A18" w:rsidP="000E7991">
      <w:pPr>
        <w:tabs>
          <w:tab w:val="clear" w:pos="794"/>
          <w:tab w:val="clear" w:pos="1191"/>
          <w:tab w:val="clear" w:pos="1588"/>
          <w:tab w:val="clear" w:pos="1985"/>
        </w:tabs>
        <w:spacing w:before="120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 xml:space="preserve">Mario Maniewicz </w:t>
      </w:r>
    </w:p>
    <w:p w14:paraId="42DFB040" w14:textId="77777777" w:rsidR="00460A18" w:rsidRPr="005912FE" w:rsidRDefault="00460A18" w:rsidP="00460A18">
      <w:pPr>
        <w:tabs>
          <w:tab w:val="clear" w:pos="794"/>
          <w:tab w:val="clear" w:pos="1191"/>
          <w:tab w:val="clear" w:pos="1588"/>
          <w:tab w:val="clear" w:pos="1985"/>
        </w:tabs>
        <w:spacing w:before="0" w:line="240" w:lineRule="auto"/>
        <w:rPr>
          <w:rFonts w:asciiTheme="minorHAnsi" w:hAnsiTheme="minorHAnsi" w:cstheme="minorHAnsi"/>
          <w:szCs w:val="24"/>
          <w:lang w:val="fr-FR"/>
        </w:rPr>
      </w:pPr>
      <w:r w:rsidRPr="005912FE">
        <w:rPr>
          <w:lang w:val="fr-FR"/>
        </w:rPr>
        <w:t xml:space="preserve">Directeur </w:t>
      </w:r>
    </w:p>
    <w:p w14:paraId="2F0C676F" w14:textId="0242C660" w:rsidR="002052C9" w:rsidRDefault="00460A18" w:rsidP="000E7991">
      <w:pPr>
        <w:spacing w:before="1560" w:line="240" w:lineRule="auto"/>
        <w:jc w:val="left"/>
        <w:rPr>
          <w:szCs w:val="24"/>
          <w:lang w:val="fr-FR"/>
        </w:rPr>
      </w:pPr>
      <w:r w:rsidRPr="002F2ADB">
        <w:rPr>
          <w:lang w:val="fr-FR"/>
        </w:rPr>
        <w:t>Annexe</w:t>
      </w:r>
      <w:r w:rsidRPr="005912FE">
        <w:rPr>
          <w:lang w:val="fr-FR"/>
        </w:rPr>
        <w:t>: 1</w:t>
      </w:r>
    </w:p>
    <w:p w14:paraId="6CD75894" w14:textId="6DFCDB73" w:rsidR="002052C9" w:rsidRDefault="002052C9" w:rsidP="002569F7">
      <w:pPr>
        <w:spacing w:before="0" w:line="240" w:lineRule="auto"/>
        <w:jc w:val="left"/>
        <w:rPr>
          <w:lang w:val="fr-FR"/>
        </w:rPr>
      </w:pPr>
      <w:r>
        <w:rPr>
          <w:lang w:val="fr-FR"/>
        </w:rPr>
        <w:br w:type="page"/>
      </w:r>
    </w:p>
    <w:p w14:paraId="72B628BF" w14:textId="63ADCA6C" w:rsidR="00460A18" w:rsidRPr="004B1760" w:rsidRDefault="00460A18" w:rsidP="00460A18">
      <w:pPr>
        <w:pStyle w:val="AnnexNoTitle"/>
        <w:rPr>
          <w:sz w:val="28"/>
          <w:szCs w:val="28"/>
          <w:lang w:val="fr-FR"/>
        </w:rPr>
      </w:pPr>
      <w:r w:rsidRPr="005912FE">
        <w:rPr>
          <w:bCs/>
          <w:lang w:val="fr-FR"/>
        </w:rPr>
        <w:lastRenderedPageBreak/>
        <w:t>ANNEXE</w:t>
      </w:r>
      <w:r w:rsidR="004B1760">
        <w:rPr>
          <w:sz w:val="28"/>
          <w:szCs w:val="28"/>
          <w:lang w:val="fr-FR"/>
        </w:rPr>
        <w:br/>
      </w:r>
      <w:r w:rsidR="004B1760">
        <w:rPr>
          <w:sz w:val="28"/>
          <w:szCs w:val="28"/>
          <w:lang w:val="fr-FR"/>
        </w:rPr>
        <w:br/>
      </w:r>
      <w:r w:rsidR="004B1760">
        <w:rPr>
          <w:sz w:val="28"/>
          <w:szCs w:val="28"/>
          <w:lang w:val="fr-FR"/>
        </w:rPr>
        <w:br/>
      </w:r>
      <w:r w:rsidRPr="005912FE">
        <w:rPr>
          <w:bCs/>
          <w:lang w:val="fr-FR"/>
        </w:rPr>
        <w:t>Projet d</w:t>
      </w:r>
      <w:r>
        <w:rPr>
          <w:bCs/>
          <w:lang w:val="fr-FR"/>
        </w:rPr>
        <w:t>'</w:t>
      </w:r>
      <w:r w:rsidRPr="005912FE">
        <w:rPr>
          <w:bCs/>
          <w:lang w:val="fr-FR"/>
        </w:rPr>
        <w:t>ordre du jour de la</w:t>
      </w:r>
      <w:r>
        <w:rPr>
          <w:bCs/>
          <w:lang w:val="fr-FR"/>
        </w:rPr>
        <w:t xml:space="preserve"> </w:t>
      </w:r>
      <w:r w:rsidRPr="005912FE">
        <w:rPr>
          <w:bCs/>
          <w:lang w:val="fr-FR"/>
        </w:rPr>
        <w:t>session spéciale du Groupe consultatif des radiocommunications (GCR) consacrée à l</w:t>
      </w:r>
      <w:r>
        <w:rPr>
          <w:bCs/>
          <w:lang w:val="fr-FR"/>
        </w:rPr>
        <w:t>'</w:t>
      </w:r>
      <w:r w:rsidRPr="005912FE">
        <w:rPr>
          <w:bCs/>
          <w:lang w:val="fr-FR"/>
        </w:rPr>
        <w:t xml:space="preserve">examen de la contribution du </w:t>
      </w:r>
      <w:r w:rsidRPr="00A6107C">
        <w:rPr>
          <w:bCs/>
          <w:lang w:val="fr-FR"/>
        </w:rPr>
        <w:t xml:space="preserve">Groupe de travail par correspondance </w:t>
      </w:r>
      <w:r w:rsidR="007C66E5">
        <w:rPr>
          <w:bCs/>
          <w:lang w:val="fr-FR"/>
        </w:rPr>
        <w:br/>
      </w:r>
      <w:r w:rsidRPr="00A6107C">
        <w:rPr>
          <w:bCs/>
          <w:lang w:val="fr-FR"/>
        </w:rPr>
        <w:t>du GCR</w:t>
      </w:r>
      <w:r w:rsidRPr="005912FE">
        <w:rPr>
          <w:bCs/>
          <w:lang w:val="fr-FR"/>
        </w:rPr>
        <w:t xml:space="preserve"> sur le Plan stratégique de l</w:t>
      </w:r>
      <w:r>
        <w:rPr>
          <w:bCs/>
          <w:lang w:val="fr-FR"/>
        </w:rPr>
        <w:t>'</w:t>
      </w:r>
      <w:r w:rsidRPr="005912FE">
        <w:rPr>
          <w:bCs/>
          <w:lang w:val="fr-FR"/>
        </w:rPr>
        <w:t>UIT pour la période 2028-2031</w:t>
      </w:r>
      <w:r w:rsidRPr="005912FE">
        <w:rPr>
          <w:lang w:val="fr-FR"/>
        </w:rPr>
        <w:t xml:space="preserve"> </w:t>
      </w:r>
    </w:p>
    <w:p w14:paraId="51461AED" w14:textId="4EC41F22" w:rsidR="00460A18" w:rsidRPr="005912FE" w:rsidRDefault="00460A18" w:rsidP="00460A18">
      <w:pPr>
        <w:spacing w:before="120"/>
        <w:jc w:val="center"/>
        <w:rPr>
          <w:b/>
          <w:bCs/>
          <w:lang w:val="fr-FR"/>
        </w:rPr>
      </w:pPr>
      <w:r w:rsidRPr="005912FE">
        <w:rPr>
          <w:b/>
          <w:bCs/>
          <w:lang w:val="fr-FR"/>
        </w:rPr>
        <w:t>9 décembre 2025, 13 h 00-16</w:t>
      </w:r>
      <w:r w:rsidR="007C66E5">
        <w:rPr>
          <w:b/>
          <w:bCs/>
          <w:lang w:val="fr-FR"/>
        </w:rPr>
        <w:t xml:space="preserve"> </w:t>
      </w:r>
      <w:r w:rsidRPr="005912FE">
        <w:rPr>
          <w:b/>
          <w:bCs/>
          <w:lang w:val="fr-FR"/>
        </w:rPr>
        <w:t>h</w:t>
      </w:r>
      <w:r w:rsidR="007C66E5">
        <w:rPr>
          <w:b/>
          <w:bCs/>
          <w:lang w:val="fr-FR"/>
        </w:rPr>
        <w:t xml:space="preserve"> </w:t>
      </w:r>
      <w:r w:rsidRPr="005912FE">
        <w:rPr>
          <w:b/>
          <w:bCs/>
          <w:lang w:val="fr-FR"/>
        </w:rPr>
        <w:t>00 (CET)</w:t>
      </w:r>
    </w:p>
    <w:p w14:paraId="6B9E9DF2" w14:textId="5E2DCCEE" w:rsidR="002052C9" w:rsidRPr="00460A18" w:rsidRDefault="007C66E5" w:rsidP="007C66E5">
      <w:pPr>
        <w:spacing w:before="120" w:after="480"/>
        <w:jc w:val="center"/>
        <w:rPr>
          <w:b/>
          <w:bCs/>
          <w:lang w:val="fr-FR"/>
        </w:rPr>
      </w:pPr>
      <w:r w:rsidRPr="005912FE">
        <w:rPr>
          <w:b/>
          <w:bCs/>
          <w:lang w:val="fr-FR"/>
        </w:rPr>
        <w:t>Réunion</w:t>
      </w:r>
      <w:r w:rsidR="00460A18" w:rsidRPr="005912FE">
        <w:rPr>
          <w:b/>
          <w:bCs/>
          <w:lang w:val="fr-FR"/>
        </w:rPr>
        <w:t xml:space="preserve"> virtuelle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615"/>
        <w:gridCol w:w="1355"/>
      </w:tblGrid>
      <w:tr w:rsidR="00460A18" w:rsidRPr="002F2ADB" w14:paraId="0C4980AB" w14:textId="77777777" w:rsidTr="00E047DD">
        <w:tc>
          <w:tcPr>
            <w:tcW w:w="642" w:type="dxa"/>
          </w:tcPr>
          <w:p w14:paraId="2C3CA8D0" w14:textId="77777777" w:rsidR="00460A18" w:rsidRPr="002F2ADB" w:rsidRDefault="00460A18" w:rsidP="004B1760">
            <w:pPr>
              <w:pStyle w:val="Tablehead"/>
              <w:rPr>
                <w:lang w:val="fr-FR"/>
              </w:rPr>
            </w:pPr>
          </w:p>
        </w:tc>
        <w:tc>
          <w:tcPr>
            <w:tcW w:w="7615" w:type="dxa"/>
          </w:tcPr>
          <w:p w14:paraId="2E250A08" w14:textId="77777777" w:rsidR="00460A18" w:rsidRPr="002F2ADB" w:rsidRDefault="00460A18" w:rsidP="004B1760">
            <w:pPr>
              <w:pStyle w:val="Tablehead"/>
              <w:rPr>
                <w:lang w:val="fr-FR"/>
              </w:rPr>
            </w:pPr>
          </w:p>
        </w:tc>
        <w:tc>
          <w:tcPr>
            <w:tcW w:w="1355" w:type="dxa"/>
          </w:tcPr>
          <w:p w14:paraId="5DFE9FE8" w14:textId="77777777" w:rsidR="00460A18" w:rsidRPr="002F2ADB" w:rsidRDefault="00460A18" w:rsidP="004B1760">
            <w:pPr>
              <w:pStyle w:val="Tablehead"/>
              <w:rPr>
                <w:bCs/>
                <w:lang w:val="fr-FR"/>
              </w:rPr>
            </w:pPr>
            <w:r w:rsidRPr="002F2ADB">
              <w:rPr>
                <w:bCs/>
                <w:lang w:val="fr-FR"/>
              </w:rPr>
              <w:t>Documents</w:t>
            </w:r>
          </w:p>
        </w:tc>
      </w:tr>
      <w:tr w:rsidR="00460A18" w:rsidRPr="002F2ADB" w14:paraId="30380019" w14:textId="77777777" w:rsidTr="00E047DD">
        <w:tc>
          <w:tcPr>
            <w:tcW w:w="642" w:type="dxa"/>
            <w:hideMark/>
          </w:tcPr>
          <w:p w14:paraId="7AD9DD7C" w14:textId="1A4DF8B3" w:rsidR="00460A18" w:rsidRPr="002F2ADB" w:rsidRDefault="00460A18" w:rsidP="00896A8F">
            <w:pPr>
              <w:pStyle w:val="Tabletext"/>
              <w:rPr>
                <w:b/>
                <w:bCs/>
                <w:szCs w:val="20"/>
              </w:rPr>
            </w:pPr>
            <w:r w:rsidRPr="002F2ADB">
              <w:rPr>
                <w:b/>
                <w:bCs/>
                <w:szCs w:val="20"/>
              </w:rPr>
              <w:t>1</w:t>
            </w:r>
            <w:r w:rsidR="002F2ADB" w:rsidRPr="002F2ADB">
              <w:rPr>
                <w:b/>
                <w:bCs/>
                <w:szCs w:val="20"/>
              </w:rPr>
              <w:t>)</w:t>
            </w:r>
          </w:p>
        </w:tc>
        <w:tc>
          <w:tcPr>
            <w:tcW w:w="7615" w:type="dxa"/>
            <w:hideMark/>
          </w:tcPr>
          <w:p w14:paraId="1312D530" w14:textId="77777777" w:rsidR="00460A18" w:rsidRPr="002F2ADB" w:rsidRDefault="00460A18" w:rsidP="003D44AC">
            <w:pPr>
              <w:pStyle w:val="Tabletext"/>
              <w:rPr>
                <w:szCs w:val="20"/>
              </w:rPr>
            </w:pPr>
            <w:r w:rsidRPr="002F2ADB">
              <w:rPr>
                <w:szCs w:val="20"/>
              </w:rPr>
              <w:t>Remarques liminaires</w:t>
            </w:r>
          </w:p>
        </w:tc>
        <w:tc>
          <w:tcPr>
            <w:tcW w:w="1355" w:type="dxa"/>
          </w:tcPr>
          <w:p w14:paraId="54893EB8" w14:textId="77777777" w:rsidR="00460A18" w:rsidRPr="002F2ADB" w:rsidRDefault="00460A18" w:rsidP="00896A8F">
            <w:pPr>
              <w:pStyle w:val="Tabletext"/>
              <w:jc w:val="center"/>
              <w:rPr>
                <w:szCs w:val="20"/>
                <w:lang w:val="fr-FR"/>
              </w:rPr>
            </w:pPr>
          </w:p>
        </w:tc>
      </w:tr>
      <w:tr w:rsidR="00460A18" w:rsidRPr="000E7991" w14:paraId="387C6F9F" w14:textId="77777777" w:rsidTr="00E047DD">
        <w:tc>
          <w:tcPr>
            <w:tcW w:w="642" w:type="dxa"/>
          </w:tcPr>
          <w:p w14:paraId="6F687E18" w14:textId="3C4AB7C1" w:rsidR="00460A18" w:rsidRPr="002F2ADB" w:rsidRDefault="00460A18" w:rsidP="00896A8F">
            <w:pPr>
              <w:pStyle w:val="Tabletext"/>
              <w:rPr>
                <w:b/>
                <w:bCs/>
                <w:szCs w:val="20"/>
              </w:rPr>
            </w:pPr>
            <w:r w:rsidRPr="002F2ADB">
              <w:rPr>
                <w:b/>
                <w:bCs/>
                <w:szCs w:val="20"/>
              </w:rPr>
              <w:t>2</w:t>
            </w:r>
            <w:r w:rsidR="002F2ADB" w:rsidRPr="002F2ADB">
              <w:rPr>
                <w:b/>
                <w:bCs/>
                <w:szCs w:val="20"/>
              </w:rPr>
              <w:t>)</w:t>
            </w:r>
          </w:p>
        </w:tc>
        <w:tc>
          <w:tcPr>
            <w:tcW w:w="7615" w:type="dxa"/>
            <w:hideMark/>
          </w:tcPr>
          <w:p w14:paraId="16BA55B5" w14:textId="0C918B43" w:rsidR="00460A18" w:rsidRPr="002F2ADB" w:rsidRDefault="00460A18" w:rsidP="003D44AC">
            <w:pPr>
              <w:pStyle w:val="Tabletext"/>
              <w:rPr>
                <w:szCs w:val="20"/>
                <w:lang w:val="fr-FR"/>
              </w:rPr>
            </w:pPr>
            <w:r w:rsidRPr="002F2ADB">
              <w:rPr>
                <w:szCs w:val="20"/>
                <w:lang w:val="fr-FR"/>
              </w:rPr>
              <w:t>Adoption de l'ordre du jour</w:t>
            </w:r>
          </w:p>
        </w:tc>
        <w:tc>
          <w:tcPr>
            <w:tcW w:w="1355" w:type="dxa"/>
          </w:tcPr>
          <w:p w14:paraId="0576C551" w14:textId="77777777" w:rsidR="00460A18" w:rsidRPr="002F2ADB" w:rsidRDefault="00460A18" w:rsidP="00896A8F">
            <w:pPr>
              <w:pStyle w:val="Tabletext"/>
              <w:jc w:val="center"/>
              <w:rPr>
                <w:szCs w:val="20"/>
                <w:lang w:val="fr-FR"/>
              </w:rPr>
            </w:pPr>
          </w:p>
        </w:tc>
      </w:tr>
      <w:tr w:rsidR="00460A18" w:rsidRPr="002F2ADB" w14:paraId="0EC9BA5F" w14:textId="77777777" w:rsidTr="00E047DD">
        <w:trPr>
          <w:trHeight w:val="56"/>
        </w:trPr>
        <w:tc>
          <w:tcPr>
            <w:tcW w:w="642" w:type="dxa"/>
          </w:tcPr>
          <w:p w14:paraId="18D2ED46" w14:textId="197840F4" w:rsidR="00460A18" w:rsidRPr="002F2ADB" w:rsidRDefault="00460A18" w:rsidP="00896A8F">
            <w:pPr>
              <w:pStyle w:val="Tabletext"/>
              <w:rPr>
                <w:b/>
                <w:bCs/>
                <w:szCs w:val="20"/>
              </w:rPr>
            </w:pPr>
            <w:r w:rsidRPr="002F2ADB">
              <w:rPr>
                <w:b/>
                <w:bCs/>
                <w:szCs w:val="20"/>
              </w:rPr>
              <w:t>3</w:t>
            </w:r>
            <w:r w:rsidR="002F2ADB" w:rsidRPr="002F2ADB">
              <w:rPr>
                <w:b/>
                <w:bCs/>
                <w:szCs w:val="20"/>
              </w:rPr>
              <w:t>)</w:t>
            </w:r>
          </w:p>
        </w:tc>
        <w:tc>
          <w:tcPr>
            <w:tcW w:w="7615" w:type="dxa"/>
          </w:tcPr>
          <w:p w14:paraId="6EE546FB" w14:textId="5AE8DE02" w:rsidR="00460A18" w:rsidRPr="002F2ADB" w:rsidRDefault="00460A18" w:rsidP="00896A8F">
            <w:pPr>
              <w:pStyle w:val="Tabletext"/>
              <w:rPr>
                <w:szCs w:val="20"/>
                <w:lang w:val="fr-FR"/>
              </w:rPr>
            </w:pPr>
            <w:r w:rsidRPr="002F2ADB">
              <w:rPr>
                <w:szCs w:val="20"/>
                <w:lang w:val="fr-FR"/>
              </w:rPr>
              <w:t>Rapport du Groupe de travail par correspondance du GCR sur le Plan stratégique de l'UIT pour la période 2028-2031</w:t>
            </w:r>
          </w:p>
        </w:tc>
        <w:tc>
          <w:tcPr>
            <w:tcW w:w="1355" w:type="dxa"/>
          </w:tcPr>
          <w:p w14:paraId="6CE0FFFF" w14:textId="05EDA92B" w:rsidR="00460A18" w:rsidRPr="002F2ADB" w:rsidRDefault="007C66E5" w:rsidP="00896A8F">
            <w:pPr>
              <w:pStyle w:val="Tabletext"/>
              <w:jc w:val="center"/>
              <w:rPr>
                <w:szCs w:val="20"/>
                <w:lang w:val="fr-FR"/>
              </w:rPr>
            </w:pPr>
            <w:hyperlink r:id="rId21" w:history="1">
              <w:r w:rsidRPr="002F2ADB">
                <w:rPr>
                  <w:rStyle w:val="Hyperlink"/>
                  <w:szCs w:val="20"/>
                </w:rPr>
                <w:t>51</w:t>
              </w:r>
            </w:hyperlink>
          </w:p>
        </w:tc>
      </w:tr>
      <w:tr w:rsidR="00460A18" w:rsidRPr="002F2ADB" w14:paraId="5B956131" w14:textId="77777777" w:rsidTr="00E047DD">
        <w:tc>
          <w:tcPr>
            <w:tcW w:w="642" w:type="dxa"/>
            <w:hideMark/>
          </w:tcPr>
          <w:p w14:paraId="6BFF952B" w14:textId="3560A250" w:rsidR="00460A18" w:rsidRPr="002F2ADB" w:rsidRDefault="00460A18" w:rsidP="00896A8F">
            <w:pPr>
              <w:pStyle w:val="Tabletext"/>
              <w:rPr>
                <w:b/>
                <w:bCs/>
                <w:szCs w:val="20"/>
              </w:rPr>
            </w:pPr>
            <w:r w:rsidRPr="002F2ADB">
              <w:rPr>
                <w:b/>
                <w:bCs/>
                <w:szCs w:val="20"/>
              </w:rPr>
              <w:t>4</w:t>
            </w:r>
            <w:r w:rsidR="002F2ADB" w:rsidRPr="002F2ADB">
              <w:rPr>
                <w:b/>
                <w:bCs/>
                <w:szCs w:val="20"/>
              </w:rPr>
              <w:t>)</w:t>
            </w:r>
          </w:p>
        </w:tc>
        <w:tc>
          <w:tcPr>
            <w:tcW w:w="7615" w:type="dxa"/>
          </w:tcPr>
          <w:p w14:paraId="470A7779" w14:textId="638256EF" w:rsidR="00460A18" w:rsidRPr="002F2ADB" w:rsidRDefault="00460A18" w:rsidP="003D44AC">
            <w:pPr>
              <w:pStyle w:val="Tabletext"/>
              <w:rPr>
                <w:szCs w:val="20"/>
              </w:rPr>
            </w:pPr>
            <w:r w:rsidRPr="002F2ADB">
              <w:rPr>
                <w:szCs w:val="20"/>
              </w:rPr>
              <w:t>Examen des contributions</w:t>
            </w:r>
          </w:p>
        </w:tc>
        <w:tc>
          <w:tcPr>
            <w:tcW w:w="1355" w:type="dxa"/>
          </w:tcPr>
          <w:p w14:paraId="779649AD" w14:textId="5182149D" w:rsidR="00460A18" w:rsidRPr="002F2ADB" w:rsidRDefault="007C66E5" w:rsidP="00896A8F">
            <w:pPr>
              <w:pStyle w:val="Tabletext"/>
              <w:jc w:val="center"/>
              <w:rPr>
                <w:szCs w:val="20"/>
                <w:lang w:val="fr-FR"/>
              </w:rPr>
            </w:pPr>
            <w:hyperlink r:id="rId22" w:history="1">
              <w:r w:rsidRPr="002F2ADB">
                <w:rPr>
                  <w:rStyle w:val="Hyperlink"/>
                  <w:szCs w:val="20"/>
                </w:rPr>
                <w:t>49</w:t>
              </w:r>
            </w:hyperlink>
          </w:p>
        </w:tc>
      </w:tr>
      <w:tr w:rsidR="00460A18" w:rsidRPr="000E7991" w14:paraId="3994FCB2" w14:textId="77777777" w:rsidTr="00E047DD">
        <w:tc>
          <w:tcPr>
            <w:tcW w:w="642" w:type="dxa"/>
            <w:hideMark/>
          </w:tcPr>
          <w:p w14:paraId="0CBE6BA5" w14:textId="573FB073" w:rsidR="00460A18" w:rsidRPr="002F2ADB" w:rsidRDefault="00460A18" w:rsidP="00896A8F">
            <w:pPr>
              <w:pStyle w:val="Tabletext"/>
              <w:rPr>
                <w:b/>
                <w:bCs/>
                <w:szCs w:val="20"/>
              </w:rPr>
            </w:pPr>
            <w:r w:rsidRPr="002F2ADB">
              <w:rPr>
                <w:b/>
                <w:bCs/>
                <w:szCs w:val="20"/>
              </w:rPr>
              <w:t>5</w:t>
            </w:r>
            <w:r w:rsidR="002F2ADB" w:rsidRPr="002F2ADB">
              <w:rPr>
                <w:b/>
                <w:bCs/>
                <w:szCs w:val="20"/>
              </w:rPr>
              <w:t>)</w:t>
            </w:r>
          </w:p>
        </w:tc>
        <w:tc>
          <w:tcPr>
            <w:tcW w:w="7615" w:type="dxa"/>
          </w:tcPr>
          <w:p w14:paraId="0034606D" w14:textId="6D8E7569" w:rsidR="00460A18" w:rsidRPr="002F2ADB" w:rsidRDefault="00460A18" w:rsidP="003D44AC">
            <w:pPr>
              <w:pStyle w:val="Tabletext"/>
              <w:rPr>
                <w:szCs w:val="20"/>
                <w:lang w:val="fr-CH"/>
              </w:rPr>
            </w:pPr>
            <w:r w:rsidRPr="002F2ADB">
              <w:rPr>
                <w:szCs w:val="20"/>
                <w:lang w:val="fr-CH"/>
              </w:rPr>
              <w:t>Approbation de la contribution du GCR à la réunion de janvier 2026 du Groupe de travail du Conseil chargé d'élaborer le Plan stratégique et le Plan financier de l'UIT pour la période</w:t>
            </w:r>
            <w:r w:rsidR="00896A8F" w:rsidRPr="002F2ADB">
              <w:rPr>
                <w:szCs w:val="20"/>
                <w:lang w:val="fr-CH"/>
              </w:rPr>
              <w:t> </w:t>
            </w:r>
            <w:r w:rsidRPr="002F2ADB">
              <w:rPr>
                <w:szCs w:val="20"/>
                <w:lang w:val="fr-CH"/>
              </w:rPr>
              <w:t>2028-2031 (GTC-SFP)</w:t>
            </w:r>
          </w:p>
        </w:tc>
        <w:tc>
          <w:tcPr>
            <w:tcW w:w="1355" w:type="dxa"/>
          </w:tcPr>
          <w:p w14:paraId="7463F403" w14:textId="77777777" w:rsidR="00460A18" w:rsidRPr="002F2ADB" w:rsidRDefault="00460A18" w:rsidP="00896A8F">
            <w:pPr>
              <w:pStyle w:val="Tabletext"/>
              <w:jc w:val="center"/>
              <w:rPr>
                <w:szCs w:val="20"/>
                <w:lang w:val="fr-FR"/>
              </w:rPr>
            </w:pPr>
          </w:p>
        </w:tc>
      </w:tr>
      <w:tr w:rsidR="00460A18" w:rsidRPr="002F2ADB" w14:paraId="7E7CFEDD" w14:textId="77777777" w:rsidTr="00E047DD">
        <w:tc>
          <w:tcPr>
            <w:tcW w:w="642" w:type="dxa"/>
            <w:hideMark/>
          </w:tcPr>
          <w:p w14:paraId="23AF0638" w14:textId="4161205E" w:rsidR="00460A18" w:rsidRPr="002F2ADB" w:rsidRDefault="00460A18" w:rsidP="00896A8F">
            <w:pPr>
              <w:pStyle w:val="Tabletext"/>
              <w:rPr>
                <w:b/>
                <w:bCs/>
                <w:szCs w:val="20"/>
              </w:rPr>
            </w:pPr>
            <w:r w:rsidRPr="002F2ADB">
              <w:rPr>
                <w:b/>
                <w:bCs/>
                <w:szCs w:val="20"/>
              </w:rPr>
              <w:t>6</w:t>
            </w:r>
            <w:r w:rsidR="002F2ADB" w:rsidRPr="002F2ADB">
              <w:rPr>
                <w:b/>
                <w:bCs/>
                <w:szCs w:val="20"/>
              </w:rPr>
              <w:t>)</w:t>
            </w:r>
          </w:p>
        </w:tc>
        <w:tc>
          <w:tcPr>
            <w:tcW w:w="7615" w:type="dxa"/>
          </w:tcPr>
          <w:p w14:paraId="0C8E45BF" w14:textId="77777777" w:rsidR="00460A18" w:rsidRPr="002F2ADB" w:rsidRDefault="00460A18" w:rsidP="003D44AC">
            <w:pPr>
              <w:pStyle w:val="Tabletext"/>
              <w:rPr>
                <w:szCs w:val="20"/>
              </w:rPr>
            </w:pPr>
            <w:r w:rsidRPr="002F2ADB">
              <w:rPr>
                <w:szCs w:val="20"/>
              </w:rPr>
              <w:t>Divers</w:t>
            </w:r>
          </w:p>
        </w:tc>
        <w:tc>
          <w:tcPr>
            <w:tcW w:w="1355" w:type="dxa"/>
          </w:tcPr>
          <w:p w14:paraId="49167B17" w14:textId="77777777" w:rsidR="00460A18" w:rsidRPr="002F2ADB" w:rsidRDefault="00460A18" w:rsidP="00896A8F">
            <w:pPr>
              <w:pStyle w:val="Tabletext"/>
              <w:jc w:val="center"/>
              <w:rPr>
                <w:szCs w:val="20"/>
                <w:lang w:val="fr-FR"/>
              </w:rPr>
            </w:pPr>
          </w:p>
        </w:tc>
      </w:tr>
    </w:tbl>
    <w:p w14:paraId="0C6A18BB" w14:textId="353C36C1" w:rsidR="00460A18" w:rsidRPr="005912FE" w:rsidRDefault="002F2ADB" w:rsidP="002F2ADB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60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r>
        <w:rPr>
          <w:rFonts w:asciiTheme="minorHAnsi" w:hAnsiTheme="minorHAnsi" w:cstheme="minorHAnsi"/>
          <w:szCs w:val="24"/>
          <w:lang w:val="fr-FR"/>
        </w:rPr>
        <w:tab/>
      </w:r>
      <w:r w:rsidR="00460A18" w:rsidRPr="005912FE">
        <w:rPr>
          <w:rFonts w:asciiTheme="minorHAnsi" w:hAnsiTheme="minorHAnsi" w:cstheme="minorHAnsi"/>
          <w:szCs w:val="24"/>
          <w:lang w:val="fr-FR"/>
        </w:rPr>
        <w:t>M. Mohammad Aljnoobi</w:t>
      </w:r>
      <w:r w:rsidR="00460A18" w:rsidRPr="005912FE">
        <w:rPr>
          <w:rFonts w:asciiTheme="minorHAnsi" w:hAnsiTheme="minorHAnsi" w:cstheme="minorHAnsi"/>
          <w:szCs w:val="24"/>
          <w:lang w:val="fr-FR"/>
        </w:rPr>
        <w:br/>
      </w:r>
      <w:r>
        <w:rPr>
          <w:rFonts w:asciiTheme="minorHAnsi" w:hAnsiTheme="minorHAnsi" w:cstheme="minorHAnsi"/>
          <w:szCs w:val="24"/>
          <w:lang w:val="fr-FR"/>
        </w:rPr>
        <w:tab/>
      </w:r>
      <w:r w:rsidR="00460A18" w:rsidRPr="005912FE">
        <w:rPr>
          <w:rFonts w:asciiTheme="minorHAnsi" w:hAnsiTheme="minorHAnsi" w:cstheme="minorHAnsi"/>
          <w:szCs w:val="24"/>
          <w:lang w:val="fr-FR"/>
        </w:rPr>
        <w:t>Président du Groupe consultatif des radiocommunications</w:t>
      </w:r>
    </w:p>
    <w:p w14:paraId="73461CED" w14:textId="27F01102" w:rsidR="007C66E5" w:rsidRPr="002F2ADB" w:rsidRDefault="002F2ADB" w:rsidP="002F2ADB">
      <w:pPr>
        <w:pStyle w:val="Reasons"/>
        <w:tabs>
          <w:tab w:val="center" w:pos="7088"/>
        </w:tabs>
        <w:rPr>
          <w:rFonts w:asciiTheme="minorHAnsi" w:hAnsiTheme="minorHAnsi" w:cstheme="minorHAnsi"/>
          <w:color w:val="0000FF"/>
          <w:szCs w:val="24"/>
          <w:u w:val="single"/>
          <w:lang w:val="fr-FR"/>
        </w:rPr>
      </w:pPr>
      <w:r>
        <w:rPr>
          <w:rFonts w:asciiTheme="minorHAnsi" w:hAnsiTheme="minorHAnsi" w:cstheme="minorHAnsi"/>
          <w:szCs w:val="24"/>
          <w:lang w:val="fr-FR"/>
        </w:rPr>
        <w:tab/>
      </w:r>
      <w:hyperlink r:id="rId23" w:history="1">
        <w:r w:rsidRPr="000B5ACB">
          <w:rPr>
            <w:rStyle w:val="Hyperlink"/>
            <w:rFonts w:asciiTheme="minorHAnsi" w:hAnsiTheme="minorHAnsi" w:cstheme="minorHAnsi"/>
            <w:szCs w:val="24"/>
            <w:lang w:val="fr-FR"/>
          </w:rPr>
          <w:t>mjnoobi@cst.gov.sa</w:t>
        </w:r>
      </w:hyperlink>
    </w:p>
    <w:sectPr w:rsidR="007C66E5" w:rsidRPr="002F2ADB" w:rsidSect="003F2F34">
      <w:headerReference w:type="even" r:id="rId24"/>
      <w:headerReference w:type="default" r:id="rId25"/>
      <w:footerReference w:type="default" r:id="rId26"/>
      <w:headerReference w:type="first" r:id="rId27"/>
      <w:footerReference w:type="first" r:id="rId28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CE98" w14:textId="77777777" w:rsidR="00304636" w:rsidRDefault="00304636">
      <w:r>
        <w:separator/>
      </w:r>
    </w:p>
  </w:endnote>
  <w:endnote w:type="continuationSeparator" w:id="0">
    <w:p w14:paraId="1BDF746B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DDAF" w14:textId="15D4F90A" w:rsidR="003F2F34" w:rsidRPr="003F2F34" w:rsidRDefault="003F2F34" w:rsidP="003F2F34">
    <w:pPr>
      <w:pStyle w:val="Footer"/>
      <w:tabs>
        <w:tab w:val="left" w:pos="7655"/>
        <w:tab w:val="right" w:pos="9498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6018" w14:textId="397D4A06" w:rsidR="00305156" w:rsidRPr="000F0E0A" w:rsidRDefault="00305156" w:rsidP="00305156">
    <w:pPr>
      <w:pStyle w:val="FirstFooter"/>
      <w:spacing w:line="240" w:lineRule="auto"/>
      <w:ind w:left="-397" w:right="-397"/>
      <w:jc w:val="center"/>
      <w:rPr>
        <w:color w:val="0070C0"/>
        <w:sz w:val="19"/>
        <w:szCs w:val="19"/>
        <w:lang w:val="fr-CH"/>
      </w:rPr>
    </w:pPr>
    <w:r w:rsidRPr="000F0E0A">
      <w:rPr>
        <w:rFonts w:asciiTheme="minorHAnsi" w:hAnsiTheme="minorHAnsi"/>
        <w:color w:val="0070C0"/>
        <w:sz w:val="19"/>
        <w:szCs w:val="19"/>
        <w:lang w:val="fr-CH"/>
      </w:rPr>
      <w:t>Union internationale des télécommunications • Place des Nations, CH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noBreakHyphen/>
      <w:t>1211 Genève 20, Suisse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br/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Tél.: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22 730 5111 • </w:t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Courriel: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</w:t>
    </w:r>
    <w:hyperlink r:id="rId1" w:history="1">
      <w:r w:rsidR="00E44913" w:rsidRPr="00343751">
        <w:rPr>
          <w:rStyle w:val="Hyperlink"/>
          <w:rFonts w:asciiTheme="minorHAnsi" w:hAnsiTheme="minorHAnsi"/>
          <w:sz w:val="19"/>
          <w:szCs w:val="19"/>
          <w:lang w:val="fr-CH"/>
        </w:rPr>
        <w:t>itumail@itu.int</w:t>
      </w:r>
    </w:hyperlink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• </w:t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Fax: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22 733 7256 • </w:t>
    </w:r>
    <w:hyperlink r:id="rId2" w:history="1">
      <w:r w:rsidRPr="000F0E0A">
        <w:rPr>
          <w:rStyle w:val="Hyperlink"/>
          <w:color w:val="0070C0"/>
          <w:sz w:val="19"/>
          <w:szCs w:val="19"/>
          <w:lang w:val="fr-CH"/>
        </w:rPr>
        <w:t>www.itu.int</w:t>
      </w:r>
    </w:hyperlink>
    <w:r w:rsidRPr="000F0E0A">
      <w:rPr>
        <w:color w:val="0070C0"/>
        <w:sz w:val="19"/>
        <w:szCs w:val="19"/>
        <w:lang w:val="fr-CH"/>
      </w:rPr>
      <w:t xml:space="preserve"> </w:t>
    </w:r>
  </w:p>
  <w:p w14:paraId="6E0554B3" w14:textId="699DD0E9" w:rsidR="005E42F8" w:rsidRPr="00305156" w:rsidRDefault="005E42F8" w:rsidP="00305156">
    <w:pPr>
      <w:pStyle w:val="Foo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DEBC" w14:textId="77777777" w:rsidR="00304636" w:rsidRDefault="00304636">
      <w:r>
        <w:t>____________________</w:t>
      </w:r>
    </w:p>
  </w:footnote>
  <w:footnote w:type="continuationSeparator" w:id="0">
    <w:p w14:paraId="4B1D7160" w14:textId="77777777" w:rsidR="00304636" w:rsidRDefault="00304636">
      <w:r>
        <w:continuationSeparator/>
      </w:r>
    </w:p>
  </w:footnote>
  <w:footnote w:id="1">
    <w:p w14:paraId="05C10B8E" w14:textId="6DBB2290" w:rsidR="00460A18" w:rsidRPr="00831B48" w:rsidRDefault="00460A18" w:rsidP="00017423">
      <w:pPr>
        <w:tabs>
          <w:tab w:val="clear" w:pos="794"/>
        </w:tabs>
        <w:ind w:left="284" w:hanging="284"/>
        <w:rPr>
          <w:sz w:val="20"/>
          <w:szCs w:val="18"/>
          <w:lang w:val="fr-FR"/>
        </w:rPr>
      </w:pPr>
      <w:r w:rsidRPr="00645B82">
        <w:rPr>
          <w:rStyle w:val="FootnoteReference"/>
          <w:sz w:val="20"/>
          <w:szCs w:val="20"/>
          <w:lang w:val="fr-FR"/>
        </w:rPr>
        <w:footnoteRef/>
      </w:r>
      <w:r w:rsidR="00017423">
        <w:rPr>
          <w:lang w:val="fr-FR"/>
        </w:rPr>
        <w:tab/>
      </w:r>
      <w:r w:rsidRPr="00373780">
        <w:rPr>
          <w:sz w:val="20"/>
          <w:szCs w:val="18"/>
          <w:lang w:val="fr-FR"/>
        </w:rPr>
        <w:t xml:space="preserve">De plus amples informations sur les travaux du </w:t>
      </w:r>
      <w:r>
        <w:rPr>
          <w:sz w:val="20"/>
          <w:szCs w:val="18"/>
          <w:lang w:val="fr-FR"/>
        </w:rPr>
        <w:t>Groupe de travail par correspondance</w:t>
      </w:r>
      <w:r w:rsidRPr="00373780">
        <w:rPr>
          <w:sz w:val="20"/>
          <w:szCs w:val="18"/>
          <w:lang w:val="fr-FR"/>
        </w:rPr>
        <w:t xml:space="preserve"> du GCR sur le Plan stratégique de l</w:t>
      </w:r>
      <w:r w:rsidR="003D44AC">
        <w:rPr>
          <w:sz w:val="20"/>
          <w:szCs w:val="18"/>
          <w:lang w:val="fr-FR"/>
        </w:rPr>
        <w:t>'</w:t>
      </w:r>
      <w:r w:rsidRPr="00373780">
        <w:rPr>
          <w:sz w:val="20"/>
          <w:szCs w:val="18"/>
          <w:lang w:val="fr-FR"/>
        </w:rPr>
        <w:t xml:space="preserve">UIT pour la période 2028-2031 sont disponibles </w:t>
      </w:r>
      <w:hyperlink r:id="rId1" w:anchor="/fr" w:history="1">
        <w:r w:rsidRPr="00373780">
          <w:rPr>
            <w:rStyle w:val="Hyperlink"/>
            <w:sz w:val="20"/>
            <w:szCs w:val="18"/>
            <w:lang w:val="fr-FR"/>
          </w:rPr>
          <w:t>ici</w:t>
        </w:r>
      </w:hyperlink>
      <w:r w:rsidRPr="00373780">
        <w:rPr>
          <w:sz w:val="20"/>
          <w:szCs w:val="18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258D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1931" w14:textId="7777777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4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42"/>
    </w:tblGrid>
    <w:tr w:rsidR="000F0E0A" w14:paraId="481783A9" w14:textId="77777777" w:rsidTr="000F0E0A">
      <w:tc>
        <w:tcPr>
          <w:tcW w:w="10042" w:type="dxa"/>
          <w:tcMar>
            <w:left w:w="0" w:type="dxa"/>
          </w:tcMar>
        </w:tcPr>
        <w:p w14:paraId="2C832B73" w14:textId="77777777" w:rsidR="000F0E0A" w:rsidRDefault="000F0E0A" w:rsidP="00304636">
          <w:pPr>
            <w:pStyle w:val="Header"/>
            <w:tabs>
              <w:tab w:val="clear" w:pos="794"/>
              <w:tab w:val="clear" w:pos="4820"/>
              <w:tab w:val="clear" w:pos="9639"/>
              <w:tab w:val="left" w:pos="3960"/>
              <w:tab w:val="left" w:pos="9750"/>
            </w:tabs>
            <w:spacing w:before="120" w:line="360" w:lineRule="auto"/>
            <w:ind w:right="-342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371477D" wp14:editId="1BD04A86">
                <wp:extent cx="765175" cy="765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22C67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680545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5341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17423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0E7991"/>
    <w:rsid w:val="000F0E0A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4C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52C9"/>
    <w:rsid w:val="002302B3"/>
    <w:rsid w:val="00230C66"/>
    <w:rsid w:val="00235A29"/>
    <w:rsid w:val="00241526"/>
    <w:rsid w:val="002443A2"/>
    <w:rsid w:val="00245754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2ADB"/>
    <w:rsid w:val="002F4967"/>
    <w:rsid w:val="002F5AA5"/>
    <w:rsid w:val="00304636"/>
    <w:rsid w:val="00305156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4AC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26DB"/>
    <w:rsid w:val="0043682E"/>
    <w:rsid w:val="00447ECB"/>
    <w:rsid w:val="00460A18"/>
    <w:rsid w:val="004623F7"/>
    <w:rsid w:val="00480F51"/>
    <w:rsid w:val="00481124"/>
    <w:rsid w:val="004815EB"/>
    <w:rsid w:val="00487569"/>
    <w:rsid w:val="00491BBE"/>
    <w:rsid w:val="00496864"/>
    <w:rsid w:val="00496920"/>
    <w:rsid w:val="004A4496"/>
    <w:rsid w:val="004B11AB"/>
    <w:rsid w:val="004B1760"/>
    <w:rsid w:val="004B7C9A"/>
    <w:rsid w:val="004C1B88"/>
    <w:rsid w:val="004C4F73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C23CC"/>
    <w:rsid w:val="005D3669"/>
    <w:rsid w:val="005E42F8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9544C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C66E5"/>
    <w:rsid w:val="007D183E"/>
    <w:rsid w:val="007D43D0"/>
    <w:rsid w:val="007E1833"/>
    <w:rsid w:val="007E3F13"/>
    <w:rsid w:val="007F0D00"/>
    <w:rsid w:val="007F491A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96A8F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374C2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59A4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6C7F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3A53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2AEB"/>
    <w:rsid w:val="00D55560"/>
    <w:rsid w:val="00D56104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2F63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913"/>
    <w:rsid w:val="00E453A3"/>
    <w:rsid w:val="00E520E2"/>
    <w:rsid w:val="00E530C4"/>
    <w:rsid w:val="00E53DCE"/>
    <w:rsid w:val="00E55996"/>
    <w:rsid w:val="00E64254"/>
    <w:rsid w:val="00E67928"/>
    <w:rsid w:val="00E70FB5"/>
    <w:rsid w:val="00E912E6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662E3"/>
    <w:rsid w:val="00F73DBD"/>
    <w:rsid w:val="00F8310E"/>
    <w:rsid w:val="00F914DD"/>
    <w:rsid w:val="00F97695"/>
    <w:rsid w:val="00FA2358"/>
    <w:rsid w:val="00FB2592"/>
    <w:rsid w:val="00FB2810"/>
    <w:rsid w:val="00FB497A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77B6AD5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,超级链接,超?级链,Style 58,超????,하이퍼링크2,超链接1,하이퍼링크21,超??级链Ú,fL????,fL?级,超??级链,超?级链Ú,’´?级链,’´????,’´??级链Ú,’´??级,超?级链?,Style?,S"/>
    <w:basedOn w:val="DefaultParagraphFont"/>
    <w:uiPriority w:val="99"/>
    <w:qFormat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1B88"/>
    <w:rPr>
      <w:color w:val="605E5C"/>
      <w:shd w:val="clear" w:color="auto" w:fill="E1DFDD"/>
    </w:rPr>
  </w:style>
  <w:style w:type="paragraph" w:customStyle="1" w:styleId="AnnexNotitle0">
    <w:name w:val="Annex_No &amp; title"/>
    <w:basedOn w:val="Normal"/>
    <w:next w:val="Normalaftertitle"/>
    <w:uiPriority w:val="99"/>
    <w:rsid w:val="002052C9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"/>
    <w:uiPriority w:val="99"/>
    <w:locked/>
    <w:rsid w:val="002052C9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2052C9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2052C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Table">
    <w:name w:val="Table"/>
    <w:basedOn w:val="Tablehead"/>
    <w:rsid w:val="00896A8F"/>
    <w:rPr>
      <w:sz w:val="24"/>
      <w:szCs w:val="24"/>
      <w:lang w:val="fr-FR"/>
    </w:rPr>
  </w:style>
  <w:style w:type="character" w:styleId="FollowedHyperlink">
    <w:name w:val="FollowedHyperlink"/>
    <w:basedOn w:val="DefaultParagraphFont"/>
    <w:semiHidden/>
    <w:unhideWhenUsed/>
    <w:rsid w:val="000174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77/fr" TargetMode="External"/><Relationship Id="rId13" Type="http://schemas.openxmlformats.org/officeDocument/2006/relationships/hyperlink" Target="mailto:brrag@itu.int" TargetMode="External"/><Relationship Id="rId18" Type="http://schemas.openxmlformats.org/officeDocument/2006/relationships/hyperlink" Target="https://itu.int/ra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tu.int/md/R23-RAG-C-0051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online/mm/scripts/s/gensel90?_filtertxt2=&amp;_filtertxt3=&amp;_filtertxt4=%2CRadiocommunication+Advisory+Group&amp;_filtertxt=&amp;_campaigntype=&amp;_descr=Radiocommunication+Advisory+Group&amp;_roles=-+All+-&amp;studyperiod=M-00000291" TargetMode="External"/><Relationship Id="rId17" Type="http://schemas.openxmlformats.org/officeDocument/2006/relationships/hyperlink" Target="https://www.itu.int/rag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zoom.us/download" TargetMode="External"/><Relationship Id="rId20" Type="http://schemas.openxmlformats.org/officeDocument/2006/relationships/hyperlink" Target="mailto:diana.tomimura@itu.in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rag@itu.in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zoom.us/download" TargetMode="External"/><Relationship Id="rId23" Type="http://schemas.openxmlformats.org/officeDocument/2006/relationships/hyperlink" Target="mailto:mjnoobi@cst.gov.sa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itu.int/rag" TargetMode="External"/><Relationship Id="rId19" Type="http://schemas.openxmlformats.org/officeDocument/2006/relationships/hyperlink" Target="mailto:diana.tomimura@itu.in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rag/" TargetMode="External"/><Relationship Id="rId14" Type="http://schemas.openxmlformats.org/officeDocument/2006/relationships/hyperlink" Target="https://www.itu.int/online/mm/scripts/s/gensel90?_filtertxt2=&amp;_filtertxt3=&amp;_filtertxt4=%2CRadiocommunication+Advisory+Group&amp;_filtertxt=&amp;_campaigntype=&amp;_descr=Radiocommunication+Advisory+Group&amp;_roles=-+All+-&amp;studyperiod=M-00000291" TargetMode="External"/><Relationship Id="rId22" Type="http://schemas.openxmlformats.org/officeDocument/2006/relationships/hyperlink" Target="https://www.itu.int/md/R23-RAG-C-0049/en" TargetMode="Externa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rag/correspondence-groups/on-sp-2028-2031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F815C9" w:rsidRDefault="00F815C9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C9"/>
    <w:rsid w:val="00491BBE"/>
    <w:rsid w:val="0069544C"/>
    <w:rsid w:val="00B559A4"/>
    <w:rsid w:val="00F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754E-7621-4B8E-A469-3744FFE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929</Words>
  <Characters>5160</Characters>
  <Application>Microsoft Office Word</Application>
  <DocSecurity>0</DocSecurity>
  <Lines>141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6043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3</cp:revision>
  <cp:lastPrinted>2013-03-08T10:15:00Z</cp:lastPrinted>
  <dcterms:created xsi:type="dcterms:W3CDTF">2025-10-28T16:16:00Z</dcterms:created>
  <dcterms:modified xsi:type="dcterms:W3CDTF">2025-10-30T08:42:00Z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