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D50B56" w14:paraId="3373B1DA" w14:textId="77777777" w:rsidTr="004228FA">
        <w:trPr>
          <w:jc w:val="center"/>
        </w:trPr>
        <w:tc>
          <w:tcPr>
            <w:tcW w:w="9889" w:type="dxa"/>
            <w:gridSpan w:val="3"/>
            <w:shd w:val="clear" w:color="auto" w:fill="auto"/>
          </w:tcPr>
          <w:p w14:paraId="131D11D0" w14:textId="77777777" w:rsidR="00E53DCE" w:rsidRPr="00D50B56" w:rsidRDefault="00E53DCE" w:rsidP="006160CB">
            <w:pPr>
              <w:spacing w:before="0"/>
              <w:jc w:val="left"/>
              <w:rPr>
                <w:rFonts w:cstheme="minorHAnsi"/>
                <w:b/>
                <w:bCs/>
                <w:color w:val="808080"/>
                <w:sz w:val="28"/>
                <w:szCs w:val="28"/>
                <w:lang w:val="fr-FR"/>
              </w:rPr>
            </w:pPr>
            <w:r w:rsidRPr="00D50B56">
              <w:rPr>
                <w:rFonts w:cstheme="minorHAnsi"/>
                <w:b/>
                <w:bCs/>
                <w:color w:val="808080"/>
                <w:sz w:val="28"/>
                <w:szCs w:val="28"/>
                <w:lang w:val="fr-FR"/>
              </w:rPr>
              <w:t>Bureau des radiocommunications (BR)</w:t>
            </w:r>
          </w:p>
          <w:p w14:paraId="5D410CA3" w14:textId="77777777" w:rsidR="00E53DCE" w:rsidRPr="00D50B56" w:rsidRDefault="00E53DCE" w:rsidP="006160CB">
            <w:pPr>
              <w:spacing w:before="0"/>
              <w:jc w:val="left"/>
              <w:rPr>
                <w:rFonts w:cstheme="minorHAnsi"/>
                <w:b/>
                <w:bCs/>
                <w:color w:val="808080"/>
                <w:sz w:val="28"/>
                <w:szCs w:val="28"/>
                <w:lang w:val="fr-FR"/>
              </w:rPr>
            </w:pPr>
          </w:p>
          <w:p w14:paraId="238EAC46" w14:textId="77777777" w:rsidR="00E53DCE" w:rsidRPr="00D50B56" w:rsidRDefault="00E53DCE" w:rsidP="006160CB">
            <w:pPr>
              <w:spacing w:before="0"/>
              <w:jc w:val="left"/>
              <w:rPr>
                <w:rFonts w:cs="Times New Roman Bold"/>
                <w:b/>
                <w:bCs/>
                <w:color w:val="808080"/>
                <w:sz w:val="28"/>
                <w:szCs w:val="28"/>
                <w:lang w:val="fr-FR"/>
              </w:rPr>
            </w:pPr>
          </w:p>
        </w:tc>
      </w:tr>
      <w:tr w:rsidR="00E53DCE" w:rsidRPr="00D50B56" w14:paraId="32D03654" w14:textId="77777777" w:rsidTr="004228FA">
        <w:trPr>
          <w:jc w:val="center"/>
        </w:trPr>
        <w:tc>
          <w:tcPr>
            <w:tcW w:w="7054" w:type="dxa"/>
            <w:gridSpan w:val="2"/>
            <w:shd w:val="clear" w:color="auto" w:fill="auto"/>
          </w:tcPr>
          <w:p w14:paraId="787AC96A" w14:textId="6132C282" w:rsidR="00E53DCE" w:rsidRPr="00D50B56" w:rsidRDefault="00E53DCE" w:rsidP="006160CB">
            <w:pPr>
              <w:spacing w:before="0"/>
              <w:jc w:val="left"/>
              <w:rPr>
                <w:sz w:val="28"/>
                <w:szCs w:val="28"/>
                <w:lang w:val="fr-FR"/>
              </w:rPr>
            </w:pPr>
            <w:r w:rsidRPr="00D50B56">
              <w:rPr>
                <w:szCs w:val="24"/>
                <w:lang w:val="fr-FR"/>
              </w:rPr>
              <w:t>Circulaire administrative</w:t>
            </w:r>
          </w:p>
          <w:p w14:paraId="198DE3D1" w14:textId="081FEEA6" w:rsidR="00E53DCE" w:rsidRPr="00D50B56" w:rsidRDefault="00AA781A" w:rsidP="006160CB">
            <w:pPr>
              <w:spacing w:before="0"/>
              <w:jc w:val="left"/>
              <w:rPr>
                <w:b/>
                <w:bCs/>
                <w:sz w:val="28"/>
                <w:szCs w:val="28"/>
                <w:lang w:val="fr-FR"/>
              </w:rPr>
            </w:pPr>
            <w:r w:rsidRPr="00D50B56">
              <w:rPr>
                <w:b/>
                <w:bCs/>
                <w:szCs w:val="24"/>
                <w:lang w:val="fr-FR"/>
              </w:rPr>
              <w:t>CA/</w:t>
            </w:r>
            <w:r w:rsidR="00725DD7" w:rsidRPr="00D50B56">
              <w:rPr>
                <w:b/>
                <w:bCs/>
                <w:szCs w:val="24"/>
                <w:lang w:val="fr-FR"/>
              </w:rPr>
              <w:t>278</w:t>
            </w:r>
          </w:p>
        </w:tc>
        <w:tc>
          <w:tcPr>
            <w:tcW w:w="2835" w:type="dxa"/>
            <w:shd w:val="clear" w:color="auto" w:fill="auto"/>
          </w:tcPr>
          <w:p w14:paraId="73698996" w14:textId="75848E52" w:rsidR="00E53DCE" w:rsidRPr="00D50B56" w:rsidRDefault="005546ED" w:rsidP="00304636">
            <w:pPr>
              <w:spacing w:before="0"/>
              <w:jc w:val="right"/>
              <w:rPr>
                <w:szCs w:val="24"/>
                <w:lang w:val="fr-FR"/>
              </w:rPr>
            </w:pPr>
            <w:r>
              <w:rPr>
                <w:szCs w:val="24"/>
                <w:lang w:val="fr-FR"/>
              </w:rPr>
              <w:t>Le 2</w:t>
            </w:r>
            <w:r w:rsidR="004A73DE" w:rsidRPr="00D50B56">
              <w:rPr>
                <w:szCs w:val="24"/>
                <w:lang w:val="fr-FR"/>
              </w:rPr>
              <w:t xml:space="preserve"> septembre 2025</w:t>
            </w:r>
          </w:p>
        </w:tc>
      </w:tr>
      <w:tr w:rsidR="00E53DCE" w:rsidRPr="00D50B56" w14:paraId="21CF050B" w14:textId="77777777" w:rsidTr="004228FA">
        <w:trPr>
          <w:jc w:val="center"/>
        </w:trPr>
        <w:tc>
          <w:tcPr>
            <w:tcW w:w="9889" w:type="dxa"/>
            <w:gridSpan w:val="3"/>
            <w:shd w:val="clear" w:color="auto" w:fill="auto"/>
          </w:tcPr>
          <w:p w14:paraId="78C111A6" w14:textId="77777777" w:rsidR="00E53DCE" w:rsidRPr="00D50B56" w:rsidRDefault="00E53DCE" w:rsidP="006160CB">
            <w:pPr>
              <w:spacing w:before="0"/>
              <w:jc w:val="left"/>
              <w:rPr>
                <w:rFonts w:cs="Arial"/>
                <w:szCs w:val="24"/>
                <w:lang w:val="fr-FR"/>
              </w:rPr>
            </w:pPr>
          </w:p>
        </w:tc>
      </w:tr>
      <w:tr w:rsidR="00E53DCE" w:rsidRPr="00D50B56" w14:paraId="2F4E240B" w14:textId="77777777" w:rsidTr="004228FA">
        <w:trPr>
          <w:jc w:val="center"/>
        </w:trPr>
        <w:tc>
          <w:tcPr>
            <w:tcW w:w="9889" w:type="dxa"/>
            <w:gridSpan w:val="3"/>
            <w:shd w:val="clear" w:color="auto" w:fill="auto"/>
          </w:tcPr>
          <w:p w14:paraId="1E0134AA" w14:textId="77777777" w:rsidR="00E53DCE" w:rsidRPr="00D50B56" w:rsidRDefault="00E53DCE" w:rsidP="006160CB">
            <w:pPr>
              <w:spacing w:before="0"/>
              <w:jc w:val="left"/>
              <w:rPr>
                <w:szCs w:val="24"/>
                <w:lang w:val="fr-FR"/>
              </w:rPr>
            </w:pPr>
          </w:p>
        </w:tc>
      </w:tr>
      <w:tr w:rsidR="00E53DCE" w:rsidRPr="009462AE" w14:paraId="007114AC" w14:textId="77777777" w:rsidTr="004228FA">
        <w:trPr>
          <w:jc w:val="center"/>
        </w:trPr>
        <w:tc>
          <w:tcPr>
            <w:tcW w:w="9889" w:type="dxa"/>
            <w:gridSpan w:val="3"/>
            <w:shd w:val="clear" w:color="auto" w:fill="auto"/>
          </w:tcPr>
          <w:p w14:paraId="43A7338A" w14:textId="27A49D5A" w:rsidR="00E53DCE" w:rsidRPr="00D50B56" w:rsidRDefault="00725DD7" w:rsidP="006160CB">
            <w:pPr>
              <w:spacing w:before="0"/>
              <w:jc w:val="left"/>
              <w:rPr>
                <w:b/>
                <w:bCs/>
                <w:szCs w:val="24"/>
                <w:lang w:val="fr-FR"/>
              </w:rPr>
            </w:pPr>
            <w:r w:rsidRPr="00D50B56">
              <w:rPr>
                <w:b/>
                <w:bCs/>
                <w:color w:val="000000"/>
                <w:lang w:val="fr-FR"/>
              </w:rPr>
              <w:t>Aux Administrations des États Membres de l'UIT et aux Membres du Secteur des radiocommunications</w:t>
            </w:r>
          </w:p>
        </w:tc>
      </w:tr>
      <w:tr w:rsidR="00E53DCE" w:rsidRPr="009462AE" w14:paraId="6C559311" w14:textId="77777777" w:rsidTr="004228FA">
        <w:trPr>
          <w:jc w:val="center"/>
        </w:trPr>
        <w:tc>
          <w:tcPr>
            <w:tcW w:w="9889" w:type="dxa"/>
            <w:gridSpan w:val="3"/>
            <w:shd w:val="clear" w:color="auto" w:fill="auto"/>
          </w:tcPr>
          <w:p w14:paraId="0D32AE4E" w14:textId="77777777" w:rsidR="00E53DCE" w:rsidRPr="00D50B56" w:rsidRDefault="00E53DCE" w:rsidP="006160CB">
            <w:pPr>
              <w:spacing w:before="0"/>
              <w:jc w:val="left"/>
              <w:rPr>
                <w:szCs w:val="24"/>
                <w:lang w:val="fr-FR"/>
              </w:rPr>
            </w:pPr>
          </w:p>
        </w:tc>
      </w:tr>
      <w:tr w:rsidR="00E53DCE" w:rsidRPr="009462AE" w14:paraId="26C0E337" w14:textId="77777777" w:rsidTr="004228FA">
        <w:trPr>
          <w:jc w:val="center"/>
        </w:trPr>
        <w:tc>
          <w:tcPr>
            <w:tcW w:w="9889" w:type="dxa"/>
            <w:gridSpan w:val="3"/>
            <w:shd w:val="clear" w:color="auto" w:fill="auto"/>
          </w:tcPr>
          <w:p w14:paraId="29F7E960" w14:textId="77777777" w:rsidR="00E53DCE" w:rsidRPr="00D50B56" w:rsidRDefault="00E53DCE" w:rsidP="006160CB">
            <w:pPr>
              <w:spacing w:before="0"/>
              <w:jc w:val="left"/>
              <w:rPr>
                <w:szCs w:val="24"/>
                <w:lang w:val="fr-FR"/>
              </w:rPr>
            </w:pPr>
          </w:p>
        </w:tc>
      </w:tr>
      <w:tr w:rsidR="00E53DCE" w:rsidRPr="009462AE" w14:paraId="2813E03B" w14:textId="77777777" w:rsidTr="004228FA">
        <w:trPr>
          <w:jc w:val="center"/>
        </w:trPr>
        <w:tc>
          <w:tcPr>
            <w:tcW w:w="1526" w:type="dxa"/>
            <w:shd w:val="clear" w:color="auto" w:fill="auto"/>
          </w:tcPr>
          <w:p w14:paraId="50D97891" w14:textId="77777777" w:rsidR="00E53DCE" w:rsidRPr="00D50B56" w:rsidRDefault="003471C9" w:rsidP="006160CB">
            <w:pPr>
              <w:tabs>
                <w:tab w:val="clear" w:pos="1588"/>
                <w:tab w:val="left" w:pos="1560"/>
              </w:tabs>
              <w:spacing w:before="0"/>
              <w:jc w:val="left"/>
              <w:rPr>
                <w:szCs w:val="24"/>
                <w:lang w:val="fr-FR"/>
              </w:rPr>
            </w:pPr>
            <w:r w:rsidRPr="00D50B56">
              <w:rPr>
                <w:lang w:val="fr-FR"/>
              </w:rPr>
              <w:t>Objet</w:t>
            </w:r>
            <w:r w:rsidR="00E53DCE" w:rsidRPr="00D50B56">
              <w:rPr>
                <w:szCs w:val="24"/>
                <w:lang w:val="fr-FR"/>
              </w:rPr>
              <w:t>:</w:t>
            </w:r>
          </w:p>
        </w:tc>
        <w:tc>
          <w:tcPr>
            <w:tcW w:w="8363" w:type="dxa"/>
            <w:gridSpan w:val="2"/>
            <w:vMerge w:val="restart"/>
            <w:shd w:val="clear" w:color="auto" w:fill="auto"/>
          </w:tcPr>
          <w:p w14:paraId="41F3265F" w14:textId="0F91DAFF" w:rsidR="00E53DCE" w:rsidRPr="00D50B56" w:rsidRDefault="00725DD7" w:rsidP="00725DD7">
            <w:pPr>
              <w:tabs>
                <w:tab w:val="clear" w:pos="1588"/>
                <w:tab w:val="left" w:pos="1560"/>
              </w:tabs>
              <w:spacing w:before="0"/>
              <w:jc w:val="left"/>
              <w:rPr>
                <w:b/>
                <w:bCs/>
                <w:szCs w:val="24"/>
                <w:lang w:val="fr-FR"/>
              </w:rPr>
            </w:pPr>
            <w:r w:rsidRPr="00D50B56">
              <w:rPr>
                <w:b/>
                <w:bCs/>
                <w:szCs w:val="24"/>
                <w:lang w:val="fr-FR"/>
              </w:rPr>
              <w:t xml:space="preserve">Première </w:t>
            </w:r>
            <w:r w:rsidR="00BF2C93" w:rsidRPr="00D50B56">
              <w:rPr>
                <w:b/>
                <w:bCs/>
                <w:szCs w:val="24"/>
                <w:lang w:val="fr-FR"/>
              </w:rPr>
              <w:t xml:space="preserve">séance </w:t>
            </w:r>
            <w:r w:rsidRPr="00D50B56">
              <w:rPr>
                <w:b/>
                <w:bCs/>
                <w:szCs w:val="24"/>
                <w:lang w:val="fr-FR"/>
              </w:rPr>
              <w:t>d'information interrégionale de l'UIT sur les travaux préparatoires en vue de la CMR-27, Genève, 3-5 décembre 2025</w:t>
            </w:r>
          </w:p>
        </w:tc>
      </w:tr>
      <w:tr w:rsidR="00E53DCE" w:rsidRPr="009462AE" w14:paraId="61BFC634" w14:textId="77777777" w:rsidTr="004228FA">
        <w:trPr>
          <w:jc w:val="center"/>
        </w:trPr>
        <w:tc>
          <w:tcPr>
            <w:tcW w:w="1526" w:type="dxa"/>
            <w:shd w:val="clear" w:color="auto" w:fill="auto"/>
          </w:tcPr>
          <w:p w14:paraId="1D8E097C" w14:textId="77777777" w:rsidR="00E53DCE" w:rsidRPr="00D50B56"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D50B56" w:rsidRDefault="00E53DCE" w:rsidP="006160CB">
            <w:pPr>
              <w:tabs>
                <w:tab w:val="clear" w:pos="1588"/>
                <w:tab w:val="left" w:pos="1560"/>
              </w:tabs>
              <w:spacing w:before="0"/>
              <w:rPr>
                <w:b/>
                <w:bCs/>
                <w:szCs w:val="24"/>
                <w:lang w:val="fr-FR"/>
              </w:rPr>
            </w:pPr>
          </w:p>
        </w:tc>
      </w:tr>
      <w:tr w:rsidR="00E53DCE" w:rsidRPr="009462AE" w14:paraId="16E0966F" w14:textId="77777777" w:rsidTr="004228FA">
        <w:trPr>
          <w:jc w:val="center"/>
        </w:trPr>
        <w:tc>
          <w:tcPr>
            <w:tcW w:w="1526" w:type="dxa"/>
            <w:shd w:val="clear" w:color="auto" w:fill="auto"/>
          </w:tcPr>
          <w:p w14:paraId="1523ACF5" w14:textId="77777777" w:rsidR="00E53DCE" w:rsidRPr="00D50B56"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D50B56" w:rsidRDefault="00E53DCE" w:rsidP="006160CB">
            <w:pPr>
              <w:tabs>
                <w:tab w:val="clear" w:pos="1588"/>
                <w:tab w:val="left" w:pos="1560"/>
              </w:tabs>
              <w:spacing w:before="0"/>
              <w:rPr>
                <w:b/>
                <w:bCs/>
                <w:szCs w:val="24"/>
                <w:lang w:val="fr-FR"/>
              </w:rPr>
            </w:pPr>
          </w:p>
        </w:tc>
      </w:tr>
      <w:tr w:rsidR="00E53DCE" w:rsidRPr="009462AE" w14:paraId="7F2EC983" w14:textId="77777777" w:rsidTr="004228FA">
        <w:trPr>
          <w:jc w:val="center"/>
        </w:trPr>
        <w:tc>
          <w:tcPr>
            <w:tcW w:w="9889" w:type="dxa"/>
            <w:gridSpan w:val="3"/>
            <w:shd w:val="clear" w:color="auto" w:fill="auto"/>
          </w:tcPr>
          <w:p w14:paraId="40F7D839" w14:textId="77777777" w:rsidR="00E53DCE" w:rsidRPr="00D50B56" w:rsidRDefault="00E53DCE" w:rsidP="00E53DCE">
            <w:pPr>
              <w:tabs>
                <w:tab w:val="clear" w:pos="1588"/>
                <w:tab w:val="left" w:pos="1560"/>
              </w:tabs>
              <w:spacing w:before="0"/>
              <w:jc w:val="left"/>
              <w:rPr>
                <w:szCs w:val="24"/>
                <w:lang w:val="fr-FR"/>
              </w:rPr>
            </w:pPr>
          </w:p>
        </w:tc>
      </w:tr>
      <w:tr w:rsidR="00E53DCE" w:rsidRPr="009462AE" w14:paraId="290A0292" w14:textId="77777777" w:rsidTr="004228FA">
        <w:trPr>
          <w:jc w:val="center"/>
        </w:trPr>
        <w:tc>
          <w:tcPr>
            <w:tcW w:w="9889" w:type="dxa"/>
            <w:gridSpan w:val="3"/>
            <w:shd w:val="clear" w:color="auto" w:fill="auto"/>
          </w:tcPr>
          <w:p w14:paraId="40F59961" w14:textId="77777777" w:rsidR="00E53DCE" w:rsidRPr="00D50B56" w:rsidRDefault="00E53DCE" w:rsidP="006160CB">
            <w:pPr>
              <w:spacing w:before="0"/>
              <w:jc w:val="left"/>
              <w:rPr>
                <w:b/>
                <w:bCs/>
                <w:szCs w:val="24"/>
                <w:lang w:val="fr-FR"/>
              </w:rPr>
            </w:pPr>
          </w:p>
        </w:tc>
      </w:tr>
    </w:tbl>
    <w:p w14:paraId="045EEE91" w14:textId="29EB929B" w:rsidR="00725DD7" w:rsidRPr="00D50B56" w:rsidRDefault="00725DD7" w:rsidP="009462AE">
      <w:pPr>
        <w:pStyle w:val="Normalaftertitle"/>
        <w:rPr>
          <w:lang w:val="fr-FR"/>
        </w:rPr>
      </w:pPr>
      <w:r w:rsidRPr="00D50B56">
        <w:rPr>
          <w:lang w:val="fr-FR"/>
        </w:rPr>
        <w:t xml:space="preserve">Par la présente Circulaire administrative, j'ai l'honneur de vous informer que la première </w:t>
      </w:r>
      <w:r w:rsidR="00BF2C93" w:rsidRPr="00D50B56">
        <w:rPr>
          <w:lang w:val="fr-FR"/>
        </w:rPr>
        <w:t>s</w:t>
      </w:r>
      <w:r w:rsidRPr="00D50B56">
        <w:rPr>
          <w:lang w:val="fr-FR"/>
        </w:rPr>
        <w:t xml:space="preserve">éance d'information interrégionale de l'UIT sur les travaux préparatoires en vue de la CMR-27 se tiendra au siège de l'UIT à Genève du </w:t>
      </w:r>
      <w:r w:rsidRPr="00D50B56">
        <w:rPr>
          <w:b/>
          <w:bCs/>
          <w:lang w:val="fr-FR"/>
        </w:rPr>
        <w:t>3 au 5 décembre 2025</w:t>
      </w:r>
      <w:r w:rsidRPr="00D50B56">
        <w:rPr>
          <w:lang w:val="fr-FR"/>
        </w:rPr>
        <w:t xml:space="preserve"> inclus.</w:t>
      </w:r>
    </w:p>
    <w:p w14:paraId="48F2E188" w14:textId="6F4D0B9C" w:rsidR="00725DD7" w:rsidRPr="00D50B56" w:rsidRDefault="00725DD7" w:rsidP="009462AE">
      <w:pPr>
        <w:spacing w:before="120"/>
        <w:rPr>
          <w:lang w:val="fr-FR"/>
        </w:rPr>
      </w:pPr>
      <w:r w:rsidRPr="00D50B56">
        <w:rPr>
          <w:lang w:val="fr-FR"/>
        </w:rPr>
        <w:t xml:space="preserve">Cette première </w:t>
      </w:r>
      <w:r w:rsidR="00BF2C93" w:rsidRPr="00D50B56">
        <w:rPr>
          <w:lang w:val="fr-FR"/>
        </w:rPr>
        <w:t xml:space="preserve">séance </w:t>
      </w:r>
      <w:r w:rsidRPr="00D50B56">
        <w:rPr>
          <w:lang w:val="fr-FR"/>
        </w:rPr>
        <w:t>d'information interrégionale est organisée en application de la Résolution </w:t>
      </w:r>
      <w:r w:rsidRPr="00D50B56">
        <w:rPr>
          <w:b/>
          <w:bCs/>
          <w:lang w:val="fr-FR"/>
        </w:rPr>
        <w:t>72 (Rév.CMR-19)</w:t>
      </w:r>
      <w:r w:rsidRPr="00D50B56">
        <w:rPr>
          <w:lang w:val="fr-FR"/>
        </w:rPr>
        <w:t xml:space="preserve"> et tient compte des conclusions pertinentes de la 32ème réunion du Groupe consultatif des radiocommunications (voir la Circulaire </w:t>
      </w:r>
      <w:hyperlink r:id="rId8" w:history="1">
        <w:r w:rsidRPr="00D50B56">
          <w:rPr>
            <w:rStyle w:val="Hyperlink"/>
            <w:lang w:val="fr-FR"/>
          </w:rPr>
          <w:t>CA/277</w:t>
        </w:r>
      </w:hyperlink>
      <w:r w:rsidRPr="00D50B56">
        <w:rPr>
          <w:lang w:val="fr-FR"/>
        </w:rPr>
        <w:t>). La séance sera présidée par M.</w:t>
      </w:r>
      <w:r w:rsidR="0070140A">
        <w:rPr>
          <w:lang w:val="fr-FR"/>
        </w:rPr>
        <w:t> </w:t>
      </w:r>
      <w:r w:rsidRPr="00D50B56">
        <w:rPr>
          <w:lang w:val="fr-FR"/>
        </w:rPr>
        <w:t>Alexander Kühn, Président de la Réunion de préparation à la Conférence de 2027 (RPC-27).</w:t>
      </w:r>
    </w:p>
    <w:p w14:paraId="28C2F95D" w14:textId="6E3A1006" w:rsidR="00725DD7" w:rsidRPr="00D50B56" w:rsidRDefault="00725DD7" w:rsidP="009462AE">
      <w:pPr>
        <w:spacing w:before="120"/>
        <w:rPr>
          <w:lang w:val="fr-FR"/>
        </w:rPr>
      </w:pPr>
      <w:r w:rsidRPr="00D50B56">
        <w:rPr>
          <w:lang w:val="fr-FR"/>
        </w:rPr>
        <w:t xml:space="preserve">Sur la base des renseignements fournis par les groupes responsables de l'UIT-R sur les travaux préparatoires actuellement menés en vue de la CMR-27, ainsi que des renseignements mis à jour concernant le Bureau </w:t>
      </w:r>
      <w:r w:rsidR="00683A46">
        <w:rPr>
          <w:lang w:val="fr-FR"/>
        </w:rPr>
        <w:t xml:space="preserve">des radiocommunications </w:t>
      </w:r>
      <w:r w:rsidRPr="00D50B56">
        <w:rPr>
          <w:lang w:val="fr-FR"/>
        </w:rPr>
        <w:t>et les travaux préparatoires régionaux en vue de la RPC27-2, de l'AR-27 et de la CMR-27, des tables rondes offriront aux participants la possibilité d'échanger des vues et de mieux comprendre les points de l'ordre du jour et les enjeux les plus complexes de la CMR-27, ainsi que les avant-projets de vues ou de positions communes des entités concernées.</w:t>
      </w:r>
    </w:p>
    <w:p w14:paraId="5AE51C9B" w14:textId="77777777" w:rsidR="00725DD7" w:rsidRPr="00D50B56" w:rsidRDefault="00725DD7" w:rsidP="009462AE">
      <w:pPr>
        <w:pStyle w:val="Headingb"/>
        <w:rPr>
          <w:lang w:val="fr-FR"/>
        </w:rPr>
      </w:pPr>
      <w:r w:rsidRPr="00D50B56">
        <w:rPr>
          <w:lang w:val="fr-FR"/>
        </w:rPr>
        <w:t>Documents de travail</w:t>
      </w:r>
    </w:p>
    <w:p w14:paraId="22874C83" w14:textId="59B434B5" w:rsidR="00725DD7" w:rsidRPr="00D50B56" w:rsidRDefault="00725DD7" w:rsidP="009462AE">
      <w:pPr>
        <w:spacing w:before="120"/>
        <w:rPr>
          <w:lang w:val="fr-FR"/>
        </w:rPr>
      </w:pPr>
      <w:r w:rsidRPr="00D50B56">
        <w:rPr>
          <w:lang w:val="fr-FR"/>
        </w:rPr>
        <w:t>Afin d'atteindre les objectifs fixés, des contributions en anglais peuvent être soumises afin d'alimenter les travaux, en particulier par les groupes régionaux. Ces contributions peuvent être soumises par courrier électronique au secrétariat du BR (</w:t>
      </w:r>
      <w:hyperlink r:id="rId9" w:history="1">
        <w:r w:rsidRPr="00D50B56">
          <w:rPr>
            <w:rStyle w:val="Hyperlink"/>
            <w:lang w:val="fr-FR"/>
          </w:rPr>
          <w:t>brmail@itu.int</w:t>
        </w:r>
      </w:hyperlink>
      <w:r w:rsidRPr="00D50B56">
        <w:rPr>
          <w:lang w:val="fr-FR"/>
        </w:rPr>
        <w:t xml:space="preserve">), </w:t>
      </w:r>
      <w:r w:rsidRPr="00D50B56">
        <w:rPr>
          <w:b/>
          <w:bCs/>
          <w:lang w:val="fr-FR"/>
        </w:rPr>
        <w:t>d'ici au 26 novembre 2025 au plus tard</w:t>
      </w:r>
      <w:r w:rsidRPr="00D50B56">
        <w:rPr>
          <w:lang w:val="fr-FR"/>
        </w:rPr>
        <w:t>. Veuillez noter que les documents soumis dans d'autres langues que les langues officielles de l'Union ne seront pas traduits et seront téléchargés sur le site web de la manifestation, afin d'être utilisés comme référence pendant les discussions.</w:t>
      </w:r>
    </w:p>
    <w:p w14:paraId="3B8F0E23" w14:textId="77777777" w:rsidR="00725DD7" w:rsidRPr="00D50B56" w:rsidRDefault="00725DD7" w:rsidP="009462AE">
      <w:pPr>
        <w:pStyle w:val="Headingb"/>
        <w:rPr>
          <w:lang w:val="fr-FR"/>
        </w:rPr>
      </w:pPr>
      <w:r w:rsidRPr="00D50B56">
        <w:rPr>
          <w:lang w:val="fr-FR"/>
        </w:rPr>
        <w:t>Site web</w:t>
      </w:r>
    </w:p>
    <w:p w14:paraId="7A1E38AA" w14:textId="4813F8ED" w:rsidR="00725DD7" w:rsidRPr="00D50B56" w:rsidRDefault="00725DD7" w:rsidP="009462AE">
      <w:pPr>
        <w:spacing w:before="120"/>
        <w:rPr>
          <w:lang w:val="fr-FR"/>
        </w:rPr>
      </w:pPr>
      <w:r w:rsidRPr="00D50B56">
        <w:rPr>
          <w:lang w:val="fr-FR"/>
        </w:rPr>
        <w:t>Tous les renseignements utiles concernant la manifestation (programme, documents, inscription et participation) seront mis à disposition sur le site web suivant:</w:t>
      </w:r>
    </w:p>
    <w:p w14:paraId="7470DDCC" w14:textId="7917C5AA" w:rsidR="00725DD7" w:rsidRPr="00D50B56" w:rsidRDefault="00725DD7" w:rsidP="00725DD7">
      <w:pPr>
        <w:spacing w:before="120"/>
        <w:jc w:val="center"/>
        <w:rPr>
          <w:lang w:val="fr-FR"/>
        </w:rPr>
      </w:pPr>
      <w:hyperlink r:id="rId10" w:anchor="/fr" w:history="1">
        <w:r w:rsidRPr="00D50B56">
          <w:rPr>
            <w:rStyle w:val="Hyperlink"/>
            <w:lang w:val="fr-FR"/>
          </w:rPr>
          <w:t>www.itu.int/iris-wrc-27/2025</w:t>
        </w:r>
      </w:hyperlink>
    </w:p>
    <w:p w14:paraId="28F9C7AF" w14:textId="77777777" w:rsidR="00725DD7" w:rsidRPr="00D50B56" w:rsidRDefault="00725DD7" w:rsidP="009462AE">
      <w:pPr>
        <w:spacing w:before="120"/>
        <w:rPr>
          <w:lang w:val="fr-FR"/>
        </w:rPr>
      </w:pPr>
      <w:r w:rsidRPr="00D50B56">
        <w:rPr>
          <w:lang w:val="fr-FR"/>
        </w:rPr>
        <w:t>Ces renseignements pouvant être mis à jour ou complétés sans notification, nous vous recommandons de consulter régulièrement ce site web.</w:t>
      </w:r>
    </w:p>
    <w:p w14:paraId="116E3FB2" w14:textId="77777777" w:rsidR="00725DD7" w:rsidRPr="00D50B56" w:rsidRDefault="00725DD7" w:rsidP="00725DD7">
      <w:pPr>
        <w:pStyle w:val="Headingb"/>
        <w:rPr>
          <w:lang w:val="fr-FR"/>
        </w:rPr>
      </w:pPr>
      <w:r w:rsidRPr="00D50B56">
        <w:rPr>
          <w:lang w:val="fr-FR"/>
        </w:rPr>
        <w:lastRenderedPageBreak/>
        <w:t>Programme, format et horaire</w:t>
      </w:r>
    </w:p>
    <w:p w14:paraId="4D8E4F34" w14:textId="11FA0B1B" w:rsidR="00725DD7" w:rsidRPr="00D50B56" w:rsidRDefault="00725DD7" w:rsidP="009462AE">
      <w:pPr>
        <w:spacing w:before="120"/>
        <w:rPr>
          <w:spacing w:val="-1"/>
          <w:lang w:val="fr-FR"/>
        </w:rPr>
      </w:pPr>
      <w:r w:rsidRPr="00D50B56">
        <w:rPr>
          <w:spacing w:val="-1"/>
          <w:lang w:val="fr-FR"/>
        </w:rPr>
        <w:t xml:space="preserve">Une ébauche de l'avant-projet de programme de la </w:t>
      </w:r>
      <w:r w:rsidR="00BF2C93">
        <w:rPr>
          <w:spacing w:val="-1"/>
          <w:lang w:val="fr-FR"/>
        </w:rPr>
        <w:t>s</w:t>
      </w:r>
      <w:r w:rsidRPr="00D50B56">
        <w:rPr>
          <w:spacing w:val="-1"/>
          <w:lang w:val="fr-FR"/>
        </w:rPr>
        <w:t>éance d'information interrégionale figure dans l'</w:t>
      </w:r>
      <w:r w:rsidRPr="00D50B56">
        <w:rPr>
          <w:b/>
          <w:bCs/>
          <w:spacing w:val="-1"/>
          <w:lang w:val="fr-FR"/>
        </w:rPr>
        <w:t>Annexe</w:t>
      </w:r>
      <w:r w:rsidRPr="00D50B56">
        <w:rPr>
          <w:spacing w:val="-1"/>
          <w:lang w:val="fr-FR"/>
        </w:rPr>
        <w:t xml:space="preserve"> de la présente lettre. Une version plus détaillée sera mise à disposition sur le site</w:t>
      </w:r>
      <w:r w:rsidR="006A7936" w:rsidRPr="00D50B56">
        <w:rPr>
          <w:spacing w:val="-1"/>
          <w:lang w:val="fr-FR"/>
        </w:rPr>
        <w:t xml:space="preserve"> </w:t>
      </w:r>
      <w:r w:rsidRPr="00D50B56">
        <w:rPr>
          <w:spacing w:val="-1"/>
          <w:lang w:val="fr-FR"/>
        </w:rPr>
        <w:t>web de la manifestation et sera mise à jour à mesure que de nouvelles informations seront disponibles.</w:t>
      </w:r>
    </w:p>
    <w:p w14:paraId="678158ED" w14:textId="77777777" w:rsidR="00725DD7" w:rsidRPr="00D50B56" w:rsidRDefault="00725DD7" w:rsidP="00725DD7">
      <w:pPr>
        <w:pStyle w:val="Headingb"/>
        <w:rPr>
          <w:lang w:val="fr-FR"/>
        </w:rPr>
      </w:pPr>
      <w:r w:rsidRPr="00D50B56">
        <w:rPr>
          <w:lang w:val="fr-FR"/>
        </w:rPr>
        <w:t>Inscription/Demande de visa/Hébergement</w:t>
      </w:r>
    </w:p>
    <w:p w14:paraId="683D7089" w14:textId="77777777" w:rsidR="00725DD7" w:rsidRPr="00D50B56" w:rsidRDefault="00725DD7" w:rsidP="009462AE">
      <w:pPr>
        <w:rPr>
          <w:lang w:val="fr-FR"/>
        </w:rPr>
      </w:pPr>
      <w:r w:rsidRPr="00D50B56">
        <w:rPr>
          <w:lang w:val="fr-FR"/>
        </w:rPr>
        <w:t xml:space="preserve">L'inscription à cette manifestation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par les coordonnateurs désignés. À cette fin, ils doivent disposer d'un compte UIT. En outre, il est vivement recommandé aux participants de </w:t>
      </w:r>
      <w:r w:rsidRPr="00D50B56">
        <w:rPr>
          <w:b/>
          <w:bCs/>
          <w:lang w:val="fr-FR"/>
        </w:rPr>
        <w:t>s'inscrire à l'avance</w:t>
      </w:r>
      <w:r w:rsidRPr="00D50B56">
        <w:rPr>
          <w:lang w:val="fr-FR"/>
        </w:rPr>
        <w:t xml:space="preserve"> et d'indiquer </w:t>
      </w:r>
      <w:r w:rsidRPr="00D50B56">
        <w:rPr>
          <w:b/>
          <w:bCs/>
          <w:lang w:val="fr-FR"/>
        </w:rPr>
        <w:t>s'ils envisagent de participer aux réunions en présentiel ou à distance</w:t>
      </w:r>
      <w:r w:rsidRPr="00D50B56">
        <w:rPr>
          <w:lang w:val="fr-FR"/>
        </w:rPr>
        <w:t>.</w:t>
      </w:r>
    </w:p>
    <w:p w14:paraId="18131BF4" w14:textId="1DA181BB" w:rsidR="00725DD7" w:rsidRPr="00D50B56" w:rsidRDefault="00725DD7" w:rsidP="009462AE">
      <w:pPr>
        <w:spacing w:before="120"/>
        <w:rPr>
          <w:lang w:val="fr-FR"/>
        </w:rPr>
      </w:pPr>
      <w:r w:rsidRPr="00D50B56">
        <w:rPr>
          <w:lang w:val="fr-FR"/>
        </w:rPr>
        <w:t>On trouvera la liste des coordonnateurs désignés pour l'UIT-R (accès réservé aux utilisateurs de TIES) ainsi que des précisions au sujet de ce système d'inscription aux manifestations, des demandes d'assistance pour l'obtention d'un visa, des réservations d'hôtel, etc., à l'adresse suivante:</w:t>
      </w:r>
    </w:p>
    <w:p w14:paraId="30240D7F" w14:textId="7CC1F7A6" w:rsidR="00725DD7" w:rsidRPr="00D50B56" w:rsidRDefault="006A7936" w:rsidP="006A7936">
      <w:pPr>
        <w:spacing w:before="120"/>
        <w:jc w:val="center"/>
        <w:rPr>
          <w:lang w:val="fr-FR"/>
        </w:rPr>
      </w:pPr>
      <w:hyperlink r:id="rId11" w:history="1">
        <w:r w:rsidRPr="00D50B56">
          <w:rPr>
            <w:rStyle w:val="Hyperlink"/>
            <w:lang w:val="fr-FR"/>
          </w:rPr>
          <w:t>www.itu.int/en/ITU-R/information/events</w:t>
        </w:r>
      </w:hyperlink>
    </w:p>
    <w:p w14:paraId="7226A144" w14:textId="3CD338B6" w:rsidR="00725DD7" w:rsidRPr="00D50B56" w:rsidRDefault="00725DD7" w:rsidP="009462AE">
      <w:pPr>
        <w:spacing w:before="120"/>
        <w:rPr>
          <w:lang w:val="fr-FR"/>
        </w:rPr>
      </w:pPr>
      <w:r w:rsidRPr="00D50B56">
        <w:rPr>
          <w:lang w:val="fr-FR"/>
        </w:rPr>
        <w:t>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suivante:</w:t>
      </w:r>
      <w:r w:rsidR="009462AE">
        <w:rPr>
          <w:lang w:val="fr-FR"/>
        </w:rPr>
        <w:t xml:space="preserve"> </w:t>
      </w:r>
      <w:hyperlink r:id="rId12" w:history="1">
        <w:r w:rsidR="006A7936" w:rsidRPr="00D50B56">
          <w:rPr>
            <w:rStyle w:val="Hyperlink"/>
            <w:lang w:val="fr-FR"/>
          </w:rPr>
          <w:t>https://www.itu.int/en/ITU-R/information/events/Pages/visa.aspx</w:t>
        </w:r>
      </w:hyperlink>
      <w:r w:rsidRPr="00D50B56">
        <w:rPr>
          <w:lang w:val="fr-FR"/>
        </w:rPr>
        <w:t>.</w:t>
      </w:r>
    </w:p>
    <w:p w14:paraId="4F05AFA1" w14:textId="200703FE" w:rsidR="00725DD7" w:rsidRPr="00D50B56" w:rsidRDefault="00725DD7" w:rsidP="00725DD7">
      <w:pPr>
        <w:pStyle w:val="Headingb"/>
        <w:rPr>
          <w:lang w:val="fr-FR"/>
        </w:rPr>
      </w:pPr>
      <w:r w:rsidRPr="00D50B56">
        <w:rPr>
          <w:lang w:val="fr-FR"/>
        </w:rPr>
        <w:t>Participation à distance, interprétation et diffusion sur le web</w:t>
      </w:r>
    </w:p>
    <w:p w14:paraId="282F8C21" w14:textId="58800D9F" w:rsidR="00725DD7" w:rsidRPr="00D50B56" w:rsidRDefault="00725DD7" w:rsidP="009462AE">
      <w:pPr>
        <w:spacing w:before="120"/>
        <w:rPr>
          <w:lang w:val="fr-FR"/>
        </w:rPr>
      </w:pPr>
      <w:r w:rsidRPr="00D50B56">
        <w:rPr>
          <w:lang w:val="fr-FR"/>
        </w:rPr>
        <w:t xml:space="preserve">L'accès aux sessions de la première </w:t>
      </w:r>
      <w:r w:rsidR="00BF2C93">
        <w:rPr>
          <w:lang w:val="fr-FR"/>
        </w:rPr>
        <w:t>s</w:t>
      </w:r>
      <w:r w:rsidRPr="00D50B56">
        <w:rPr>
          <w:lang w:val="fr-FR"/>
        </w:rPr>
        <w:t>éance d'information interrégionale est limité aux seuls participants inscrits à la manifestation. Les délégués qui souhaitent participer aux réunions à distance peuvent consulter les informations disponibles sur la page web consacrée à la participation à distance:</w:t>
      </w:r>
    </w:p>
    <w:p w14:paraId="431FA342" w14:textId="340BA8FB" w:rsidR="00725DD7" w:rsidRPr="00D50B56" w:rsidRDefault="006A7936" w:rsidP="006A7936">
      <w:pPr>
        <w:spacing w:before="120"/>
        <w:jc w:val="center"/>
        <w:rPr>
          <w:lang w:val="fr-FR"/>
        </w:rPr>
      </w:pPr>
      <w:hyperlink r:id="rId13" w:history="1">
        <w:r w:rsidRPr="00D50B56">
          <w:rPr>
            <w:rStyle w:val="Hyperlink"/>
            <w:lang w:val="fr-FR"/>
          </w:rPr>
          <w:t>www.itu.int/en/events/Pages/Virtual-Sessions.aspx</w:t>
        </w:r>
      </w:hyperlink>
    </w:p>
    <w:p w14:paraId="2FC6E994" w14:textId="77777777" w:rsidR="00725DD7" w:rsidRPr="00D50B56" w:rsidRDefault="00725DD7" w:rsidP="009462AE">
      <w:pPr>
        <w:spacing w:before="120"/>
        <w:rPr>
          <w:lang w:val="fr-FR"/>
        </w:rPr>
      </w:pPr>
      <w:r w:rsidRPr="00D50B56">
        <w:rPr>
          <w:lang w:val="fr-FR"/>
        </w:rPr>
        <w:t>Il sera possible de se connecter aux séances virtuelles 30 minutes avant l'heure de début de chaque séance.</w:t>
      </w:r>
    </w:p>
    <w:p w14:paraId="7CFB9AFE" w14:textId="4A419A98" w:rsidR="00725DD7" w:rsidRPr="00D50B56" w:rsidRDefault="00725DD7" w:rsidP="009462AE">
      <w:pPr>
        <w:spacing w:before="120"/>
        <w:rPr>
          <w:lang w:val="fr-FR"/>
        </w:rPr>
      </w:pPr>
      <w:r w:rsidRPr="00D50B56">
        <w:rPr>
          <w:lang w:val="fr-FR"/>
        </w:rPr>
        <w:t>Un service d'interprétation simultanée dans les six langues officielles de l'Union sera également assuré.</w:t>
      </w:r>
    </w:p>
    <w:p w14:paraId="5B76065F" w14:textId="3DEF16CD" w:rsidR="00725DD7" w:rsidRPr="00D50B56" w:rsidRDefault="00725DD7" w:rsidP="009462AE">
      <w:pPr>
        <w:spacing w:before="120"/>
        <w:rPr>
          <w:lang w:val="fr-FR"/>
        </w:rPr>
      </w:pPr>
      <w:r w:rsidRPr="00D50B56">
        <w:rPr>
          <w:lang w:val="fr-FR"/>
        </w:rPr>
        <w:t xml:space="preserve">Les sessions seront en outre diffusées sur le web et enregistrées dans les six langues pour visionnage pendant et après la réunion. Les participants n'ont pas besoin de s'inscrire à la réunion pour pouvoir suivre les débats sur le web; toutefois un </w:t>
      </w:r>
      <w:hyperlink r:id="rId14" w:anchor="/fr" w:history="1">
        <w:r w:rsidRPr="00D50B56">
          <w:rPr>
            <w:rStyle w:val="Hyperlink"/>
            <w:lang w:val="fr-FR"/>
          </w:rPr>
          <w:t>compte TIES</w:t>
        </w:r>
      </w:hyperlink>
      <w:r w:rsidRPr="00D50B56">
        <w:rPr>
          <w:lang w:val="fr-FR"/>
        </w:rPr>
        <w:t xml:space="preserve"> de l'UIT est nécessaire.</w:t>
      </w:r>
    </w:p>
    <w:p w14:paraId="59DF4D57" w14:textId="2527D283" w:rsidR="00725DD7" w:rsidRPr="00D50B56" w:rsidRDefault="00725DD7" w:rsidP="009462AE">
      <w:pPr>
        <w:spacing w:before="120"/>
        <w:rPr>
          <w:lang w:val="fr-FR"/>
        </w:rPr>
      </w:pPr>
      <w:r w:rsidRPr="00D50B56">
        <w:rPr>
          <w:lang w:val="fr-FR"/>
        </w:rPr>
        <w:t xml:space="preserve">Pour obtenir de plus amples renseignements concernant la première </w:t>
      </w:r>
      <w:r w:rsidR="00BF2C93">
        <w:rPr>
          <w:lang w:val="fr-FR"/>
        </w:rPr>
        <w:t>s</w:t>
      </w:r>
      <w:r w:rsidRPr="00D50B56">
        <w:rPr>
          <w:lang w:val="fr-FR"/>
        </w:rPr>
        <w:t>éance d'information interrégionale, veuillez contacter le Bureau des radiocommunications par courriel, à l</w:t>
      </w:r>
      <w:r w:rsidR="006A7936" w:rsidRPr="00D50B56">
        <w:rPr>
          <w:lang w:val="fr-FR"/>
        </w:rPr>
        <w:t>'</w:t>
      </w:r>
      <w:r w:rsidRPr="00D50B56">
        <w:rPr>
          <w:lang w:val="fr-FR"/>
        </w:rPr>
        <w:t>adresse</w:t>
      </w:r>
      <w:r w:rsidR="006A7936" w:rsidRPr="00D50B56">
        <w:rPr>
          <w:lang w:val="fr-FR"/>
        </w:rPr>
        <w:t> </w:t>
      </w:r>
      <w:hyperlink r:id="rId15" w:history="1">
        <w:r w:rsidR="006A7936" w:rsidRPr="00D50B56">
          <w:rPr>
            <w:rStyle w:val="Hyperlink"/>
            <w:lang w:val="fr-FR"/>
          </w:rPr>
          <w:t>IRIS</w:t>
        </w:r>
        <w:r w:rsidR="006A7936" w:rsidRPr="00D50B56">
          <w:rPr>
            <w:rStyle w:val="Hyperlink"/>
            <w:lang w:val="fr-FR"/>
          </w:rPr>
          <w:noBreakHyphen/>
          <w:t>WRC@itu.int</w:t>
        </w:r>
      </w:hyperlink>
      <w:r w:rsidRPr="00D50B56">
        <w:rPr>
          <w:lang w:val="fr-FR"/>
        </w:rPr>
        <w:t>.</w:t>
      </w:r>
    </w:p>
    <w:p w14:paraId="33390480" w14:textId="393E87D8" w:rsidR="003A7A85" w:rsidRPr="00D50B56" w:rsidRDefault="00725DD7" w:rsidP="009E0ED0">
      <w:pPr>
        <w:spacing w:before="1200"/>
        <w:jc w:val="left"/>
        <w:rPr>
          <w:lang w:val="fr-FR"/>
        </w:rPr>
      </w:pPr>
      <w:r w:rsidRPr="00D50B56">
        <w:rPr>
          <w:lang w:val="fr-FR"/>
        </w:rPr>
        <w:t>Mario Maniewicz</w:t>
      </w:r>
      <w:r w:rsidR="006A7936" w:rsidRPr="00D50B56">
        <w:rPr>
          <w:lang w:val="fr-FR"/>
        </w:rPr>
        <w:br/>
      </w:r>
      <w:r w:rsidRPr="00D50B56">
        <w:rPr>
          <w:lang w:val="fr-FR"/>
        </w:rPr>
        <w:t>Directeur</w:t>
      </w:r>
    </w:p>
    <w:p w14:paraId="2D6E7F43" w14:textId="7A5A5F8C" w:rsidR="003A7A85" w:rsidRPr="00D50B56" w:rsidRDefault="006A7936" w:rsidP="00D50B56">
      <w:pPr>
        <w:spacing w:before="480"/>
        <w:jc w:val="left"/>
        <w:rPr>
          <w:lang w:val="fr-FR"/>
        </w:rPr>
      </w:pPr>
      <w:r w:rsidRPr="00D50B56">
        <w:rPr>
          <w:lang w:val="fr-FR"/>
        </w:rPr>
        <w:t>Annexe: 1</w:t>
      </w:r>
      <w:r w:rsidR="003A7A85" w:rsidRPr="00D50B56">
        <w:rPr>
          <w:lang w:val="fr-FR"/>
        </w:rPr>
        <w:br w:type="page"/>
      </w:r>
    </w:p>
    <w:p w14:paraId="6D477F6E" w14:textId="0588C085" w:rsidR="003A7A85" w:rsidRPr="00D50B56" w:rsidRDefault="006A7936" w:rsidP="006A7936">
      <w:pPr>
        <w:pStyle w:val="AnnexNotitle0"/>
        <w:rPr>
          <w:rFonts w:asciiTheme="minorHAnsi" w:hAnsiTheme="minorHAnsi" w:cstheme="minorHAnsi"/>
          <w:lang w:val="fr-FR"/>
        </w:rPr>
      </w:pPr>
      <w:r w:rsidRPr="00D50B56">
        <w:rPr>
          <w:rFonts w:asciiTheme="minorHAnsi" w:hAnsiTheme="minorHAnsi" w:cstheme="minorHAnsi"/>
          <w:lang w:val="fr-FR"/>
        </w:rPr>
        <w:lastRenderedPageBreak/>
        <w:t>ANNEXE</w:t>
      </w:r>
      <w:r w:rsidRPr="00D50B56">
        <w:rPr>
          <w:rFonts w:asciiTheme="minorHAnsi" w:hAnsiTheme="minorHAnsi" w:cstheme="minorHAnsi"/>
          <w:lang w:val="fr-FR"/>
        </w:rPr>
        <w:br/>
      </w:r>
      <w:r w:rsidRPr="00D50B56">
        <w:rPr>
          <w:rFonts w:asciiTheme="minorHAnsi" w:hAnsiTheme="minorHAnsi" w:cstheme="minorHAnsi"/>
          <w:lang w:val="fr-FR"/>
        </w:rPr>
        <w:br/>
        <w:t xml:space="preserve">Ébauche de l'avant-projet de programme* de la première </w:t>
      </w:r>
      <w:r w:rsidR="00BF2C93">
        <w:rPr>
          <w:rFonts w:asciiTheme="minorHAnsi" w:hAnsiTheme="minorHAnsi" w:cstheme="minorHAnsi"/>
          <w:lang w:val="fr-FR"/>
        </w:rPr>
        <w:t>s</w:t>
      </w:r>
      <w:r w:rsidRPr="00D50B56">
        <w:rPr>
          <w:rFonts w:asciiTheme="minorHAnsi" w:hAnsiTheme="minorHAnsi" w:cstheme="minorHAnsi"/>
          <w:lang w:val="fr-FR"/>
        </w:rPr>
        <w:t>éance d'information interrégionale de l'UIT sur les travaux préparatoires en vue de la CMR-27</w:t>
      </w:r>
    </w:p>
    <w:p w14:paraId="7CC70476" w14:textId="08A9A9F8" w:rsidR="006A7936" w:rsidRPr="00D50B56" w:rsidRDefault="0004738E" w:rsidP="006A7936">
      <w:pPr>
        <w:jc w:val="center"/>
        <w:rPr>
          <w:b/>
          <w:bCs/>
          <w:lang w:val="fr-FR"/>
        </w:rPr>
      </w:pPr>
      <w:r w:rsidRPr="00D50B56">
        <w:rPr>
          <w:noProof/>
          <w:lang w:val="fr-FR"/>
        </w:rPr>
        <w:drawing>
          <wp:anchor distT="0" distB="0" distL="114300" distR="114300" simplePos="0" relativeHeight="251658240" behindDoc="0" locked="0" layoutInCell="1" allowOverlap="1" wp14:anchorId="73229EDC" wp14:editId="794497AC">
            <wp:simplePos x="0" y="0"/>
            <wp:positionH relativeFrom="column">
              <wp:posOffset>22860</wp:posOffset>
            </wp:positionH>
            <wp:positionV relativeFrom="paragraph">
              <wp:posOffset>382905</wp:posOffset>
            </wp:positionV>
            <wp:extent cx="6153150" cy="3061335"/>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3150" cy="3061335"/>
                    </a:xfrm>
                    <a:prstGeom prst="rect">
                      <a:avLst/>
                    </a:prstGeom>
                    <a:noFill/>
                  </pic:spPr>
                </pic:pic>
              </a:graphicData>
            </a:graphic>
            <wp14:sizeRelH relativeFrom="margin">
              <wp14:pctWidth>0</wp14:pctWidth>
            </wp14:sizeRelH>
            <wp14:sizeRelV relativeFrom="margin">
              <wp14:pctHeight>0</wp14:pctHeight>
            </wp14:sizeRelV>
          </wp:anchor>
        </w:drawing>
      </w:r>
      <w:r w:rsidR="006A7936" w:rsidRPr="00D50B56">
        <w:rPr>
          <w:b/>
          <w:bCs/>
          <w:lang w:val="fr-FR"/>
        </w:rPr>
        <w:t>(Genève, 3-5 décembre 2025)</w:t>
      </w:r>
    </w:p>
    <w:p w14:paraId="7AFD17EC" w14:textId="595CFC5B" w:rsidR="006A7936" w:rsidRPr="00D50B56" w:rsidRDefault="006A7936" w:rsidP="0004738E">
      <w:pPr>
        <w:ind w:left="426" w:hanging="426"/>
        <w:rPr>
          <w:lang w:val="fr-FR"/>
        </w:rPr>
      </w:pPr>
      <w:r w:rsidRPr="00D50B56">
        <w:rPr>
          <w:lang w:val="fr-FR"/>
        </w:rPr>
        <w:t>*</w:t>
      </w:r>
      <w:r w:rsidRPr="00D50B56">
        <w:rPr>
          <w:lang w:val="fr-FR"/>
        </w:rPr>
        <w:tab/>
        <w:t xml:space="preserve">Le calendrier des séances et la liste des points/questions de l'ordre du jour de la CMR-27 seront détaillés en temps utile dans le </w:t>
      </w:r>
      <w:hyperlink r:id="rId17" w:anchor="/fr" w:history="1">
        <w:r w:rsidRPr="00D50B56">
          <w:rPr>
            <w:rStyle w:val="Hyperlink"/>
            <w:lang w:val="fr-FR"/>
          </w:rPr>
          <w:t>programme</w:t>
        </w:r>
      </w:hyperlink>
      <w:r w:rsidRPr="00D50B56">
        <w:rPr>
          <w:lang w:val="fr-FR"/>
        </w:rPr>
        <w:t xml:space="preserve"> en ligne sur le </w:t>
      </w:r>
      <w:hyperlink r:id="rId18" w:anchor="/fr" w:history="1">
        <w:r w:rsidRPr="00D50B56">
          <w:rPr>
            <w:rStyle w:val="Hyperlink"/>
            <w:lang w:val="fr-FR"/>
          </w:rPr>
          <w:t>site web de la manifestation</w:t>
        </w:r>
      </w:hyperlink>
      <w:r w:rsidRPr="00D50B56">
        <w:rPr>
          <w:lang w:val="fr-FR"/>
        </w:rPr>
        <w:t>.</w:t>
      </w:r>
    </w:p>
    <w:p w14:paraId="2A5E1724" w14:textId="43B6E8B1" w:rsidR="003A7A85" w:rsidRPr="00D50B56" w:rsidRDefault="003A7A85" w:rsidP="003A7A85">
      <w:pPr>
        <w:jc w:val="center"/>
        <w:rPr>
          <w:rFonts w:asciiTheme="majorBidi" w:hAnsiTheme="majorBidi" w:cstheme="majorBidi"/>
          <w:lang w:val="fr-FR"/>
        </w:rPr>
      </w:pPr>
      <w:r w:rsidRPr="00D50B56">
        <w:rPr>
          <w:lang w:val="fr-FR"/>
        </w:rPr>
        <w:t>______________</w:t>
      </w:r>
    </w:p>
    <w:sectPr w:rsidR="003A7A85" w:rsidRPr="00D50B56" w:rsidSect="003F2F34">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t xml:space="preserve">Tél.: +41 22 730 5111 • Courriel: </w:t>
    </w:r>
    <w:r w:rsidR="00E44913">
      <w:fldChar w:fldCharType="begin"/>
    </w:r>
    <w:r w:rsidR="00E44913" w:rsidRPr="005546ED">
      <w:rPr>
        <w:lang w:val="fr-FR"/>
        <w:rPrChange w:id="0" w:author="Garcia Borrego Julieth" w:date="2025-09-01T14:52:00Z" w16du:dateUtc="2025-09-01T12:52:00Z">
          <w:rPr/>
        </w:rPrChange>
      </w:rPr>
      <w:instrText>HYPERLINK "mailto:itumail@itu.int"</w:instrText>
    </w:r>
    <w:r w:rsidR="00E44913">
      <w:fldChar w:fldCharType="separate"/>
    </w:r>
    <w:r w:rsidR="00E44913" w:rsidRPr="00343751">
      <w:rPr>
        <w:rStyle w:val="Hyperlink"/>
        <w:rFonts w:asciiTheme="minorHAnsi" w:hAnsiTheme="minorHAnsi"/>
        <w:sz w:val="19"/>
        <w:szCs w:val="19"/>
        <w:lang w:val="fr-CH"/>
      </w:rPr>
      <w:t>itumail@itu.int</w:t>
    </w:r>
    <w:r w:rsidR="00E44913">
      <w:fldChar w:fldCharType="end"/>
    </w:r>
    <w:r w:rsidRPr="000F0E0A">
      <w:rPr>
        <w:rFonts w:asciiTheme="minorHAnsi" w:hAnsiTheme="minorHAnsi"/>
        <w:color w:val="0070C0"/>
        <w:sz w:val="19"/>
        <w:szCs w:val="19"/>
        <w:lang w:val="fr-CH"/>
      </w:rPr>
      <w:t xml:space="preserve"> • Fax: +41 22 733 7256 • </w:t>
    </w:r>
    <w:r w:rsidRPr="005546ED">
      <w:rPr>
        <w:rStyle w:val="Hyperlink"/>
        <w:rFonts w:asciiTheme="minorHAnsi" w:hAnsiTheme="minorHAnsi"/>
        <w:sz w:val="19"/>
        <w:szCs w:val="19"/>
        <w:lang w:val="fr-CH"/>
      </w:rPr>
      <w:fldChar w:fldCharType="begin"/>
    </w:r>
    <w:r w:rsidRPr="005546ED">
      <w:rPr>
        <w:rStyle w:val="Hyperlink"/>
        <w:rFonts w:asciiTheme="minorHAnsi" w:hAnsiTheme="minorHAnsi"/>
        <w:sz w:val="19"/>
        <w:szCs w:val="19"/>
        <w:lang w:val="fr-CH"/>
        <w:rPrChange w:id="1" w:author="Garcia Borrego Julieth" w:date="2025-09-01T14:52:00Z" w16du:dateUtc="2025-09-01T12:52:00Z">
          <w:rPr/>
        </w:rPrChange>
      </w:rPr>
      <w:instrText>HYPERLINK "http://www.itu.int"</w:instrText>
    </w:r>
    <w:r w:rsidRPr="005546ED">
      <w:rPr>
        <w:rStyle w:val="Hyperlink"/>
        <w:rFonts w:asciiTheme="minorHAnsi" w:hAnsiTheme="minorHAnsi"/>
        <w:sz w:val="19"/>
        <w:szCs w:val="19"/>
        <w:lang w:val="fr-CH"/>
      </w:rPr>
    </w:r>
    <w:r w:rsidRPr="005546ED">
      <w:rPr>
        <w:rStyle w:val="Hyperlink"/>
        <w:rFonts w:asciiTheme="minorHAnsi" w:hAnsiTheme="minorHAnsi"/>
        <w:sz w:val="19"/>
        <w:szCs w:val="19"/>
        <w:lang w:val="fr-CH"/>
      </w:rPr>
      <w:fldChar w:fldCharType="separate"/>
    </w:r>
    <w:r w:rsidRPr="005546ED">
      <w:rPr>
        <w:rStyle w:val="Hyperlink"/>
        <w:rFonts w:asciiTheme="minorHAnsi" w:hAnsiTheme="minorHAnsi"/>
        <w:sz w:val="19"/>
        <w:szCs w:val="19"/>
        <w:lang w:val="fr-CH"/>
      </w:rPr>
      <w:t>www.itu.int</w:t>
    </w:r>
    <w:r w:rsidRPr="005546ED">
      <w:rPr>
        <w:rStyle w:val="Hyperlink"/>
        <w:rFonts w:asciiTheme="minorHAnsi" w:hAnsiTheme="minorHAnsi"/>
        <w:sz w:val="19"/>
        <w:szCs w:val="19"/>
        <w:lang w:val="fr-CH"/>
      </w:rPr>
      <w:fldChar w:fldCharType="end"/>
    </w:r>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468AA287" w:rsidR="003F2F34" w:rsidRPr="003F2F34" w:rsidRDefault="005546ED"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67B" w14:textId="29FD8A2E" w:rsidR="00E915AF" w:rsidRPr="004F47EA" w:rsidRDefault="005546ED" w:rsidP="005546ED">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22FAE894" wp14:editId="0EB94365">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4738E"/>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2F7888"/>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A7A85"/>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A73DE"/>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546ED"/>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83A46"/>
    <w:rsid w:val="006A518B"/>
    <w:rsid w:val="006A7936"/>
    <w:rsid w:val="006B0590"/>
    <w:rsid w:val="006B49DA"/>
    <w:rsid w:val="006C53F8"/>
    <w:rsid w:val="006C7CDE"/>
    <w:rsid w:val="0070140A"/>
    <w:rsid w:val="007234B1"/>
    <w:rsid w:val="00723D08"/>
    <w:rsid w:val="00725DD7"/>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E53FD"/>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62AE"/>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0ED0"/>
    <w:rsid w:val="009E4AEC"/>
    <w:rsid w:val="009E5BD8"/>
    <w:rsid w:val="009E681E"/>
    <w:rsid w:val="009F5CC2"/>
    <w:rsid w:val="00A119E6"/>
    <w:rsid w:val="00A20FBC"/>
    <w:rsid w:val="00A231BC"/>
    <w:rsid w:val="00A31370"/>
    <w:rsid w:val="00A34D6F"/>
    <w:rsid w:val="00A41F91"/>
    <w:rsid w:val="00A63355"/>
    <w:rsid w:val="00A7596D"/>
    <w:rsid w:val="00A825E5"/>
    <w:rsid w:val="00A963DF"/>
    <w:rsid w:val="00AA211B"/>
    <w:rsid w:val="00AA781A"/>
    <w:rsid w:val="00AC0C22"/>
    <w:rsid w:val="00AC3896"/>
    <w:rsid w:val="00AD0F87"/>
    <w:rsid w:val="00AD2CF2"/>
    <w:rsid w:val="00AE2D88"/>
    <w:rsid w:val="00AE6F6F"/>
    <w:rsid w:val="00AF3325"/>
    <w:rsid w:val="00AF34D9"/>
    <w:rsid w:val="00AF70DA"/>
    <w:rsid w:val="00B019D3"/>
    <w:rsid w:val="00B15E3D"/>
    <w:rsid w:val="00B34CF9"/>
    <w:rsid w:val="00B37559"/>
    <w:rsid w:val="00B4054B"/>
    <w:rsid w:val="00B579B0"/>
    <w:rsid w:val="00B57D11"/>
    <w:rsid w:val="00B649D7"/>
    <w:rsid w:val="00B81C2F"/>
    <w:rsid w:val="00B90743"/>
    <w:rsid w:val="00B90C45"/>
    <w:rsid w:val="00B933BE"/>
    <w:rsid w:val="00BD6738"/>
    <w:rsid w:val="00BD7E5E"/>
    <w:rsid w:val="00BE63DB"/>
    <w:rsid w:val="00BE6574"/>
    <w:rsid w:val="00BF2C93"/>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0B56"/>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C715E"/>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AnnexNotitle0">
    <w:name w:val="Annex_No &amp; title"/>
    <w:basedOn w:val="Normal"/>
    <w:next w:val="Normalaftertitle"/>
    <w:rsid w:val="003A7A85"/>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link w:val="Rectitle"/>
    <w:rsid w:val="003A7A85"/>
    <w:rPr>
      <w:b/>
      <w:sz w:val="28"/>
      <w:szCs w:val="22"/>
      <w:lang w:val="en-US" w:eastAsia="en-US"/>
    </w:rPr>
  </w:style>
  <w:style w:type="character" w:styleId="FollowedHyperlink">
    <w:name w:val="FollowedHyperlink"/>
    <w:basedOn w:val="DefaultParagraphFont"/>
    <w:semiHidden/>
    <w:unhideWhenUsed/>
    <w:rsid w:val="002F7888"/>
    <w:rPr>
      <w:color w:val="800080" w:themeColor="followedHyperlink"/>
      <w:u w:val="single"/>
    </w:rPr>
  </w:style>
  <w:style w:type="paragraph" w:styleId="EndnoteText">
    <w:name w:val="endnote text"/>
    <w:basedOn w:val="Normal"/>
    <w:link w:val="EndnoteTextChar"/>
    <w:semiHidden/>
    <w:unhideWhenUsed/>
    <w:rsid w:val="006A7936"/>
    <w:pPr>
      <w:spacing w:before="0" w:line="240" w:lineRule="auto"/>
    </w:pPr>
    <w:rPr>
      <w:sz w:val="20"/>
      <w:szCs w:val="20"/>
    </w:rPr>
  </w:style>
  <w:style w:type="character" w:customStyle="1" w:styleId="EndnoteTextChar">
    <w:name w:val="Endnote Text Char"/>
    <w:basedOn w:val="DefaultParagraphFont"/>
    <w:link w:val="EndnoteText"/>
    <w:semiHidden/>
    <w:rsid w:val="006A7936"/>
    <w:rPr>
      <w:lang w:val="en-US" w:eastAsia="en-US"/>
    </w:rPr>
  </w:style>
  <w:style w:type="character" w:styleId="EndnoteReference">
    <w:name w:val="endnote reference"/>
    <w:basedOn w:val="DefaultParagraphFont"/>
    <w:semiHidden/>
    <w:unhideWhenUsed/>
    <w:rsid w:val="006A7936"/>
    <w:rPr>
      <w:vertAlign w:val="superscript"/>
    </w:rPr>
  </w:style>
  <w:style w:type="paragraph" w:styleId="Revision">
    <w:name w:val="Revision"/>
    <w:hidden/>
    <w:uiPriority w:val="99"/>
    <w:semiHidden/>
    <w:rsid w:val="00683A46"/>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683">
      <w:bodyDiv w:val="1"/>
      <w:marLeft w:val="0"/>
      <w:marRight w:val="0"/>
      <w:marTop w:val="0"/>
      <w:marBottom w:val="0"/>
      <w:divBdr>
        <w:top w:val="none" w:sz="0" w:space="0" w:color="auto"/>
        <w:left w:val="none" w:sz="0" w:space="0" w:color="auto"/>
        <w:bottom w:val="none" w:sz="0" w:space="0" w:color="auto"/>
        <w:right w:val="none" w:sz="0" w:space="0" w:color="auto"/>
      </w:divBdr>
      <w:divsChild>
        <w:div w:id="2086411082">
          <w:marLeft w:val="446"/>
          <w:marRight w:val="0"/>
          <w:marTop w:val="120"/>
          <w:marBottom w:val="0"/>
          <w:divBdr>
            <w:top w:val="none" w:sz="0" w:space="0" w:color="auto"/>
            <w:left w:val="none" w:sz="0" w:space="0" w:color="auto"/>
            <w:bottom w:val="none" w:sz="0" w:space="0" w:color="auto"/>
            <w:right w:val="none" w:sz="0" w:space="0" w:color="auto"/>
          </w:divBdr>
        </w:div>
        <w:div w:id="1128351473">
          <w:marLeft w:val="446"/>
          <w:marRight w:val="0"/>
          <w:marTop w:val="120"/>
          <w:marBottom w:val="0"/>
          <w:divBdr>
            <w:top w:val="none" w:sz="0" w:space="0" w:color="auto"/>
            <w:left w:val="none" w:sz="0" w:space="0" w:color="auto"/>
            <w:bottom w:val="none" w:sz="0" w:space="0" w:color="auto"/>
            <w:right w:val="none" w:sz="0" w:space="0" w:color="auto"/>
          </w:divBdr>
        </w:div>
        <w:div w:id="761489431">
          <w:marLeft w:val="446"/>
          <w:marRight w:val="0"/>
          <w:marTop w:val="120"/>
          <w:marBottom w:val="0"/>
          <w:divBdr>
            <w:top w:val="none" w:sz="0" w:space="0" w:color="auto"/>
            <w:left w:val="none" w:sz="0" w:space="0" w:color="auto"/>
            <w:bottom w:val="none" w:sz="0" w:space="0" w:color="auto"/>
            <w:right w:val="none" w:sz="0" w:space="0" w:color="auto"/>
          </w:divBdr>
        </w:div>
        <w:div w:id="776103161">
          <w:marLeft w:val="446"/>
          <w:marRight w:val="0"/>
          <w:marTop w:val="120"/>
          <w:marBottom w:val="0"/>
          <w:divBdr>
            <w:top w:val="none" w:sz="0" w:space="0" w:color="auto"/>
            <w:left w:val="none" w:sz="0" w:space="0" w:color="auto"/>
            <w:bottom w:val="none" w:sz="0" w:space="0" w:color="auto"/>
            <w:right w:val="none" w:sz="0" w:space="0" w:color="auto"/>
          </w:divBdr>
        </w:div>
        <w:div w:id="4790960">
          <w:marLeft w:val="446"/>
          <w:marRight w:val="0"/>
          <w:marTop w:val="120"/>
          <w:marBottom w:val="0"/>
          <w:divBdr>
            <w:top w:val="none" w:sz="0" w:space="0" w:color="auto"/>
            <w:left w:val="none" w:sz="0" w:space="0" w:color="auto"/>
            <w:bottom w:val="none" w:sz="0" w:space="0" w:color="auto"/>
            <w:right w:val="none" w:sz="0" w:space="0" w:color="auto"/>
          </w:divBdr>
        </w:div>
        <w:div w:id="1639795617">
          <w:marLeft w:val="446"/>
          <w:marRight w:val="0"/>
          <w:marTop w:val="120"/>
          <w:marBottom w:val="0"/>
          <w:divBdr>
            <w:top w:val="none" w:sz="0" w:space="0" w:color="auto"/>
            <w:left w:val="none" w:sz="0" w:space="0" w:color="auto"/>
            <w:bottom w:val="none" w:sz="0" w:space="0" w:color="auto"/>
            <w:right w:val="none" w:sz="0" w:space="0" w:color="auto"/>
          </w:divBdr>
        </w:div>
        <w:div w:id="1086270934">
          <w:marLeft w:val="446"/>
          <w:marRight w:val="0"/>
          <w:marTop w:val="120"/>
          <w:marBottom w:val="0"/>
          <w:divBdr>
            <w:top w:val="none" w:sz="0" w:space="0" w:color="auto"/>
            <w:left w:val="none" w:sz="0" w:space="0" w:color="auto"/>
            <w:bottom w:val="none" w:sz="0" w:space="0" w:color="auto"/>
            <w:right w:val="none" w:sz="0" w:space="0" w:color="auto"/>
          </w:divBdr>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fr" TargetMode="External"/><Relationship Id="rId13" Type="http://schemas.openxmlformats.org/officeDocument/2006/relationships/hyperlink" Target="http://www.itu.int/en/events/Pages/Virtual-Sessions.aspx" TargetMode="External"/><Relationship Id="rId18" Type="http://schemas.openxmlformats.org/officeDocument/2006/relationships/hyperlink" Target="https://www.itu.int/iris-wrc-27/202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fr/ITU-R/information/events/Pages/visa.aspx" TargetMode="External"/><Relationship Id="rId17" Type="http://schemas.openxmlformats.org/officeDocument/2006/relationships/hyperlink" Target="https://www.itu.int/iris-wrc-27/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fr/ITU-R/information/events/Pages/eventregistration.aspx"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IRISWRC@itu.int" TargetMode="External"/><Relationship Id="rId23" Type="http://schemas.openxmlformats.org/officeDocument/2006/relationships/fontTable" Target="fontTable.xml"/><Relationship Id="rId10" Type="http://schemas.openxmlformats.org/officeDocument/2006/relationships/hyperlink" Target="https://www.itu.int/iris-wrc-27/20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hyperlink" Target="https://www.itu.int/hub/membership/user-account-ties/"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810</Words>
  <Characters>5521</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6319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Garcia Borrego Julieth</cp:lastModifiedBy>
  <cp:revision>6</cp:revision>
  <cp:lastPrinted>2013-03-08T10:15:00Z</cp:lastPrinted>
  <dcterms:created xsi:type="dcterms:W3CDTF">2025-09-01T12:49:00Z</dcterms:created>
  <dcterms:modified xsi:type="dcterms:W3CDTF">2025-09-01T12:58:00Z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