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89" w:type="dxa"/>
        <w:jc w:val="center"/>
        <w:tblLayout w:type="fixed"/>
        <w:tblLook w:val="04A0" w:firstRow="1" w:lastRow="0" w:firstColumn="1" w:lastColumn="0" w:noHBand="0" w:noVBand="1"/>
      </w:tblPr>
      <w:tblGrid>
        <w:gridCol w:w="1526"/>
        <w:gridCol w:w="5528"/>
        <w:gridCol w:w="2835"/>
      </w:tblGrid>
      <w:tr w:rsidR="00E53DCE" w:rsidRPr="00856132" w14:paraId="3D20DEBA" w14:textId="77777777" w:rsidTr="00306452">
        <w:trPr>
          <w:jc w:val="center"/>
        </w:trPr>
        <w:tc>
          <w:tcPr>
            <w:tcW w:w="9889" w:type="dxa"/>
            <w:gridSpan w:val="3"/>
            <w:shd w:val="clear" w:color="auto" w:fill="auto"/>
          </w:tcPr>
          <w:p w14:paraId="769972CF" w14:textId="77777777" w:rsidR="00E53DCE" w:rsidRPr="00856132" w:rsidRDefault="00A96D3A" w:rsidP="006160CB">
            <w:pPr>
              <w:spacing w:before="0"/>
              <w:jc w:val="left"/>
              <w:rPr>
                <w:rFonts w:cstheme="minorHAnsi"/>
                <w:b/>
                <w:bCs/>
                <w:color w:val="808080"/>
                <w:sz w:val="28"/>
                <w:szCs w:val="28"/>
                <w:lang w:val="es-ES_tradnl"/>
              </w:rPr>
            </w:pPr>
            <w:r w:rsidRPr="00856132">
              <w:rPr>
                <w:rFonts w:cstheme="minorHAnsi"/>
                <w:b/>
                <w:bCs/>
                <w:color w:val="808080"/>
                <w:sz w:val="28"/>
                <w:szCs w:val="28"/>
                <w:lang w:val="es-ES_tradnl"/>
              </w:rPr>
              <w:t>Oficina de Radiocomunicaciones (BR)</w:t>
            </w:r>
          </w:p>
          <w:p w14:paraId="76B9488A" w14:textId="77777777" w:rsidR="00E53DCE" w:rsidRPr="00856132" w:rsidRDefault="00E53DCE" w:rsidP="006160CB">
            <w:pPr>
              <w:spacing w:before="0"/>
              <w:jc w:val="left"/>
              <w:rPr>
                <w:rFonts w:cs="Times New Roman Bold"/>
                <w:b/>
                <w:bCs/>
                <w:color w:val="808080"/>
                <w:sz w:val="28"/>
                <w:szCs w:val="28"/>
                <w:lang w:val="es-ES_tradnl"/>
              </w:rPr>
            </w:pPr>
          </w:p>
        </w:tc>
      </w:tr>
      <w:tr w:rsidR="00E53DCE" w:rsidRPr="00856132" w14:paraId="2DCA6E71" w14:textId="77777777" w:rsidTr="00306452">
        <w:trPr>
          <w:jc w:val="center"/>
        </w:trPr>
        <w:tc>
          <w:tcPr>
            <w:tcW w:w="7054" w:type="dxa"/>
            <w:gridSpan w:val="2"/>
            <w:shd w:val="clear" w:color="auto" w:fill="auto"/>
          </w:tcPr>
          <w:p w14:paraId="310D6481" w14:textId="38238625" w:rsidR="00E53DCE" w:rsidRPr="00856132" w:rsidRDefault="001B3D4D" w:rsidP="006160CB">
            <w:pPr>
              <w:spacing w:before="0"/>
              <w:jc w:val="left"/>
              <w:rPr>
                <w:szCs w:val="24"/>
                <w:lang w:val="es-ES_tradnl"/>
              </w:rPr>
            </w:pPr>
            <w:r w:rsidRPr="00856132">
              <w:rPr>
                <w:lang w:val="es-ES_tradnl"/>
              </w:rPr>
              <w:t>Carta Circular</w:t>
            </w:r>
          </w:p>
          <w:p w14:paraId="69D58805" w14:textId="63D59551" w:rsidR="00E53DCE" w:rsidRPr="00856132" w:rsidRDefault="001B3D4D" w:rsidP="006160CB">
            <w:pPr>
              <w:spacing w:before="0"/>
              <w:jc w:val="left"/>
              <w:rPr>
                <w:b/>
                <w:bCs/>
                <w:szCs w:val="24"/>
                <w:lang w:val="es-ES_tradnl"/>
              </w:rPr>
            </w:pPr>
            <w:r w:rsidRPr="00856132">
              <w:rPr>
                <w:b/>
                <w:bCs/>
                <w:szCs w:val="24"/>
                <w:lang w:val="es-ES_tradnl"/>
              </w:rPr>
              <w:t>CA/</w:t>
            </w:r>
            <w:r w:rsidR="008C11CB" w:rsidRPr="00856132">
              <w:rPr>
                <w:b/>
                <w:bCs/>
                <w:szCs w:val="24"/>
                <w:lang w:val="es-ES_tradnl"/>
              </w:rPr>
              <w:t>277</w:t>
            </w:r>
          </w:p>
        </w:tc>
        <w:tc>
          <w:tcPr>
            <w:tcW w:w="2835" w:type="dxa"/>
            <w:shd w:val="clear" w:color="auto" w:fill="auto"/>
          </w:tcPr>
          <w:p w14:paraId="3FD01BE1" w14:textId="5A27C6BD" w:rsidR="00E53DCE" w:rsidRPr="00856132" w:rsidRDefault="008C11CB" w:rsidP="006160CB">
            <w:pPr>
              <w:spacing w:before="0"/>
              <w:jc w:val="right"/>
              <w:rPr>
                <w:szCs w:val="24"/>
                <w:lang w:val="es-ES_tradnl"/>
              </w:rPr>
            </w:pPr>
            <w:r w:rsidRPr="00856132">
              <w:rPr>
                <w:bCs/>
                <w:szCs w:val="24"/>
                <w:lang w:val="es-ES_tradnl"/>
              </w:rPr>
              <w:t>25 de abril de 2025</w:t>
            </w:r>
          </w:p>
        </w:tc>
      </w:tr>
      <w:tr w:rsidR="00E53DCE" w:rsidRPr="00856132" w14:paraId="56562AD9" w14:textId="77777777" w:rsidTr="00306452">
        <w:trPr>
          <w:jc w:val="center"/>
        </w:trPr>
        <w:tc>
          <w:tcPr>
            <w:tcW w:w="9889" w:type="dxa"/>
            <w:gridSpan w:val="3"/>
            <w:shd w:val="clear" w:color="auto" w:fill="auto"/>
          </w:tcPr>
          <w:p w14:paraId="49FBA783" w14:textId="77777777" w:rsidR="00E53DCE" w:rsidRPr="00856132" w:rsidRDefault="00E53DCE" w:rsidP="006160CB">
            <w:pPr>
              <w:spacing w:before="0"/>
              <w:jc w:val="left"/>
              <w:rPr>
                <w:rFonts w:cs="Arial"/>
                <w:szCs w:val="24"/>
                <w:lang w:val="es-ES_tradnl"/>
              </w:rPr>
            </w:pPr>
          </w:p>
        </w:tc>
      </w:tr>
      <w:tr w:rsidR="00E53DCE" w:rsidRPr="00856132" w14:paraId="762456CA" w14:textId="77777777" w:rsidTr="00306452">
        <w:trPr>
          <w:jc w:val="center"/>
        </w:trPr>
        <w:tc>
          <w:tcPr>
            <w:tcW w:w="9889" w:type="dxa"/>
            <w:gridSpan w:val="3"/>
            <w:shd w:val="clear" w:color="auto" w:fill="auto"/>
          </w:tcPr>
          <w:p w14:paraId="42B6B401" w14:textId="77777777" w:rsidR="00E53DCE" w:rsidRPr="00856132" w:rsidRDefault="00E53DCE" w:rsidP="006160CB">
            <w:pPr>
              <w:spacing w:before="0"/>
              <w:jc w:val="left"/>
              <w:rPr>
                <w:szCs w:val="24"/>
                <w:lang w:val="es-ES_tradnl"/>
              </w:rPr>
            </w:pPr>
          </w:p>
        </w:tc>
      </w:tr>
      <w:tr w:rsidR="00E53DCE" w:rsidRPr="00D71799" w14:paraId="4BAE9C44" w14:textId="77777777" w:rsidTr="00306452">
        <w:trPr>
          <w:jc w:val="center"/>
        </w:trPr>
        <w:tc>
          <w:tcPr>
            <w:tcW w:w="9889" w:type="dxa"/>
            <w:gridSpan w:val="3"/>
            <w:shd w:val="clear" w:color="auto" w:fill="auto"/>
          </w:tcPr>
          <w:p w14:paraId="6B2267B6" w14:textId="76292228" w:rsidR="00E53DCE" w:rsidRPr="00856132" w:rsidRDefault="00FE4822" w:rsidP="006160CB">
            <w:pPr>
              <w:spacing w:before="0"/>
              <w:jc w:val="left"/>
              <w:rPr>
                <w:b/>
                <w:bCs/>
                <w:szCs w:val="24"/>
                <w:lang w:val="es-ES_tradnl"/>
              </w:rPr>
            </w:pPr>
            <w:r w:rsidRPr="00856132">
              <w:rPr>
                <w:b/>
                <w:szCs w:val="24"/>
                <w:lang w:val="es-ES_tradnl"/>
              </w:rPr>
              <w:t>A las Administraciones de los Estados Miembros de la UIT</w:t>
            </w:r>
            <w:r w:rsidR="008C11CB" w:rsidRPr="00856132">
              <w:rPr>
                <w:b/>
                <w:szCs w:val="24"/>
                <w:lang w:val="es-ES_tradnl"/>
              </w:rPr>
              <w:t xml:space="preserve"> y a los Miembros del Sector de Radiocomunicaciones</w:t>
            </w:r>
          </w:p>
          <w:p w14:paraId="21F1935A" w14:textId="77777777" w:rsidR="00E53DCE" w:rsidRPr="00856132" w:rsidRDefault="00E53DCE" w:rsidP="006160CB">
            <w:pPr>
              <w:spacing w:before="0"/>
              <w:jc w:val="left"/>
              <w:rPr>
                <w:b/>
                <w:bCs/>
                <w:szCs w:val="24"/>
                <w:lang w:val="es-ES_tradnl"/>
              </w:rPr>
            </w:pPr>
          </w:p>
        </w:tc>
      </w:tr>
      <w:tr w:rsidR="00E53DCE" w:rsidRPr="00D71799" w14:paraId="180CDAFD" w14:textId="77777777" w:rsidTr="00306452">
        <w:trPr>
          <w:jc w:val="center"/>
        </w:trPr>
        <w:tc>
          <w:tcPr>
            <w:tcW w:w="9889" w:type="dxa"/>
            <w:gridSpan w:val="3"/>
            <w:shd w:val="clear" w:color="auto" w:fill="auto"/>
          </w:tcPr>
          <w:p w14:paraId="04ADBBDE" w14:textId="77777777" w:rsidR="00E53DCE" w:rsidRPr="00856132" w:rsidRDefault="00E53DCE" w:rsidP="006160CB">
            <w:pPr>
              <w:spacing w:before="0"/>
              <w:jc w:val="left"/>
              <w:rPr>
                <w:szCs w:val="24"/>
                <w:lang w:val="es-ES_tradnl"/>
              </w:rPr>
            </w:pPr>
          </w:p>
        </w:tc>
      </w:tr>
      <w:tr w:rsidR="00E53DCE" w:rsidRPr="00D71799" w14:paraId="06E9A2B7" w14:textId="77777777" w:rsidTr="00306452">
        <w:trPr>
          <w:jc w:val="center"/>
        </w:trPr>
        <w:tc>
          <w:tcPr>
            <w:tcW w:w="9889" w:type="dxa"/>
            <w:gridSpan w:val="3"/>
            <w:shd w:val="clear" w:color="auto" w:fill="auto"/>
          </w:tcPr>
          <w:p w14:paraId="4039DD3F" w14:textId="77777777" w:rsidR="00E53DCE" w:rsidRPr="00856132" w:rsidRDefault="00E53DCE" w:rsidP="006160CB">
            <w:pPr>
              <w:spacing w:before="0"/>
              <w:jc w:val="left"/>
              <w:rPr>
                <w:szCs w:val="24"/>
                <w:lang w:val="es-ES_tradnl"/>
              </w:rPr>
            </w:pPr>
          </w:p>
        </w:tc>
      </w:tr>
      <w:tr w:rsidR="00E53DCE" w:rsidRPr="00633607" w14:paraId="021316CA" w14:textId="77777777" w:rsidTr="00306452">
        <w:trPr>
          <w:jc w:val="center"/>
        </w:trPr>
        <w:tc>
          <w:tcPr>
            <w:tcW w:w="1526" w:type="dxa"/>
            <w:shd w:val="clear" w:color="auto" w:fill="auto"/>
          </w:tcPr>
          <w:p w14:paraId="4C13FE60" w14:textId="77777777" w:rsidR="00E53DCE" w:rsidRPr="00856132" w:rsidRDefault="00311970" w:rsidP="006160CB">
            <w:pPr>
              <w:tabs>
                <w:tab w:val="clear" w:pos="1588"/>
                <w:tab w:val="left" w:pos="1560"/>
              </w:tabs>
              <w:spacing w:before="0"/>
              <w:jc w:val="left"/>
              <w:rPr>
                <w:szCs w:val="24"/>
                <w:lang w:val="es-ES_tradnl"/>
              </w:rPr>
            </w:pPr>
            <w:r w:rsidRPr="00856132">
              <w:rPr>
                <w:szCs w:val="24"/>
                <w:lang w:val="es-ES_tradnl"/>
              </w:rPr>
              <w:t>Asunto:</w:t>
            </w:r>
          </w:p>
        </w:tc>
        <w:tc>
          <w:tcPr>
            <w:tcW w:w="8363" w:type="dxa"/>
            <w:gridSpan w:val="2"/>
            <w:vMerge w:val="restart"/>
            <w:shd w:val="clear" w:color="auto" w:fill="auto"/>
          </w:tcPr>
          <w:p w14:paraId="3612960C" w14:textId="049AD72C" w:rsidR="00E53DCE" w:rsidRPr="00856132" w:rsidRDefault="008C11CB" w:rsidP="00F21C79">
            <w:pPr>
              <w:tabs>
                <w:tab w:val="clear" w:pos="1588"/>
                <w:tab w:val="left" w:pos="1560"/>
              </w:tabs>
              <w:spacing w:before="0" w:after="120"/>
              <w:jc w:val="left"/>
              <w:rPr>
                <w:b/>
                <w:bCs/>
                <w:szCs w:val="24"/>
                <w:lang w:val="es-ES_tradnl"/>
              </w:rPr>
            </w:pPr>
            <w:r w:rsidRPr="00856132">
              <w:rPr>
                <w:b/>
                <w:bCs/>
                <w:szCs w:val="24"/>
                <w:lang w:val="es-ES_tradnl"/>
              </w:rPr>
              <w:t>Resumen de las conclusiones de la 32ª reunión del Grupo Asesor de Radiocomunicaciones</w:t>
            </w:r>
          </w:p>
        </w:tc>
      </w:tr>
      <w:tr w:rsidR="00E53DCE" w:rsidRPr="00633607" w14:paraId="4081CB4E" w14:textId="77777777" w:rsidTr="00306452">
        <w:trPr>
          <w:jc w:val="center"/>
        </w:trPr>
        <w:tc>
          <w:tcPr>
            <w:tcW w:w="1526" w:type="dxa"/>
            <w:shd w:val="clear" w:color="auto" w:fill="auto"/>
          </w:tcPr>
          <w:p w14:paraId="315E015A" w14:textId="77777777" w:rsidR="00E53DCE" w:rsidRPr="00856132"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14:paraId="7E66957D" w14:textId="77777777" w:rsidR="00E53DCE" w:rsidRPr="00856132" w:rsidRDefault="00E53DCE" w:rsidP="006160CB">
            <w:pPr>
              <w:tabs>
                <w:tab w:val="clear" w:pos="1588"/>
                <w:tab w:val="left" w:pos="1560"/>
              </w:tabs>
              <w:spacing w:before="0"/>
              <w:rPr>
                <w:b/>
                <w:bCs/>
                <w:szCs w:val="24"/>
                <w:lang w:val="es-ES_tradnl"/>
              </w:rPr>
            </w:pPr>
          </w:p>
        </w:tc>
      </w:tr>
      <w:tr w:rsidR="00E53DCE" w:rsidRPr="00633607" w14:paraId="449BD3D4" w14:textId="77777777" w:rsidTr="00306452">
        <w:trPr>
          <w:jc w:val="center"/>
        </w:trPr>
        <w:tc>
          <w:tcPr>
            <w:tcW w:w="1526" w:type="dxa"/>
            <w:shd w:val="clear" w:color="auto" w:fill="auto"/>
          </w:tcPr>
          <w:p w14:paraId="4E614295" w14:textId="77777777" w:rsidR="00E53DCE" w:rsidRPr="00856132"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14:paraId="04442067" w14:textId="77777777" w:rsidR="00E53DCE" w:rsidRPr="00856132" w:rsidRDefault="00E53DCE" w:rsidP="006160CB">
            <w:pPr>
              <w:tabs>
                <w:tab w:val="clear" w:pos="1588"/>
                <w:tab w:val="left" w:pos="1560"/>
              </w:tabs>
              <w:spacing w:before="0"/>
              <w:rPr>
                <w:b/>
                <w:bCs/>
                <w:szCs w:val="24"/>
                <w:lang w:val="es-ES_tradnl"/>
              </w:rPr>
            </w:pPr>
          </w:p>
        </w:tc>
      </w:tr>
      <w:tr w:rsidR="00E53DCE" w:rsidRPr="00633607" w14:paraId="6F081EF6" w14:textId="77777777" w:rsidTr="00306452">
        <w:trPr>
          <w:jc w:val="center"/>
        </w:trPr>
        <w:tc>
          <w:tcPr>
            <w:tcW w:w="9889" w:type="dxa"/>
            <w:gridSpan w:val="3"/>
            <w:shd w:val="clear" w:color="auto" w:fill="auto"/>
          </w:tcPr>
          <w:p w14:paraId="291A3FA3" w14:textId="77777777" w:rsidR="00E53DCE" w:rsidRPr="00856132" w:rsidRDefault="00E53DCE" w:rsidP="00E53DCE">
            <w:pPr>
              <w:tabs>
                <w:tab w:val="clear" w:pos="1588"/>
                <w:tab w:val="left" w:pos="1560"/>
              </w:tabs>
              <w:spacing w:before="0"/>
              <w:jc w:val="left"/>
              <w:rPr>
                <w:szCs w:val="24"/>
                <w:lang w:val="es-ES_tradnl"/>
              </w:rPr>
            </w:pPr>
          </w:p>
        </w:tc>
      </w:tr>
      <w:tr w:rsidR="00E53DCE" w:rsidRPr="00633607" w14:paraId="7006B032" w14:textId="77777777" w:rsidTr="00306452">
        <w:trPr>
          <w:jc w:val="center"/>
        </w:trPr>
        <w:tc>
          <w:tcPr>
            <w:tcW w:w="9889" w:type="dxa"/>
            <w:gridSpan w:val="3"/>
            <w:shd w:val="clear" w:color="auto" w:fill="auto"/>
          </w:tcPr>
          <w:p w14:paraId="2598BFE6" w14:textId="77777777" w:rsidR="00E53DCE" w:rsidRPr="00856132" w:rsidRDefault="00E53DCE" w:rsidP="006160CB">
            <w:pPr>
              <w:spacing w:before="0"/>
              <w:jc w:val="left"/>
              <w:rPr>
                <w:b/>
                <w:bCs/>
                <w:szCs w:val="24"/>
                <w:lang w:val="es-ES_tradnl"/>
              </w:rPr>
            </w:pPr>
          </w:p>
        </w:tc>
      </w:tr>
    </w:tbl>
    <w:p w14:paraId="13E745B5" w14:textId="23F67B69" w:rsidR="00D316C8" w:rsidRPr="00856132" w:rsidRDefault="008C11CB" w:rsidP="00D951E4">
      <w:pPr>
        <w:pStyle w:val="Normalaftertitle"/>
        <w:rPr>
          <w:lang w:val="es-ES_tradnl"/>
        </w:rPr>
      </w:pPr>
      <w:r w:rsidRPr="00856132">
        <w:rPr>
          <w:lang w:val="es-ES_tradnl"/>
        </w:rPr>
        <w:t>El grupo asesor de Radiocomunicaciones (GAR) celebró su 32ª reunión del 14 al 17 de abril de 2025</w:t>
      </w:r>
    </w:p>
    <w:p w14:paraId="48D916F9" w14:textId="77777777" w:rsidR="008C11CB" w:rsidRPr="00856132" w:rsidRDefault="008C11CB" w:rsidP="004D2E4D">
      <w:pPr>
        <w:rPr>
          <w:rFonts w:asciiTheme="minorHAnsi" w:hAnsiTheme="minorHAnsi" w:cstheme="minorBidi"/>
          <w:lang w:val="es-ES_tradnl"/>
        </w:rPr>
      </w:pPr>
      <w:r w:rsidRPr="00856132">
        <w:rPr>
          <w:lang w:val="es-ES_tradnl"/>
        </w:rPr>
        <w:t>El resumen de las conclusiones de la reunión figura en el Adjunto de la presente carta</w:t>
      </w:r>
      <w:r w:rsidRPr="00856132">
        <w:rPr>
          <w:rFonts w:asciiTheme="minorHAnsi" w:hAnsiTheme="minorHAnsi"/>
          <w:lang w:val="es-ES_tradnl" w:eastAsia="zh-CN"/>
        </w:rPr>
        <w:t>.</w:t>
      </w:r>
    </w:p>
    <w:p w14:paraId="4B532380" w14:textId="4C01CCD4" w:rsidR="008C11CB" w:rsidRPr="00856132" w:rsidRDefault="008C11CB" w:rsidP="004D2E4D">
      <w:pPr>
        <w:rPr>
          <w:lang w:val="es-ES_tradnl"/>
        </w:rPr>
      </w:pPr>
      <w:r w:rsidRPr="00856132">
        <w:rPr>
          <w:lang w:val="es-ES_tradnl"/>
        </w:rPr>
        <w:t xml:space="preserve">Encontrará más información sobre esta reunión en el sitio web del GAR, en la dirección </w:t>
      </w:r>
      <w:hyperlink r:id="rId8" w:history="1">
        <w:r w:rsidR="004D2E4D" w:rsidRPr="00856132">
          <w:rPr>
            <w:rStyle w:val="Hyperlink"/>
            <w:rFonts w:asciiTheme="minorHAnsi" w:hAnsiTheme="minorHAnsi"/>
            <w:szCs w:val="24"/>
            <w:lang w:val="es-ES_tradnl"/>
          </w:rPr>
          <w:t>https://www.itu.int/rag</w:t>
        </w:r>
      </w:hyperlink>
      <w:r w:rsidRPr="00856132">
        <w:rPr>
          <w:lang w:val="es-ES_tradnl"/>
        </w:rPr>
        <w:t>.</w:t>
      </w:r>
    </w:p>
    <w:p w14:paraId="09F7F7F3" w14:textId="67364B6F" w:rsidR="008C11CB" w:rsidRPr="00856132" w:rsidRDefault="008C11CB" w:rsidP="00D71799">
      <w:pPr>
        <w:tabs>
          <w:tab w:val="left" w:pos="5245"/>
        </w:tabs>
        <w:spacing w:before="1200"/>
        <w:jc w:val="left"/>
        <w:rPr>
          <w:rFonts w:asciiTheme="minorHAnsi" w:hAnsiTheme="minorHAnsi" w:cstheme="minorHAnsi"/>
          <w:szCs w:val="24"/>
          <w:lang w:val="es-ES_tradnl"/>
        </w:rPr>
      </w:pPr>
      <w:r w:rsidRPr="00856132">
        <w:rPr>
          <w:rFonts w:asciiTheme="minorHAnsi" w:hAnsiTheme="minorHAnsi"/>
          <w:szCs w:val="24"/>
          <w:lang w:val="es-ES_tradnl"/>
        </w:rPr>
        <w:t>Mario Maniewicz</w:t>
      </w:r>
      <w:r w:rsidRPr="00856132">
        <w:rPr>
          <w:rFonts w:asciiTheme="minorHAnsi" w:hAnsiTheme="minorHAnsi"/>
          <w:szCs w:val="24"/>
          <w:lang w:val="es-ES_tradnl"/>
        </w:rPr>
        <w:br/>
      </w:r>
      <w:proofErr w:type="gramStart"/>
      <w:r w:rsidRPr="00856132">
        <w:rPr>
          <w:rFonts w:asciiTheme="minorHAnsi" w:hAnsiTheme="minorHAnsi"/>
          <w:szCs w:val="24"/>
          <w:lang w:val="es-ES_tradnl"/>
        </w:rPr>
        <w:t>Director</w:t>
      </w:r>
      <w:proofErr w:type="gramEnd"/>
    </w:p>
    <w:p w14:paraId="4B337016" w14:textId="0F5FDF0D" w:rsidR="000A55EC" w:rsidRPr="00856132" w:rsidRDefault="008C11CB" w:rsidP="00D71799">
      <w:pPr>
        <w:spacing w:before="1680" w:line="240" w:lineRule="auto"/>
        <w:jc w:val="left"/>
        <w:rPr>
          <w:rFonts w:asciiTheme="minorHAnsi" w:hAnsiTheme="minorHAnsi" w:cstheme="minorHAnsi"/>
          <w:szCs w:val="24"/>
          <w:lang w:val="es-ES_tradnl"/>
        </w:rPr>
      </w:pPr>
      <w:r w:rsidRPr="00856132">
        <w:rPr>
          <w:rFonts w:asciiTheme="minorHAnsi" w:hAnsiTheme="minorHAnsi" w:cstheme="minorHAnsi"/>
          <w:szCs w:val="24"/>
          <w:lang w:val="es-ES_tradnl"/>
        </w:rPr>
        <w:t>Adjunto:</w:t>
      </w:r>
      <w:r w:rsidRPr="00856132">
        <w:rPr>
          <w:rFonts w:asciiTheme="minorHAnsi" w:hAnsiTheme="minorHAnsi" w:cstheme="minorHAnsi"/>
          <w:szCs w:val="24"/>
          <w:lang w:val="es-ES_tradnl"/>
        </w:rPr>
        <w:tab/>
        <w:t>1</w:t>
      </w:r>
    </w:p>
    <w:p w14:paraId="7CE6CAEB" w14:textId="77777777" w:rsidR="000A55EC" w:rsidRPr="00856132" w:rsidRDefault="000A55EC" w:rsidP="00FE4822">
      <w:pPr>
        <w:spacing w:before="0" w:line="240" w:lineRule="auto"/>
        <w:jc w:val="left"/>
        <w:rPr>
          <w:rFonts w:asciiTheme="minorHAnsi" w:hAnsiTheme="minorHAnsi" w:cstheme="minorHAnsi"/>
          <w:szCs w:val="24"/>
          <w:lang w:val="es-ES_tradnl"/>
        </w:rPr>
        <w:sectPr w:rsidR="000A55EC" w:rsidRPr="00856132" w:rsidSect="00D316C8">
          <w:headerReference w:type="even" r:id="rId9"/>
          <w:headerReference w:type="default" r:id="rId10"/>
          <w:footerReference w:type="even" r:id="rId11"/>
          <w:footerReference w:type="default" r:id="rId12"/>
          <w:headerReference w:type="first" r:id="rId13"/>
          <w:footerReference w:type="first" r:id="rId14"/>
          <w:pgSz w:w="11907" w:h="16834" w:code="9"/>
          <w:pgMar w:top="1134" w:right="1134" w:bottom="993" w:left="1134" w:header="567" w:footer="816" w:gutter="0"/>
          <w:cols w:space="720"/>
          <w:titlePg/>
          <w:docGrid w:linePitch="326"/>
        </w:sectPr>
      </w:pPr>
    </w:p>
    <w:p w14:paraId="16DAEB1D" w14:textId="77777777" w:rsidR="000A55EC" w:rsidRPr="00856132" w:rsidRDefault="000A55EC" w:rsidP="00A37C71">
      <w:pPr>
        <w:pStyle w:val="AnnexNo"/>
        <w:rPr>
          <w:rFonts w:cstheme="minorHAnsi"/>
          <w:lang w:val="es-ES_tradnl"/>
        </w:rPr>
      </w:pPr>
      <w:r w:rsidRPr="00856132">
        <w:rPr>
          <w:rFonts w:cstheme="minorHAnsi"/>
          <w:lang w:val="es-ES_tradnl"/>
        </w:rPr>
        <w:lastRenderedPageBreak/>
        <w:t>ADJUNTO</w:t>
      </w:r>
    </w:p>
    <w:p w14:paraId="677A8250" w14:textId="77777777" w:rsidR="000A55EC" w:rsidRPr="00856132" w:rsidRDefault="000A55EC" w:rsidP="001963A8">
      <w:pPr>
        <w:pStyle w:val="Annextitle"/>
        <w:rPr>
          <w:lang w:val="es-ES_tradnl"/>
        </w:rPr>
      </w:pPr>
      <w:r w:rsidRPr="00856132">
        <w:rPr>
          <w:lang w:val="es-ES_tradnl"/>
        </w:rPr>
        <w:t>RESUMEN DE LAS CONCLUSIONES DE LA</w:t>
      </w:r>
      <w:r w:rsidRPr="00856132">
        <w:rPr>
          <w:lang w:val="es-ES_tradnl"/>
        </w:rPr>
        <w:br/>
        <w:t>32ª REUNIÓN DEL GRUPO ASESOR DE RADIOCOMUNICACIONES</w:t>
      </w:r>
    </w:p>
    <w:p w14:paraId="61E61B8A" w14:textId="2838C93C" w:rsidR="000A55EC" w:rsidRPr="00856132" w:rsidRDefault="000A55EC" w:rsidP="000A55EC">
      <w:pPr>
        <w:pStyle w:val="Tablelegend"/>
        <w:jc w:val="center"/>
        <w:rPr>
          <w:rFonts w:asciiTheme="minorHAnsi" w:hAnsiTheme="minorHAnsi" w:cstheme="minorBidi"/>
          <w:sz w:val="22"/>
          <w:lang w:val="es-ES_tradnl"/>
        </w:rPr>
      </w:pPr>
      <w:r w:rsidRPr="00856132">
        <w:rPr>
          <w:rFonts w:asciiTheme="minorHAnsi" w:hAnsiTheme="minorHAnsi" w:cstheme="minorBidi"/>
          <w:sz w:val="22"/>
          <w:lang w:val="es-ES_tradnl"/>
        </w:rPr>
        <w:t xml:space="preserve">(Fuente: Documento </w:t>
      </w:r>
      <w:hyperlink r:id="rId15" w:history="1">
        <w:hyperlink r:id="rId16">
          <w:r w:rsidRPr="00856132">
            <w:rPr>
              <w:rStyle w:val="Hyperlink"/>
              <w:rFonts w:asciiTheme="minorHAnsi" w:hAnsiTheme="minorHAnsi" w:cstheme="minorBidi"/>
              <w:sz w:val="22"/>
              <w:lang w:val="es-ES_tradnl"/>
            </w:rPr>
            <w:t>RAG/TEMP/5</w:t>
          </w:r>
        </w:hyperlink>
      </w:hyperlink>
      <w:r w:rsidRPr="00856132">
        <w:rPr>
          <w:rFonts w:asciiTheme="minorHAnsi" w:hAnsiTheme="minorHAnsi" w:cstheme="minorBidi"/>
          <w:sz w:val="22"/>
          <w:lang w:val="es-ES_tradnl"/>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964"/>
        <w:gridCol w:w="1908"/>
        <w:gridCol w:w="11110"/>
      </w:tblGrid>
      <w:tr w:rsidR="000A55EC" w:rsidRPr="00856132" w14:paraId="038C82B0" w14:textId="77777777" w:rsidTr="00D32E3F">
        <w:trPr>
          <w:cantSplit/>
          <w:tblHeader/>
        </w:trPr>
        <w:tc>
          <w:tcPr>
            <w:tcW w:w="964" w:type="dxa"/>
          </w:tcPr>
          <w:p w14:paraId="53BB6D3A" w14:textId="77777777" w:rsidR="000A55EC" w:rsidRPr="00856132" w:rsidRDefault="000A55EC" w:rsidP="001963A8">
            <w:pPr>
              <w:pStyle w:val="Tablehead"/>
              <w:rPr>
                <w:sz w:val="22"/>
                <w:lang w:val="es-ES_tradnl"/>
              </w:rPr>
            </w:pPr>
            <w:r w:rsidRPr="00856132">
              <w:rPr>
                <w:sz w:val="22"/>
                <w:lang w:val="es-ES_tradnl"/>
              </w:rPr>
              <w:br w:type="page"/>
              <w:t>Punto del orden del día</w:t>
            </w:r>
          </w:p>
        </w:tc>
        <w:tc>
          <w:tcPr>
            <w:tcW w:w="1908" w:type="dxa"/>
          </w:tcPr>
          <w:p w14:paraId="585A19B8" w14:textId="7201C5FD" w:rsidR="000A55EC" w:rsidRPr="00856132" w:rsidRDefault="000A55EC" w:rsidP="001963A8">
            <w:pPr>
              <w:pStyle w:val="Tablehead"/>
              <w:rPr>
                <w:sz w:val="22"/>
                <w:lang w:val="es-ES_tradnl"/>
              </w:rPr>
            </w:pPr>
            <w:r w:rsidRPr="00856132">
              <w:rPr>
                <w:sz w:val="22"/>
                <w:lang w:val="es-ES_tradnl"/>
              </w:rPr>
              <w:t>Asunto</w:t>
            </w:r>
            <w:r w:rsidR="006073F1" w:rsidRPr="00856132">
              <w:rPr>
                <w:sz w:val="22"/>
                <w:lang w:val="es-ES_tradnl"/>
              </w:rPr>
              <w:t>/</w:t>
            </w:r>
            <w:r w:rsidRPr="00856132">
              <w:rPr>
                <w:sz w:val="22"/>
                <w:lang w:val="es-ES_tradnl"/>
              </w:rPr>
              <w:br/>
              <w:t>Documento(s)</w:t>
            </w:r>
          </w:p>
        </w:tc>
        <w:tc>
          <w:tcPr>
            <w:tcW w:w="11110" w:type="dxa"/>
          </w:tcPr>
          <w:p w14:paraId="139984E8" w14:textId="77777777" w:rsidR="000A55EC" w:rsidRPr="00856132" w:rsidRDefault="000A55EC" w:rsidP="001963A8">
            <w:pPr>
              <w:pStyle w:val="Tablehead"/>
              <w:rPr>
                <w:sz w:val="22"/>
                <w:lang w:val="es-ES_tradnl"/>
              </w:rPr>
            </w:pPr>
            <w:r w:rsidRPr="00856132">
              <w:rPr>
                <w:sz w:val="22"/>
                <w:lang w:val="es-ES_tradnl"/>
              </w:rPr>
              <w:t>Conclusiones</w:t>
            </w:r>
          </w:p>
        </w:tc>
      </w:tr>
      <w:tr w:rsidR="000A55EC" w:rsidRPr="00D71799" w14:paraId="2955A1AA" w14:textId="77777777" w:rsidTr="00D32E3F">
        <w:tc>
          <w:tcPr>
            <w:tcW w:w="964" w:type="dxa"/>
          </w:tcPr>
          <w:p w14:paraId="407E5B93" w14:textId="77777777" w:rsidR="000A55EC" w:rsidRPr="00856132" w:rsidRDefault="000A55EC" w:rsidP="001963A8">
            <w:pPr>
              <w:pStyle w:val="Tabletext"/>
              <w:rPr>
                <w:b/>
                <w:sz w:val="22"/>
                <w:lang w:val="es-ES_tradnl"/>
              </w:rPr>
            </w:pPr>
            <w:r w:rsidRPr="00856132">
              <w:rPr>
                <w:b/>
                <w:sz w:val="22"/>
                <w:lang w:val="es-ES_tradnl"/>
              </w:rPr>
              <w:t>1</w:t>
            </w:r>
          </w:p>
        </w:tc>
        <w:tc>
          <w:tcPr>
            <w:tcW w:w="1908" w:type="dxa"/>
          </w:tcPr>
          <w:p w14:paraId="4A8BF4BD" w14:textId="77777777" w:rsidR="000A55EC" w:rsidRPr="00856132" w:rsidRDefault="000A55EC" w:rsidP="001963A8">
            <w:pPr>
              <w:pStyle w:val="Tabletext"/>
              <w:rPr>
                <w:b/>
                <w:bCs/>
                <w:sz w:val="22"/>
                <w:lang w:val="es-ES_tradnl"/>
              </w:rPr>
            </w:pPr>
            <w:r w:rsidRPr="00856132">
              <w:rPr>
                <w:b/>
                <w:bCs/>
                <w:sz w:val="22"/>
                <w:lang w:val="es-ES_tradnl"/>
              </w:rPr>
              <w:t>Discurso de apertura</w:t>
            </w:r>
          </w:p>
        </w:tc>
        <w:tc>
          <w:tcPr>
            <w:tcW w:w="11110" w:type="dxa"/>
          </w:tcPr>
          <w:p w14:paraId="7638C46F" w14:textId="1CA603CA" w:rsidR="000A55EC" w:rsidRPr="00856132" w:rsidRDefault="000A55EC" w:rsidP="00D32E3F">
            <w:pPr>
              <w:pStyle w:val="Tabletext"/>
              <w:jc w:val="both"/>
              <w:rPr>
                <w:rFonts w:eastAsia="Calibri"/>
                <w:sz w:val="22"/>
                <w:lang w:val="es-ES_tradnl"/>
              </w:rPr>
            </w:pPr>
            <w:r w:rsidRPr="00856132">
              <w:rPr>
                <w:rFonts w:eastAsia="Calibri"/>
                <w:sz w:val="22"/>
                <w:lang w:val="es-ES_tradnl"/>
              </w:rPr>
              <w:t xml:space="preserve">El </w:t>
            </w:r>
            <w:proofErr w:type="gramStart"/>
            <w:r w:rsidRPr="00856132">
              <w:rPr>
                <w:rFonts w:eastAsia="Calibri"/>
                <w:sz w:val="22"/>
                <w:lang w:val="es-ES_tradnl"/>
              </w:rPr>
              <w:t>Presidente</w:t>
            </w:r>
            <w:proofErr w:type="gramEnd"/>
            <w:r w:rsidRPr="00856132">
              <w:rPr>
                <w:rFonts w:eastAsia="Calibri"/>
                <w:sz w:val="22"/>
                <w:lang w:val="es-ES_tradnl"/>
              </w:rPr>
              <w:t xml:space="preserve"> del GAR, Sr. Mohammed </w:t>
            </w:r>
            <w:proofErr w:type="spellStart"/>
            <w:r w:rsidRPr="00856132">
              <w:rPr>
                <w:rFonts w:eastAsia="Calibri"/>
                <w:sz w:val="22"/>
                <w:lang w:val="es-ES_tradnl"/>
              </w:rPr>
              <w:t>Aljanoobi</w:t>
            </w:r>
            <w:proofErr w:type="spellEnd"/>
            <w:r w:rsidRPr="00856132">
              <w:rPr>
                <w:rFonts w:eastAsia="Calibri"/>
                <w:sz w:val="22"/>
                <w:lang w:val="es-ES_tradnl"/>
              </w:rPr>
              <w:t xml:space="preserve"> (Arabia Saudita), declaró abierta la reunión.</w:t>
            </w:r>
          </w:p>
          <w:p w14:paraId="7AD4C4FD" w14:textId="77777777" w:rsidR="000A55EC" w:rsidRPr="00856132" w:rsidRDefault="000A55EC" w:rsidP="00D32E3F">
            <w:pPr>
              <w:pStyle w:val="Tabletext"/>
              <w:jc w:val="both"/>
              <w:rPr>
                <w:sz w:val="22"/>
                <w:lang w:val="es-ES_tradnl"/>
              </w:rPr>
            </w:pPr>
            <w:r w:rsidRPr="00856132">
              <w:rPr>
                <w:sz w:val="22"/>
                <w:lang w:val="es-ES_tradnl"/>
              </w:rPr>
              <w:t xml:space="preserve">En su discurso de bienvenida, la </w:t>
            </w:r>
            <w:proofErr w:type="gramStart"/>
            <w:r w:rsidRPr="00856132">
              <w:rPr>
                <w:sz w:val="22"/>
                <w:lang w:val="es-ES_tradnl"/>
              </w:rPr>
              <w:t>Secretaria General</w:t>
            </w:r>
            <w:proofErr w:type="gramEnd"/>
            <w:r w:rsidRPr="00856132">
              <w:rPr>
                <w:sz w:val="22"/>
                <w:lang w:val="es-ES_tradnl"/>
              </w:rPr>
              <w:t xml:space="preserve"> de la UIT señaló que el espacio, antaño un símbolo de </w:t>
            </w:r>
            <w:proofErr w:type="gramStart"/>
            <w:r w:rsidRPr="00856132">
              <w:rPr>
                <w:sz w:val="22"/>
                <w:lang w:val="es-ES_tradnl"/>
              </w:rPr>
              <w:t>aspiración,</w:t>
            </w:r>
            <w:proofErr w:type="gramEnd"/>
            <w:r w:rsidRPr="00856132">
              <w:rPr>
                <w:sz w:val="22"/>
                <w:lang w:val="es-ES_tradnl"/>
              </w:rPr>
              <w:t xml:space="preserve"> se ha convertido ahora en un medio crucial para los servicios de los que dependemos a diario aquí en la Tierra, dada su instrumentalidad para la ciencia, la seguridad y la conectividad. Aunque la CMR-27 estará muy centrada en el espacio, reconoció la naturaleza complementaria de las tecnologías terrenales y no terrenales.</w:t>
            </w:r>
          </w:p>
          <w:p w14:paraId="4F96290D" w14:textId="77777777" w:rsidR="000A55EC" w:rsidRPr="00856132" w:rsidRDefault="000A55EC" w:rsidP="00D32E3F">
            <w:pPr>
              <w:pStyle w:val="Tabletext"/>
              <w:jc w:val="both"/>
              <w:rPr>
                <w:sz w:val="22"/>
                <w:lang w:val="es-ES_tradnl"/>
              </w:rPr>
            </w:pPr>
            <w:r w:rsidRPr="00856132">
              <w:rPr>
                <w:sz w:val="22"/>
                <w:lang w:val="es-ES_tradnl"/>
              </w:rPr>
              <w:t xml:space="preserve">Por su parte, el </w:t>
            </w:r>
            <w:proofErr w:type="gramStart"/>
            <w:r w:rsidRPr="00856132">
              <w:rPr>
                <w:sz w:val="22"/>
                <w:lang w:val="es-ES_tradnl"/>
              </w:rPr>
              <w:t>Director</w:t>
            </w:r>
            <w:proofErr w:type="gramEnd"/>
            <w:r w:rsidRPr="00856132">
              <w:rPr>
                <w:sz w:val="22"/>
                <w:lang w:val="es-ES_tradnl"/>
              </w:rPr>
              <w:t xml:space="preserve"> de la BDT subrayó en su discurso de apertura las sinergias entre los Sectores de Desarrollo de las Telecomunicaciones y de Radiocomunicaciones, la colaboración crucial en la gestión del espectro para avanzar en la conectividad global, los resultados de PRIDA y el trabajo complementario de la BDT y la BR, en particular a través del desarrollo del sistema de gestión del espectro para países en desarrollo (SMS4DC). También informó a la reunión sobre los preparativos de la CMDT-25.</w:t>
            </w:r>
          </w:p>
          <w:p w14:paraId="4EB1BD66" w14:textId="3FA1EE05" w:rsidR="000A55EC" w:rsidRPr="00856132" w:rsidRDefault="000A55EC" w:rsidP="00D32E3F">
            <w:pPr>
              <w:pStyle w:val="Tabletext"/>
              <w:jc w:val="both"/>
              <w:rPr>
                <w:sz w:val="22"/>
                <w:highlight w:val="yellow"/>
                <w:lang w:val="es-ES_tradnl"/>
              </w:rPr>
            </w:pPr>
            <w:r w:rsidRPr="00856132">
              <w:rPr>
                <w:sz w:val="22"/>
                <w:lang w:val="es-ES_tradnl"/>
              </w:rPr>
              <w:t xml:space="preserve">El </w:t>
            </w:r>
            <w:proofErr w:type="gramStart"/>
            <w:r w:rsidRPr="00856132">
              <w:rPr>
                <w:sz w:val="22"/>
                <w:lang w:val="es-ES_tradnl"/>
              </w:rPr>
              <w:t>Director</w:t>
            </w:r>
            <w:proofErr w:type="gramEnd"/>
            <w:r w:rsidRPr="00856132">
              <w:rPr>
                <w:sz w:val="22"/>
                <w:lang w:val="es-ES_tradnl"/>
              </w:rPr>
              <w:t xml:space="preserve"> de la BR destacó en su discurso la labor realizada por el UIT-R en 2024 para garantizar la aplicación puntual de las decisiones de la</w:t>
            </w:r>
            <w:r w:rsidR="009E5D86" w:rsidRPr="00856132">
              <w:rPr>
                <w:sz w:val="22"/>
                <w:lang w:val="es-ES_tradnl"/>
              </w:rPr>
              <w:t> </w:t>
            </w:r>
            <w:r w:rsidRPr="00856132">
              <w:rPr>
                <w:sz w:val="22"/>
                <w:lang w:val="es-ES_tradnl"/>
              </w:rPr>
              <w:t>CMR</w:t>
            </w:r>
            <w:r w:rsidR="009E5D86" w:rsidRPr="00856132">
              <w:rPr>
                <w:sz w:val="22"/>
                <w:lang w:val="es-ES_tradnl"/>
              </w:rPr>
              <w:noBreakHyphen/>
            </w:r>
            <w:r w:rsidRPr="00856132">
              <w:rPr>
                <w:sz w:val="22"/>
                <w:lang w:val="es-ES_tradnl"/>
              </w:rPr>
              <w:t xml:space="preserve">23, como la publicación de la edición de 2024 del Reglamento de Radiocomunicaciones y la actualización del </w:t>
            </w:r>
            <w:r w:rsidRPr="00856132">
              <w:rPr>
                <w:i/>
                <w:iCs/>
                <w:sz w:val="22"/>
                <w:lang w:val="es-ES_tradnl"/>
              </w:rPr>
              <w:t>software</w:t>
            </w:r>
            <w:r w:rsidRPr="00856132">
              <w:rPr>
                <w:sz w:val="22"/>
                <w:lang w:val="es-ES_tradnl"/>
              </w:rPr>
              <w:t xml:space="preserve"> de los servicios</w:t>
            </w:r>
            <w:r w:rsidR="009E5D86" w:rsidRPr="00856132">
              <w:rPr>
                <w:sz w:val="22"/>
                <w:lang w:val="es-ES_tradnl"/>
              </w:rPr>
              <w:t xml:space="preserve"> </w:t>
            </w:r>
            <w:r w:rsidRPr="00856132">
              <w:rPr>
                <w:sz w:val="22"/>
                <w:lang w:val="es-ES_tradnl"/>
              </w:rPr>
              <w:t>terrenales y espaciales. Mencionó, además, el creciente número de solicitudes a la BR en materia de capacitación y la disponibilidad de nuevas herramientas de extracción de datos por el propio usuario.</w:t>
            </w:r>
          </w:p>
          <w:p w14:paraId="13BBDE8E" w14:textId="77777777" w:rsidR="000A55EC" w:rsidRPr="00856132" w:rsidRDefault="000A55EC" w:rsidP="00D32E3F">
            <w:pPr>
              <w:pStyle w:val="Tabletext"/>
              <w:keepNext/>
              <w:keepLines/>
              <w:jc w:val="both"/>
              <w:rPr>
                <w:sz w:val="22"/>
                <w:lang w:val="es-ES_tradnl"/>
              </w:rPr>
            </w:pPr>
            <w:r w:rsidRPr="00856132">
              <w:rPr>
                <w:sz w:val="22"/>
                <w:lang w:val="es-ES_tradnl"/>
              </w:rPr>
              <w:lastRenderedPageBreak/>
              <w:t xml:space="preserve">En su discurso de apertura, el presidente del GAR mencionó que nos encontramos en un momento crucial en el que las tecnologías de radiocomunicación evolucionan rápidamente, incluyendo las NTN, las tecnologías espaciales y las herramientas de IA. La complementariedad de los servicios terrenales y espaciales supone una nueva dimensión en esta evolución, ya que permite aumentar la eficacia de las redes y ampliar su cobertura. Para propiciar y aprovechar al máximo estas técnicas es necesario que los recursos espectrales estén disponibles en un entorno sin interferencias, garantizando un rendimiento fiable y un uso sostenible. Reconoció la importancia de la cooperación y el trabajo conjunto en el plano internacional, en el marco de la UIT. El </w:t>
            </w:r>
            <w:proofErr w:type="gramStart"/>
            <w:r w:rsidRPr="00856132">
              <w:rPr>
                <w:sz w:val="22"/>
                <w:lang w:val="es-ES_tradnl"/>
              </w:rPr>
              <w:t>Presidente</w:t>
            </w:r>
            <w:proofErr w:type="gramEnd"/>
            <w:r w:rsidRPr="00856132">
              <w:rPr>
                <w:sz w:val="22"/>
                <w:lang w:val="es-ES_tradnl"/>
              </w:rPr>
              <w:t xml:space="preserve"> deseó a todos los participantes un debate constructivo para la consecución de los objetivos estratégicos de la Unión e invitó a todos los miembros del GAR a participar activamente en un espíritu de cooperación y asociación. Reiteró su plena confianza en la capacidad del GAR para lograr los resultados deseados gracias al compromiso y la dilatada experiencia de los miembros del GAR y del equipo de la BR.</w:t>
            </w:r>
          </w:p>
        </w:tc>
      </w:tr>
      <w:tr w:rsidR="000A55EC" w:rsidRPr="00D71799" w14:paraId="4FFBE811" w14:textId="77777777" w:rsidTr="00D32E3F">
        <w:trPr>
          <w:cantSplit/>
          <w:trHeight w:val="948"/>
        </w:trPr>
        <w:tc>
          <w:tcPr>
            <w:tcW w:w="964" w:type="dxa"/>
          </w:tcPr>
          <w:p w14:paraId="5527B373" w14:textId="77777777" w:rsidR="000A55EC" w:rsidRPr="00856132" w:rsidDel="002A034D" w:rsidRDefault="000A55EC" w:rsidP="001963A8">
            <w:pPr>
              <w:pStyle w:val="Tabletext"/>
              <w:rPr>
                <w:b/>
                <w:sz w:val="22"/>
                <w:lang w:val="es-ES_tradnl"/>
              </w:rPr>
            </w:pPr>
            <w:r w:rsidRPr="00856132">
              <w:rPr>
                <w:b/>
                <w:sz w:val="22"/>
                <w:lang w:val="es-ES_tradnl"/>
              </w:rPr>
              <w:lastRenderedPageBreak/>
              <w:t>2</w:t>
            </w:r>
          </w:p>
        </w:tc>
        <w:tc>
          <w:tcPr>
            <w:tcW w:w="1908" w:type="dxa"/>
          </w:tcPr>
          <w:p w14:paraId="6F1C218F" w14:textId="77777777" w:rsidR="000A55EC" w:rsidRPr="00856132" w:rsidRDefault="000A55EC" w:rsidP="001963A8">
            <w:pPr>
              <w:pStyle w:val="Tabletext"/>
              <w:rPr>
                <w:rStyle w:val="normaltextrun"/>
                <w:rFonts w:asciiTheme="minorHAnsi" w:hAnsiTheme="minorHAnsi" w:cstheme="minorHAnsi"/>
                <w:b/>
                <w:bCs/>
                <w:color w:val="000000"/>
                <w:sz w:val="22"/>
                <w:shd w:val="clear" w:color="auto" w:fill="FFFFFF"/>
                <w:lang w:val="es-ES_tradnl"/>
              </w:rPr>
            </w:pPr>
            <w:r w:rsidRPr="00856132">
              <w:rPr>
                <w:rStyle w:val="normaltextrun"/>
                <w:rFonts w:asciiTheme="minorHAnsi" w:hAnsiTheme="minorHAnsi" w:cstheme="minorHAnsi"/>
                <w:b/>
                <w:bCs/>
                <w:color w:val="000000"/>
                <w:sz w:val="22"/>
                <w:shd w:val="clear" w:color="auto" w:fill="FFFFFF"/>
                <w:lang w:val="es-ES_tradnl"/>
              </w:rPr>
              <w:t>Aprobación del orden del día</w:t>
            </w:r>
          </w:p>
          <w:p w14:paraId="25406289" w14:textId="0FD4BAC7" w:rsidR="000A55EC" w:rsidRPr="00856132" w:rsidRDefault="000A55EC" w:rsidP="001963A8">
            <w:pPr>
              <w:pStyle w:val="Tabletext"/>
              <w:rPr>
                <w:rStyle w:val="normaltextrun"/>
                <w:rFonts w:asciiTheme="minorHAnsi" w:hAnsiTheme="minorHAnsi" w:cstheme="minorHAnsi"/>
                <w:color w:val="000000"/>
                <w:sz w:val="22"/>
                <w:shd w:val="clear" w:color="auto" w:fill="FFFFFF"/>
                <w:lang w:val="es-ES_tradnl"/>
              </w:rPr>
            </w:pPr>
            <w:hyperlink r:id="rId17" w:history="1">
              <w:r w:rsidRPr="00856132">
                <w:rPr>
                  <w:rStyle w:val="Hyperlink"/>
                  <w:rFonts w:asciiTheme="minorHAnsi" w:hAnsiTheme="minorHAnsi" w:cstheme="minorHAnsi"/>
                  <w:sz w:val="22"/>
                  <w:lang w:val="es-ES_tradnl"/>
                </w:rPr>
                <w:t>ADM/2</w:t>
              </w:r>
            </w:hyperlink>
          </w:p>
        </w:tc>
        <w:tc>
          <w:tcPr>
            <w:tcW w:w="11110" w:type="dxa"/>
          </w:tcPr>
          <w:p w14:paraId="3210F7B7" w14:textId="77777777" w:rsidR="000A55EC" w:rsidRPr="00856132" w:rsidRDefault="000A55EC" w:rsidP="00D32E3F">
            <w:pPr>
              <w:pStyle w:val="Tabletext"/>
              <w:jc w:val="both"/>
              <w:rPr>
                <w:sz w:val="22"/>
                <w:lang w:val="es-ES_tradnl"/>
              </w:rPr>
            </w:pPr>
            <w:r w:rsidRPr="00856132">
              <w:rPr>
                <w:sz w:val="22"/>
                <w:lang w:val="es-ES_tradnl"/>
              </w:rPr>
              <w:t>Se aprobó el proyecto de orden del día, contenido en el documento RAG/ADM/2, con la adición de un nuevo punto relativo a la restructuración parcial del Departamento de Servicios Espaciales.</w:t>
            </w:r>
          </w:p>
        </w:tc>
      </w:tr>
      <w:tr w:rsidR="000A55EC" w:rsidRPr="00D71799" w14:paraId="63BF5272" w14:textId="77777777" w:rsidTr="00D32E3F">
        <w:trPr>
          <w:cantSplit/>
          <w:trHeight w:val="948"/>
        </w:trPr>
        <w:tc>
          <w:tcPr>
            <w:tcW w:w="964" w:type="dxa"/>
          </w:tcPr>
          <w:p w14:paraId="0E02C40C" w14:textId="77777777" w:rsidR="000A55EC" w:rsidRPr="00856132" w:rsidRDefault="000A55EC" w:rsidP="001963A8">
            <w:pPr>
              <w:pStyle w:val="Tabletext"/>
              <w:rPr>
                <w:b/>
                <w:sz w:val="22"/>
                <w:lang w:val="es-ES_tradnl"/>
              </w:rPr>
            </w:pPr>
            <w:r w:rsidRPr="00856132">
              <w:rPr>
                <w:b/>
                <w:sz w:val="22"/>
                <w:lang w:val="es-ES_tradnl"/>
              </w:rPr>
              <w:t>3</w:t>
            </w:r>
          </w:p>
        </w:tc>
        <w:tc>
          <w:tcPr>
            <w:tcW w:w="1908" w:type="dxa"/>
          </w:tcPr>
          <w:p w14:paraId="1B27BB1B" w14:textId="4314A7E5" w:rsidR="000A55EC" w:rsidRPr="00856132" w:rsidRDefault="000A55EC" w:rsidP="001963A8">
            <w:pPr>
              <w:pStyle w:val="Tabletext"/>
              <w:rPr>
                <w:b/>
                <w:bCs/>
                <w:color w:val="000000"/>
                <w:sz w:val="22"/>
                <w:shd w:val="clear" w:color="auto" w:fill="FFFFFF"/>
                <w:lang w:val="es-ES_tradnl"/>
              </w:rPr>
            </w:pPr>
            <w:r w:rsidRPr="00856132">
              <w:rPr>
                <w:b/>
                <w:bCs/>
                <w:color w:val="000000"/>
                <w:sz w:val="22"/>
                <w:shd w:val="clear" w:color="auto" w:fill="FFFFFF"/>
                <w:lang w:val="es-ES_tradnl"/>
              </w:rPr>
              <w:t>Informe a la 32ª reunión del GAR</w:t>
            </w:r>
          </w:p>
          <w:p w14:paraId="5E41BDDE" w14:textId="17F0D679" w:rsidR="000A55EC" w:rsidRPr="00856132" w:rsidRDefault="000A55EC" w:rsidP="001963A8">
            <w:pPr>
              <w:pStyle w:val="Tabletext"/>
              <w:rPr>
                <w:rStyle w:val="normaltextrun"/>
                <w:rFonts w:asciiTheme="minorHAnsi" w:hAnsiTheme="minorHAnsi" w:cstheme="minorHAnsi"/>
                <w:color w:val="000000"/>
                <w:sz w:val="22"/>
                <w:shd w:val="clear" w:color="auto" w:fill="FFFFFF"/>
                <w:lang w:val="es-ES_tradnl"/>
              </w:rPr>
            </w:pPr>
            <w:hyperlink r:id="rId18" w:history="1">
              <w:r w:rsidRPr="00856132">
                <w:rPr>
                  <w:rStyle w:val="Hyperlink"/>
                  <w:rFonts w:asciiTheme="minorHAnsi" w:hAnsiTheme="minorHAnsi" w:cstheme="minorHAnsi"/>
                  <w:sz w:val="22"/>
                  <w:lang w:val="es-ES_tradnl"/>
                </w:rPr>
                <w:t>30</w:t>
              </w:r>
            </w:hyperlink>
          </w:p>
        </w:tc>
        <w:tc>
          <w:tcPr>
            <w:tcW w:w="11110" w:type="dxa"/>
          </w:tcPr>
          <w:p w14:paraId="1B1DDD4B" w14:textId="2EB3333C" w:rsidR="000A55EC" w:rsidRPr="00856132" w:rsidRDefault="000A55EC" w:rsidP="00D32E3F">
            <w:pPr>
              <w:pStyle w:val="Tabletext"/>
              <w:jc w:val="both"/>
              <w:rPr>
                <w:sz w:val="22"/>
                <w:lang w:val="es-ES_tradnl"/>
              </w:rPr>
            </w:pPr>
            <w:r w:rsidRPr="00856132">
              <w:rPr>
                <w:sz w:val="22"/>
                <w:lang w:val="es-ES_tradnl"/>
              </w:rPr>
              <w:t xml:space="preserve">El </w:t>
            </w:r>
            <w:proofErr w:type="gramStart"/>
            <w:r w:rsidRPr="00856132">
              <w:rPr>
                <w:sz w:val="22"/>
                <w:lang w:val="es-ES_tradnl"/>
              </w:rPr>
              <w:t>Director</w:t>
            </w:r>
            <w:proofErr w:type="gramEnd"/>
            <w:r w:rsidRPr="00856132">
              <w:rPr>
                <w:sz w:val="22"/>
                <w:lang w:val="es-ES_tradnl"/>
              </w:rPr>
              <w:t xml:space="preserve"> presentó brevemente el Informe contenido en el Documento RAG/30, que será examinado sección por</w:t>
            </w:r>
            <w:r w:rsidR="00D32E3F" w:rsidRPr="00856132">
              <w:rPr>
                <w:sz w:val="22"/>
                <w:lang w:val="es-ES_tradnl"/>
              </w:rPr>
              <w:t> </w:t>
            </w:r>
            <w:r w:rsidRPr="00856132">
              <w:rPr>
                <w:sz w:val="22"/>
                <w:lang w:val="es-ES_tradnl"/>
              </w:rPr>
              <w:t>sección.</w:t>
            </w:r>
          </w:p>
        </w:tc>
      </w:tr>
      <w:tr w:rsidR="000A55EC" w:rsidRPr="00D71799" w14:paraId="3F29DFB7" w14:textId="77777777" w:rsidTr="00D32E3F">
        <w:trPr>
          <w:cantSplit/>
        </w:trPr>
        <w:tc>
          <w:tcPr>
            <w:tcW w:w="964" w:type="dxa"/>
          </w:tcPr>
          <w:p w14:paraId="3DCAD534" w14:textId="77777777" w:rsidR="000A55EC" w:rsidRPr="00856132" w:rsidRDefault="000A55EC" w:rsidP="001963A8">
            <w:pPr>
              <w:pStyle w:val="Tabletext"/>
              <w:rPr>
                <w:b/>
                <w:sz w:val="22"/>
                <w:lang w:val="es-ES_tradnl"/>
              </w:rPr>
            </w:pPr>
            <w:r w:rsidRPr="00856132">
              <w:rPr>
                <w:b/>
                <w:sz w:val="22"/>
                <w:lang w:val="es-ES_tradnl"/>
              </w:rPr>
              <w:t>4</w:t>
            </w:r>
          </w:p>
        </w:tc>
        <w:tc>
          <w:tcPr>
            <w:tcW w:w="1908" w:type="dxa"/>
          </w:tcPr>
          <w:p w14:paraId="2961F40C" w14:textId="77777777" w:rsidR="000A55EC" w:rsidRPr="00856132" w:rsidRDefault="000A55EC" w:rsidP="001963A8">
            <w:pPr>
              <w:pStyle w:val="Tabletext"/>
              <w:rPr>
                <w:rStyle w:val="normaltextrun"/>
                <w:rFonts w:asciiTheme="minorHAnsi" w:hAnsiTheme="minorHAnsi" w:cstheme="minorHAnsi"/>
                <w:b/>
                <w:bCs/>
                <w:color w:val="000000" w:themeColor="text1"/>
                <w:sz w:val="22"/>
                <w:lang w:val="es-ES_tradnl"/>
              </w:rPr>
            </w:pPr>
            <w:r w:rsidRPr="00856132">
              <w:rPr>
                <w:rStyle w:val="normaltextrun"/>
                <w:rFonts w:asciiTheme="minorHAnsi" w:hAnsiTheme="minorHAnsi" w:cstheme="minorHAnsi"/>
                <w:b/>
                <w:bCs/>
                <w:color w:val="000000" w:themeColor="text1"/>
                <w:sz w:val="22"/>
                <w:lang w:val="es-ES_tradnl"/>
              </w:rPr>
              <w:t>Asuntos relativos al Consejo</w:t>
            </w:r>
          </w:p>
          <w:p w14:paraId="6213630E" w14:textId="320B3DE8" w:rsidR="000A55EC" w:rsidRPr="00856132" w:rsidRDefault="000A55EC" w:rsidP="001963A8">
            <w:pPr>
              <w:pStyle w:val="Tabletext"/>
              <w:rPr>
                <w:rFonts w:asciiTheme="minorHAnsi" w:hAnsiTheme="minorHAnsi" w:cstheme="minorHAnsi"/>
                <w:color w:val="000000" w:themeColor="text1"/>
                <w:sz w:val="22"/>
                <w:lang w:val="es-ES_tradnl"/>
              </w:rPr>
            </w:pPr>
            <w:hyperlink r:id="rId19" w:history="1">
              <w:r w:rsidRPr="00856132">
                <w:rPr>
                  <w:rStyle w:val="Hyperlink"/>
                  <w:rFonts w:asciiTheme="minorHAnsi" w:hAnsiTheme="minorHAnsi" w:cstheme="minorHAnsi"/>
                  <w:sz w:val="22"/>
                  <w:lang w:val="es-ES_tradnl"/>
                </w:rPr>
                <w:t>30</w:t>
              </w:r>
            </w:hyperlink>
            <w:r w:rsidRPr="00856132">
              <w:rPr>
                <w:sz w:val="22"/>
                <w:lang w:val="es-ES_tradnl"/>
              </w:rPr>
              <w:t xml:space="preserve"> </w:t>
            </w:r>
            <w:r w:rsidRPr="00856132">
              <w:rPr>
                <w:rStyle w:val="normaltextrun"/>
                <w:rFonts w:asciiTheme="minorHAnsi" w:hAnsiTheme="minorHAnsi" w:cstheme="minorHAnsi"/>
                <w:sz w:val="22"/>
                <w:shd w:val="clear" w:color="auto" w:fill="FFFFFF"/>
                <w:lang w:val="es-ES_tradnl"/>
              </w:rPr>
              <w:t>(§ 2.1)</w:t>
            </w:r>
          </w:p>
        </w:tc>
        <w:tc>
          <w:tcPr>
            <w:tcW w:w="11110" w:type="dxa"/>
          </w:tcPr>
          <w:p w14:paraId="1CCBF0E5" w14:textId="4694F08D" w:rsidR="000A55EC" w:rsidRPr="00856132" w:rsidRDefault="000A55EC" w:rsidP="00D32E3F">
            <w:pPr>
              <w:pStyle w:val="Tabletext"/>
              <w:jc w:val="both"/>
              <w:rPr>
                <w:sz w:val="22"/>
                <w:lang w:val="es-ES_tradnl"/>
              </w:rPr>
            </w:pPr>
            <w:r w:rsidRPr="00856132">
              <w:rPr>
                <w:sz w:val="22"/>
                <w:lang w:val="es-ES_tradnl"/>
              </w:rPr>
              <w:t>Aplicación de la recuperación de costes a las notificaciones de redes de satélites:</w:t>
            </w:r>
          </w:p>
          <w:p w14:paraId="56E54EBE" w14:textId="5ADD310E" w:rsidR="000A55EC" w:rsidRPr="00856132" w:rsidRDefault="000A55EC" w:rsidP="00D32E3F">
            <w:pPr>
              <w:pStyle w:val="Tabletext"/>
              <w:jc w:val="both"/>
              <w:rPr>
                <w:sz w:val="22"/>
                <w:lang w:val="es-ES_tradnl"/>
              </w:rPr>
            </w:pPr>
            <w:r w:rsidRPr="00856132">
              <w:rPr>
                <w:sz w:val="22"/>
                <w:lang w:val="es-ES_tradnl"/>
              </w:rPr>
              <w:t xml:space="preserve">El GAR tomó nota de la información facilitada por el </w:t>
            </w:r>
            <w:proofErr w:type="gramStart"/>
            <w:r w:rsidRPr="00856132">
              <w:rPr>
                <w:sz w:val="22"/>
                <w:lang w:val="es-ES_tradnl"/>
              </w:rPr>
              <w:t>Jefe</w:t>
            </w:r>
            <w:proofErr w:type="gramEnd"/>
            <w:r w:rsidRPr="00856132">
              <w:rPr>
                <w:sz w:val="22"/>
                <w:lang w:val="es-ES_tradnl"/>
              </w:rPr>
              <w:t xml:space="preserve"> del Departamento de Servicios Espaciales de la BR acerca de los resultados del Grupo de Expertos sobre la tramitación de notificaciones de satélite. El Grupo de Expertos ha concluido su trabajo e informará al Consejo de 2025.</w:t>
            </w:r>
          </w:p>
          <w:p w14:paraId="360AA8CA" w14:textId="5E6683F0" w:rsidR="000A55EC" w:rsidRPr="00856132" w:rsidRDefault="000A55EC" w:rsidP="00D32E3F">
            <w:pPr>
              <w:pStyle w:val="Tabletext"/>
              <w:jc w:val="both"/>
              <w:rPr>
                <w:sz w:val="22"/>
                <w:lang w:val="es-ES_tradnl"/>
              </w:rPr>
            </w:pPr>
            <w:r w:rsidRPr="00856132">
              <w:rPr>
                <w:sz w:val="22"/>
                <w:lang w:val="es-ES_tradnl"/>
              </w:rPr>
              <w:t>El GAR tomó nota con satisfacción de que el Grupo de Expertos había concluido su labor y expresó su agradecimiento a la Sra.</w:t>
            </w:r>
            <w:r w:rsidR="00974443" w:rsidRPr="00856132">
              <w:rPr>
                <w:sz w:val="22"/>
                <w:lang w:val="es-ES_tradnl"/>
              </w:rPr>
              <w:t> </w:t>
            </w:r>
            <w:r w:rsidRPr="00856132">
              <w:rPr>
                <w:sz w:val="22"/>
                <w:lang w:val="es-ES_tradnl"/>
              </w:rPr>
              <w:t xml:space="preserve">Fenhong Cheng (China), </w:t>
            </w:r>
            <w:proofErr w:type="gramStart"/>
            <w:r w:rsidRPr="00856132">
              <w:rPr>
                <w:sz w:val="22"/>
                <w:lang w:val="es-ES_tradnl"/>
              </w:rPr>
              <w:t>Presidenta</w:t>
            </w:r>
            <w:proofErr w:type="gramEnd"/>
            <w:r w:rsidRPr="00856132">
              <w:rPr>
                <w:sz w:val="22"/>
                <w:lang w:val="es-ES_tradnl"/>
              </w:rPr>
              <w:t xml:space="preserve"> del Grupo de Expertos sobre el Acuerdo 482, y a la Oficina de</w:t>
            </w:r>
            <w:r w:rsidR="00D32E3F" w:rsidRPr="00856132">
              <w:rPr>
                <w:sz w:val="22"/>
                <w:lang w:val="es-ES_tradnl"/>
              </w:rPr>
              <w:t> </w:t>
            </w:r>
            <w:r w:rsidRPr="00856132">
              <w:rPr>
                <w:sz w:val="22"/>
                <w:lang w:val="es-ES_tradnl"/>
              </w:rPr>
              <w:t>Radiocomunicaciones.</w:t>
            </w:r>
          </w:p>
          <w:p w14:paraId="51FA1816" w14:textId="77777777" w:rsidR="000A55EC" w:rsidRPr="00856132" w:rsidRDefault="000A55EC" w:rsidP="00D32E3F">
            <w:pPr>
              <w:pStyle w:val="Tabletext"/>
              <w:jc w:val="both"/>
              <w:rPr>
                <w:sz w:val="22"/>
                <w:lang w:val="es-ES_tradnl"/>
              </w:rPr>
            </w:pPr>
            <w:r w:rsidRPr="00856132">
              <w:rPr>
                <w:sz w:val="22"/>
                <w:lang w:val="es-ES_tradnl"/>
              </w:rPr>
              <w:t>El GAR también tomó nota de que el Grupo de Expertos recomendó modificaciones al Acuerdo 482 relativas a siete de los diez puntos incluidos en su mandato y manifestó su esperanza de que estas modificaciones contribuyan a cerrar la brecha en la recuperación de costes en concepto de tramitación de las notificaciones de redes de satélites.</w:t>
            </w:r>
          </w:p>
          <w:p w14:paraId="027AE182" w14:textId="77777777" w:rsidR="000A55EC" w:rsidRPr="00856132" w:rsidRDefault="000A55EC" w:rsidP="00D32E3F">
            <w:pPr>
              <w:pStyle w:val="Tabletext"/>
              <w:jc w:val="both"/>
              <w:rPr>
                <w:sz w:val="22"/>
                <w:lang w:val="es-ES_tradnl"/>
              </w:rPr>
            </w:pPr>
            <w:r w:rsidRPr="00856132">
              <w:rPr>
                <w:sz w:val="22"/>
                <w:lang w:val="es-ES_tradnl"/>
              </w:rPr>
              <w:t>La BR informará a la 33ª reunión del GAR sobre los resultados del Consejo 2025 y sobre la aplicación del Acuerdo, en particular sobre las dificultades, las medidas adoptadas y las informaciones recibidas a lo largo del año.</w:t>
            </w:r>
          </w:p>
        </w:tc>
      </w:tr>
      <w:tr w:rsidR="000A55EC" w:rsidRPr="00D71799" w14:paraId="67676F46" w14:textId="77777777" w:rsidTr="00D32E3F">
        <w:trPr>
          <w:cantSplit/>
        </w:trPr>
        <w:tc>
          <w:tcPr>
            <w:tcW w:w="964" w:type="dxa"/>
          </w:tcPr>
          <w:p w14:paraId="44783EC2" w14:textId="77777777" w:rsidR="000A55EC" w:rsidRPr="00856132" w:rsidRDefault="000A55EC" w:rsidP="001963A8">
            <w:pPr>
              <w:pStyle w:val="Tabletext"/>
              <w:rPr>
                <w:b/>
                <w:sz w:val="22"/>
                <w:lang w:val="es-ES_tradnl"/>
              </w:rPr>
            </w:pPr>
          </w:p>
        </w:tc>
        <w:tc>
          <w:tcPr>
            <w:tcW w:w="1908" w:type="dxa"/>
          </w:tcPr>
          <w:p w14:paraId="7B3FCDF8" w14:textId="23005A1A" w:rsidR="000A55EC" w:rsidRPr="00856132" w:rsidRDefault="000A55EC" w:rsidP="001963A8">
            <w:pPr>
              <w:pStyle w:val="Tabletext"/>
              <w:rPr>
                <w:rStyle w:val="normaltextrun"/>
                <w:rFonts w:asciiTheme="minorHAnsi" w:hAnsiTheme="minorHAnsi" w:cstheme="minorHAnsi"/>
                <w:color w:val="000000" w:themeColor="text1"/>
                <w:sz w:val="22"/>
                <w:lang w:val="es-ES_tradnl"/>
              </w:rPr>
            </w:pPr>
            <w:hyperlink r:id="rId20" w:history="1">
              <w:r w:rsidRPr="00856132">
                <w:rPr>
                  <w:rStyle w:val="Hyperlink"/>
                  <w:rFonts w:asciiTheme="minorHAnsi" w:hAnsiTheme="minorHAnsi" w:cstheme="minorHAnsi"/>
                  <w:sz w:val="22"/>
                  <w:lang w:val="es-ES_tradnl"/>
                </w:rPr>
                <w:t>30</w:t>
              </w:r>
            </w:hyperlink>
            <w:r w:rsidRPr="00856132">
              <w:rPr>
                <w:sz w:val="22"/>
                <w:lang w:val="es-ES_tradnl"/>
              </w:rPr>
              <w:t xml:space="preserve"> </w:t>
            </w:r>
            <w:r w:rsidRPr="00856132">
              <w:rPr>
                <w:rStyle w:val="normaltextrun"/>
                <w:rFonts w:asciiTheme="minorHAnsi" w:hAnsiTheme="minorHAnsi" w:cstheme="minorHAnsi"/>
                <w:sz w:val="22"/>
                <w:shd w:val="clear" w:color="auto" w:fill="FFFFFF"/>
                <w:lang w:val="es-ES_tradnl"/>
              </w:rPr>
              <w:t>(§2.2)</w:t>
            </w:r>
          </w:p>
        </w:tc>
        <w:tc>
          <w:tcPr>
            <w:tcW w:w="11110" w:type="dxa"/>
          </w:tcPr>
          <w:p w14:paraId="59CD8A0B" w14:textId="77777777" w:rsidR="000A55EC" w:rsidRPr="00856132" w:rsidRDefault="000A55EC" w:rsidP="00D32E3F">
            <w:pPr>
              <w:pStyle w:val="Tabletext"/>
              <w:jc w:val="both"/>
              <w:rPr>
                <w:sz w:val="22"/>
                <w:lang w:val="es-ES_tradnl"/>
              </w:rPr>
            </w:pPr>
            <w:r w:rsidRPr="00856132">
              <w:rPr>
                <w:sz w:val="22"/>
                <w:lang w:val="es-ES_tradnl"/>
              </w:rPr>
              <w:t>Presupuesto para 2024-2025 y proyecto de presupuesto para 2026-2027:</w:t>
            </w:r>
          </w:p>
          <w:p w14:paraId="3D35B804" w14:textId="6F9095A0" w:rsidR="000A55EC" w:rsidRPr="00856132" w:rsidRDefault="000A55EC" w:rsidP="00D32E3F">
            <w:pPr>
              <w:pStyle w:val="Tabletext"/>
              <w:jc w:val="both"/>
              <w:rPr>
                <w:sz w:val="22"/>
                <w:lang w:val="es-ES_tradnl"/>
              </w:rPr>
            </w:pPr>
            <w:r w:rsidRPr="00856132">
              <w:rPr>
                <w:sz w:val="22"/>
                <w:lang w:val="es-ES_tradnl"/>
              </w:rPr>
              <w:t>El GAR tomó nota del presupuesto de la RB para 2024-2025 y del proyecto de presupuesto para 2026-2027, que fue presentado por el Sr.</w:t>
            </w:r>
            <w:r w:rsidR="00974443" w:rsidRPr="00856132">
              <w:rPr>
                <w:sz w:val="22"/>
                <w:lang w:val="es-ES_tradnl"/>
              </w:rPr>
              <w:t> </w:t>
            </w:r>
            <w:r w:rsidRPr="00856132">
              <w:rPr>
                <w:sz w:val="22"/>
                <w:lang w:val="es-ES_tradnl"/>
              </w:rPr>
              <w:t xml:space="preserve">Ba, </w:t>
            </w:r>
            <w:proofErr w:type="gramStart"/>
            <w:r w:rsidRPr="00856132">
              <w:rPr>
                <w:sz w:val="22"/>
                <w:lang w:val="es-ES_tradnl"/>
              </w:rPr>
              <w:t>Jefe</w:t>
            </w:r>
            <w:proofErr w:type="gramEnd"/>
            <w:r w:rsidRPr="00856132">
              <w:rPr>
                <w:sz w:val="22"/>
                <w:lang w:val="es-ES_tradnl"/>
              </w:rPr>
              <w:t xml:space="preserve"> del Departamento de Gestión de Recursos Financieros. El presupuesto para 2024-2025 fue aprobado por el Consejo en su reunión de 2024. La revisión anual de la ejecución del presupuesto para 2025 se presentará a la reunión del Consejo de 2025.</w:t>
            </w:r>
          </w:p>
          <w:p w14:paraId="50E13A22" w14:textId="77777777" w:rsidR="000A55EC" w:rsidRPr="00856132" w:rsidRDefault="000A55EC" w:rsidP="00D32E3F">
            <w:pPr>
              <w:pStyle w:val="Tabletext"/>
              <w:jc w:val="both"/>
              <w:rPr>
                <w:sz w:val="22"/>
                <w:lang w:val="es-ES_tradnl"/>
              </w:rPr>
            </w:pPr>
            <w:r w:rsidRPr="00856132">
              <w:rPr>
                <w:sz w:val="22"/>
                <w:lang w:val="es-ES_tradnl"/>
              </w:rPr>
              <w:t>En esta fase de la preparación del proyecto de presupuesto para 2026-2027, los gastos e ingresos representan la situación de los debates en curso. La Secretaría General seguirá preparando el presupuesto bienal y espera finalizar un presupuesto equilibrado a tiempo para presentarlo a la reunión del Consejo de 2025.</w:t>
            </w:r>
          </w:p>
          <w:p w14:paraId="6B800B88" w14:textId="341930CA" w:rsidR="000A55EC" w:rsidRPr="00856132" w:rsidRDefault="000A55EC" w:rsidP="00D32E3F">
            <w:pPr>
              <w:pStyle w:val="Tabletext"/>
              <w:jc w:val="both"/>
              <w:rPr>
                <w:rFonts w:eastAsia="Calibri"/>
                <w:sz w:val="22"/>
                <w:lang w:val="es-ES_tradnl"/>
              </w:rPr>
            </w:pPr>
            <w:r w:rsidRPr="00856132">
              <w:rPr>
                <w:rFonts w:eastAsia="Calibri"/>
                <w:sz w:val="22"/>
                <w:lang w:val="es-ES_tradnl"/>
              </w:rPr>
              <w:t xml:space="preserve">El GAR tomó nota de las medidas adoptadas por el </w:t>
            </w:r>
            <w:proofErr w:type="gramStart"/>
            <w:r w:rsidRPr="00856132">
              <w:rPr>
                <w:rFonts w:eastAsia="Calibri"/>
                <w:sz w:val="22"/>
                <w:lang w:val="es-ES_tradnl"/>
              </w:rPr>
              <w:t>Director</w:t>
            </w:r>
            <w:proofErr w:type="gramEnd"/>
            <w:r w:rsidRPr="00856132">
              <w:rPr>
                <w:rFonts w:eastAsia="Calibri"/>
                <w:sz w:val="22"/>
                <w:lang w:val="es-ES_tradnl"/>
              </w:rPr>
              <w:t xml:space="preserve"> para aplicar el punto 17 del Anexo 2 de la Decisión 5 de la</w:t>
            </w:r>
            <w:r w:rsidR="00D32E3F" w:rsidRPr="00856132">
              <w:rPr>
                <w:rFonts w:eastAsia="Calibri"/>
                <w:sz w:val="22"/>
                <w:lang w:val="es-ES_tradnl"/>
              </w:rPr>
              <w:t> </w:t>
            </w:r>
            <w:r w:rsidRPr="00856132">
              <w:rPr>
                <w:rFonts w:eastAsia="Calibri"/>
                <w:sz w:val="22"/>
                <w:lang w:val="es-ES_tradnl"/>
              </w:rPr>
              <w:t>PP</w:t>
            </w:r>
            <w:r w:rsidR="00D32E3F" w:rsidRPr="00856132">
              <w:rPr>
                <w:rFonts w:eastAsia="Calibri"/>
                <w:sz w:val="22"/>
                <w:lang w:val="es-ES_tradnl"/>
              </w:rPr>
              <w:noBreakHyphen/>
            </w:r>
            <w:r w:rsidRPr="00856132">
              <w:rPr>
                <w:rFonts w:eastAsia="Calibri"/>
                <w:sz w:val="22"/>
                <w:lang w:val="es-ES_tradnl"/>
              </w:rPr>
              <w:t>22.</w:t>
            </w:r>
          </w:p>
          <w:p w14:paraId="2A4750CD" w14:textId="42EAB2AA" w:rsidR="000A55EC" w:rsidRPr="00856132" w:rsidRDefault="000A55EC" w:rsidP="00D32E3F">
            <w:pPr>
              <w:pStyle w:val="Tabletext"/>
              <w:jc w:val="both"/>
              <w:rPr>
                <w:rFonts w:eastAsia="Calibri"/>
                <w:sz w:val="22"/>
                <w:lang w:val="es-ES_tradnl"/>
              </w:rPr>
            </w:pPr>
            <w:r w:rsidRPr="00856132">
              <w:rPr>
                <w:rFonts w:eastAsia="Calibri"/>
                <w:sz w:val="22"/>
                <w:lang w:val="es-ES_tradnl"/>
              </w:rPr>
              <w:t xml:space="preserve">El </w:t>
            </w:r>
            <w:proofErr w:type="gramStart"/>
            <w:r w:rsidRPr="00856132">
              <w:rPr>
                <w:rFonts w:eastAsia="Calibri"/>
                <w:sz w:val="22"/>
                <w:lang w:val="es-ES_tradnl"/>
              </w:rPr>
              <w:t>Director</w:t>
            </w:r>
            <w:proofErr w:type="gramEnd"/>
            <w:r w:rsidRPr="00856132">
              <w:rPr>
                <w:rFonts w:eastAsia="Calibri"/>
                <w:sz w:val="22"/>
                <w:lang w:val="es-ES_tradnl"/>
              </w:rPr>
              <w:t xml:space="preserve"> de la BR mencionó que el GAR debería centrarse en los principios generales y en los retos a los que se enfrenta la BR en el periodo</w:t>
            </w:r>
            <w:r w:rsidR="006073F1" w:rsidRPr="00856132">
              <w:rPr>
                <w:rFonts w:eastAsia="Calibri"/>
                <w:sz w:val="22"/>
                <w:lang w:val="es-ES_tradnl"/>
              </w:rPr>
              <w:t> </w:t>
            </w:r>
            <w:r w:rsidRPr="00856132">
              <w:rPr>
                <w:rFonts w:eastAsia="Calibri"/>
                <w:sz w:val="22"/>
                <w:lang w:val="es-ES_tradnl"/>
              </w:rPr>
              <w:t>2026</w:t>
            </w:r>
            <w:r w:rsidR="006073F1" w:rsidRPr="00856132">
              <w:rPr>
                <w:rFonts w:eastAsia="Calibri"/>
                <w:sz w:val="22"/>
                <w:lang w:val="es-ES_tradnl"/>
              </w:rPr>
              <w:noBreakHyphen/>
            </w:r>
            <w:r w:rsidRPr="00856132">
              <w:rPr>
                <w:rFonts w:eastAsia="Calibri"/>
                <w:sz w:val="22"/>
                <w:lang w:val="es-ES_tradnl"/>
              </w:rPr>
              <w:t xml:space="preserve">2027. También mencionó que el trabajo de la BR se basa en obligaciones estatutarias. El </w:t>
            </w:r>
            <w:proofErr w:type="gramStart"/>
            <w:r w:rsidRPr="00856132">
              <w:rPr>
                <w:rFonts w:eastAsia="Calibri"/>
                <w:sz w:val="22"/>
                <w:lang w:val="es-ES_tradnl"/>
              </w:rPr>
              <w:t>Director</w:t>
            </w:r>
            <w:proofErr w:type="gramEnd"/>
            <w:r w:rsidRPr="00856132">
              <w:rPr>
                <w:rFonts w:eastAsia="Calibri"/>
                <w:sz w:val="22"/>
                <w:lang w:val="es-ES_tradnl"/>
              </w:rPr>
              <w:t xml:space="preserve"> de la BR y su equipo están trabajando con la </w:t>
            </w:r>
            <w:proofErr w:type="gramStart"/>
            <w:r w:rsidRPr="00856132">
              <w:rPr>
                <w:rFonts w:eastAsia="Calibri"/>
                <w:sz w:val="22"/>
                <w:lang w:val="es-ES_tradnl"/>
              </w:rPr>
              <w:t>Secretaria General</w:t>
            </w:r>
            <w:proofErr w:type="gramEnd"/>
            <w:r w:rsidRPr="00856132">
              <w:rPr>
                <w:rFonts w:eastAsia="Calibri"/>
                <w:sz w:val="22"/>
                <w:lang w:val="es-ES_tradnl"/>
              </w:rPr>
              <w:t xml:space="preserve"> y su equipo para proponer un presupuesto 2026-2027 que permita a la Oficina cumplir su mandato y ejecutar las decisiones de la CMR y el Reglamento de Radiocomunicaciones.</w:t>
            </w:r>
          </w:p>
          <w:p w14:paraId="0CF38DA3" w14:textId="3297F910" w:rsidR="000A55EC" w:rsidRPr="00856132" w:rsidRDefault="000A55EC" w:rsidP="00D32E3F">
            <w:pPr>
              <w:pStyle w:val="Tabletext"/>
              <w:jc w:val="both"/>
              <w:rPr>
                <w:rFonts w:eastAsia="Calibri"/>
                <w:sz w:val="22"/>
                <w:lang w:val="es-ES_tradnl"/>
              </w:rPr>
            </w:pPr>
            <w:r w:rsidRPr="00856132">
              <w:rPr>
                <w:rFonts w:eastAsia="Calibri"/>
                <w:sz w:val="22"/>
                <w:lang w:val="es-ES_tradnl"/>
              </w:rPr>
              <w:t>El GAR tomó nota con preocupación de las reducciones propuestas en el presupuesto de personal de la BR para el bienio 2026-2027 y, aunque comprende las dificultades financieras</w:t>
            </w:r>
            <w:r w:rsidR="00EB1886" w:rsidRPr="00856132">
              <w:rPr>
                <w:rFonts w:eastAsia="Calibri"/>
                <w:sz w:val="22"/>
                <w:lang w:val="es-ES_tradnl"/>
              </w:rPr>
              <w:t xml:space="preserve"> </w:t>
            </w:r>
            <w:r w:rsidRPr="00856132">
              <w:rPr>
                <w:rFonts w:eastAsia="Calibri"/>
                <w:sz w:val="22"/>
                <w:lang w:val="es-ES_tradnl"/>
              </w:rPr>
              <w:t>que puede estar atravesando la UIT, insistió en la necesidad de preservar los recursos que la Oficina necesita para llevar a cabo su mandato. Éste debe tener prioridad sobre otras actividades no esenciales que la UIT tenga previsto realizar. En este sentido, debe cumplirse en todo momento la Decisión</w:t>
            </w:r>
            <w:r w:rsidR="00D32E3F" w:rsidRPr="00856132">
              <w:rPr>
                <w:rFonts w:eastAsia="Calibri"/>
                <w:sz w:val="22"/>
                <w:lang w:val="es-ES_tradnl"/>
              </w:rPr>
              <w:t> </w:t>
            </w:r>
            <w:r w:rsidRPr="00856132">
              <w:rPr>
                <w:rFonts w:eastAsia="Calibri"/>
                <w:sz w:val="22"/>
                <w:lang w:val="es-ES_tradnl"/>
              </w:rPr>
              <w:t>5 de la PP-22.</w:t>
            </w:r>
          </w:p>
          <w:p w14:paraId="25B9E3DE" w14:textId="66ECE348" w:rsidR="000A55EC" w:rsidRPr="00856132" w:rsidRDefault="000A55EC" w:rsidP="00D32E3F">
            <w:pPr>
              <w:pStyle w:val="Tabletext"/>
              <w:jc w:val="both"/>
              <w:rPr>
                <w:sz w:val="22"/>
                <w:lang w:val="es-ES_tradnl"/>
              </w:rPr>
            </w:pPr>
            <w:r w:rsidRPr="00856132">
              <w:rPr>
                <w:rFonts w:eastAsia="Calibri"/>
                <w:sz w:val="22"/>
                <w:lang w:val="es-ES_tradnl"/>
              </w:rPr>
              <w:t xml:space="preserve">El GAR invitó al </w:t>
            </w:r>
            <w:proofErr w:type="gramStart"/>
            <w:r w:rsidRPr="00856132">
              <w:rPr>
                <w:rFonts w:eastAsia="Calibri"/>
                <w:sz w:val="22"/>
                <w:lang w:val="es-ES_tradnl"/>
              </w:rPr>
              <w:t>Director</w:t>
            </w:r>
            <w:proofErr w:type="gramEnd"/>
            <w:r w:rsidRPr="00856132">
              <w:rPr>
                <w:rFonts w:eastAsia="Calibri"/>
                <w:sz w:val="22"/>
                <w:lang w:val="es-ES_tradnl"/>
              </w:rPr>
              <w:t xml:space="preserve"> de la BR a informar al Consejo de 2025 sobre las conclusiones de la 32ª reunión del GAR.</w:t>
            </w:r>
          </w:p>
        </w:tc>
      </w:tr>
      <w:tr w:rsidR="000A55EC" w:rsidRPr="00D71799" w14:paraId="04F053C4" w14:textId="77777777" w:rsidTr="00D32E3F">
        <w:trPr>
          <w:cantSplit/>
        </w:trPr>
        <w:tc>
          <w:tcPr>
            <w:tcW w:w="964" w:type="dxa"/>
          </w:tcPr>
          <w:p w14:paraId="0624B00B" w14:textId="77777777" w:rsidR="000A55EC" w:rsidRPr="00856132" w:rsidRDefault="000A55EC" w:rsidP="001963A8">
            <w:pPr>
              <w:pStyle w:val="Tabletext"/>
              <w:rPr>
                <w:b/>
                <w:sz w:val="22"/>
                <w:lang w:val="es-ES_tradnl"/>
              </w:rPr>
            </w:pPr>
          </w:p>
        </w:tc>
        <w:tc>
          <w:tcPr>
            <w:tcW w:w="1908" w:type="dxa"/>
          </w:tcPr>
          <w:p w14:paraId="47FC07A1" w14:textId="0FFA28E6" w:rsidR="000A55EC" w:rsidRPr="00856132" w:rsidRDefault="000A55EC" w:rsidP="00D32E3F">
            <w:pPr>
              <w:pStyle w:val="Tabletext"/>
              <w:rPr>
                <w:rStyle w:val="normaltextrun"/>
                <w:rFonts w:asciiTheme="minorHAnsi" w:hAnsiTheme="minorHAnsi" w:cstheme="minorHAnsi"/>
                <w:color w:val="000000" w:themeColor="text1"/>
                <w:sz w:val="22"/>
                <w:lang w:val="es-ES_tradnl"/>
              </w:rPr>
            </w:pPr>
            <w:hyperlink r:id="rId21" w:history="1">
              <w:r w:rsidRPr="00856132">
                <w:rPr>
                  <w:rStyle w:val="Hyperlink"/>
                  <w:rFonts w:asciiTheme="minorHAnsi" w:hAnsiTheme="minorHAnsi" w:cstheme="minorHAnsi"/>
                  <w:sz w:val="22"/>
                  <w:lang w:val="es-ES_tradnl"/>
                </w:rPr>
                <w:t>30</w:t>
              </w:r>
            </w:hyperlink>
            <w:r w:rsidRPr="00856132">
              <w:rPr>
                <w:sz w:val="22"/>
                <w:lang w:val="es-ES_tradnl"/>
              </w:rPr>
              <w:t xml:space="preserve"> (</w:t>
            </w:r>
            <w:r w:rsidRPr="00856132">
              <w:rPr>
                <w:rStyle w:val="normaltextrun"/>
                <w:rFonts w:asciiTheme="minorHAnsi" w:hAnsiTheme="minorHAnsi" w:cstheme="minorHAnsi"/>
                <w:sz w:val="22"/>
                <w:shd w:val="clear" w:color="auto" w:fill="FFFFFF"/>
                <w:lang w:val="es-ES_tradnl"/>
              </w:rPr>
              <w:t>§2.3)</w:t>
            </w:r>
            <w:r w:rsidRPr="00856132">
              <w:rPr>
                <w:rStyle w:val="normaltextrun"/>
                <w:rFonts w:asciiTheme="minorHAnsi" w:hAnsiTheme="minorHAnsi" w:cstheme="minorHAnsi"/>
                <w:sz w:val="22"/>
                <w:shd w:val="clear" w:color="auto" w:fill="FFFFFF"/>
                <w:lang w:val="es-ES_tradnl"/>
              </w:rPr>
              <w:br/>
            </w:r>
            <w:hyperlink r:id="rId22" w:history="1">
              <w:r w:rsidRPr="00856132">
                <w:rPr>
                  <w:rStyle w:val="Hyperlink"/>
                  <w:rFonts w:asciiTheme="minorHAnsi" w:hAnsiTheme="minorHAnsi" w:cstheme="minorHAnsi"/>
                  <w:sz w:val="22"/>
                  <w:lang w:val="es-ES_tradnl"/>
                </w:rPr>
                <w:t>30-Add.2</w:t>
              </w:r>
            </w:hyperlink>
          </w:p>
        </w:tc>
        <w:tc>
          <w:tcPr>
            <w:tcW w:w="11110" w:type="dxa"/>
          </w:tcPr>
          <w:p w14:paraId="2ABD9690" w14:textId="77777777" w:rsidR="000A55EC" w:rsidRPr="00856132" w:rsidRDefault="000A55EC" w:rsidP="00D32E3F">
            <w:pPr>
              <w:pStyle w:val="Tabletext"/>
              <w:jc w:val="both"/>
              <w:rPr>
                <w:sz w:val="22"/>
                <w:lang w:val="es-ES_tradnl"/>
              </w:rPr>
            </w:pPr>
            <w:r w:rsidRPr="00856132">
              <w:rPr>
                <w:sz w:val="22"/>
                <w:lang w:val="es-ES_tradnl"/>
              </w:rPr>
              <w:t>Utilización de los seis idiomas oficiales de la Unión en igualdad de condiciones:</w:t>
            </w:r>
          </w:p>
          <w:p w14:paraId="4645DB71" w14:textId="073FA193" w:rsidR="000A55EC" w:rsidRPr="00856132" w:rsidRDefault="000A55EC" w:rsidP="00D32E3F">
            <w:pPr>
              <w:pStyle w:val="Tabletext"/>
              <w:jc w:val="both"/>
              <w:rPr>
                <w:sz w:val="22"/>
                <w:lang w:val="es-ES_tradnl"/>
              </w:rPr>
            </w:pPr>
            <w:r w:rsidRPr="00856132">
              <w:rPr>
                <w:sz w:val="22"/>
                <w:lang w:val="es-ES_tradnl"/>
              </w:rPr>
              <w:t xml:space="preserve">El GAR examinó la información contenida en la sección 2.3 del Informe del </w:t>
            </w:r>
            <w:proofErr w:type="gramStart"/>
            <w:r w:rsidRPr="00856132">
              <w:rPr>
                <w:sz w:val="22"/>
                <w:lang w:val="es-ES_tradnl"/>
              </w:rPr>
              <w:t>Director</w:t>
            </w:r>
            <w:proofErr w:type="gramEnd"/>
            <w:r w:rsidRPr="00856132">
              <w:rPr>
                <w:sz w:val="22"/>
                <w:lang w:val="es-ES_tradnl"/>
              </w:rPr>
              <w:t xml:space="preserve"> sobre la utilización de los seis idiomas oficiales de la Unión en igualdad de condiciones, que explicó con más detalle la Sra. Negar Takesh (</w:t>
            </w:r>
            <w:proofErr w:type="gramStart"/>
            <w:r w:rsidRPr="00856132">
              <w:rPr>
                <w:sz w:val="22"/>
                <w:lang w:val="es-ES_tradnl"/>
              </w:rPr>
              <w:t>Jefa</w:t>
            </w:r>
            <w:proofErr w:type="gramEnd"/>
            <w:r w:rsidRPr="00856132">
              <w:rPr>
                <w:sz w:val="22"/>
                <w:lang w:val="es-ES_tradnl"/>
              </w:rPr>
              <w:t xml:space="preserve"> Adjunta del Departamento de Conferencias y Publicaciones). La UIT presentó en el Consejo 2024 un informe sobre la utilización de los seis idiomas de la Unión en pie de igualdad, de conformidad con la</w:t>
            </w:r>
            <w:r w:rsidR="00EB1886" w:rsidRPr="00856132">
              <w:rPr>
                <w:sz w:val="22"/>
                <w:lang w:val="es-ES_tradnl"/>
              </w:rPr>
              <w:t> </w:t>
            </w:r>
            <w:r w:rsidRPr="00856132">
              <w:rPr>
                <w:sz w:val="22"/>
                <w:lang w:val="es-ES_tradnl"/>
              </w:rPr>
              <w:t>Resolución</w:t>
            </w:r>
            <w:r w:rsidR="00EB1886" w:rsidRPr="00856132">
              <w:rPr>
                <w:sz w:val="22"/>
                <w:lang w:val="es-ES_tradnl"/>
              </w:rPr>
              <w:t> </w:t>
            </w:r>
            <w:r w:rsidRPr="00856132">
              <w:rPr>
                <w:sz w:val="22"/>
                <w:lang w:val="es-ES_tradnl"/>
              </w:rPr>
              <w:t xml:space="preserve">154 del PP. El Consejo tomó nota del informe en el </w:t>
            </w:r>
            <w:hyperlink r:id="rId23" w:history="1">
              <w:r w:rsidRPr="00856132">
                <w:rPr>
                  <w:rStyle w:val="Hyperlink"/>
                  <w:rFonts w:asciiTheme="minorHAnsi" w:hAnsiTheme="minorHAnsi" w:cstheme="minorHAnsi"/>
                  <w:sz w:val="22"/>
                  <w:lang w:val="es-ES_tradnl"/>
                </w:rPr>
                <w:t>Documento C24/12</w:t>
              </w:r>
            </w:hyperlink>
            <w:r w:rsidRPr="00856132">
              <w:rPr>
                <w:sz w:val="22"/>
                <w:lang w:val="es-ES_tradnl"/>
              </w:rPr>
              <w:t xml:space="preserve">, adoptó la revisión de la </w:t>
            </w:r>
            <w:hyperlink r:id="rId24">
              <w:r w:rsidRPr="00856132">
                <w:rPr>
                  <w:rStyle w:val="Hyperlink"/>
                  <w:rFonts w:asciiTheme="minorHAnsi" w:hAnsiTheme="minorHAnsi" w:cstheme="minorHAnsi"/>
                  <w:sz w:val="22"/>
                  <w:lang w:val="es-ES_tradnl"/>
                </w:rPr>
                <w:t>Resolución 1386</w:t>
              </w:r>
            </w:hyperlink>
            <w:r w:rsidRPr="00856132">
              <w:rPr>
                <w:sz w:val="22"/>
                <w:lang w:val="es-ES_tradnl"/>
              </w:rPr>
              <w:t xml:space="preserve"> del Consejo (C17, última modificación C24) y la revisión de la </w:t>
            </w:r>
            <w:hyperlink r:id="rId25">
              <w:r w:rsidRPr="00856132">
                <w:rPr>
                  <w:rStyle w:val="Hyperlink"/>
                  <w:rFonts w:asciiTheme="minorHAnsi" w:hAnsiTheme="minorHAnsi" w:cstheme="minorHAnsi"/>
                  <w:sz w:val="22"/>
                  <w:lang w:val="es-ES_tradnl"/>
                </w:rPr>
                <w:t>Resolución 1372</w:t>
              </w:r>
            </w:hyperlink>
            <w:r w:rsidRPr="00856132">
              <w:rPr>
                <w:sz w:val="22"/>
                <w:lang w:val="es-ES_tradnl"/>
              </w:rPr>
              <w:t xml:space="preserve"> del Consejo (C15, última modificación C24), y aprobó la guía actualizada de prácticas actuales y futuras para la aplicación del multilingüismo en la UIT que figura en su Anexo C.</w:t>
            </w:r>
          </w:p>
          <w:p w14:paraId="010062AF" w14:textId="64BB8D26" w:rsidR="000A55EC" w:rsidRPr="00856132" w:rsidRDefault="000A55EC" w:rsidP="00D32E3F">
            <w:pPr>
              <w:pStyle w:val="Tabletext"/>
              <w:jc w:val="both"/>
              <w:rPr>
                <w:sz w:val="22"/>
                <w:lang w:val="es-ES_tradnl"/>
              </w:rPr>
            </w:pPr>
            <w:r w:rsidRPr="00856132">
              <w:rPr>
                <w:sz w:val="22"/>
                <w:lang w:val="es-ES_tradnl"/>
              </w:rPr>
              <w:t xml:space="preserve">El GAR también tomó nota de la situación de la traducción de las páginas web del UIT-R, que se presenta en el </w:t>
            </w:r>
            <w:proofErr w:type="spellStart"/>
            <w:r w:rsidR="00EB1886" w:rsidRPr="00856132">
              <w:rPr>
                <w:sz w:val="22"/>
                <w:lang w:val="es-ES_tradnl"/>
              </w:rPr>
              <w:t>Addéndum</w:t>
            </w:r>
            <w:proofErr w:type="spellEnd"/>
            <w:r w:rsidR="00D32E3F" w:rsidRPr="00856132">
              <w:rPr>
                <w:sz w:val="22"/>
                <w:lang w:val="es-ES_tradnl"/>
              </w:rPr>
              <w:t> </w:t>
            </w:r>
            <w:r w:rsidRPr="00856132">
              <w:rPr>
                <w:sz w:val="22"/>
                <w:lang w:val="es-ES_tradnl"/>
              </w:rPr>
              <w:t>2 del informe del</w:t>
            </w:r>
            <w:r w:rsidR="00EB1886" w:rsidRPr="00856132">
              <w:rPr>
                <w:sz w:val="22"/>
                <w:lang w:val="es-ES_tradnl"/>
              </w:rPr>
              <w:t> </w:t>
            </w:r>
            <w:proofErr w:type="gramStart"/>
            <w:r w:rsidRPr="00856132">
              <w:rPr>
                <w:sz w:val="22"/>
                <w:lang w:val="es-ES_tradnl"/>
              </w:rPr>
              <w:t>Director</w:t>
            </w:r>
            <w:proofErr w:type="gramEnd"/>
            <w:r w:rsidRPr="00856132">
              <w:rPr>
                <w:sz w:val="22"/>
                <w:lang w:val="es-ES_tradnl"/>
              </w:rPr>
              <w:t>.</w:t>
            </w:r>
          </w:p>
          <w:p w14:paraId="06D684E1" w14:textId="5CFE11B6" w:rsidR="000A55EC" w:rsidRPr="00856132" w:rsidRDefault="000A55EC" w:rsidP="00D32E3F">
            <w:pPr>
              <w:pStyle w:val="Tabletext"/>
              <w:jc w:val="both"/>
              <w:rPr>
                <w:sz w:val="22"/>
                <w:lang w:val="es-ES_tradnl"/>
              </w:rPr>
            </w:pPr>
            <w:r w:rsidRPr="00856132">
              <w:rPr>
                <w:sz w:val="22"/>
                <w:lang w:val="es-ES_tradnl"/>
              </w:rPr>
              <w:t>El GAR manifestó su apoyo al desarrollo de herramientas basadas en la inteligencia artificial para la traducción y la interpretación; sin embargo, se observó que sigue siendo necesario mejorar la calidad de los resultados. La Secretaría agradeció a los miembros del GAR sus observaciones sobre la mejora de las traducciones basadas en inteligencia artificial y garantizó que se aplicarán las modificaciones propuestas.</w:t>
            </w:r>
          </w:p>
          <w:p w14:paraId="6EB47325" w14:textId="77777777" w:rsidR="000A55EC" w:rsidRPr="00856132" w:rsidRDefault="000A55EC" w:rsidP="00D32E3F">
            <w:pPr>
              <w:pStyle w:val="Tabletext"/>
              <w:jc w:val="both"/>
              <w:rPr>
                <w:sz w:val="22"/>
                <w:lang w:val="es-ES_tradnl"/>
              </w:rPr>
            </w:pPr>
            <w:r w:rsidRPr="00856132">
              <w:rPr>
                <w:sz w:val="22"/>
                <w:lang w:val="es-ES_tradnl"/>
              </w:rPr>
              <w:t>Se propuso que, para las reuniones con interpretación, la RB proporcione interpretación en seis idiomas por defecto, sin tener que solicitarlo en cada caso, a reserva de que el Consejo revise la cuestión, en su caso.</w:t>
            </w:r>
          </w:p>
          <w:p w14:paraId="1BB23BC1" w14:textId="19FA6DA1" w:rsidR="000A55EC" w:rsidRPr="00856132" w:rsidRDefault="000A55EC" w:rsidP="00D32E3F">
            <w:pPr>
              <w:pStyle w:val="Tabletext"/>
              <w:jc w:val="both"/>
              <w:rPr>
                <w:sz w:val="22"/>
                <w:lang w:val="es-ES_tradnl"/>
              </w:rPr>
            </w:pPr>
            <w:r w:rsidRPr="00856132">
              <w:rPr>
                <w:sz w:val="22"/>
                <w:lang w:val="es-ES_tradnl"/>
              </w:rPr>
              <w:t>El GAR tomó nota de la presentación sobre la utilización de los seis idiomas oficiales de la Unión en igualdad de condiciones y sobre la situación de la traducción de las páginas web del UIT-R, y tomó nota de los progresos realizados.</w:t>
            </w:r>
          </w:p>
          <w:p w14:paraId="1FAB2D29" w14:textId="374C6C4A" w:rsidR="000A55EC" w:rsidRPr="00856132" w:rsidRDefault="000A55EC" w:rsidP="00D32E3F">
            <w:pPr>
              <w:pStyle w:val="Tabletext"/>
              <w:jc w:val="both"/>
              <w:rPr>
                <w:sz w:val="22"/>
                <w:lang w:val="es-ES_tradnl"/>
              </w:rPr>
            </w:pPr>
            <w:r w:rsidRPr="00856132">
              <w:rPr>
                <w:sz w:val="22"/>
                <w:lang w:val="es-ES_tradnl"/>
              </w:rPr>
              <w:t>El GAR también reconoció la facilidad que ofrecen las páginas web del UIT-R a los usuarios. En cuanto al proyecto en curso de crear una nueva página web de la UIT, el GAR reconoció la importancia de la armonización y la coordinación entre los tres Sectores y la Secretaría General a la hora de diseñar la nueva página web de la UIT.</w:t>
            </w:r>
          </w:p>
        </w:tc>
      </w:tr>
      <w:tr w:rsidR="000A55EC" w:rsidRPr="00D71799" w14:paraId="51DD25C5" w14:textId="77777777" w:rsidTr="00D32E3F">
        <w:trPr>
          <w:cantSplit/>
        </w:trPr>
        <w:tc>
          <w:tcPr>
            <w:tcW w:w="964" w:type="dxa"/>
          </w:tcPr>
          <w:p w14:paraId="12CA3FD3" w14:textId="77777777" w:rsidR="000A55EC" w:rsidRPr="00856132" w:rsidRDefault="000A55EC" w:rsidP="001963A8">
            <w:pPr>
              <w:pStyle w:val="Tabletext"/>
              <w:rPr>
                <w:b/>
                <w:sz w:val="22"/>
                <w:lang w:val="es-ES_tradnl"/>
              </w:rPr>
            </w:pPr>
          </w:p>
        </w:tc>
        <w:tc>
          <w:tcPr>
            <w:tcW w:w="1908" w:type="dxa"/>
          </w:tcPr>
          <w:p w14:paraId="73FF4F46" w14:textId="6F9210C1" w:rsidR="000A55EC" w:rsidRPr="00856132" w:rsidRDefault="000A55EC" w:rsidP="001963A8">
            <w:pPr>
              <w:pStyle w:val="Tabletext"/>
              <w:rPr>
                <w:rStyle w:val="normaltextrun"/>
                <w:rFonts w:asciiTheme="minorHAnsi" w:hAnsiTheme="minorHAnsi" w:cstheme="minorHAnsi"/>
                <w:sz w:val="22"/>
                <w:shd w:val="clear" w:color="auto" w:fill="FFFFFF"/>
                <w:lang w:val="es-ES_tradnl"/>
              </w:rPr>
            </w:pPr>
            <w:hyperlink r:id="rId26" w:history="1">
              <w:r w:rsidRPr="00856132">
                <w:rPr>
                  <w:rStyle w:val="Hyperlink"/>
                  <w:rFonts w:asciiTheme="minorHAnsi" w:hAnsiTheme="minorHAnsi" w:cstheme="minorHAnsi"/>
                  <w:sz w:val="22"/>
                  <w:lang w:val="es-ES_tradnl"/>
                </w:rPr>
                <w:t>30</w:t>
              </w:r>
            </w:hyperlink>
            <w:r w:rsidRPr="00856132">
              <w:rPr>
                <w:sz w:val="22"/>
                <w:lang w:val="es-ES_tradnl"/>
              </w:rPr>
              <w:t xml:space="preserve"> (§2.4)</w:t>
            </w:r>
          </w:p>
          <w:p w14:paraId="720BFCB3" w14:textId="0743AE70" w:rsidR="000A55EC" w:rsidRPr="00856132" w:rsidRDefault="000A55EC" w:rsidP="00D32E3F">
            <w:pPr>
              <w:pStyle w:val="Tabletext"/>
              <w:spacing w:before="2760"/>
              <w:rPr>
                <w:rStyle w:val="normaltextrun"/>
                <w:rFonts w:asciiTheme="minorHAnsi" w:hAnsiTheme="minorHAnsi" w:cstheme="minorHAnsi"/>
                <w:sz w:val="22"/>
                <w:shd w:val="clear" w:color="auto" w:fill="FFFFFF"/>
                <w:lang w:val="es-ES_tradnl"/>
              </w:rPr>
            </w:pPr>
            <w:hyperlink r:id="rId27" w:history="1">
              <w:r w:rsidRPr="00856132">
                <w:rPr>
                  <w:rStyle w:val="Hyperlink"/>
                  <w:rFonts w:asciiTheme="minorHAnsi" w:hAnsiTheme="minorHAnsi" w:cstheme="minorHAnsi"/>
                  <w:sz w:val="22"/>
                  <w:lang w:val="es-ES_tradnl"/>
                </w:rPr>
                <w:t>33 (ISCG)</w:t>
              </w:r>
            </w:hyperlink>
          </w:p>
        </w:tc>
        <w:tc>
          <w:tcPr>
            <w:tcW w:w="11110" w:type="dxa"/>
          </w:tcPr>
          <w:p w14:paraId="50EA43E1" w14:textId="77777777" w:rsidR="000A55EC" w:rsidRPr="00856132" w:rsidRDefault="000A55EC" w:rsidP="00D32E3F">
            <w:pPr>
              <w:pStyle w:val="Tabletext"/>
              <w:jc w:val="both"/>
              <w:rPr>
                <w:sz w:val="22"/>
                <w:lang w:val="es-ES_tradnl"/>
              </w:rPr>
            </w:pPr>
            <w:r w:rsidRPr="00856132">
              <w:rPr>
                <w:sz w:val="22"/>
                <w:lang w:val="es-ES_tradnl"/>
              </w:rPr>
              <w:t>Participación a distancia:</w:t>
            </w:r>
          </w:p>
          <w:p w14:paraId="463AFB76" w14:textId="02708C34" w:rsidR="000A55EC" w:rsidRPr="00856132" w:rsidRDefault="000A55EC" w:rsidP="00D32E3F">
            <w:pPr>
              <w:pStyle w:val="Tabletext"/>
              <w:jc w:val="both"/>
              <w:rPr>
                <w:rFonts w:eastAsia="Calibri"/>
                <w:sz w:val="22"/>
                <w:lang w:val="es-ES_tradnl"/>
              </w:rPr>
            </w:pPr>
            <w:r w:rsidRPr="00856132">
              <w:rPr>
                <w:sz w:val="22"/>
                <w:lang w:val="es-ES_tradnl"/>
              </w:rPr>
              <w:t xml:space="preserve">El GAR examinó la información que figura en la sección 2.4 del Informe del </w:t>
            </w:r>
            <w:proofErr w:type="gramStart"/>
            <w:r w:rsidRPr="00856132">
              <w:rPr>
                <w:sz w:val="22"/>
                <w:lang w:val="es-ES_tradnl"/>
              </w:rPr>
              <w:t>Director</w:t>
            </w:r>
            <w:proofErr w:type="gramEnd"/>
            <w:r w:rsidRPr="00856132">
              <w:rPr>
                <w:sz w:val="22"/>
                <w:lang w:val="es-ES_tradnl"/>
              </w:rPr>
              <w:t xml:space="preserve"> sobre la participación a distancia, que la Sra.</w:t>
            </w:r>
            <w:r w:rsidR="00974443" w:rsidRPr="00856132">
              <w:rPr>
                <w:sz w:val="22"/>
                <w:lang w:val="es-ES_tradnl"/>
              </w:rPr>
              <w:t> </w:t>
            </w:r>
            <w:r w:rsidRPr="00856132">
              <w:rPr>
                <w:sz w:val="22"/>
                <w:lang w:val="es-ES_tradnl"/>
              </w:rPr>
              <w:t>Negar Takesh (</w:t>
            </w:r>
            <w:proofErr w:type="gramStart"/>
            <w:r w:rsidRPr="00856132">
              <w:rPr>
                <w:sz w:val="22"/>
                <w:lang w:val="es-ES_tradnl"/>
              </w:rPr>
              <w:t>Jefa</w:t>
            </w:r>
            <w:proofErr w:type="gramEnd"/>
            <w:r w:rsidRPr="00856132">
              <w:rPr>
                <w:sz w:val="22"/>
                <w:lang w:val="es-ES_tradnl"/>
              </w:rPr>
              <w:t xml:space="preserve"> Adjunta del Departamento de Conferencias y Publicaciones) explicó con más detalle. El GAR tomó nota de que, en consonancia con la Resolución</w:t>
            </w:r>
            <w:r w:rsidR="00EB1886" w:rsidRPr="00856132">
              <w:rPr>
                <w:sz w:val="22"/>
                <w:lang w:val="es-ES_tradnl"/>
              </w:rPr>
              <w:t> </w:t>
            </w:r>
            <w:r w:rsidRPr="00856132">
              <w:rPr>
                <w:sz w:val="22"/>
                <w:lang w:val="es-ES_tradnl"/>
              </w:rPr>
              <w:t>167 (Rev. Bucarest, 2022) sobre el fortalecimiento y el fomento de las capacidades de la UIT para celebrar reuniones totalmente virtuales y reuniones presenciales con participación a distancia, y los medios electrónicos para avanzar la labor de la Unión, el Consejo 2024 creó un Grupo de Trabajo por correspondencia para elaborar un proyecto de directrices sobre la gestión de reuniones totalmente virtuales y reuniones presenciales con participación a distancia en la UIT. El proyecto de directrices elaborado fue aprobado por el GTC-RHF y se presentará al Consejo 2025 para su aprobación</w:t>
            </w:r>
            <w:r w:rsidRPr="00856132">
              <w:rPr>
                <w:rFonts w:eastAsia="Calibri"/>
                <w:sz w:val="22"/>
                <w:lang w:val="es-ES_tradnl"/>
              </w:rPr>
              <w:t>.</w:t>
            </w:r>
          </w:p>
          <w:p w14:paraId="5FCDA6D9" w14:textId="77777777" w:rsidR="000A55EC" w:rsidRPr="00856132" w:rsidRDefault="000A55EC" w:rsidP="00D32E3F">
            <w:pPr>
              <w:pStyle w:val="Tabletext"/>
              <w:jc w:val="both"/>
              <w:rPr>
                <w:sz w:val="22"/>
                <w:lang w:val="es-ES_tradnl"/>
              </w:rPr>
            </w:pPr>
            <w:r w:rsidRPr="00856132">
              <w:rPr>
                <w:sz w:val="22"/>
                <w:lang w:val="es-ES_tradnl"/>
              </w:rPr>
              <w:t>Proyecto de directrices sobre la gestión de reuniones totalmente virtuales y presenciales con participación a distancia:</w:t>
            </w:r>
          </w:p>
          <w:p w14:paraId="6F86A986" w14:textId="5A0462FF" w:rsidR="000A55EC" w:rsidRPr="00856132" w:rsidRDefault="000A55EC" w:rsidP="00D32E3F">
            <w:pPr>
              <w:pStyle w:val="Tabletext"/>
              <w:jc w:val="both"/>
              <w:rPr>
                <w:sz w:val="22"/>
                <w:lang w:val="es-ES_tradnl"/>
              </w:rPr>
            </w:pPr>
            <w:r w:rsidRPr="00856132">
              <w:rPr>
                <w:sz w:val="22"/>
                <w:lang w:val="es-ES_tradnl"/>
              </w:rPr>
              <w:t xml:space="preserve">El GAR también tomó nota de la información facilitada por el Sr. Fabio </w:t>
            </w:r>
            <w:proofErr w:type="spellStart"/>
            <w:r w:rsidRPr="00856132">
              <w:rPr>
                <w:sz w:val="22"/>
                <w:lang w:val="es-ES_tradnl"/>
              </w:rPr>
              <w:t>Bigi</w:t>
            </w:r>
            <w:proofErr w:type="spellEnd"/>
            <w:r w:rsidRPr="00856132">
              <w:rPr>
                <w:sz w:val="22"/>
                <w:lang w:val="es-ES_tradnl"/>
              </w:rPr>
              <w:t xml:space="preserve"> (Italia), </w:t>
            </w:r>
            <w:proofErr w:type="gramStart"/>
            <w:r w:rsidRPr="00856132">
              <w:rPr>
                <w:sz w:val="22"/>
                <w:lang w:val="es-ES_tradnl"/>
              </w:rPr>
              <w:t>Presidente</w:t>
            </w:r>
            <w:proofErr w:type="gramEnd"/>
            <w:r w:rsidRPr="00856132">
              <w:rPr>
                <w:sz w:val="22"/>
                <w:lang w:val="es-ES_tradnl"/>
              </w:rPr>
              <w:t xml:space="preserve"> del GCIS, en la declaración de coordinación RAG/33 relativa al proyecto de directrices para la gestión de reuniones totalmente virtuales y presenciales con participación a distancia en la UIT. El </w:t>
            </w:r>
            <w:proofErr w:type="gramStart"/>
            <w:r w:rsidRPr="00856132">
              <w:rPr>
                <w:sz w:val="22"/>
                <w:lang w:val="es-ES_tradnl"/>
              </w:rPr>
              <w:t>Presidente</w:t>
            </w:r>
            <w:proofErr w:type="gramEnd"/>
            <w:r w:rsidRPr="00856132">
              <w:rPr>
                <w:sz w:val="22"/>
                <w:lang w:val="es-ES_tradnl"/>
              </w:rPr>
              <w:t xml:space="preserve"> del GCIS invitó al GAR a dar su opinión sobre si las directrices del GAR están en consonancia con este proyecto de directrices y a comunicar cualquier discrepancia. El </w:t>
            </w:r>
            <w:proofErr w:type="gramStart"/>
            <w:r w:rsidRPr="00856132">
              <w:rPr>
                <w:sz w:val="22"/>
                <w:lang w:val="es-ES_tradnl"/>
              </w:rPr>
              <w:t>Presidente</w:t>
            </w:r>
            <w:proofErr w:type="gramEnd"/>
            <w:r w:rsidRPr="00856132">
              <w:rPr>
                <w:sz w:val="22"/>
                <w:lang w:val="es-ES_tradnl"/>
              </w:rPr>
              <w:t xml:space="preserve"> del GCIS también informó de que el Sr. Phil </w:t>
            </w:r>
            <w:proofErr w:type="spellStart"/>
            <w:r w:rsidRPr="00856132">
              <w:rPr>
                <w:sz w:val="22"/>
                <w:lang w:val="es-ES_tradnl"/>
              </w:rPr>
              <w:t>Rushton</w:t>
            </w:r>
            <w:proofErr w:type="spellEnd"/>
            <w:r w:rsidRPr="00856132">
              <w:rPr>
                <w:sz w:val="22"/>
                <w:lang w:val="es-ES_tradnl"/>
              </w:rPr>
              <w:t xml:space="preserve"> (Reino Unido) es el coordinador del GCIS para las reuniones virtuales/participación a distancia.</w:t>
            </w:r>
          </w:p>
          <w:p w14:paraId="1C225997" w14:textId="77777777" w:rsidR="000A55EC" w:rsidRPr="00856132" w:rsidRDefault="000A55EC" w:rsidP="00D32E3F">
            <w:pPr>
              <w:pStyle w:val="Tabletext"/>
              <w:jc w:val="both"/>
              <w:rPr>
                <w:sz w:val="22"/>
                <w:lang w:val="es-ES_tradnl"/>
              </w:rPr>
            </w:pPr>
            <w:r w:rsidRPr="00856132">
              <w:rPr>
                <w:sz w:val="22"/>
                <w:lang w:val="es-ES_tradnl"/>
              </w:rPr>
              <w:t>El GAR observa que los derechos de los participantes presenciales y a distancia son una cuestión que la Conferencia de Plenipotenciarios habrá de revisar más a fondo y tomar una decisión al respecto.</w:t>
            </w:r>
          </w:p>
          <w:p w14:paraId="11F3D272" w14:textId="3530A913" w:rsidR="000A55EC" w:rsidRPr="00856132" w:rsidRDefault="000A55EC" w:rsidP="00D32E3F">
            <w:pPr>
              <w:pStyle w:val="Tabletext"/>
              <w:jc w:val="both"/>
              <w:rPr>
                <w:sz w:val="22"/>
                <w:lang w:val="es-ES_tradnl"/>
              </w:rPr>
            </w:pPr>
            <w:r w:rsidRPr="00856132">
              <w:rPr>
                <w:sz w:val="22"/>
                <w:lang w:val="es-ES_tradnl"/>
              </w:rPr>
              <w:t xml:space="preserve">El GAR reconoció que la Resolución 167 establece en el </w:t>
            </w:r>
            <w:r w:rsidRPr="00856132">
              <w:rPr>
                <w:i/>
                <w:iCs/>
                <w:sz w:val="22"/>
                <w:lang w:val="es-ES_tradnl"/>
              </w:rPr>
              <w:t>reconociendo e)</w:t>
            </w:r>
            <w:r w:rsidRPr="00856132">
              <w:rPr>
                <w:sz w:val="22"/>
                <w:lang w:val="es-ES_tradnl"/>
              </w:rPr>
              <w:t xml:space="preserve"> que en la actualidad la participación a distancia interactiva es más una </w:t>
            </w:r>
            <w:r w:rsidR="00856132" w:rsidRPr="00856132">
              <w:rPr>
                <w:sz w:val="22"/>
                <w:lang w:val="es-ES_tradnl"/>
              </w:rPr>
              <w:t>«</w:t>
            </w:r>
            <w:r w:rsidRPr="00856132">
              <w:rPr>
                <w:sz w:val="22"/>
                <w:lang w:val="es-ES_tradnl"/>
              </w:rPr>
              <w:t>intervención a distancia</w:t>
            </w:r>
            <w:r w:rsidR="00856132" w:rsidRPr="00856132">
              <w:rPr>
                <w:sz w:val="22"/>
                <w:lang w:val="es-ES_tradnl"/>
              </w:rPr>
              <w:t>»</w:t>
            </w:r>
            <w:r w:rsidRPr="00856132">
              <w:rPr>
                <w:sz w:val="22"/>
                <w:lang w:val="es-ES_tradnl"/>
              </w:rPr>
              <w:t xml:space="preserve"> que una </w:t>
            </w:r>
            <w:r w:rsidR="00856132" w:rsidRPr="00856132">
              <w:rPr>
                <w:sz w:val="22"/>
                <w:lang w:val="es-ES_tradnl"/>
              </w:rPr>
              <w:t>«</w:t>
            </w:r>
            <w:r w:rsidRPr="00856132">
              <w:rPr>
                <w:sz w:val="22"/>
                <w:lang w:val="es-ES_tradnl"/>
              </w:rPr>
              <w:t>participación a distancia</w:t>
            </w:r>
            <w:r w:rsidR="00856132" w:rsidRPr="00856132">
              <w:rPr>
                <w:sz w:val="22"/>
                <w:lang w:val="es-ES_tradnl"/>
              </w:rPr>
              <w:t>»</w:t>
            </w:r>
            <w:r w:rsidRPr="00856132">
              <w:rPr>
                <w:sz w:val="22"/>
                <w:lang w:val="es-ES_tradnl"/>
              </w:rPr>
              <w:t>, puesto que los participantes a distancia no participan en la adopción de decisiones (por ejemplo, en las conferencias de la CMR). Cualquier modificación de la Resolución 167 tendría que hacerse en la Conferencia de Plenipotenciarios. El GAR reconoció la importancia de armonizar las directrices que rigen las reuniones totalmente virtuales y presenciales con participación a distancia en la UIT. El GAR instó a las administraciones a revisar el proyecto de directrices que se presentará a la reunión del Consejo de</w:t>
            </w:r>
            <w:r w:rsidR="00D32E3F" w:rsidRPr="00856132">
              <w:rPr>
                <w:sz w:val="22"/>
                <w:lang w:val="es-ES_tradnl"/>
              </w:rPr>
              <w:t> </w:t>
            </w:r>
            <w:r w:rsidRPr="00856132">
              <w:rPr>
                <w:sz w:val="22"/>
                <w:lang w:val="es-ES_tradnl"/>
              </w:rPr>
              <w:t>2025.</w:t>
            </w:r>
          </w:p>
        </w:tc>
      </w:tr>
      <w:tr w:rsidR="000A55EC" w:rsidRPr="00D71799" w14:paraId="4C32858E" w14:textId="77777777" w:rsidTr="00D32E3F">
        <w:trPr>
          <w:cantSplit/>
        </w:trPr>
        <w:tc>
          <w:tcPr>
            <w:tcW w:w="964" w:type="dxa"/>
          </w:tcPr>
          <w:p w14:paraId="2BFEE5E9" w14:textId="77777777" w:rsidR="000A55EC" w:rsidRPr="00856132" w:rsidRDefault="000A55EC" w:rsidP="001963A8">
            <w:pPr>
              <w:pStyle w:val="Tabletext"/>
              <w:rPr>
                <w:b/>
                <w:sz w:val="22"/>
                <w:lang w:val="es-ES_tradnl"/>
              </w:rPr>
            </w:pPr>
          </w:p>
        </w:tc>
        <w:tc>
          <w:tcPr>
            <w:tcW w:w="1908" w:type="dxa"/>
          </w:tcPr>
          <w:p w14:paraId="074DB5C6" w14:textId="0D851064" w:rsidR="00974443" w:rsidRPr="00856132" w:rsidRDefault="000A55EC" w:rsidP="001963A8">
            <w:pPr>
              <w:pStyle w:val="Tabletext"/>
              <w:rPr>
                <w:rFonts w:asciiTheme="minorHAnsi" w:hAnsiTheme="minorHAnsi" w:cstheme="minorHAnsi"/>
                <w:sz w:val="22"/>
                <w:u w:val="single"/>
                <w:lang w:val="es-ES_tradnl"/>
              </w:rPr>
            </w:pPr>
            <w:hyperlink r:id="rId28" w:history="1">
              <w:r w:rsidRPr="00856132">
                <w:rPr>
                  <w:rStyle w:val="Hyperlink"/>
                  <w:rFonts w:asciiTheme="minorHAnsi" w:hAnsiTheme="minorHAnsi" w:cstheme="minorHAnsi"/>
                  <w:sz w:val="22"/>
                  <w:lang w:val="es-ES_tradnl"/>
                </w:rPr>
                <w:t>24 (CWG-SFP)</w:t>
              </w:r>
            </w:hyperlink>
          </w:p>
          <w:p w14:paraId="1D3E77D4" w14:textId="3F036403" w:rsidR="000A55EC" w:rsidRPr="00856132" w:rsidRDefault="000A55EC" w:rsidP="001963A8">
            <w:pPr>
              <w:pStyle w:val="Tabletext"/>
              <w:spacing w:before="1160"/>
              <w:rPr>
                <w:sz w:val="22"/>
                <w:lang w:val="es-ES_tradnl"/>
              </w:rPr>
            </w:pPr>
            <w:hyperlink r:id="rId29" w:history="1">
              <w:r w:rsidRPr="00856132">
                <w:rPr>
                  <w:rStyle w:val="Hyperlink"/>
                  <w:rFonts w:asciiTheme="minorHAnsi" w:hAnsiTheme="minorHAnsi" w:cstheme="minorHAnsi"/>
                  <w:sz w:val="22"/>
                  <w:lang w:val="es-ES_tradnl"/>
                </w:rPr>
                <w:t>30</w:t>
              </w:r>
            </w:hyperlink>
            <w:r w:rsidR="00811A37" w:rsidRPr="00856132">
              <w:rPr>
                <w:sz w:val="22"/>
                <w:lang w:val="es-ES_tradnl"/>
              </w:rPr>
              <w:t xml:space="preserve"> </w:t>
            </w:r>
            <w:r w:rsidRPr="00856132">
              <w:rPr>
                <w:sz w:val="22"/>
                <w:lang w:val="es-ES_tradnl"/>
              </w:rPr>
              <w:t>(§2.5)</w:t>
            </w:r>
          </w:p>
        </w:tc>
        <w:tc>
          <w:tcPr>
            <w:tcW w:w="11110" w:type="dxa"/>
          </w:tcPr>
          <w:p w14:paraId="0087BE83" w14:textId="77777777" w:rsidR="000A55EC" w:rsidRPr="00856132" w:rsidRDefault="000A55EC" w:rsidP="00D32E3F">
            <w:pPr>
              <w:pStyle w:val="Tabletext"/>
              <w:jc w:val="both"/>
              <w:rPr>
                <w:sz w:val="22"/>
                <w:lang w:val="es-ES_tradnl"/>
              </w:rPr>
            </w:pPr>
            <w:r w:rsidRPr="00856132">
              <w:rPr>
                <w:sz w:val="22"/>
                <w:lang w:val="es-ES_tradnl"/>
              </w:rPr>
              <w:t>Planes Estratégico y Financiero para 2028-2031:</w:t>
            </w:r>
          </w:p>
          <w:p w14:paraId="72A4476E" w14:textId="77777777" w:rsidR="000A55EC" w:rsidRPr="00856132" w:rsidRDefault="000A55EC" w:rsidP="00D32E3F">
            <w:pPr>
              <w:pStyle w:val="Tabletext"/>
              <w:jc w:val="both"/>
              <w:rPr>
                <w:sz w:val="22"/>
                <w:lang w:val="es-ES_tradnl"/>
              </w:rPr>
            </w:pPr>
            <w:r w:rsidRPr="00856132">
              <w:rPr>
                <w:sz w:val="22"/>
                <w:lang w:val="es-ES_tradnl"/>
              </w:rPr>
              <w:t>El GAR tomó nota con satisfacción del documento RAG/24 y de la presentación del Sr. Catalin Marinescu (</w:t>
            </w:r>
            <w:proofErr w:type="gramStart"/>
            <w:r w:rsidRPr="00856132">
              <w:rPr>
                <w:sz w:val="22"/>
                <w:lang w:val="es-ES_tradnl"/>
              </w:rPr>
              <w:t>Jefe</w:t>
            </w:r>
            <w:proofErr w:type="gramEnd"/>
            <w:r w:rsidRPr="00856132">
              <w:rPr>
                <w:sz w:val="22"/>
                <w:lang w:val="es-ES_tradnl"/>
              </w:rPr>
              <w:t xml:space="preserve"> de la División de Estrategia y Planificación, SPM) en nombre del Sr. Mansour AI-</w:t>
            </w:r>
            <w:proofErr w:type="spellStart"/>
            <w:r w:rsidRPr="00856132">
              <w:rPr>
                <w:sz w:val="22"/>
                <w:lang w:val="es-ES_tradnl"/>
              </w:rPr>
              <w:t>Qurashi</w:t>
            </w:r>
            <w:proofErr w:type="spellEnd"/>
            <w:r w:rsidRPr="00856132">
              <w:rPr>
                <w:sz w:val="22"/>
                <w:lang w:val="es-ES_tradnl"/>
              </w:rPr>
              <w:t xml:space="preserve"> (Arabia Saudí), </w:t>
            </w:r>
            <w:proofErr w:type="gramStart"/>
            <w:r w:rsidRPr="00856132">
              <w:rPr>
                <w:sz w:val="22"/>
                <w:lang w:val="es-ES_tradnl"/>
              </w:rPr>
              <w:t>Presidente</w:t>
            </w:r>
            <w:proofErr w:type="gramEnd"/>
            <w:r w:rsidRPr="00856132">
              <w:rPr>
                <w:sz w:val="22"/>
                <w:lang w:val="es-ES_tradnl"/>
              </w:rPr>
              <w:t xml:space="preserve"> del GTC-PEF, que informó sobre la creación del Grupo de Trabajo del Consejo sobre los Planes Estratégico y Financiero (GTC-PEF) para el periodo 2028-2031 que se presentará a la PP-26 e invitó a los miembros del GAR a participar en su labor.</w:t>
            </w:r>
          </w:p>
          <w:p w14:paraId="23554EBC" w14:textId="3BFD1C82" w:rsidR="000A55EC" w:rsidRPr="00856132" w:rsidRDefault="000A55EC" w:rsidP="00D32E3F">
            <w:pPr>
              <w:pStyle w:val="Tabletext"/>
              <w:jc w:val="both"/>
              <w:rPr>
                <w:sz w:val="22"/>
                <w:lang w:val="es-ES_tradnl"/>
              </w:rPr>
            </w:pPr>
            <w:r w:rsidRPr="00856132">
              <w:rPr>
                <w:sz w:val="22"/>
                <w:lang w:val="es-ES_tradnl"/>
              </w:rPr>
              <w:t xml:space="preserve">El GAR también examinó la información contenida en la sección 2.5 del Informe del </w:t>
            </w:r>
            <w:proofErr w:type="gramStart"/>
            <w:r w:rsidRPr="00856132">
              <w:rPr>
                <w:sz w:val="22"/>
                <w:lang w:val="es-ES_tradnl"/>
              </w:rPr>
              <w:t>Director</w:t>
            </w:r>
            <w:proofErr w:type="gramEnd"/>
            <w:r w:rsidRPr="00856132">
              <w:rPr>
                <w:sz w:val="22"/>
                <w:lang w:val="es-ES_tradnl"/>
              </w:rPr>
              <w:t xml:space="preserve"> sobre los Planes Estratégicos y Financieros 2028-2031, que el Sr. Catalin Marinescu (</w:t>
            </w:r>
            <w:proofErr w:type="gramStart"/>
            <w:r w:rsidRPr="00856132">
              <w:rPr>
                <w:sz w:val="22"/>
                <w:lang w:val="es-ES_tradnl"/>
              </w:rPr>
              <w:t>Jefe</w:t>
            </w:r>
            <w:proofErr w:type="gramEnd"/>
            <w:r w:rsidRPr="00856132">
              <w:rPr>
                <w:sz w:val="22"/>
                <w:lang w:val="es-ES_tradnl"/>
              </w:rPr>
              <w:t xml:space="preserve"> de la División de Estrategia y Planificación, SPM) explicó con más detalle. El GAR tomó nota de que se había encomendado al GTC-PEF la redacción de los Planes Estratégico y Financiero para su presentación al Consejo de 2026.</w:t>
            </w:r>
          </w:p>
          <w:p w14:paraId="1ABA4669" w14:textId="449A2A26" w:rsidR="000A55EC" w:rsidRPr="00856132" w:rsidRDefault="000A55EC" w:rsidP="00D32E3F">
            <w:pPr>
              <w:pStyle w:val="Tabletext"/>
              <w:jc w:val="both"/>
              <w:rPr>
                <w:sz w:val="22"/>
                <w:lang w:val="es-ES_tradnl"/>
              </w:rPr>
            </w:pPr>
            <w:r w:rsidRPr="00856132">
              <w:rPr>
                <w:sz w:val="22"/>
                <w:lang w:val="es-ES_tradnl"/>
              </w:rPr>
              <w:t>El GAR reconoció la importancia de que el Grupo Asesor contribuyera a la redacción del proyecto del Plan Estratégico de la</w:t>
            </w:r>
            <w:r w:rsidR="00D32E3F" w:rsidRPr="00856132">
              <w:rPr>
                <w:sz w:val="22"/>
                <w:lang w:val="es-ES_tradnl"/>
              </w:rPr>
              <w:t> </w:t>
            </w:r>
            <w:r w:rsidRPr="00856132">
              <w:rPr>
                <w:sz w:val="22"/>
                <w:lang w:val="es-ES_tradnl"/>
              </w:rPr>
              <w:t>UIT para el periodo</w:t>
            </w:r>
            <w:r w:rsidR="00811A37" w:rsidRPr="00856132">
              <w:rPr>
                <w:sz w:val="22"/>
                <w:lang w:val="es-ES_tradnl"/>
              </w:rPr>
              <w:t> </w:t>
            </w:r>
            <w:r w:rsidRPr="00856132">
              <w:rPr>
                <w:sz w:val="22"/>
                <w:lang w:val="es-ES_tradnl"/>
              </w:rPr>
              <w:t>2028-2031.</w:t>
            </w:r>
          </w:p>
          <w:p w14:paraId="6985C70F" w14:textId="33FAD9A9" w:rsidR="000A55EC" w:rsidRPr="00856132" w:rsidRDefault="000A55EC" w:rsidP="00D32E3F">
            <w:pPr>
              <w:pStyle w:val="Tabletext"/>
              <w:jc w:val="both"/>
              <w:rPr>
                <w:sz w:val="22"/>
                <w:lang w:val="es-ES_tradnl"/>
              </w:rPr>
            </w:pPr>
            <w:r w:rsidRPr="00856132">
              <w:rPr>
                <w:sz w:val="22"/>
                <w:lang w:val="es-ES_tradnl"/>
              </w:rPr>
              <w:t xml:space="preserve">El GAR acordó la creación de un Grupo por Correspondencia (GC) sobre el Plan Estratégico de la UIT para 2028-2031 cuyo mandato figura en el Anexo 1 al presente documento. El Sr. El </w:t>
            </w:r>
            <w:proofErr w:type="spellStart"/>
            <w:r w:rsidRPr="00856132">
              <w:rPr>
                <w:sz w:val="22"/>
                <w:lang w:val="es-ES_tradnl"/>
              </w:rPr>
              <w:t>Hadjar</w:t>
            </w:r>
            <w:proofErr w:type="spellEnd"/>
            <w:r w:rsidRPr="00856132">
              <w:rPr>
                <w:sz w:val="22"/>
                <w:lang w:val="es-ES_tradnl"/>
              </w:rPr>
              <w:t xml:space="preserve"> ABDOURAMANE (Camerún) fue nombrado </w:t>
            </w:r>
            <w:proofErr w:type="gramStart"/>
            <w:r w:rsidRPr="00856132">
              <w:rPr>
                <w:sz w:val="22"/>
                <w:lang w:val="es-ES_tradnl"/>
              </w:rPr>
              <w:t>Presidente</w:t>
            </w:r>
            <w:proofErr w:type="gramEnd"/>
            <w:r w:rsidRPr="00856132">
              <w:rPr>
                <w:sz w:val="22"/>
                <w:lang w:val="es-ES_tradnl"/>
              </w:rPr>
              <w:t xml:space="preserve"> de este nuevo Grupo de Trabajo.</w:t>
            </w:r>
          </w:p>
        </w:tc>
      </w:tr>
      <w:tr w:rsidR="000A55EC" w:rsidRPr="00D71799" w14:paraId="18AA380E" w14:textId="77777777" w:rsidTr="00D32E3F">
        <w:trPr>
          <w:cantSplit/>
        </w:trPr>
        <w:tc>
          <w:tcPr>
            <w:tcW w:w="964" w:type="dxa"/>
          </w:tcPr>
          <w:p w14:paraId="493A8322" w14:textId="77777777" w:rsidR="000A55EC" w:rsidRPr="00856132" w:rsidRDefault="000A55EC" w:rsidP="001963A8">
            <w:pPr>
              <w:pStyle w:val="Tabletext"/>
              <w:rPr>
                <w:b/>
                <w:sz w:val="22"/>
                <w:lang w:val="es-ES_tradnl"/>
              </w:rPr>
            </w:pPr>
          </w:p>
        </w:tc>
        <w:tc>
          <w:tcPr>
            <w:tcW w:w="1908" w:type="dxa"/>
          </w:tcPr>
          <w:p w14:paraId="64C5946E" w14:textId="60464E15" w:rsidR="000A55EC" w:rsidRPr="00856132" w:rsidRDefault="000A55EC" w:rsidP="001963A8">
            <w:pPr>
              <w:pStyle w:val="Tabletext"/>
              <w:rPr>
                <w:sz w:val="22"/>
                <w:lang w:val="es-ES_tradnl"/>
              </w:rPr>
            </w:pPr>
            <w:hyperlink r:id="rId30" w:history="1">
              <w:r w:rsidRPr="00856132">
                <w:rPr>
                  <w:rStyle w:val="Hyperlink"/>
                  <w:rFonts w:asciiTheme="minorHAnsi" w:hAnsiTheme="minorHAnsi" w:cstheme="minorHAnsi"/>
                  <w:sz w:val="22"/>
                  <w:lang w:val="es-ES_tradnl"/>
                </w:rPr>
                <w:t>38 (CWG-FHR)</w:t>
              </w:r>
            </w:hyperlink>
          </w:p>
        </w:tc>
        <w:tc>
          <w:tcPr>
            <w:tcW w:w="11110" w:type="dxa"/>
          </w:tcPr>
          <w:p w14:paraId="0ADC1B14" w14:textId="2A80F77D" w:rsidR="000A55EC" w:rsidRPr="00856132" w:rsidRDefault="000A55EC" w:rsidP="00D32E3F">
            <w:pPr>
              <w:pStyle w:val="Tabletext"/>
              <w:keepNext/>
              <w:keepLines/>
              <w:jc w:val="both"/>
              <w:rPr>
                <w:sz w:val="22"/>
                <w:lang w:val="es-ES_tradnl"/>
              </w:rPr>
            </w:pPr>
            <w:r w:rsidRPr="00856132">
              <w:rPr>
                <w:sz w:val="22"/>
                <w:lang w:val="es-ES_tradnl"/>
              </w:rPr>
              <w:t>Grupo de Trabajo del Consejo sobre Recursos Humanos y Financieros (GTC-RHF):</w:t>
            </w:r>
          </w:p>
          <w:p w14:paraId="6F512FF8" w14:textId="3676FA45" w:rsidR="000A55EC" w:rsidRPr="00856132" w:rsidRDefault="000A55EC" w:rsidP="00D32E3F">
            <w:pPr>
              <w:pStyle w:val="Tabletext"/>
              <w:keepNext/>
              <w:keepLines/>
              <w:jc w:val="both"/>
              <w:rPr>
                <w:sz w:val="22"/>
                <w:lang w:val="es-ES_tradnl"/>
              </w:rPr>
            </w:pPr>
            <w:r w:rsidRPr="00856132">
              <w:rPr>
                <w:sz w:val="22"/>
                <w:lang w:val="es-ES_tradnl"/>
              </w:rPr>
              <w:t>El Sr. Christopher Clark (</w:t>
            </w:r>
            <w:proofErr w:type="gramStart"/>
            <w:r w:rsidRPr="00856132">
              <w:rPr>
                <w:sz w:val="22"/>
                <w:lang w:val="es-ES_tradnl"/>
              </w:rPr>
              <w:t>Jefe</w:t>
            </w:r>
            <w:proofErr w:type="gramEnd"/>
            <w:r w:rsidRPr="00856132">
              <w:rPr>
                <w:sz w:val="22"/>
                <w:lang w:val="es-ES_tradnl"/>
              </w:rPr>
              <w:t xml:space="preserve"> de la División MPR, SPM) presentó una declaración de coordinación remitida por el GTC-RHF sobre el fortalecimiento de la participación y los ingresos de los Miembros de Sector. En consonancia con la estrategia de movilización de recursos aprobada por el Consejo en 2024, el GTC-RHF invitó a los Grupos Asesores de los Sectores a consultar a los Estados Miembros y a los Miembros de Sector (incluidos los Asociados y las Instituciones Académicas) sobre las formas de reforzar el compromiso y los ingresos de los Miembros de Sector y a informar de sus conclusiones al GTC-RHF antes de finales de 2025. Los asistentes no formularon comentarios al respecto. La secretaría señaló que los miembros del</w:t>
            </w:r>
            <w:r w:rsidR="00D32E3F" w:rsidRPr="00856132">
              <w:rPr>
                <w:sz w:val="22"/>
                <w:lang w:val="es-ES_tradnl"/>
              </w:rPr>
              <w:t> </w:t>
            </w:r>
            <w:r w:rsidRPr="00856132">
              <w:rPr>
                <w:sz w:val="22"/>
                <w:lang w:val="es-ES_tradnl"/>
              </w:rPr>
              <w:t xml:space="preserve">GAR que deseen hacer alguna observación o formular una pregunta pueden dirigirse a </w:t>
            </w:r>
            <w:hyperlink r:id="rId31" w:tgtFrame="_blank" w:tooltip="mailto:membership@itu.int" w:history="1">
              <w:r w:rsidRPr="00856132">
                <w:rPr>
                  <w:rStyle w:val="Hyperlink"/>
                  <w:rFonts w:asciiTheme="minorHAnsi" w:hAnsiTheme="minorHAnsi" w:cstheme="minorHAnsi"/>
                  <w:sz w:val="22"/>
                  <w:lang w:val="es-ES_tradnl"/>
                </w:rPr>
                <w:t>membership@itu.int</w:t>
              </w:r>
            </w:hyperlink>
            <w:r w:rsidRPr="00856132">
              <w:rPr>
                <w:sz w:val="22"/>
                <w:lang w:val="es-ES_tradnl"/>
              </w:rPr>
              <w:t>.</w:t>
            </w:r>
          </w:p>
        </w:tc>
      </w:tr>
      <w:tr w:rsidR="000A55EC" w:rsidRPr="00D71799" w14:paraId="130BEA14" w14:textId="77777777" w:rsidTr="00D32E3F">
        <w:trPr>
          <w:cantSplit/>
        </w:trPr>
        <w:tc>
          <w:tcPr>
            <w:tcW w:w="964" w:type="dxa"/>
          </w:tcPr>
          <w:p w14:paraId="55352768" w14:textId="77777777" w:rsidR="000A55EC" w:rsidRPr="00856132" w:rsidRDefault="000A55EC" w:rsidP="001963A8">
            <w:pPr>
              <w:pStyle w:val="Tabletext"/>
              <w:rPr>
                <w:b/>
                <w:sz w:val="22"/>
                <w:lang w:val="es-ES_tradnl"/>
              </w:rPr>
            </w:pPr>
            <w:r w:rsidRPr="00856132">
              <w:rPr>
                <w:b/>
                <w:sz w:val="22"/>
                <w:lang w:val="es-ES_tradnl"/>
              </w:rPr>
              <w:lastRenderedPageBreak/>
              <w:t>5</w:t>
            </w:r>
          </w:p>
        </w:tc>
        <w:tc>
          <w:tcPr>
            <w:tcW w:w="1908" w:type="dxa"/>
          </w:tcPr>
          <w:p w14:paraId="7335B511" w14:textId="2CBA7BD0" w:rsidR="000A55EC" w:rsidRPr="00856132" w:rsidRDefault="000A55EC" w:rsidP="001963A8">
            <w:pPr>
              <w:pStyle w:val="Tabletext"/>
              <w:rPr>
                <w:b/>
                <w:bCs/>
                <w:sz w:val="22"/>
                <w:lang w:val="es-ES_tradnl"/>
              </w:rPr>
            </w:pPr>
            <w:r w:rsidRPr="00856132">
              <w:rPr>
                <w:b/>
                <w:bCs/>
                <w:sz w:val="22"/>
                <w:lang w:val="es-ES_tradnl"/>
              </w:rPr>
              <w:t>Aplicación de las decisiones de la</w:t>
            </w:r>
            <w:r w:rsidR="00974443" w:rsidRPr="00856132">
              <w:rPr>
                <w:b/>
                <w:bCs/>
                <w:sz w:val="22"/>
                <w:lang w:val="es-ES_tradnl"/>
              </w:rPr>
              <w:t> </w:t>
            </w:r>
            <w:r w:rsidRPr="00856132">
              <w:rPr>
                <w:b/>
                <w:bCs/>
                <w:sz w:val="22"/>
                <w:lang w:val="es-ES_tradnl"/>
              </w:rPr>
              <w:t>AR</w:t>
            </w:r>
            <w:r w:rsidR="00974443" w:rsidRPr="00856132">
              <w:rPr>
                <w:b/>
                <w:bCs/>
                <w:sz w:val="22"/>
                <w:lang w:val="es-ES_tradnl"/>
              </w:rPr>
              <w:noBreakHyphen/>
            </w:r>
            <w:r w:rsidRPr="00856132">
              <w:rPr>
                <w:b/>
                <w:bCs/>
                <w:sz w:val="22"/>
                <w:lang w:val="es-ES_tradnl"/>
              </w:rPr>
              <w:t>23</w:t>
            </w:r>
          </w:p>
          <w:p w14:paraId="7BD86DD0" w14:textId="6465D830" w:rsidR="00811A37" w:rsidRPr="00856132" w:rsidRDefault="000A55EC" w:rsidP="001963A8">
            <w:pPr>
              <w:pStyle w:val="Tabletext"/>
              <w:rPr>
                <w:sz w:val="22"/>
                <w:lang w:val="es-ES_tradnl"/>
              </w:rPr>
            </w:pPr>
            <w:hyperlink r:id="rId32" w:history="1">
              <w:r w:rsidRPr="00856132">
                <w:rPr>
                  <w:rStyle w:val="Hyperlink"/>
                  <w:rFonts w:asciiTheme="minorHAnsi" w:hAnsiTheme="minorHAnsi" w:cstheme="minorHAnsi"/>
                  <w:sz w:val="22"/>
                  <w:lang w:val="es-ES_tradnl"/>
                </w:rPr>
                <w:t>30 (§3.1)</w:t>
              </w:r>
            </w:hyperlink>
          </w:p>
          <w:p w14:paraId="212FDA46" w14:textId="6B9F1B0D" w:rsidR="000A55EC" w:rsidRPr="00856132" w:rsidRDefault="000A55EC" w:rsidP="00D32E3F">
            <w:pPr>
              <w:pStyle w:val="Tabletext"/>
              <w:spacing w:before="5040"/>
              <w:rPr>
                <w:sz w:val="22"/>
                <w:lang w:val="es-ES_tradnl"/>
              </w:rPr>
            </w:pPr>
            <w:hyperlink r:id="rId33" w:history="1">
              <w:r w:rsidRPr="00856132">
                <w:rPr>
                  <w:rStyle w:val="Hyperlink"/>
                  <w:rFonts w:asciiTheme="minorHAnsi" w:hAnsiTheme="minorHAnsi" w:cstheme="minorHAnsi"/>
                  <w:sz w:val="22"/>
                  <w:lang w:val="es-ES_tradnl"/>
                </w:rPr>
                <w:t>36</w:t>
              </w:r>
            </w:hyperlink>
            <w:r w:rsidRPr="00856132">
              <w:rPr>
                <w:sz w:val="22"/>
                <w:lang w:val="es-ES_tradnl"/>
              </w:rPr>
              <w:t xml:space="preserve"> (</w:t>
            </w:r>
            <w:proofErr w:type="gramStart"/>
            <w:r w:rsidRPr="00856132">
              <w:rPr>
                <w:sz w:val="22"/>
                <w:lang w:val="es-ES_tradnl"/>
              </w:rPr>
              <w:t>Presidente</w:t>
            </w:r>
            <w:proofErr w:type="gramEnd"/>
            <w:r w:rsidRPr="00856132">
              <w:rPr>
                <w:sz w:val="22"/>
                <w:lang w:val="es-ES_tradnl"/>
              </w:rPr>
              <w:t>, GC</w:t>
            </w:r>
            <w:r w:rsidR="00AD3079" w:rsidRPr="00856132">
              <w:rPr>
                <w:sz w:val="22"/>
                <w:lang w:val="es-ES_tradnl"/>
              </w:rPr>
              <w:noBreakHyphen/>
            </w:r>
            <w:r w:rsidRPr="00856132">
              <w:rPr>
                <w:sz w:val="22"/>
                <w:lang w:val="es-ES_tradnl"/>
              </w:rPr>
              <w:t>RPC del GAR)</w:t>
            </w:r>
          </w:p>
          <w:p w14:paraId="43D56FDE" w14:textId="578D114C" w:rsidR="000A55EC" w:rsidRPr="00856132" w:rsidRDefault="000A55EC" w:rsidP="001963A8">
            <w:pPr>
              <w:pStyle w:val="Tabletext"/>
              <w:spacing w:before="720"/>
              <w:rPr>
                <w:sz w:val="22"/>
                <w:lang w:val="es-ES_tradnl"/>
              </w:rPr>
            </w:pPr>
            <w:hyperlink r:id="rId34" w:history="1">
              <w:r w:rsidRPr="00856132">
                <w:rPr>
                  <w:rStyle w:val="Hyperlink"/>
                  <w:rFonts w:asciiTheme="minorHAnsi" w:hAnsiTheme="minorHAnsi" w:cstheme="minorHAnsi"/>
                  <w:sz w:val="22"/>
                  <w:lang w:val="es-ES_tradnl"/>
                </w:rPr>
                <w:t>35</w:t>
              </w:r>
            </w:hyperlink>
            <w:r w:rsidRPr="00856132">
              <w:rPr>
                <w:sz w:val="22"/>
                <w:lang w:val="es-ES_tradnl"/>
              </w:rPr>
              <w:t xml:space="preserve"> (CITEL)</w:t>
            </w:r>
          </w:p>
          <w:p w14:paraId="6E317994" w14:textId="3BC6C539" w:rsidR="000A55EC" w:rsidRPr="00856132" w:rsidRDefault="000A55EC" w:rsidP="001963A8">
            <w:pPr>
              <w:pStyle w:val="Tabletext"/>
              <w:rPr>
                <w:rStyle w:val="normaltextrun"/>
                <w:rFonts w:asciiTheme="minorHAnsi" w:hAnsiTheme="minorHAnsi" w:cstheme="minorHAnsi"/>
                <w:color w:val="000000" w:themeColor="text1"/>
                <w:sz w:val="22"/>
                <w:lang w:val="es-ES_tradnl"/>
              </w:rPr>
            </w:pPr>
            <w:hyperlink r:id="rId35" w:history="1">
              <w:r w:rsidRPr="00856132">
                <w:rPr>
                  <w:rStyle w:val="Hyperlink"/>
                  <w:rFonts w:asciiTheme="minorHAnsi" w:hAnsiTheme="minorHAnsi" w:cstheme="minorHAnsi"/>
                  <w:sz w:val="22"/>
                  <w:lang w:val="es-ES_tradnl"/>
                </w:rPr>
                <w:t>42</w:t>
              </w:r>
            </w:hyperlink>
            <w:r w:rsidRPr="00856132">
              <w:rPr>
                <w:sz w:val="22"/>
                <w:lang w:val="es-ES_tradnl"/>
              </w:rPr>
              <w:t xml:space="preserve"> (Canadá)</w:t>
            </w:r>
          </w:p>
        </w:tc>
        <w:tc>
          <w:tcPr>
            <w:tcW w:w="11110" w:type="dxa"/>
          </w:tcPr>
          <w:p w14:paraId="7B120C1D" w14:textId="72E66B6C" w:rsidR="000A55EC" w:rsidRPr="00856132" w:rsidRDefault="000A55EC" w:rsidP="00D32E3F">
            <w:pPr>
              <w:pStyle w:val="Tabletext"/>
              <w:jc w:val="both"/>
              <w:rPr>
                <w:sz w:val="22"/>
                <w:lang w:val="es-ES_tradnl"/>
              </w:rPr>
            </w:pPr>
            <w:r w:rsidRPr="00856132">
              <w:rPr>
                <w:sz w:val="22"/>
                <w:lang w:val="es-ES_tradnl"/>
              </w:rPr>
              <w:t>Aplicación de las decisiones de la AR-23:</w:t>
            </w:r>
          </w:p>
          <w:p w14:paraId="7E679D5B" w14:textId="51354146" w:rsidR="000A55EC" w:rsidRPr="00856132" w:rsidRDefault="000A55EC" w:rsidP="00D32E3F">
            <w:pPr>
              <w:pStyle w:val="Tabletext"/>
              <w:jc w:val="both"/>
              <w:rPr>
                <w:sz w:val="22"/>
                <w:lang w:val="es-ES_tradnl"/>
              </w:rPr>
            </w:pPr>
            <w:r w:rsidRPr="00856132">
              <w:rPr>
                <w:sz w:val="22"/>
                <w:lang w:val="es-ES_tradnl"/>
              </w:rPr>
              <w:t xml:space="preserve">El GAR consideró la información contenida en la sección 3.1 del Informe del </w:t>
            </w:r>
            <w:proofErr w:type="gramStart"/>
            <w:r w:rsidRPr="00856132">
              <w:rPr>
                <w:sz w:val="22"/>
                <w:lang w:val="es-ES_tradnl"/>
              </w:rPr>
              <w:t>Director</w:t>
            </w:r>
            <w:proofErr w:type="gramEnd"/>
            <w:r w:rsidRPr="00856132">
              <w:rPr>
                <w:sz w:val="22"/>
                <w:lang w:val="es-ES_tradnl"/>
              </w:rPr>
              <w:t xml:space="preserve"> sobre la aplicación de las decisiones de la AR-23, que el Sr.</w:t>
            </w:r>
            <w:r w:rsidR="00811A37" w:rsidRPr="00856132">
              <w:rPr>
                <w:sz w:val="22"/>
                <w:lang w:val="es-ES_tradnl"/>
              </w:rPr>
              <w:t> </w:t>
            </w:r>
            <w:r w:rsidRPr="00856132">
              <w:rPr>
                <w:sz w:val="22"/>
                <w:lang w:val="es-ES_tradnl"/>
              </w:rPr>
              <w:t>Sergio Buonomo (</w:t>
            </w:r>
            <w:proofErr w:type="gramStart"/>
            <w:r w:rsidRPr="00856132">
              <w:rPr>
                <w:sz w:val="22"/>
                <w:lang w:val="es-ES_tradnl"/>
              </w:rPr>
              <w:t>Jefe</w:t>
            </w:r>
            <w:proofErr w:type="gramEnd"/>
            <w:r w:rsidRPr="00856132">
              <w:rPr>
                <w:sz w:val="22"/>
                <w:lang w:val="es-ES_tradnl"/>
              </w:rPr>
              <w:t xml:space="preserve"> del Departamento de Comisiones de Estudio) expuso con más detalle.</w:t>
            </w:r>
          </w:p>
          <w:p w14:paraId="680CB0C1" w14:textId="1F3985AC" w:rsidR="000A55EC" w:rsidRPr="00856132" w:rsidRDefault="000A55EC" w:rsidP="00D32E3F">
            <w:pPr>
              <w:pStyle w:val="Tabletext"/>
              <w:jc w:val="both"/>
              <w:rPr>
                <w:sz w:val="22"/>
                <w:lang w:val="es-ES_tradnl"/>
              </w:rPr>
            </w:pPr>
            <w:r w:rsidRPr="00856132">
              <w:rPr>
                <w:sz w:val="22"/>
                <w:lang w:val="es-ES_tradnl"/>
              </w:rPr>
              <w:t xml:space="preserve">El </w:t>
            </w:r>
            <w:proofErr w:type="gramStart"/>
            <w:r w:rsidRPr="00856132">
              <w:rPr>
                <w:sz w:val="22"/>
                <w:lang w:val="es-ES_tradnl"/>
              </w:rPr>
              <w:t>Jefe</w:t>
            </w:r>
            <w:proofErr w:type="gramEnd"/>
            <w:r w:rsidRPr="00856132">
              <w:rPr>
                <w:sz w:val="22"/>
                <w:lang w:val="es-ES_tradnl"/>
              </w:rPr>
              <w:t xml:space="preserve"> del SGD de la BR informó de que se habían completado los nombramientos de los </w:t>
            </w:r>
            <w:proofErr w:type="gramStart"/>
            <w:r w:rsidRPr="00856132">
              <w:rPr>
                <w:sz w:val="22"/>
                <w:lang w:val="es-ES_tradnl"/>
              </w:rPr>
              <w:t>Vicepresidentes</w:t>
            </w:r>
            <w:proofErr w:type="gramEnd"/>
            <w:r w:rsidRPr="00856132">
              <w:rPr>
                <w:sz w:val="22"/>
                <w:lang w:val="es-ES_tradnl"/>
              </w:rPr>
              <w:t xml:space="preserve"> de todas las Comisiones de Estudio, del</w:t>
            </w:r>
            <w:r w:rsidR="00811A37" w:rsidRPr="00856132">
              <w:rPr>
                <w:sz w:val="22"/>
                <w:lang w:val="es-ES_tradnl"/>
              </w:rPr>
              <w:t> </w:t>
            </w:r>
            <w:r w:rsidRPr="00856132">
              <w:rPr>
                <w:sz w:val="22"/>
                <w:lang w:val="es-ES_tradnl"/>
              </w:rPr>
              <w:t>CCV y del GAR, tal y como lo había solicitado la AR-23.</w:t>
            </w:r>
          </w:p>
          <w:p w14:paraId="49E5D054" w14:textId="092C98FB" w:rsidR="000A55EC" w:rsidRPr="00856132" w:rsidRDefault="000A55EC" w:rsidP="00D32E3F">
            <w:pPr>
              <w:pStyle w:val="Tabletext"/>
              <w:jc w:val="both"/>
              <w:rPr>
                <w:sz w:val="22"/>
                <w:lang w:val="es-ES_tradnl"/>
              </w:rPr>
            </w:pPr>
            <w:r w:rsidRPr="00856132">
              <w:rPr>
                <w:sz w:val="22"/>
                <w:lang w:val="es-ES_tradnl"/>
              </w:rPr>
              <w:t>El GAR reconoció que la Asamblea de Radiocomunicaciones podría haber tomado una decisión al respecto en lugar de delegar el asunto en las Comisiones de Estudio, lo que creaba dificultades para su aplicación.</w:t>
            </w:r>
          </w:p>
          <w:p w14:paraId="1075F5CB" w14:textId="7E4BD8C2" w:rsidR="000A55EC" w:rsidRPr="00856132" w:rsidRDefault="000A55EC" w:rsidP="00D32E3F">
            <w:pPr>
              <w:pStyle w:val="Tabletext"/>
              <w:jc w:val="both"/>
              <w:rPr>
                <w:sz w:val="22"/>
                <w:lang w:val="es-ES_tradnl"/>
              </w:rPr>
            </w:pPr>
            <w:r w:rsidRPr="00856132">
              <w:rPr>
                <w:sz w:val="22"/>
                <w:lang w:val="es-ES_tradnl"/>
              </w:rPr>
              <w:t xml:space="preserve">También se plantearon preguntas sobre la asistencia de los </w:t>
            </w:r>
            <w:proofErr w:type="gramStart"/>
            <w:r w:rsidRPr="00856132">
              <w:rPr>
                <w:sz w:val="22"/>
                <w:lang w:val="es-ES_tradnl"/>
              </w:rPr>
              <w:t>Vicepresidentes</w:t>
            </w:r>
            <w:proofErr w:type="gramEnd"/>
            <w:r w:rsidRPr="00856132">
              <w:rPr>
                <w:sz w:val="22"/>
                <w:lang w:val="es-ES_tradnl"/>
              </w:rPr>
              <w:t xml:space="preserve"> de las Comisiones de Estudio a las reuniones de su Comisión y del GAR. De conformidad con la Resolución 208 (Rev. Bucarest, 2022) de la Conferencia de Plenipotenciarios, el </w:t>
            </w:r>
            <w:proofErr w:type="gramStart"/>
            <w:r w:rsidRPr="00856132">
              <w:rPr>
                <w:sz w:val="22"/>
                <w:lang w:val="es-ES_tradnl"/>
              </w:rPr>
              <w:t>Jefe</w:t>
            </w:r>
            <w:proofErr w:type="gramEnd"/>
            <w:r w:rsidRPr="00856132">
              <w:rPr>
                <w:sz w:val="22"/>
                <w:lang w:val="es-ES_tradnl"/>
              </w:rPr>
              <w:t xml:space="preserve"> del</w:t>
            </w:r>
            <w:r w:rsidR="00974443" w:rsidRPr="00856132">
              <w:rPr>
                <w:sz w:val="22"/>
                <w:lang w:val="es-ES_tradnl"/>
              </w:rPr>
              <w:t> </w:t>
            </w:r>
            <w:r w:rsidRPr="00856132">
              <w:rPr>
                <w:sz w:val="22"/>
                <w:lang w:val="es-ES_tradnl"/>
              </w:rPr>
              <w:t xml:space="preserve">SGD de la BR indicó que la lista de asistencia de los </w:t>
            </w:r>
            <w:proofErr w:type="gramStart"/>
            <w:r w:rsidRPr="00856132">
              <w:rPr>
                <w:sz w:val="22"/>
                <w:lang w:val="es-ES_tradnl"/>
              </w:rPr>
              <w:t>Vicepresidentes</w:t>
            </w:r>
            <w:proofErr w:type="gramEnd"/>
            <w:r w:rsidRPr="00856132">
              <w:rPr>
                <w:sz w:val="22"/>
                <w:lang w:val="es-ES_tradnl"/>
              </w:rPr>
              <w:t xml:space="preserve"> de las Comisiones de Estudio figura en el </w:t>
            </w:r>
            <w:proofErr w:type="spellStart"/>
            <w:r w:rsidR="00AD3079" w:rsidRPr="00856132">
              <w:rPr>
                <w:sz w:val="22"/>
                <w:lang w:val="es-ES_tradnl"/>
              </w:rPr>
              <w:t>Addéndum</w:t>
            </w:r>
            <w:proofErr w:type="spellEnd"/>
            <w:r w:rsidRPr="00856132">
              <w:rPr>
                <w:sz w:val="22"/>
                <w:lang w:val="es-ES_tradnl"/>
              </w:rPr>
              <w:t xml:space="preserve"> 1 al Informe del </w:t>
            </w:r>
            <w:proofErr w:type="gramStart"/>
            <w:r w:rsidRPr="00856132">
              <w:rPr>
                <w:sz w:val="22"/>
                <w:lang w:val="es-ES_tradnl"/>
              </w:rPr>
              <w:t>Director</w:t>
            </w:r>
            <w:proofErr w:type="gramEnd"/>
            <w:r w:rsidRPr="00856132">
              <w:rPr>
                <w:sz w:val="22"/>
                <w:lang w:val="es-ES_tradnl"/>
              </w:rPr>
              <w:t xml:space="preserve"> y también se informa de ello a la</w:t>
            </w:r>
            <w:r w:rsidR="00811A37" w:rsidRPr="00856132">
              <w:rPr>
                <w:sz w:val="22"/>
                <w:lang w:val="es-ES_tradnl"/>
              </w:rPr>
              <w:t> </w:t>
            </w:r>
            <w:r w:rsidRPr="00856132">
              <w:rPr>
                <w:sz w:val="22"/>
                <w:lang w:val="es-ES_tradnl"/>
              </w:rPr>
              <w:t>AR.</w:t>
            </w:r>
          </w:p>
          <w:p w14:paraId="186326F8" w14:textId="3EC78F66" w:rsidR="000A55EC" w:rsidRPr="00856132" w:rsidRDefault="000A55EC" w:rsidP="00D32E3F">
            <w:pPr>
              <w:pStyle w:val="Tabletext"/>
              <w:jc w:val="both"/>
              <w:rPr>
                <w:sz w:val="22"/>
                <w:lang w:val="es-ES_tradnl"/>
              </w:rPr>
            </w:pPr>
            <w:r w:rsidRPr="00856132">
              <w:rPr>
                <w:sz w:val="22"/>
                <w:lang w:val="es-ES_tradnl"/>
              </w:rPr>
              <w:t xml:space="preserve">El GAR recomendó al </w:t>
            </w:r>
            <w:proofErr w:type="gramStart"/>
            <w:r w:rsidRPr="00856132">
              <w:rPr>
                <w:sz w:val="22"/>
                <w:lang w:val="es-ES_tradnl"/>
              </w:rPr>
              <w:t>Director</w:t>
            </w:r>
            <w:proofErr w:type="gramEnd"/>
            <w:r w:rsidRPr="00856132">
              <w:rPr>
                <w:sz w:val="22"/>
                <w:lang w:val="es-ES_tradnl"/>
              </w:rPr>
              <w:t xml:space="preserve"> de la BR que presentase un informe de situación sobre la aplicación de las Resoluciones de la AR, que serviría de ayuda para los trabajos preparatorios regionales de la próxima AR. Este informe debe transmitirse a los Miembros por Carta Circular e informar al GAR en consecuencia.</w:t>
            </w:r>
          </w:p>
          <w:p w14:paraId="2EDAB0BE" w14:textId="3191E7F0" w:rsidR="000A55EC" w:rsidRPr="00856132" w:rsidRDefault="000A55EC" w:rsidP="00D32E3F">
            <w:pPr>
              <w:pStyle w:val="Tabletext"/>
              <w:jc w:val="both"/>
              <w:rPr>
                <w:sz w:val="22"/>
                <w:lang w:val="es-ES_tradnl"/>
              </w:rPr>
            </w:pPr>
            <w:r w:rsidRPr="00856132">
              <w:rPr>
                <w:sz w:val="22"/>
                <w:lang w:val="es-ES_tradnl"/>
              </w:rPr>
              <w:t>Tras la decisión sobre el punto 7 del orden del día de la 31ª reunión del GAR en la que se insta a las Administraciones a presentar propuestas para revisar las Directrices relativas a la Resolución UIT-R 1-9, se observó que no se había recibido ninguna contribución al respecto. El GAR invitó a los Miembros a presentar contribuciones a la 33ª reunión del GAR en</w:t>
            </w:r>
            <w:r w:rsidR="00D32E3F" w:rsidRPr="00856132">
              <w:rPr>
                <w:sz w:val="22"/>
                <w:lang w:val="es-ES_tradnl"/>
              </w:rPr>
              <w:t> </w:t>
            </w:r>
            <w:r w:rsidRPr="00856132">
              <w:rPr>
                <w:sz w:val="22"/>
                <w:lang w:val="es-ES_tradnl"/>
              </w:rPr>
              <w:t xml:space="preserve">2026, en la que se podrían examinar dichos documentos, junto con los comentarios recabados de los </w:t>
            </w:r>
            <w:proofErr w:type="gramStart"/>
            <w:r w:rsidRPr="00856132">
              <w:rPr>
                <w:sz w:val="22"/>
                <w:lang w:val="es-ES_tradnl"/>
              </w:rPr>
              <w:t>Presidentes</w:t>
            </w:r>
            <w:proofErr w:type="gramEnd"/>
            <w:r w:rsidRPr="00856132">
              <w:rPr>
                <w:sz w:val="22"/>
                <w:lang w:val="es-ES_tradnl"/>
              </w:rPr>
              <w:t xml:space="preserve"> de las Comisiones de Estudio, y proporcionar orientaciones. El actual proyecto de modificación de las directrices queda suspendido hasta tanto las Administraciones no presenten su propuesta al respecto y se examine en la 33ª reunión del</w:t>
            </w:r>
            <w:r w:rsidR="00D32E3F" w:rsidRPr="00856132">
              <w:rPr>
                <w:sz w:val="22"/>
                <w:lang w:val="es-ES_tradnl"/>
              </w:rPr>
              <w:t> </w:t>
            </w:r>
            <w:r w:rsidRPr="00856132">
              <w:rPr>
                <w:sz w:val="22"/>
                <w:lang w:val="es-ES_tradnl"/>
              </w:rPr>
              <w:t>GAR.</w:t>
            </w:r>
          </w:p>
          <w:p w14:paraId="16BB28CA" w14:textId="457BB3C9" w:rsidR="000A55EC" w:rsidRPr="00856132" w:rsidRDefault="000A55EC" w:rsidP="00D32E3F">
            <w:pPr>
              <w:pStyle w:val="Tabletext"/>
              <w:jc w:val="both"/>
              <w:rPr>
                <w:sz w:val="22"/>
                <w:lang w:val="es-ES_tradnl"/>
              </w:rPr>
            </w:pPr>
            <w:r w:rsidRPr="00856132">
              <w:rPr>
                <w:sz w:val="22"/>
                <w:lang w:val="es-ES_tradnl"/>
              </w:rPr>
              <w:t>Informe del Grupo por Correspondencia del GAR sobre la mejora del proceso de la Reunión Preparatoria de la Conferencia (RPC):</w:t>
            </w:r>
          </w:p>
          <w:p w14:paraId="251896F7" w14:textId="7717B6AD" w:rsidR="000A55EC" w:rsidRPr="00856132" w:rsidRDefault="000A55EC" w:rsidP="00D32E3F">
            <w:pPr>
              <w:pStyle w:val="Tabletext"/>
              <w:jc w:val="both"/>
              <w:rPr>
                <w:sz w:val="22"/>
                <w:lang w:val="es-ES_tradnl"/>
              </w:rPr>
            </w:pPr>
            <w:r w:rsidRPr="00856132">
              <w:rPr>
                <w:sz w:val="22"/>
                <w:lang w:val="es-ES_tradnl"/>
              </w:rPr>
              <w:t xml:space="preserve">El GAR tomó nota con satisfacción del Documento RAG/36 que contiene el Informe a la 32ª reunión del GAR del Grupo por Correspondencia del GAR sobre la mejora del proceso de la Reunión Preparatoria de la Conferencia (GC-RPC del GAR) presentado por el Sr. Fahad ALGHAMDI, </w:t>
            </w:r>
            <w:proofErr w:type="gramStart"/>
            <w:r w:rsidRPr="00856132">
              <w:rPr>
                <w:sz w:val="22"/>
                <w:lang w:val="es-ES_tradnl"/>
              </w:rPr>
              <w:t>Presidente</w:t>
            </w:r>
            <w:proofErr w:type="gramEnd"/>
            <w:r w:rsidRPr="00856132">
              <w:rPr>
                <w:sz w:val="22"/>
                <w:lang w:val="es-ES_tradnl"/>
              </w:rPr>
              <w:t xml:space="preserve"> del dicho Grupo.</w:t>
            </w:r>
          </w:p>
          <w:p w14:paraId="3B644371" w14:textId="77777777" w:rsidR="000A55EC" w:rsidRPr="00856132" w:rsidRDefault="000A55EC" w:rsidP="00D32E3F">
            <w:pPr>
              <w:pStyle w:val="Tabletext"/>
              <w:jc w:val="both"/>
              <w:rPr>
                <w:sz w:val="22"/>
                <w:lang w:val="es-ES_tradnl"/>
              </w:rPr>
            </w:pPr>
            <w:r w:rsidRPr="00856132">
              <w:rPr>
                <w:sz w:val="22"/>
                <w:lang w:val="es-ES_tradnl"/>
              </w:rPr>
              <w:t>El GAR también tomó nota de dos contribuciones adicionales sobre este particular:</w:t>
            </w:r>
          </w:p>
          <w:p w14:paraId="107C2B5B" w14:textId="6FAAB6AA" w:rsidR="000A55EC" w:rsidRPr="00856132" w:rsidRDefault="000A55EC" w:rsidP="00D32E3F">
            <w:pPr>
              <w:pStyle w:val="enumlev1"/>
              <w:rPr>
                <w:sz w:val="22"/>
                <w:lang w:val="es-ES_tradnl"/>
              </w:rPr>
            </w:pPr>
            <w:r w:rsidRPr="00856132">
              <w:rPr>
                <w:sz w:val="22"/>
                <w:lang w:val="es-ES_tradnl"/>
              </w:rPr>
              <w:t>–</w:t>
            </w:r>
            <w:r w:rsidRPr="00856132">
              <w:rPr>
                <w:sz w:val="22"/>
                <w:lang w:val="es-ES_tradnl"/>
              </w:rPr>
              <w:tab/>
              <w:t>el Documento RAG/35 que contiene propuestas para modificar la Resolución 2-9 del UIT-R,</w:t>
            </w:r>
          </w:p>
          <w:p w14:paraId="06980BB8" w14:textId="77777777" w:rsidR="000A55EC" w:rsidRPr="00856132" w:rsidRDefault="000A55EC" w:rsidP="00D32E3F">
            <w:pPr>
              <w:pStyle w:val="enumlev1"/>
              <w:rPr>
                <w:sz w:val="22"/>
                <w:lang w:val="es-ES_tradnl"/>
              </w:rPr>
            </w:pPr>
            <w:r w:rsidRPr="00856132">
              <w:rPr>
                <w:sz w:val="22"/>
                <w:lang w:val="es-ES_tradnl"/>
              </w:rPr>
              <w:t>–</w:t>
            </w:r>
            <w:r w:rsidRPr="00856132">
              <w:rPr>
                <w:sz w:val="22"/>
                <w:lang w:val="es-ES_tradnl"/>
              </w:rPr>
              <w:tab/>
              <w:t>el Documento RAG/42, en el que se propone que el GAR prosiga las actividades del GC-RPC con un mandato revisado para invitar a que se presentaran propuestas específicas de modificación de la Resolución 2-9 del UIT-R que contempla mejoras sobre la 2ª sesión de la RPC.</w:t>
            </w:r>
          </w:p>
          <w:p w14:paraId="1206342A" w14:textId="49722B29" w:rsidR="000A55EC" w:rsidRPr="00856132" w:rsidRDefault="000A55EC" w:rsidP="00D32E3F">
            <w:pPr>
              <w:pStyle w:val="Tabletext"/>
              <w:jc w:val="both"/>
              <w:rPr>
                <w:sz w:val="22"/>
                <w:lang w:val="es-ES_tradnl"/>
              </w:rPr>
            </w:pPr>
            <w:r w:rsidRPr="00856132">
              <w:rPr>
                <w:sz w:val="22"/>
                <w:lang w:val="es-ES_tradnl"/>
              </w:rPr>
              <w:lastRenderedPageBreak/>
              <w:t xml:space="preserve">El GAR dio las gracias al </w:t>
            </w:r>
            <w:proofErr w:type="gramStart"/>
            <w:r w:rsidRPr="00856132">
              <w:rPr>
                <w:sz w:val="22"/>
                <w:lang w:val="es-ES_tradnl"/>
              </w:rPr>
              <w:t>Presidente</w:t>
            </w:r>
            <w:proofErr w:type="gramEnd"/>
            <w:r w:rsidRPr="00856132">
              <w:rPr>
                <w:sz w:val="22"/>
                <w:lang w:val="es-ES_tradnl"/>
              </w:rPr>
              <w:t xml:space="preserve"> del GC-RPC del </w:t>
            </w:r>
            <w:proofErr w:type="gramStart"/>
            <w:r w:rsidRPr="00856132">
              <w:rPr>
                <w:sz w:val="22"/>
                <w:lang w:val="es-ES_tradnl"/>
              </w:rPr>
              <w:t>GAR ,</w:t>
            </w:r>
            <w:proofErr w:type="gramEnd"/>
            <w:r w:rsidRPr="00856132">
              <w:rPr>
                <w:sz w:val="22"/>
                <w:lang w:val="es-ES_tradnl"/>
              </w:rPr>
              <w:t xml:space="preserve"> a la CITEL y a Canadá por sus presentaciones y contribuciones, y acordó actualizar el mandato del GC-RPC, tal y como figura en el Anexo 2 al presente documento, y seguir recibiendo contribuciones para examinar este asunto en el futuro.</w:t>
            </w:r>
          </w:p>
        </w:tc>
      </w:tr>
      <w:tr w:rsidR="000A55EC" w:rsidRPr="00D71799" w14:paraId="15DDB63C" w14:textId="77777777" w:rsidTr="00D32E3F">
        <w:trPr>
          <w:cantSplit/>
          <w:trHeight w:val="1485"/>
        </w:trPr>
        <w:tc>
          <w:tcPr>
            <w:tcW w:w="964" w:type="dxa"/>
          </w:tcPr>
          <w:p w14:paraId="4B1FCB4B" w14:textId="77777777" w:rsidR="000A55EC" w:rsidRPr="00856132" w:rsidRDefault="000A55EC" w:rsidP="001963A8">
            <w:pPr>
              <w:pStyle w:val="Tabletext"/>
              <w:rPr>
                <w:b/>
                <w:sz w:val="22"/>
                <w:lang w:val="es-ES_tradnl"/>
              </w:rPr>
            </w:pPr>
            <w:r w:rsidRPr="00856132">
              <w:rPr>
                <w:b/>
                <w:sz w:val="22"/>
                <w:lang w:val="es-ES_tradnl"/>
              </w:rPr>
              <w:lastRenderedPageBreak/>
              <w:t>6</w:t>
            </w:r>
          </w:p>
        </w:tc>
        <w:tc>
          <w:tcPr>
            <w:tcW w:w="1908" w:type="dxa"/>
          </w:tcPr>
          <w:p w14:paraId="1DC6E7C5" w14:textId="3BEE98B7" w:rsidR="000A55EC" w:rsidRPr="00856132" w:rsidRDefault="000A55EC" w:rsidP="001963A8">
            <w:pPr>
              <w:pStyle w:val="Tabletext"/>
              <w:rPr>
                <w:b/>
                <w:bCs/>
                <w:sz w:val="22"/>
                <w:lang w:val="es-ES_tradnl"/>
              </w:rPr>
            </w:pPr>
            <w:r w:rsidRPr="00856132">
              <w:rPr>
                <w:b/>
                <w:bCs/>
                <w:sz w:val="22"/>
                <w:lang w:val="es-ES_tradnl"/>
              </w:rPr>
              <w:t>Aplicación de las decisiones de la CMR-23</w:t>
            </w:r>
          </w:p>
          <w:p w14:paraId="54548058" w14:textId="66E553E9" w:rsidR="000A55EC" w:rsidRPr="00856132" w:rsidRDefault="000A55EC" w:rsidP="001963A8">
            <w:pPr>
              <w:pStyle w:val="Tabletext"/>
              <w:rPr>
                <w:sz w:val="22"/>
                <w:lang w:val="es-ES_tradnl"/>
              </w:rPr>
            </w:pPr>
            <w:hyperlink r:id="rId36" w:history="1">
              <w:r w:rsidRPr="00856132">
                <w:rPr>
                  <w:rStyle w:val="Hyperlink"/>
                  <w:rFonts w:asciiTheme="minorHAnsi" w:hAnsiTheme="minorHAnsi" w:cstheme="minorHAnsi"/>
                  <w:sz w:val="22"/>
                  <w:lang w:val="es-ES_tradnl"/>
                </w:rPr>
                <w:t xml:space="preserve">30 (§3.2, </w:t>
              </w:r>
            </w:hyperlink>
            <w:hyperlink r:id="rId37" w:history="1">
              <w:r w:rsidRPr="00856132">
                <w:rPr>
                  <w:rStyle w:val="Hyperlink"/>
                  <w:rFonts w:asciiTheme="minorHAnsi" w:hAnsiTheme="minorHAnsi" w:cstheme="minorHAnsi"/>
                  <w:sz w:val="22"/>
                  <w:lang w:val="es-ES_tradnl"/>
                </w:rPr>
                <w:t>3.2.1, 3.2.2)</w:t>
              </w:r>
            </w:hyperlink>
          </w:p>
        </w:tc>
        <w:tc>
          <w:tcPr>
            <w:tcW w:w="11110" w:type="dxa"/>
          </w:tcPr>
          <w:p w14:paraId="48CC89F5" w14:textId="02255F54" w:rsidR="000A55EC" w:rsidRPr="00856132" w:rsidRDefault="000A55EC" w:rsidP="00D32E3F">
            <w:pPr>
              <w:pStyle w:val="Tabletext"/>
              <w:jc w:val="both"/>
              <w:rPr>
                <w:sz w:val="22"/>
                <w:lang w:val="es-ES_tradnl"/>
              </w:rPr>
            </w:pPr>
            <w:r w:rsidRPr="00856132">
              <w:rPr>
                <w:sz w:val="22"/>
                <w:lang w:val="es-ES_tradnl"/>
              </w:rPr>
              <w:t>Repercusiones financieras de las decisiones de la CMR-23:</w:t>
            </w:r>
          </w:p>
          <w:p w14:paraId="69D55B9C" w14:textId="698835F5" w:rsidR="000A55EC" w:rsidRPr="00856132" w:rsidRDefault="000A55EC" w:rsidP="00D32E3F">
            <w:pPr>
              <w:pStyle w:val="Tabletext"/>
              <w:jc w:val="both"/>
              <w:rPr>
                <w:sz w:val="22"/>
                <w:lang w:val="es-ES_tradnl"/>
              </w:rPr>
            </w:pPr>
            <w:r w:rsidRPr="00856132">
              <w:rPr>
                <w:sz w:val="22"/>
                <w:lang w:val="es-ES_tradnl"/>
              </w:rPr>
              <w:t xml:space="preserve">El GAR consideró la información contenida en la sección 3.2 del Informe del </w:t>
            </w:r>
            <w:proofErr w:type="gramStart"/>
            <w:r w:rsidRPr="00856132">
              <w:rPr>
                <w:sz w:val="22"/>
                <w:lang w:val="es-ES_tradnl"/>
              </w:rPr>
              <w:t>Director</w:t>
            </w:r>
            <w:proofErr w:type="gramEnd"/>
            <w:r w:rsidRPr="00856132">
              <w:rPr>
                <w:sz w:val="22"/>
                <w:lang w:val="es-ES_tradnl"/>
              </w:rPr>
              <w:t xml:space="preserve"> sobre las repercusiones financieras de las decisiones de la CMR-23. El GAR tomó nota de los costes estimados para la realización de las tareas derivadas del trabajo adicional, los estudios y el desarrollo de </w:t>
            </w:r>
            <w:r w:rsidRPr="00856132">
              <w:rPr>
                <w:i/>
                <w:iCs/>
                <w:sz w:val="22"/>
                <w:lang w:val="es-ES_tradnl"/>
              </w:rPr>
              <w:t>software</w:t>
            </w:r>
            <w:r w:rsidRPr="00856132">
              <w:rPr>
                <w:sz w:val="22"/>
                <w:lang w:val="es-ES_tradnl"/>
              </w:rPr>
              <w:t xml:space="preserve"> para aplicar las decisiones de la CMR-23, que ascienden a 12,6</w:t>
            </w:r>
            <w:r w:rsidR="00373415" w:rsidRPr="00856132">
              <w:rPr>
                <w:sz w:val="22"/>
                <w:lang w:val="es-ES_tradnl"/>
              </w:rPr>
              <w:t> </w:t>
            </w:r>
            <w:r w:rsidRPr="00856132">
              <w:rPr>
                <w:sz w:val="22"/>
                <w:lang w:val="es-ES_tradnl"/>
              </w:rPr>
              <w:t>millones</w:t>
            </w:r>
            <w:r w:rsidR="00373415" w:rsidRPr="00856132">
              <w:rPr>
                <w:sz w:val="22"/>
                <w:lang w:val="es-ES_tradnl"/>
              </w:rPr>
              <w:t> </w:t>
            </w:r>
            <w:r w:rsidRPr="00856132">
              <w:rPr>
                <w:sz w:val="22"/>
                <w:lang w:val="es-ES_tradnl"/>
              </w:rPr>
              <w:t>CHF, de la asignación del superávit presupuestario de 2023 a la aplicación de las decisiones de la CMR-23 y de la generosa contribución de Emiratos Árabes Unidos con el saldo positivo restante en virtud del acuerdo con el país anfitrión (por un total de 1,9 millones CHF). El GAR expresó su gratitud a EAU por su contribución a la aplicación de las decisiones de la CMR.</w:t>
            </w:r>
          </w:p>
          <w:p w14:paraId="3928672F" w14:textId="6EC6C499" w:rsidR="000A55EC" w:rsidRPr="00856132" w:rsidRDefault="000A55EC" w:rsidP="00D32E3F">
            <w:pPr>
              <w:pStyle w:val="Tabletext"/>
              <w:jc w:val="both"/>
              <w:rPr>
                <w:sz w:val="22"/>
                <w:lang w:val="es-ES_tradnl"/>
              </w:rPr>
            </w:pPr>
            <w:r w:rsidRPr="00856132">
              <w:rPr>
                <w:sz w:val="22"/>
                <w:lang w:val="es-ES_tradnl"/>
              </w:rPr>
              <w:t xml:space="preserve">Desarrollo de </w:t>
            </w:r>
            <w:r w:rsidRPr="00856132">
              <w:rPr>
                <w:i/>
                <w:iCs/>
                <w:sz w:val="22"/>
                <w:lang w:val="es-ES_tradnl"/>
              </w:rPr>
              <w:t>software</w:t>
            </w:r>
            <w:r w:rsidRPr="00856132">
              <w:rPr>
                <w:sz w:val="22"/>
                <w:lang w:val="es-ES_tradnl"/>
              </w:rPr>
              <w:t xml:space="preserve"> para aplicar las decisiones de la CMR-23 – servicios espaciales y terrenales:</w:t>
            </w:r>
          </w:p>
          <w:p w14:paraId="5E0B450C" w14:textId="34BD54C0" w:rsidR="000A55EC" w:rsidRPr="00856132" w:rsidRDefault="000A55EC" w:rsidP="00D32E3F">
            <w:pPr>
              <w:pStyle w:val="Tabletext"/>
              <w:jc w:val="both"/>
              <w:rPr>
                <w:sz w:val="22"/>
                <w:lang w:val="es-ES_tradnl"/>
              </w:rPr>
            </w:pPr>
            <w:r w:rsidRPr="00856132">
              <w:rPr>
                <w:sz w:val="22"/>
                <w:lang w:val="es-ES_tradnl"/>
              </w:rPr>
              <w:t xml:space="preserve">El GAR tomó nota de la información contenida en las secciones 3.2.1 y 3.2.2 del Informe del </w:t>
            </w:r>
            <w:proofErr w:type="gramStart"/>
            <w:r w:rsidRPr="00856132">
              <w:rPr>
                <w:sz w:val="22"/>
                <w:lang w:val="es-ES_tradnl"/>
              </w:rPr>
              <w:t>Director</w:t>
            </w:r>
            <w:proofErr w:type="gramEnd"/>
            <w:r w:rsidRPr="00856132">
              <w:rPr>
                <w:sz w:val="22"/>
                <w:lang w:val="es-ES_tradnl"/>
              </w:rPr>
              <w:t xml:space="preserve"> sobre la aplicación de las decisiones de la CMR-23 relativas al desarrollo de </w:t>
            </w:r>
            <w:r w:rsidRPr="00856132">
              <w:rPr>
                <w:i/>
                <w:iCs/>
                <w:sz w:val="22"/>
                <w:lang w:val="es-ES_tradnl"/>
              </w:rPr>
              <w:t>software</w:t>
            </w:r>
            <w:r w:rsidRPr="00856132">
              <w:rPr>
                <w:sz w:val="22"/>
                <w:lang w:val="es-ES_tradnl"/>
              </w:rPr>
              <w:t xml:space="preserve"> pertinente para los servicios terrenales y espaciales.</w:t>
            </w:r>
            <w:r w:rsidR="00856132" w:rsidRPr="00856132">
              <w:rPr>
                <w:sz w:val="22"/>
                <w:lang w:val="es-ES_tradnl"/>
              </w:rPr>
              <w:t xml:space="preserve"> </w:t>
            </w:r>
            <w:r w:rsidRPr="00856132">
              <w:rPr>
                <w:sz w:val="22"/>
                <w:lang w:val="es-ES_tradnl"/>
              </w:rPr>
              <w:t xml:space="preserve">El GAR manifestó su reconocimiento y gratitud por el trabajo de las Divisiones de </w:t>
            </w:r>
            <w:r w:rsidRPr="00856132">
              <w:rPr>
                <w:i/>
                <w:iCs/>
                <w:sz w:val="22"/>
                <w:lang w:val="es-ES_tradnl"/>
              </w:rPr>
              <w:t>Software</w:t>
            </w:r>
            <w:r w:rsidRPr="00856132">
              <w:rPr>
                <w:sz w:val="22"/>
                <w:lang w:val="es-ES_tradnl"/>
              </w:rPr>
              <w:t xml:space="preserve"> y Aplicaciones Terrenales y Espaciales para la aplicación oportuna de las decisiones de la CMR-23.</w:t>
            </w:r>
          </w:p>
          <w:p w14:paraId="7164C86E" w14:textId="388D74D2" w:rsidR="000A55EC" w:rsidRPr="00856132" w:rsidRDefault="000A55EC" w:rsidP="00D32E3F">
            <w:pPr>
              <w:pStyle w:val="Tabletext"/>
              <w:jc w:val="both"/>
              <w:rPr>
                <w:sz w:val="22"/>
                <w:lang w:val="es-ES_tradnl"/>
              </w:rPr>
            </w:pPr>
            <w:r w:rsidRPr="00856132">
              <w:rPr>
                <w:sz w:val="22"/>
                <w:lang w:val="es-ES_tradnl"/>
              </w:rPr>
              <w:t xml:space="preserve">Asimismo, el GAR tomó nota de la detallada Circular </w:t>
            </w:r>
            <w:hyperlink r:id="rId38" w:history="1">
              <w:r w:rsidRPr="00856132">
                <w:rPr>
                  <w:rStyle w:val="Hyperlink"/>
                  <w:rFonts w:asciiTheme="minorHAnsi" w:hAnsiTheme="minorHAnsi" w:cstheme="minorHAnsi"/>
                  <w:sz w:val="22"/>
                  <w:lang w:val="es-ES_tradnl"/>
                </w:rPr>
                <w:t>CR/504</w:t>
              </w:r>
            </w:hyperlink>
            <w:r w:rsidRPr="00856132">
              <w:rPr>
                <w:sz w:val="22"/>
                <w:lang w:val="es-ES_tradnl"/>
              </w:rPr>
              <w:t xml:space="preserve">, publicada por la BR sobre las decisiones de la CMR-23. Se destacó que estas decisiones no sólo incluyen la actualización de </w:t>
            </w:r>
            <w:r w:rsidRPr="00856132">
              <w:rPr>
                <w:i/>
                <w:iCs/>
                <w:sz w:val="22"/>
                <w:lang w:val="es-ES_tradnl"/>
              </w:rPr>
              <w:t>software</w:t>
            </w:r>
            <w:r w:rsidRPr="00856132">
              <w:rPr>
                <w:sz w:val="22"/>
                <w:lang w:val="es-ES_tradnl"/>
              </w:rPr>
              <w:t>, sino también muchos puntos remitidos a las Comisiones de Estudio. El GAR invitó a las Comisiones de Estudio a examinar detenidamente la CR/504 y a realizar los estudios oportunos con arreglo a la misma.</w:t>
            </w:r>
          </w:p>
          <w:p w14:paraId="426A1374" w14:textId="77777777" w:rsidR="000A55EC" w:rsidRPr="00856132" w:rsidRDefault="000A55EC" w:rsidP="00D32E3F">
            <w:pPr>
              <w:pStyle w:val="Tabletext"/>
              <w:jc w:val="both"/>
              <w:rPr>
                <w:sz w:val="22"/>
                <w:lang w:val="es-ES_tradnl"/>
              </w:rPr>
            </w:pPr>
            <w:r w:rsidRPr="00856132">
              <w:rPr>
                <w:sz w:val="22"/>
                <w:lang w:val="es-ES_tradnl"/>
              </w:rPr>
              <w:t xml:space="preserve">Por otra parte, la CMR-23 decidió cómo se debe proceder en lo que respecta a la armonización de criterios, parámetros de entrada, hipótesis y aplicación de las Recomendaciones de la Serie P que se utilizarán en los estudios de compartición y compatibilidad. Esta decisión figuraba en el Acta de la Sesión Plenaria que el </w:t>
            </w:r>
            <w:proofErr w:type="gramStart"/>
            <w:r w:rsidRPr="00856132">
              <w:rPr>
                <w:sz w:val="22"/>
                <w:lang w:val="es-ES_tradnl"/>
              </w:rPr>
              <w:t>Director</w:t>
            </w:r>
            <w:proofErr w:type="gramEnd"/>
            <w:r w:rsidRPr="00856132">
              <w:rPr>
                <w:sz w:val="22"/>
                <w:lang w:val="es-ES_tradnl"/>
              </w:rPr>
              <w:t xml:space="preserve"> transmitió a todas las Comisiones de Estudio para su aplicación; sin embargo, las Comisiones de Estudio/Grupos de Trabajo pertinentes aún no han tomado ninguna medida al respecto. Por consiguiente, el GAR instó a los Grupos de Trabajo encargados de los estudios de compartición y compatibilidad a que aplicaran la citada decisión de la CMR-23.</w:t>
            </w:r>
          </w:p>
          <w:p w14:paraId="7A792DC4" w14:textId="77777777" w:rsidR="000A55EC" w:rsidRPr="00856132" w:rsidRDefault="000A55EC" w:rsidP="00D32E3F">
            <w:pPr>
              <w:pStyle w:val="Tabletext"/>
              <w:jc w:val="both"/>
              <w:rPr>
                <w:sz w:val="22"/>
                <w:lang w:val="es-ES_tradnl"/>
              </w:rPr>
            </w:pPr>
            <w:r w:rsidRPr="00856132">
              <w:rPr>
                <w:sz w:val="22"/>
                <w:lang w:val="es-ES_tradnl"/>
              </w:rPr>
              <w:t xml:space="preserve">El GAR recomendó al </w:t>
            </w:r>
            <w:proofErr w:type="gramStart"/>
            <w:r w:rsidRPr="00856132">
              <w:rPr>
                <w:sz w:val="22"/>
                <w:lang w:val="es-ES_tradnl"/>
              </w:rPr>
              <w:t>Director</w:t>
            </w:r>
            <w:proofErr w:type="gramEnd"/>
            <w:r w:rsidRPr="00856132">
              <w:rPr>
                <w:sz w:val="22"/>
                <w:lang w:val="es-ES_tradnl"/>
              </w:rPr>
              <w:t xml:space="preserve"> de la BR que presentara un informe de situación sobre la aplicación de las Resoluciones de la CMR, ya que serviría de ayuda, entre otras cosas, para los trabajos preparatorios regionales de la próxima CMR. Ese informe debe transmitirse a los Miembros por Carta Circular e informar al GAR en consecuencia.</w:t>
            </w:r>
          </w:p>
        </w:tc>
      </w:tr>
      <w:tr w:rsidR="000A55EC" w:rsidRPr="00D71799" w14:paraId="6F79248B" w14:textId="77777777" w:rsidTr="00D32E3F">
        <w:trPr>
          <w:cantSplit/>
        </w:trPr>
        <w:tc>
          <w:tcPr>
            <w:tcW w:w="964" w:type="dxa"/>
          </w:tcPr>
          <w:p w14:paraId="51B2DF71" w14:textId="6F51D755" w:rsidR="000A55EC" w:rsidRPr="00856132" w:rsidRDefault="000A55EC" w:rsidP="001963A8">
            <w:pPr>
              <w:pStyle w:val="Tabletext"/>
              <w:rPr>
                <w:b/>
                <w:sz w:val="22"/>
                <w:lang w:val="es-ES_tradnl"/>
              </w:rPr>
            </w:pPr>
            <w:r w:rsidRPr="00856132">
              <w:rPr>
                <w:b/>
                <w:sz w:val="22"/>
                <w:lang w:val="es-ES_tradnl"/>
              </w:rPr>
              <w:lastRenderedPageBreak/>
              <w:t>7</w:t>
            </w:r>
          </w:p>
        </w:tc>
        <w:tc>
          <w:tcPr>
            <w:tcW w:w="1908" w:type="dxa"/>
          </w:tcPr>
          <w:p w14:paraId="5632D3AE" w14:textId="3ED81B78" w:rsidR="000A55EC" w:rsidRPr="00856132" w:rsidRDefault="000A55EC" w:rsidP="001963A8">
            <w:pPr>
              <w:pStyle w:val="Tabletext"/>
              <w:rPr>
                <w:rStyle w:val="normaltextrun"/>
                <w:rFonts w:asciiTheme="minorHAnsi" w:hAnsiTheme="minorHAnsi" w:cstheme="minorHAnsi"/>
                <w:b/>
                <w:bCs/>
                <w:color w:val="000000"/>
                <w:sz w:val="22"/>
                <w:shd w:val="clear" w:color="auto" w:fill="FFFFFF"/>
                <w:lang w:val="es-ES_tradnl"/>
              </w:rPr>
            </w:pPr>
            <w:r w:rsidRPr="00856132">
              <w:rPr>
                <w:rStyle w:val="normaltextrun"/>
                <w:rFonts w:asciiTheme="minorHAnsi" w:hAnsiTheme="minorHAnsi" w:cstheme="minorHAnsi"/>
                <w:b/>
                <w:bCs/>
                <w:color w:val="000000"/>
                <w:sz w:val="22"/>
                <w:shd w:val="clear" w:color="auto" w:fill="FFFFFF"/>
                <w:lang w:val="es-ES_tradnl"/>
              </w:rPr>
              <w:t>Preparativos para la AR/CMR-27</w:t>
            </w:r>
          </w:p>
          <w:p w14:paraId="63F4FB84" w14:textId="2D04C328" w:rsidR="000A55EC" w:rsidRPr="00856132" w:rsidRDefault="000A55EC" w:rsidP="001963A8">
            <w:pPr>
              <w:pStyle w:val="Tabletext"/>
              <w:rPr>
                <w:rStyle w:val="normaltextrun"/>
                <w:rFonts w:asciiTheme="minorHAnsi" w:hAnsiTheme="minorHAnsi" w:cstheme="minorHAnsi"/>
                <w:color w:val="000000" w:themeColor="text1"/>
                <w:sz w:val="22"/>
                <w:lang w:val="es-ES_tradnl"/>
              </w:rPr>
            </w:pPr>
            <w:hyperlink r:id="rId39" w:history="1">
              <w:r w:rsidRPr="00856132">
                <w:rPr>
                  <w:rStyle w:val="Hyperlink"/>
                  <w:rFonts w:asciiTheme="minorHAnsi" w:hAnsiTheme="minorHAnsi" w:cstheme="minorHAnsi"/>
                  <w:sz w:val="22"/>
                  <w:lang w:val="es-ES_tradnl"/>
                </w:rPr>
                <w:t>30 (§4)</w:t>
              </w:r>
            </w:hyperlink>
          </w:p>
        </w:tc>
        <w:tc>
          <w:tcPr>
            <w:tcW w:w="11110" w:type="dxa"/>
          </w:tcPr>
          <w:p w14:paraId="4861EC37" w14:textId="55B9AB71" w:rsidR="000A55EC" w:rsidRPr="00856132" w:rsidRDefault="000A55EC" w:rsidP="00D32E3F">
            <w:pPr>
              <w:pStyle w:val="Tabletext"/>
              <w:jc w:val="both"/>
              <w:rPr>
                <w:sz w:val="22"/>
                <w:lang w:val="es-ES_tradnl"/>
              </w:rPr>
            </w:pPr>
            <w:r w:rsidRPr="00856132">
              <w:rPr>
                <w:sz w:val="22"/>
                <w:lang w:val="es-ES_tradnl"/>
              </w:rPr>
              <w:t xml:space="preserve">El GAR tomó nota del informe sobre los preparativos para la AR-27 y la CMR-27 que figura en la sección 4 del Informe del </w:t>
            </w:r>
            <w:proofErr w:type="gramStart"/>
            <w:r w:rsidRPr="00856132">
              <w:rPr>
                <w:sz w:val="22"/>
                <w:lang w:val="es-ES_tradnl"/>
              </w:rPr>
              <w:t>Director</w:t>
            </w:r>
            <w:proofErr w:type="gramEnd"/>
            <w:r w:rsidRPr="00856132">
              <w:rPr>
                <w:sz w:val="22"/>
                <w:lang w:val="es-ES_tradnl"/>
              </w:rPr>
              <w:t>. El GAR examinó las cuestiones relacionadas con los preparativos de la CMR-27 y consideró la posibilidad de</w:t>
            </w:r>
            <w:r w:rsidR="000D321D" w:rsidRPr="00856132">
              <w:rPr>
                <w:sz w:val="22"/>
                <w:lang w:val="es-ES_tradnl"/>
              </w:rPr>
              <w:t>:</w:t>
            </w:r>
          </w:p>
          <w:p w14:paraId="6FAFDE15" w14:textId="04DC021F" w:rsidR="000A55EC" w:rsidRPr="00856132" w:rsidRDefault="000A55EC" w:rsidP="00D32E3F">
            <w:pPr>
              <w:pStyle w:val="enumlev1"/>
              <w:rPr>
                <w:sz w:val="22"/>
                <w:lang w:val="es-ES_tradnl"/>
              </w:rPr>
            </w:pPr>
            <w:r w:rsidRPr="00856132">
              <w:rPr>
                <w:lang w:val="es-ES_tradnl"/>
              </w:rPr>
              <w:t>–</w:t>
            </w:r>
            <w:r w:rsidRPr="00856132">
              <w:rPr>
                <w:lang w:val="es-ES_tradnl"/>
              </w:rPr>
              <w:tab/>
            </w:r>
            <w:r w:rsidRPr="00856132">
              <w:rPr>
                <w:sz w:val="22"/>
                <w:lang w:val="es-ES_tradnl"/>
              </w:rPr>
              <w:t xml:space="preserve">cambiar el nombre de los </w:t>
            </w:r>
            <w:r w:rsidR="00856132" w:rsidRPr="00856132">
              <w:rPr>
                <w:sz w:val="22"/>
                <w:lang w:val="es-ES_tradnl"/>
              </w:rPr>
              <w:t>«</w:t>
            </w:r>
            <w:r w:rsidRPr="00856132">
              <w:rPr>
                <w:sz w:val="22"/>
                <w:lang w:val="es-ES_tradnl"/>
              </w:rPr>
              <w:t>Talleres interregionales de la UIT sobre la preparación de la CMR-27</w:t>
            </w:r>
            <w:r w:rsidR="00856132" w:rsidRPr="00856132">
              <w:rPr>
                <w:sz w:val="22"/>
                <w:lang w:val="es-ES_tradnl"/>
              </w:rPr>
              <w:t>»</w:t>
            </w:r>
            <w:r w:rsidRPr="00856132">
              <w:rPr>
                <w:sz w:val="22"/>
                <w:lang w:val="es-ES_tradnl"/>
              </w:rPr>
              <w:t xml:space="preserve"> por el de </w:t>
            </w:r>
            <w:r w:rsidR="00856132" w:rsidRPr="00856132">
              <w:rPr>
                <w:sz w:val="22"/>
                <w:lang w:val="es-ES_tradnl"/>
              </w:rPr>
              <w:t>«</w:t>
            </w:r>
            <w:r w:rsidRPr="00856132">
              <w:rPr>
                <w:sz w:val="22"/>
                <w:lang w:val="es-ES_tradnl"/>
              </w:rPr>
              <w:t>Sesiones informativas interregionales sobre la preparación de la CMR-27</w:t>
            </w:r>
            <w:r w:rsidR="00856132" w:rsidRPr="00856132">
              <w:rPr>
                <w:sz w:val="22"/>
                <w:lang w:val="es-ES_tradnl"/>
              </w:rPr>
              <w:t>»</w:t>
            </w:r>
            <w:r w:rsidRPr="00856132">
              <w:rPr>
                <w:sz w:val="22"/>
                <w:lang w:val="es-ES_tradnl"/>
              </w:rPr>
              <w:t>;</w:t>
            </w:r>
          </w:p>
          <w:p w14:paraId="48E7BF3E" w14:textId="4739F2BF" w:rsidR="000A55EC" w:rsidRPr="00856132" w:rsidRDefault="000A55EC" w:rsidP="00D32E3F">
            <w:pPr>
              <w:pStyle w:val="enumlev1"/>
              <w:rPr>
                <w:sz w:val="22"/>
                <w:lang w:val="es-ES_tradnl"/>
              </w:rPr>
            </w:pPr>
            <w:r w:rsidRPr="00856132">
              <w:rPr>
                <w:sz w:val="22"/>
                <w:lang w:val="es-ES_tradnl"/>
              </w:rPr>
              <w:t>–</w:t>
            </w:r>
            <w:r w:rsidRPr="00856132">
              <w:rPr>
                <w:sz w:val="22"/>
                <w:lang w:val="es-ES_tradnl"/>
              </w:rPr>
              <w:tab/>
              <w:t xml:space="preserve">organizar el formato de las </w:t>
            </w:r>
            <w:r w:rsidR="00856132" w:rsidRPr="00856132">
              <w:rPr>
                <w:sz w:val="22"/>
                <w:lang w:val="es-ES_tradnl"/>
              </w:rPr>
              <w:t>«</w:t>
            </w:r>
            <w:r w:rsidRPr="00856132">
              <w:rPr>
                <w:sz w:val="22"/>
                <w:lang w:val="es-ES_tradnl"/>
              </w:rPr>
              <w:t>Sesiones de información interregionales sobre la preparación de la CMR-27</w:t>
            </w:r>
            <w:r w:rsidR="00856132" w:rsidRPr="00856132">
              <w:rPr>
                <w:sz w:val="22"/>
                <w:lang w:val="es-ES_tradnl"/>
              </w:rPr>
              <w:t>»</w:t>
            </w:r>
            <w:r w:rsidRPr="00856132">
              <w:rPr>
                <w:sz w:val="22"/>
                <w:lang w:val="es-ES_tradnl"/>
              </w:rPr>
              <w:t xml:space="preserve"> para que se centren en un número limitado de cuestiones técnicas y operativas, e invitar a los </w:t>
            </w:r>
            <w:proofErr w:type="gramStart"/>
            <w:r w:rsidRPr="00856132">
              <w:rPr>
                <w:sz w:val="22"/>
                <w:lang w:val="es-ES_tradnl"/>
              </w:rPr>
              <w:t>Presidentes</w:t>
            </w:r>
            <w:proofErr w:type="gramEnd"/>
            <w:r w:rsidRPr="00856132">
              <w:rPr>
                <w:sz w:val="22"/>
                <w:lang w:val="es-ES_tradnl"/>
              </w:rPr>
              <w:t xml:space="preserve"> de los Grupos de Trabajo responsables a informar sobre los progresos realizados en los trabajos preparativos de la CMR-27, así como sobre las dificultades encontradas;</w:t>
            </w:r>
          </w:p>
          <w:p w14:paraId="7DA091D9" w14:textId="77777777" w:rsidR="000A55EC" w:rsidRPr="00856132" w:rsidRDefault="000A55EC" w:rsidP="00D32E3F">
            <w:pPr>
              <w:pStyle w:val="enumlev1"/>
              <w:rPr>
                <w:sz w:val="22"/>
                <w:lang w:val="es-ES_tradnl"/>
              </w:rPr>
            </w:pPr>
            <w:r w:rsidRPr="00856132">
              <w:rPr>
                <w:lang w:val="es-ES_tradnl"/>
              </w:rPr>
              <w:t>–</w:t>
            </w:r>
            <w:r w:rsidRPr="00856132">
              <w:rPr>
                <w:lang w:val="es-ES_tradnl"/>
              </w:rPr>
              <w:tab/>
            </w:r>
            <w:r w:rsidRPr="00856132">
              <w:rPr>
                <w:sz w:val="22"/>
                <w:lang w:val="es-ES_tradnl"/>
              </w:rPr>
              <w:t>considerar la posibilidad de dedicar una sesión informativa a los preparativos de la Asamblea de Radiocomunicaciones de 2027, posiblemente hacia el final del ciclo de estudios;</w:t>
            </w:r>
          </w:p>
          <w:p w14:paraId="14083A5B" w14:textId="77777777" w:rsidR="000A55EC" w:rsidRPr="00856132" w:rsidRDefault="000A55EC" w:rsidP="00D32E3F">
            <w:pPr>
              <w:pStyle w:val="enumlev1"/>
              <w:rPr>
                <w:lang w:val="es-ES_tradnl"/>
              </w:rPr>
            </w:pPr>
            <w:r w:rsidRPr="00856132">
              <w:rPr>
                <w:sz w:val="22"/>
                <w:lang w:val="es-ES_tradnl"/>
              </w:rPr>
              <w:t>–</w:t>
            </w:r>
            <w:r w:rsidRPr="00856132">
              <w:rPr>
                <w:sz w:val="22"/>
                <w:lang w:val="es-ES_tradnl"/>
              </w:rPr>
              <w:tab/>
              <w:t xml:space="preserve">limitar el número de temas que se eleven a la CMR en el punto 9.2 del orden del día a aquellas que no puedan ser resueltas por la RRB o que no hayan sido estudiadas por las Comisiones de Estudio del UIT-R y que se transmita a la RPC27-2 la parte que ya esté disponible del Informe del </w:t>
            </w:r>
            <w:proofErr w:type="gramStart"/>
            <w:r w:rsidRPr="00856132">
              <w:rPr>
                <w:sz w:val="22"/>
                <w:lang w:val="es-ES_tradnl"/>
              </w:rPr>
              <w:t>Director</w:t>
            </w:r>
            <w:proofErr w:type="gramEnd"/>
            <w:r w:rsidRPr="00856132">
              <w:rPr>
                <w:sz w:val="22"/>
                <w:lang w:val="es-ES_tradnl"/>
              </w:rPr>
              <w:t xml:space="preserve"> de la BR a la CMR-27.</w:t>
            </w:r>
          </w:p>
          <w:p w14:paraId="1AB366BD" w14:textId="77777777" w:rsidR="000A55EC" w:rsidRPr="00856132" w:rsidRDefault="000A55EC" w:rsidP="00D32E3F">
            <w:pPr>
              <w:pStyle w:val="Tabletext"/>
              <w:jc w:val="both"/>
              <w:rPr>
                <w:sz w:val="22"/>
                <w:lang w:val="es-ES_tradnl"/>
              </w:rPr>
            </w:pPr>
            <w:r w:rsidRPr="00856132">
              <w:rPr>
                <w:sz w:val="22"/>
                <w:lang w:val="es-ES_tradnl"/>
              </w:rPr>
              <w:t xml:space="preserve">El GAR recomendó al </w:t>
            </w:r>
            <w:proofErr w:type="gramStart"/>
            <w:r w:rsidRPr="00856132">
              <w:rPr>
                <w:sz w:val="22"/>
                <w:lang w:val="es-ES_tradnl"/>
              </w:rPr>
              <w:t>Director</w:t>
            </w:r>
            <w:proofErr w:type="gramEnd"/>
            <w:r w:rsidRPr="00856132">
              <w:rPr>
                <w:sz w:val="22"/>
                <w:lang w:val="es-ES_tradnl"/>
              </w:rPr>
              <w:t xml:space="preserve"> de la BR que tuviera en cuenta las cuestiones mencionadas y actuara en consecuencia.</w:t>
            </w:r>
          </w:p>
        </w:tc>
      </w:tr>
      <w:tr w:rsidR="00D951E4" w:rsidRPr="00D71799" w14:paraId="7FB0DC63" w14:textId="77777777" w:rsidTr="00D32E3F">
        <w:trPr>
          <w:cantSplit/>
        </w:trPr>
        <w:tc>
          <w:tcPr>
            <w:tcW w:w="964" w:type="dxa"/>
            <w:vMerge w:val="restart"/>
          </w:tcPr>
          <w:p w14:paraId="7CEF5B58" w14:textId="55DEA4CF" w:rsidR="00D951E4" w:rsidRPr="00856132" w:rsidRDefault="00D951E4" w:rsidP="001963A8">
            <w:pPr>
              <w:pStyle w:val="Tabletext"/>
              <w:rPr>
                <w:b/>
                <w:sz w:val="22"/>
                <w:lang w:val="es-ES_tradnl"/>
              </w:rPr>
            </w:pPr>
            <w:r w:rsidRPr="00856132">
              <w:rPr>
                <w:b/>
                <w:sz w:val="22"/>
                <w:lang w:val="es-ES_tradnl"/>
              </w:rPr>
              <w:lastRenderedPageBreak/>
              <w:t>8</w:t>
            </w:r>
          </w:p>
        </w:tc>
        <w:tc>
          <w:tcPr>
            <w:tcW w:w="1908" w:type="dxa"/>
          </w:tcPr>
          <w:p w14:paraId="72CA987F" w14:textId="77777777" w:rsidR="00D951E4" w:rsidRPr="00856132" w:rsidRDefault="00D951E4" w:rsidP="00D951E4">
            <w:pPr>
              <w:pStyle w:val="Tabletext"/>
              <w:rPr>
                <w:rStyle w:val="normaltextrun"/>
                <w:rFonts w:asciiTheme="minorHAnsi" w:hAnsiTheme="minorHAnsi" w:cstheme="minorHAnsi"/>
                <w:b/>
                <w:bCs/>
                <w:color w:val="000000"/>
                <w:sz w:val="22"/>
                <w:shd w:val="clear" w:color="auto" w:fill="FFFFFF"/>
                <w:lang w:val="es-ES_tradnl"/>
              </w:rPr>
            </w:pPr>
            <w:r w:rsidRPr="00856132">
              <w:rPr>
                <w:rStyle w:val="normaltextrun"/>
                <w:rFonts w:asciiTheme="minorHAnsi" w:hAnsiTheme="minorHAnsi" w:cstheme="minorHAnsi"/>
                <w:b/>
                <w:bCs/>
                <w:color w:val="000000"/>
                <w:sz w:val="22"/>
                <w:shd w:val="clear" w:color="auto" w:fill="FFFFFF"/>
                <w:lang w:val="es-ES_tradnl"/>
              </w:rPr>
              <w:t>Actividades de las Comisiones de Estudio</w:t>
            </w:r>
          </w:p>
          <w:p w14:paraId="05903150" w14:textId="450E8865" w:rsidR="00D951E4" w:rsidRPr="00856132" w:rsidRDefault="00D951E4" w:rsidP="00D951E4">
            <w:pPr>
              <w:pStyle w:val="Tabletext"/>
              <w:rPr>
                <w:rStyle w:val="normaltextrun"/>
                <w:rFonts w:asciiTheme="minorHAnsi" w:hAnsiTheme="minorHAnsi" w:cstheme="minorHAnsi"/>
                <w:b/>
                <w:bCs/>
                <w:color w:val="000000"/>
                <w:sz w:val="22"/>
                <w:shd w:val="clear" w:color="auto" w:fill="FFFFFF"/>
                <w:lang w:val="es-ES_tradnl"/>
              </w:rPr>
            </w:pPr>
            <w:hyperlink r:id="rId40" w:history="1">
              <w:r w:rsidRPr="00856132">
                <w:rPr>
                  <w:rStyle w:val="Hyperlink"/>
                  <w:rFonts w:asciiTheme="minorHAnsi" w:hAnsiTheme="minorHAnsi" w:cstheme="minorHAnsi"/>
                  <w:sz w:val="22"/>
                  <w:lang w:val="es-ES_tradnl"/>
                </w:rPr>
                <w:t>30 (§5)</w:t>
              </w:r>
            </w:hyperlink>
            <w:r w:rsidRPr="00856132">
              <w:rPr>
                <w:sz w:val="22"/>
                <w:lang w:val="es-ES_tradnl"/>
              </w:rPr>
              <w:br/>
            </w:r>
            <w:hyperlink r:id="rId41" w:history="1">
              <w:r w:rsidRPr="00856132">
                <w:rPr>
                  <w:rStyle w:val="Hyperlink"/>
                  <w:rFonts w:asciiTheme="minorHAnsi" w:hAnsiTheme="minorHAnsi" w:cstheme="minorHAnsi"/>
                  <w:sz w:val="22"/>
                  <w:lang w:val="es-ES_tradnl"/>
                </w:rPr>
                <w:t>30 Add.1</w:t>
              </w:r>
            </w:hyperlink>
          </w:p>
        </w:tc>
        <w:tc>
          <w:tcPr>
            <w:tcW w:w="11110" w:type="dxa"/>
          </w:tcPr>
          <w:p w14:paraId="703AACE6" w14:textId="77777777" w:rsidR="00D951E4" w:rsidRPr="00856132" w:rsidRDefault="00D951E4" w:rsidP="00D32E3F">
            <w:pPr>
              <w:pStyle w:val="Tabletext"/>
              <w:jc w:val="both"/>
              <w:rPr>
                <w:rFonts w:eastAsia="Calibri"/>
                <w:sz w:val="22"/>
                <w:lang w:val="es-ES_tradnl"/>
              </w:rPr>
            </w:pPr>
            <w:r w:rsidRPr="00856132">
              <w:rPr>
                <w:rFonts w:eastAsia="Calibri"/>
                <w:sz w:val="22"/>
                <w:lang w:val="es-ES_tradnl"/>
              </w:rPr>
              <w:t xml:space="preserve">El GAR tomó nota con satisfacción del informe del Departamento de Comisiones de Estudio (SGD) del UIT-R que figura en los documentos GAR/30 (sección 5) y su </w:t>
            </w:r>
            <w:proofErr w:type="spellStart"/>
            <w:r w:rsidRPr="00856132">
              <w:rPr>
                <w:rFonts w:eastAsia="Calibri"/>
                <w:sz w:val="22"/>
                <w:lang w:val="es-ES_tradnl"/>
              </w:rPr>
              <w:t>Addéndum</w:t>
            </w:r>
            <w:proofErr w:type="spellEnd"/>
            <w:r w:rsidRPr="00856132">
              <w:rPr>
                <w:rFonts w:eastAsia="Calibri"/>
                <w:sz w:val="22"/>
                <w:lang w:val="es-ES_tradnl"/>
              </w:rPr>
              <w:t xml:space="preserve"> 1.</w:t>
            </w:r>
          </w:p>
          <w:p w14:paraId="1607EF30" w14:textId="77777777" w:rsidR="00D951E4" w:rsidRPr="00856132" w:rsidRDefault="00D951E4" w:rsidP="00D32E3F">
            <w:pPr>
              <w:pStyle w:val="Tabletext"/>
              <w:jc w:val="both"/>
              <w:rPr>
                <w:rFonts w:eastAsia="Calibri"/>
                <w:sz w:val="22"/>
                <w:lang w:val="es-ES_tradnl"/>
              </w:rPr>
            </w:pPr>
            <w:r w:rsidRPr="00856132">
              <w:rPr>
                <w:rFonts w:eastAsia="Calibri"/>
                <w:sz w:val="22"/>
                <w:lang w:val="es-ES_tradnl"/>
              </w:rPr>
              <w:t>En relación con las actividades de las Comisiones de Estudio, el GAR examinó los asuntos siguientes y formuló sugerencias al respecto:</w:t>
            </w:r>
          </w:p>
          <w:p w14:paraId="496FD330" w14:textId="77777777" w:rsidR="00D951E4" w:rsidRPr="00856132" w:rsidRDefault="00D951E4" w:rsidP="00D32E3F">
            <w:pPr>
              <w:pStyle w:val="Tabletext"/>
              <w:jc w:val="both"/>
              <w:rPr>
                <w:rFonts w:eastAsia="Calibri"/>
                <w:sz w:val="22"/>
                <w:lang w:val="es-ES_tradnl"/>
              </w:rPr>
            </w:pPr>
            <w:r w:rsidRPr="00856132">
              <w:rPr>
                <w:rFonts w:eastAsia="Calibri"/>
                <w:sz w:val="22"/>
                <w:lang w:val="es-ES_tradnl"/>
              </w:rPr>
              <w:t xml:space="preserve">Debería facilitarse a los </w:t>
            </w:r>
            <w:proofErr w:type="gramStart"/>
            <w:r w:rsidRPr="00856132">
              <w:rPr>
                <w:rFonts w:eastAsia="Calibri"/>
                <w:sz w:val="22"/>
                <w:lang w:val="es-ES_tradnl"/>
              </w:rPr>
              <w:t>Presidentes</w:t>
            </w:r>
            <w:proofErr w:type="gramEnd"/>
            <w:r w:rsidRPr="00856132">
              <w:rPr>
                <w:rFonts w:eastAsia="Calibri"/>
                <w:sz w:val="22"/>
                <w:lang w:val="es-ES_tradnl"/>
              </w:rPr>
              <w:t xml:space="preserve"> un extracto del Reglamento general de conferencias, asambleas y reuniones en lo que respecta a la gestión de las reuniones de las Comisiones de Estudio y de sus grupos subordinados, en el que se aborde, por ejemplo, el cierre de la lista de oradores, la gestión de las solicitudes de palabra, etc.</w:t>
            </w:r>
          </w:p>
          <w:p w14:paraId="6205AE9A" w14:textId="77777777" w:rsidR="00D951E4" w:rsidRPr="00856132" w:rsidRDefault="00D951E4" w:rsidP="00D32E3F">
            <w:pPr>
              <w:pStyle w:val="Tabletext"/>
              <w:jc w:val="both"/>
              <w:rPr>
                <w:rFonts w:eastAsia="Calibri"/>
                <w:sz w:val="22"/>
                <w:lang w:val="es-ES_tradnl"/>
              </w:rPr>
            </w:pPr>
            <w:r w:rsidRPr="00856132">
              <w:rPr>
                <w:rFonts w:eastAsia="Calibri"/>
                <w:sz w:val="22"/>
                <w:lang w:val="es-ES_tradnl"/>
              </w:rPr>
              <w:t xml:space="preserve">Los </w:t>
            </w:r>
            <w:proofErr w:type="gramStart"/>
            <w:r w:rsidRPr="00856132">
              <w:rPr>
                <w:rFonts w:eastAsia="Calibri"/>
                <w:sz w:val="22"/>
                <w:lang w:val="es-ES_tradnl"/>
              </w:rPr>
              <w:t>Presidentes</w:t>
            </w:r>
            <w:proofErr w:type="gramEnd"/>
            <w:r w:rsidRPr="00856132">
              <w:rPr>
                <w:rFonts w:eastAsia="Calibri"/>
                <w:sz w:val="22"/>
                <w:lang w:val="es-ES_tradnl"/>
              </w:rPr>
              <w:t xml:space="preserve"> de los Subgrupos de Trabajo de los Grupos de Trabajo deberán presentar por escrito informes sobre las actividades de sus Grupos en la reunión de clausura del Grupo de Trabajo. Dichos informes deberán incluir, entre otras cosas, los progresos realizados en las actividades y los problemas encontrados.</w:t>
            </w:r>
          </w:p>
          <w:p w14:paraId="0F0845CE" w14:textId="77777777" w:rsidR="00D951E4" w:rsidRPr="00856132" w:rsidRDefault="00D951E4" w:rsidP="00D32E3F">
            <w:pPr>
              <w:pStyle w:val="Tabletext"/>
              <w:jc w:val="both"/>
              <w:rPr>
                <w:rFonts w:eastAsia="Calibri"/>
                <w:sz w:val="22"/>
                <w:lang w:val="es-ES_tradnl"/>
              </w:rPr>
            </w:pPr>
            <w:r w:rsidRPr="00856132">
              <w:rPr>
                <w:rFonts w:eastAsia="Calibri"/>
                <w:sz w:val="22"/>
                <w:lang w:val="es-ES_tradnl"/>
              </w:rPr>
              <w:t xml:space="preserve">El orden del día de las reuniones de los Grupos de Trabajo y los informes de los </w:t>
            </w:r>
            <w:proofErr w:type="gramStart"/>
            <w:r w:rsidRPr="00856132">
              <w:rPr>
                <w:rFonts w:eastAsia="Calibri"/>
                <w:sz w:val="22"/>
                <w:lang w:val="es-ES_tradnl"/>
              </w:rPr>
              <w:t>Presidentes</w:t>
            </w:r>
            <w:proofErr w:type="gramEnd"/>
            <w:r w:rsidRPr="00856132">
              <w:rPr>
                <w:rFonts w:eastAsia="Calibri"/>
                <w:sz w:val="22"/>
                <w:lang w:val="es-ES_tradnl"/>
              </w:rPr>
              <w:t xml:space="preserve"> deben armonizarse, en la medida de lo posible, tanto en su formato como en su contenido, en todas las Comisiones de Estudio del UIT-R.</w:t>
            </w:r>
          </w:p>
          <w:p w14:paraId="4B6AACFA" w14:textId="77777777" w:rsidR="00D951E4" w:rsidRPr="00856132" w:rsidRDefault="00D951E4" w:rsidP="00D32E3F">
            <w:pPr>
              <w:pStyle w:val="Tabletext"/>
              <w:jc w:val="both"/>
              <w:rPr>
                <w:rFonts w:eastAsia="Calibri"/>
                <w:sz w:val="22"/>
                <w:lang w:val="es-ES_tradnl"/>
              </w:rPr>
            </w:pPr>
            <w:r w:rsidRPr="00856132">
              <w:rPr>
                <w:rFonts w:eastAsia="Calibri"/>
                <w:sz w:val="22"/>
                <w:lang w:val="es-ES_tradnl"/>
              </w:rPr>
              <w:t xml:space="preserve">A fin de lograr una distribución regional y facilitar los planes de sucesión, debe evitarse que haya más de un </w:t>
            </w:r>
            <w:proofErr w:type="gramStart"/>
            <w:r w:rsidRPr="00856132">
              <w:rPr>
                <w:rFonts w:eastAsia="Calibri"/>
                <w:sz w:val="22"/>
                <w:lang w:val="es-ES_tradnl"/>
              </w:rPr>
              <w:t>Presidente</w:t>
            </w:r>
            <w:proofErr w:type="gramEnd"/>
            <w:r w:rsidRPr="00856132">
              <w:rPr>
                <w:rFonts w:eastAsia="Calibri"/>
                <w:sz w:val="22"/>
                <w:lang w:val="es-ES_tradnl"/>
              </w:rPr>
              <w:t xml:space="preserve"> de una misma entidad en los Grupos de Trabajo y sus grupos subordinados, a menos que no haya ningún candidato disponible, y recurrir además al concepto de copresidentes, cuando sea necesario.</w:t>
            </w:r>
          </w:p>
          <w:p w14:paraId="567AD50D" w14:textId="77777777" w:rsidR="00D951E4" w:rsidRPr="00856132" w:rsidRDefault="00D951E4" w:rsidP="00D32E3F">
            <w:pPr>
              <w:pStyle w:val="Tabletext"/>
              <w:jc w:val="both"/>
              <w:rPr>
                <w:rFonts w:eastAsia="Calibri"/>
                <w:sz w:val="22"/>
                <w:lang w:val="es-ES_tradnl"/>
              </w:rPr>
            </w:pPr>
            <w:r w:rsidRPr="00856132">
              <w:rPr>
                <w:rFonts w:eastAsia="Calibri"/>
                <w:sz w:val="22"/>
                <w:lang w:val="es-ES_tradnl"/>
              </w:rPr>
              <w:t>Las declaraciones de las administraciones no deberían editarse ni estar abiertas a debate.</w:t>
            </w:r>
          </w:p>
          <w:p w14:paraId="414C3295" w14:textId="425D6B47" w:rsidR="00D951E4" w:rsidRPr="00856132" w:rsidRDefault="00D951E4" w:rsidP="00D32E3F">
            <w:pPr>
              <w:pStyle w:val="Tabletext"/>
              <w:jc w:val="both"/>
              <w:rPr>
                <w:rFonts w:eastAsia="Calibri"/>
                <w:sz w:val="22"/>
                <w:lang w:val="es-ES_tradnl"/>
              </w:rPr>
            </w:pPr>
            <w:r w:rsidRPr="00856132">
              <w:rPr>
                <w:rFonts w:eastAsia="Calibri"/>
                <w:sz w:val="22"/>
                <w:lang w:val="es-ES_tradnl"/>
              </w:rPr>
              <w:t>Se destacó el procedimiento de aprobación de las Recomendaciones, especialmente en los casos en que se reciban objeciones a la aprobación de una Recomendación, y que podría ser necesaria una revisión adecuada de la</w:t>
            </w:r>
            <w:r w:rsidR="00D32E3F" w:rsidRPr="00856132">
              <w:rPr>
                <w:rFonts w:eastAsia="Calibri"/>
                <w:sz w:val="22"/>
                <w:lang w:val="es-ES_tradnl"/>
              </w:rPr>
              <w:t> </w:t>
            </w:r>
            <w:r w:rsidRPr="00856132">
              <w:rPr>
                <w:rFonts w:eastAsia="Calibri"/>
                <w:sz w:val="22"/>
                <w:lang w:val="es-ES_tradnl"/>
              </w:rPr>
              <w:t>Resolución</w:t>
            </w:r>
            <w:r w:rsidR="00D32E3F" w:rsidRPr="00856132">
              <w:rPr>
                <w:rFonts w:eastAsia="Calibri"/>
                <w:sz w:val="22"/>
                <w:lang w:val="es-ES_tradnl"/>
              </w:rPr>
              <w:t> </w:t>
            </w:r>
            <w:r w:rsidRPr="00856132">
              <w:rPr>
                <w:rFonts w:eastAsia="Calibri"/>
                <w:sz w:val="22"/>
                <w:lang w:val="es-ES_tradnl"/>
              </w:rPr>
              <w:t>UIT</w:t>
            </w:r>
            <w:r w:rsidR="00D32E3F" w:rsidRPr="00856132">
              <w:rPr>
                <w:rFonts w:eastAsia="Calibri"/>
                <w:sz w:val="22"/>
                <w:lang w:val="es-ES_tradnl"/>
              </w:rPr>
              <w:noBreakHyphen/>
            </w:r>
            <w:r w:rsidRPr="00856132">
              <w:rPr>
                <w:rFonts w:eastAsia="Calibri"/>
                <w:sz w:val="22"/>
                <w:lang w:val="es-ES_tradnl"/>
              </w:rPr>
              <w:t>R</w:t>
            </w:r>
            <w:r w:rsidR="00D32E3F" w:rsidRPr="00856132">
              <w:rPr>
                <w:rFonts w:eastAsia="Calibri"/>
                <w:sz w:val="22"/>
                <w:lang w:val="es-ES_tradnl"/>
              </w:rPr>
              <w:t> </w:t>
            </w:r>
            <w:r w:rsidRPr="00856132">
              <w:rPr>
                <w:rFonts w:eastAsia="Calibri"/>
                <w:sz w:val="22"/>
                <w:lang w:val="es-ES_tradnl"/>
              </w:rPr>
              <w:t>1-9 para abordar la cuestión.</w:t>
            </w:r>
          </w:p>
          <w:p w14:paraId="233D5652" w14:textId="77777777" w:rsidR="00D951E4" w:rsidRPr="00856132" w:rsidRDefault="00D951E4" w:rsidP="00D32E3F">
            <w:pPr>
              <w:pStyle w:val="Tabletext"/>
              <w:jc w:val="both"/>
              <w:rPr>
                <w:rFonts w:eastAsia="Calibri"/>
                <w:sz w:val="22"/>
                <w:lang w:val="es-ES_tradnl"/>
              </w:rPr>
            </w:pPr>
            <w:r w:rsidRPr="00856132">
              <w:rPr>
                <w:rFonts w:eastAsia="Calibri"/>
                <w:sz w:val="22"/>
                <w:lang w:val="es-ES_tradnl"/>
              </w:rPr>
              <w:t xml:space="preserve">El </w:t>
            </w:r>
            <w:proofErr w:type="gramStart"/>
            <w:r w:rsidRPr="00856132">
              <w:rPr>
                <w:rFonts w:eastAsia="Calibri"/>
                <w:sz w:val="22"/>
                <w:lang w:val="es-ES_tradnl"/>
              </w:rPr>
              <w:t>Jefe</w:t>
            </w:r>
            <w:proofErr w:type="gramEnd"/>
            <w:r w:rsidRPr="00856132">
              <w:rPr>
                <w:rFonts w:eastAsia="Calibri"/>
                <w:sz w:val="22"/>
                <w:lang w:val="es-ES_tradnl"/>
              </w:rPr>
              <w:t xml:space="preserve"> del Departamento de Comisiones de Estudio respondió brevemente a esos temas e indicó que esas sugerencias podrían transmitirse a los </w:t>
            </w:r>
            <w:proofErr w:type="gramStart"/>
            <w:r w:rsidRPr="00856132">
              <w:rPr>
                <w:rFonts w:eastAsia="Calibri"/>
                <w:sz w:val="22"/>
                <w:lang w:val="es-ES_tradnl"/>
              </w:rPr>
              <w:t>Presidentes</w:t>
            </w:r>
            <w:proofErr w:type="gramEnd"/>
            <w:r w:rsidRPr="00856132">
              <w:rPr>
                <w:rFonts w:eastAsia="Calibri"/>
                <w:sz w:val="22"/>
                <w:lang w:val="es-ES_tradnl"/>
              </w:rPr>
              <w:t xml:space="preserve"> de las Comisiones de Estudio y de los Grupos de Trabajo. El GAR recomendó al </w:t>
            </w:r>
            <w:proofErr w:type="gramStart"/>
            <w:r w:rsidRPr="00856132">
              <w:rPr>
                <w:rFonts w:eastAsia="Calibri"/>
                <w:sz w:val="22"/>
                <w:lang w:val="es-ES_tradnl"/>
              </w:rPr>
              <w:t>Director</w:t>
            </w:r>
            <w:proofErr w:type="gramEnd"/>
            <w:r w:rsidRPr="00856132">
              <w:rPr>
                <w:rFonts w:eastAsia="Calibri"/>
                <w:sz w:val="22"/>
                <w:lang w:val="es-ES_tradnl"/>
              </w:rPr>
              <w:t xml:space="preserve"> de la BR que pusiera en práctica esas sugerencias e invitó a los Miembros a contribuir a los temas mencionados, en particular a aquellos en los que pudiera ser necesaria una revisión de la Resolución UIT-R 1-9.</w:t>
            </w:r>
          </w:p>
          <w:p w14:paraId="07C084BC" w14:textId="0325599D" w:rsidR="00D951E4" w:rsidRPr="00856132" w:rsidRDefault="00D951E4" w:rsidP="00D32E3F">
            <w:pPr>
              <w:pStyle w:val="Tabletext"/>
              <w:jc w:val="both"/>
              <w:rPr>
                <w:rFonts w:eastAsia="Calibri"/>
                <w:sz w:val="22"/>
                <w:lang w:val="es-ES_tradnl"/>
              </w:rPr>
            </w:pPr>
            <w:r w:rsidRPr="00856132">
              <w:rPr>
                <w:rFonts w:eastAsia="Calibri"/>
                <w:sz w:val="22"/>
                <w:lang w:val="es-ES_tradnl"/>
              </w:rPr>
              <w:t xml:space="preserve">En relación con los debates mantenidos durante la 31ª reunión del GAR sobre la cooperación entre el UIT-R, la Organización Marítima Internacional (OMI) y la Organización de Aviación Civil Internacional (OACI) (véase el Documento </w:t>
            </w:r>
            <w:hyperlink r:id="rId42">
              <w:r w:rsidRPr="00856132">
                <w:rPr>
                  <w:rStyle w:val="Hyperlink"/>
                  <w:rFonts w:asciiTheme="minorHAnsi" w:eastAsia="Calibri" w:hAnsiTheme="minorHAnsi" w:cstheme="minorHAnsi"/>
                  <w:sz w:val="22"/>
                  <w:lang w:val="es-ES_tradnl"/>
                </w:rPr>
                <w:t>RAG/14</w:t>
              </w:r>
            </w:hyperlink>
            <w:r w:rsidRPr="00856132">
              <w:rPr>
                <w:rFonts w:eastAsia="Calibri"/>
                <w:sz w:val="22"/>
                <w:lang w:val="es-ES_tradnl"/>
              </w:rPr>
              <w:t xml:space="preserve"> (2024)), la Comisión de Estudio 5 del UIT-R y el Grupo de Trabajo 5B indicaron que no se habían recibido contribuciones al respecto. En consecuencia, el GAR recomendó a la BR que siguiera estudiando diversas formas y mecanismos para promover una mayor colaboración con la OACI y la OMI con el fin de abordar eficazmente las preocupaciones expresadas en el documento RAG/14 (2024), según proceda. Asimismo, esa forma de proceder unificada (por ejemplo, directrices o un manual) podría llevarse a cabo a través de diversos medios, incluidos, entre otros, los trabajos realizados por la Comisión de Estudio 5 del UIT-R y su Grupo de Trabajo 5B. El GAR instó a los Miembros interesados a contribuir directamente al Grupo de Trabajo 5B sobre esta cuestión.</w:t>
            </w:r>
          </w:p>
        </w:tc>
      </w:tr>
      <w:tr w:rsidR="00D951E4" w:rsidRPr="00D71799" w14:paraId="2D43E713" w14:textId="77777777" w:rsidTr="00D32E3F">
        <w:trPr>
          <w:cantSplit/>
        </w:trPr>
        <w:tc>
          <w:tcPr>
            <w:tcW w:w="964" w:type="dxa"/>
            <w:vMerge/>
          </w:tcPr>
          <w:p w14:paraId="157BD811" w14:textId="384BFABB" w:rsidR="00D951E4" w:rsidRPr="00856132" w:rsidRDefault="00D951E4" w:rsidP="001963A8">
            <w:pPr>
              <w:pStyle w:val="Tabletext"/>
              <w:rPr>
                <w:b/>
                <w:sz w:val="22"/>
                <w:lang w:val="es-ES_tradnl"/>
              </w:rPr>
            </w:pPr>
          </w:p>
        </w:tc>
        <w:tc>
          <w:tcPr>
            <w:tcW w:w="1908" w:type="dxa"/>
          </w:tcPr>
          <w:p w14:paraId="1DD1E39A" w14:textId="77777777" w:rsidR="00D951E4" w:rsidRPr="00856132" w:rsidRDefault="00D951E4" w:rsidP="00D32E3F">
            <w:pPr>
              <w:pStyle w:val="Tabletext"/>
              <w:spacing w:before="2040"/>
              <w:rPr>
                <w:rStyle w:val="Hyperlink"/>
                <w:rFonts w:asciiTheme="minorHAnsi" w:hAnsiTheme="minorHAnsi" w:cstheme="minorHAnsi"/>
                <w:sz w:val="22"/>
                <w:lang w:val="es-ES_tradnl"/>
              </w:rPr>
            </w:pPr>
            <w:hyperlink r:id="rId43" w:history="1">
              <w:r w:rsidRPr="00856132">
                <w:rPr>
                  <w:rStyle w:val="Hyperlink"/>
                  <w:rFonts w:asciiTheme="minorHAnsi" w:hAnsiTheme="minorHAnsi" w:cstheme="minorHAnsi"/>
                  <w:sz w:val="22"/>
                  <w:lang w:val="es-ES_tradnl"/>
                </w:rPr>
                <w:t>43 (Arabia Saudita)</w:t>
              </w:r>
            </w:hyperlink>
          </w:p>
          <w:p w14:paraId="1A92A8DC" w14:textId="163F84AF" w:rsidR="00D951E4" w:rsidRPr="00856132" w:rsidRDefault="00D951E4" w:rsidP="00D32E3F">
            <w:pPr>
              <w:pStyle w:val="Tabletext"/>
              <w:spacing w:before="1320"/>
              <w:rPr>
                <w:rStyle w:val="normaltextrun"/>
                <w:sz w:val="22"/>
                <w:lang w:val="es-ES_tradnl"/>
              </w:rPr>
            </w:pPr>
            <w:hyperlink r:id="rId44" w:history="1">
              <w:r w:rsidRPr="00856132">
                <w:rPr>
                  <w:rStyle w:val="Hyperlink"/>
                  <w:rFonts w:asciiTheme="minorHAnsi" w:hAnsiTheme="minorHAnsi" w:cstheme="minorHAnsi"/>
                  <w:sz w:val="22"/>
                  <w:lang w:val="es-ES_tradnl"/>
                </w:rPr>
                <w:t>44 (Egipto)</w:t>
              </w:r>
            </w:hyperlink>
          </w:p>
        </w:tc>
        <w:tc>
          <w:tcPr>
            <w:tcW w:w="11110" w:type="dxa"/>
          </w:tcPr>
          <w:p w14:paraId="02676D99" w14:textId="77777777" w:rsidR="00D951E4" w:rsidRPr="00856132" w:rsidRDefault="00D951E4" w:rsidP="00D32E3F">
            <w:pPr>
              <w:pStyle w:val="Tabletext"/>
              <w:keepNext/>
              <w:keepLines/>
              <w:jc w:val="both"/>
              <w:rPr>
                <w:color w:val="000000" w:themeColor="text1"/>
                <w:sz w:val="22"/>
                <w:lang w:val="es-ES_tradnl"/>
              </w:rPr>
            </w:pPr>
            <w:r w:rsidRPr="00856132">
              <w:rPr>
                <w:color w:val="000000" w:themeColor="text1"/>
                <w:sz w:val="22"/>
                <w:lang w:val="es-ES_tradnl"/>
              </w:rPr>
              <w:t xml:space="preserve">El GAR tomó nota con satisfacción de las presentaciones de todos los </w:t>
            </w:r>
            <w:proofErr w:type="gramStart"/>
            <w:r w:rsidRPr="00856132">
              <w:rPr>
                <w:color w:val="000000" w:themeColor="text1"/>
                <w:sz w:val="22"/>
                <w:lang w:val="es-ES_tradnl"/>
              </w:rPr>
              <w:t>Presidentes</w:t>
            </w:r>
            <w:proofErr w:type="gramEnd"/>
            <w:r w:rsidRPr="00856132">
              <w:rPr>
                <w:color w:val="000000" w:themeColor="text1"/>
                <w:sz w:val="22"/>
                <w:lang w:val="es-ES_tradnl"/>
              </w:rPr>
              <w:t xml:space="preserve"> de las Comisiones de Estudio del UIT-R y del CCV sobre la marcha de los trabajos de sus respectivos Grupos. El GAR recomendó al </w:t>
            </w:r>
            <w:proofErr w:type="gramStart"/>
            <w:r w:rsidRPr="00856132">
              <w:rPr>
                <w:color w:val="000000" w:themeColor="text1"/>
                <w:sz w:val="22"/>
                <w:lang w:val="es-ES_tradnl"/>
              </w:rPr>
              <w:t>Director</w:t>
            </w:r>
            <w:proofErr w:type="gramEnd"/>
            <w:r w:rsidRPr="00856132">
              <w:rPr>
                <w:color w:val="000000" w:themeColor="text1"/>
                <w:sz w:val="22"/>
                <w:lang w:val="es-ES_tradnl"/>
              </w:rPr>
              <w:t xml:space="preserve"> de la BR que estudiara la posibilidad de publicar una carta circular en la que se invite a las administraciones a instar a los expertos y científicos de instituciones académicas y de investigación a participar y contribuir a los trabajos de la Comisión de Estudio 3 del UIT-R.</w:t>
            </w:r>
          </w:p>
          <w:p w14:paraId="54E4388F" w14:textId="77777777" w:rsidR="00D951E4" w:rsidRPr="00856132" w:rsidRDefault="00D951E4" w:rsidP="00D32E3F">
            <w:pPr>
              <w:pStyle w:val="Tabletext"/>
              <w:keepNext/>
              <w:keepLines/>
              <w:jc w:val="both"/>
              <w:rPr>
                <w:color w:val="000000" w:themeColor="text1"/>
                <w:sz w:val="22"/>
                <w:lang w:val="es-ES_tradnl"/>
              </w:rPr>
            </w:pPr>
            <w:r w:rsidRPr="00856132">
              <w:rPr>
                <w:color w:val="000000" w:themeColor="text1"/>
                <w:sz w:val="22"/>
                <w:lang w:val="es-ES_tradnl"/>
              </w:rPr>
              <w:t>El GAR tomó nota de que la Comisión de Estudio 4 tiene previsto organizar un seminario para recabar la opinión de la industria de satélites a fin de debatir los aspectos de las comunicaciones y tecnologías por satélite en el marco de la preparación y publicación del nuevo Manual sobre este tema.</w:t>
            </w:r>
          </w:p>
          <w:p w14:paraId="525AA5B6" w14:textId="1185F0D3" w:rsidR="00D951E4" w:rsidRPr="00856132" w:rsidRDefault="00D951E4" w:rsidP="00D32E3F">
            <w:pPr>
              <w:pStyle w:val="Tabletext"/>
              <w:jc w:val="both"/>
              <w:rPr>
                <w:rFonts w:eastAsia="Calibri"/>
                <w:sz w:val="22"/>
                <w:lang w:val="es-ES_tradnl"/>
              </w:rPr>
            </w:pPr>
            <w:r w:rsidRPr="00856132">
              <w:rPr>
                <w:rFonts w:eastAsia="Calibri"/>
                <w:sz w:val="22"/>
                <w:lang w:val="es-ES_tradnl"/>
              </w:rPr>
              <w:t xml:space="preserve">El GAR examinó las propuestas presentadas en el Documento RAG/43 y recomendó al </w:t>
            </w:r>
            <w:proofErr w:type="gramStart"/>
            <w:r w:rsidRPr="00856132">
              <w:rPr>
                <w:rFonts w:eastAsia="Calibri"/>
                <w:sz w:val="22"/>
                <w:lang w:val="es-ES_tradnl"/>
              </w:rPr>
              <w:t>Director</w:t>
            </w:r>
            <w:proofErr w:type="gramEnd"/>
            <w:r w:rsidRPr="00856132">
              <w:rPr>
                <w:rFonts w:eastAsia="Calibri"/>
                <w:sz w:val="22"/>
                <w:lang w:val="es-ES_tradnl"/>
              </w:rPr>
              <w:t xml:space="preserve"> de la BR que invite a las Comisiones de Estudio del UIT-R identificar e informar acerca de cualquier problema, solapamiento u oportunidad de mejora en su ámbito de trabajo actual. El GAR insta a los miembros a contribuir a las Comisiones de Estudio interesadas en este tema. En la 33ª reunión del GAR se presentará un informe consolidado elaborado por la BR.</w:t>
            </w:r>
          </w:p>
          <w:p w14:paraId="7A9406D6" w14:textId="18153D00" w:rsidR="00D951E4" w:rsidRPr="00856132" w:rsidRDefault="00D951E4" w:rsidP="00D32E3F">
            <w:pPr>
              <w:pStyle w:val="Tabletext"/>
              <w:jc w:val="both"/>
              <w:rPr>
                <w:rFonts w:eastAsia="Calibri"/>
                <w:sz w:val="22"/>
                <w:lang w:val="es-ES_tradnl"/>
              </w:rPr>
            </w:pPr>
            <w:r w:rsidRPr="00856132">
              <w:rPr>
                <w:rFonts w:eastAsia="Calibri"/>
                <w:sz w:val="22"/>
                <w:lang w:val="es-ES_tradnl"/>
              </w:rPr>
              <w:t>Se organizará una sesión específica en la 33ª reunión del GAR para debatir las conclusiones del informe y las contribuciones de los miembros. En función del resultado de dicha sesión, la 33ª reunión del GAR decidirá si se crea un Grupo por Correspondencia y su eventual mandato.</w:t>
            </w:r>
          </w:p>
          <w:p w14:paraId="1BD74A23" w14:textId="75DB69DC" w:rsidR="00D951E4" w:rsidRPr="00856132" w:rsidRDefault="00D951E4" w:rsidP="00D32E3F">
            <w:pPr>
              <w:pStyle w:val="Tabletext"/>
              <w:jc w:val="both"/>
              <w:rPr>
                <w:rFonts w:eastAsia="Calibri"/>
                <w:sz w:val="22"/>
                <w:lang w:val="es-ES_tradnl"/>
              </w:rPr>
            </w:pPr>
            <w:r w:rsidRPr="00856132">
              <w:rPr>
                <w:rFonts w:eastAsia="Calibri"/>
                <w:sz w:val="22"/>
                <w:lang w:val="es-ES_tradnl"/>
              </w:rPr>
              <w:t xml:space="preserve">El GAR tomó nota de la cuestión relativa a celebrar reuniones del UIT-R fuera de Ginebra, según el documento GAR/44, en el que se destaca la importancia de aplicar el mismo procedimiento para la convocación de reuniones en los tres Sectores de la UIT y que a raíz de la construcción del nuevo edificio aumentará el número de reuniones que se celebren fuera de Ginebra. El </w:t>
            </w:r>
            <w:proofErr w:type="gramStart"/>
            <w:r w:rsidRPr="00856132">
              <w:rPr>
                <w:rFonts w:eastAsia="Calibri"/>
                <w:sz w:val="22"/>
                <w:lang w:val="es-ES_tradnl"/>
              </w:rPr>
              <w:t>Jefe</w:t>
            </w:r>
            <w:proofErr w:type="gramEnd"/>
            <w:r w:rsidRPr="00856132">
              <w:rPr>
                <w:rFonts w:eastAsia="Calibri"/>
                <w:sz w:val="22"/>
                <w:lang w:val="es-ES_tradnl"/>
              </w:rPr>
              <w:t xml:space="preserve"> de la SGD informó al GAR de que el Consejo tiene previsto examinar este asunto en su reunión de 2025, en el marco del proyecto del nuevo edificio, y cabe esperar que formule orientaciones al respecto. En consecuencia, el GAR recomendó al </w:t>
            </w:r>
            <w:proofErr w:type="gramStart"/>
            <w:r w:rsidRPr="00856132">
              <w:rPr>
                <w:rFonts w:eastAsia="Calibri"/>
                <w:sz w:val="22"/>
                <w:lang w:val="es-ES_tradnl"/>
              </w:rPr>
              <w:t>Director</w:t>
            </w:r>
            <w:proofErr w:type="gramEnd"/>
            <w:r w:rsidRPr="00856132">
              <w:rPr>
                <w:rFonts w:eastAsia="Calibri"/>
                <w:sz w:val="22"/>
                <w:lang w:val="es-ES_tradnl"/>
              </w:rPr>
              <w:t xml:space="preserve"> de la BR que comunicara las observaciones del GAR sobre el asunto al Consejo 2025. El GAR animó a las Administraciones a enviar a la BR su invitación para acoger reuniones del UIT-R lo antes posible, preferiblemente antes de la penúltima reunión de la Comisión de Estudio.</w:t>
            </w:r>
          </w:p>
        </w:tc>
      </w:tr>
      <w:tr w:rsidR="000A55EC" w:rsidRPr="00D71799" w14:paraId="4FF21D62" w14:textId="77777777" w:rsidTr="00D32E3F">
        <w:trPr>
          <w:cantSplit/>
        </w:trPr>
        <w:tc>
          <w:tcPr>
            <w:tcW w:w="964" w:type="dxa"/>
          </w:tcPr>
          <w:p w14:paraId="21048CE2" w14:textId="77777777" w:rsidR="000A55EC" w:rsidRPr="00856132" w:rsidRDefault="000A55EC" w:rsidP="001963A8">
            <w:pPr>
              <w:pStyle w:val="Tabletext"/>
              <w:rPr>
                <w:b/>
                <w:sz w:val="22"/>
                <w:lang w:val="es-ES_tradnl"/>
              </w:rPr>
            </w:pPr>
            <w:r w:rsidRPr="00856132">
              <w:rPr>
                <w:b/>
                <w:sz w:val="22"/>
                <w:lang w:val="es-ES_tradnl"/>
              </w:rPr>
              <w:lastRenderedPageBreak/>
              <w:t>9</w:t>
            </w:r>
          </w:p>
        </w:tc>
        <w:tc>
          <w:tcPr>
            <w:tcW w:w="1908" w:type="dxa"/>
          </w:tcPr>
          <w:p w14:paraId="469D90CB" w14:textId="77777777" w:rsidR="000A55EC" w:rsidRPr="002F73E0" w:rsidRDefault="000A55EC" w:rsidP="001963A8">
            <w:pPr>
              <w:pStyle w:val="Tabletext"/>
              <w:rPr>
                <w:b/>
                <w:bCs/>
                <w:sz w:val="22"/>
                <w:lang w:val="es-ES_tradnl"/>
              </w:rPr>
            </w:pPr>
            <w:r w:rsidRPr="002F73E0">
              <w:rPr>
                <w:b/>
                <w:bCs/>
                <w:sz w:val="22"/>
                <w:lang w:val="es-ES_tradnl"/>
              </w:rPr>
              <w:t>Actividades intersectoriales</w:t>
            </w:r>
          </w:p>
          <w:p w14:paraId="25C89BA8" w14:textId="659AB742" w:rsidR="000A55EC" w:rsidRPr="00856132" w:rsidRDefault="000A55EC" w:rsidP="001963A8">
            <w:pPr>
              <w:pStyle w:val="Tabletext"/>
              <w:rPr>
                <w:sz w:val="22"/>
                <w:lang w:val="es-ES_tradnl"/>
              </w:rPr>
            </w:pPr>
            <w:hyperlink r:id="rId45" w:history="1">
              <w:r w:rsidRPr="00856132">
                <w:rPr>
                  <w:rStyle w:val="Hyperlink"/>
                  <w:rFonts w:asciiTheme="minorHAnsi" w:hAnsiTheme="minorHAnsi" w:cstheme="minorHAnsi"/>
                  <w:sz w:val="22"/>
                  <w:lang w:val="es-ES_tradnl"/>
                </w:rPr>
                <w:t>18 (GCIS)</w:t>
              </w:r>
            </w:hyperlink>
            <w:r w:rsidRPr="00856132">
              <w:rPr>
                <w:sz w:val="22"/>
                <w:lang w:val="es-ES_tradnl"/>
              </w:rPr>
              <w:br/>
            </w:r>
            <w:hyperlink r:id="rId46" w:history="1">
              <w:r w:rsidRPr="00856132">
                <w:rPr>
                  <w:rStyle w:val="Hyperlink"/>
                  <w:rFonts w:asciiTheme="minorHAnsi" w:hAnsiTheme="minorHAnsi" w:cstheme="minorHAnsi"/>
                  <w:sz w:val="22"/>
                  <w:lang w:val="es-ES_tradnl"/>
                </w:rPr>
                <w:t>34 (GCIS)</w:t>
              </w:r>
            </w:hyperlink>
            <w:r w:rsidRPr="00856132">
              <w:rPr>
                <w:sz w:val="22"/>
                <w:lang w:val="es-ES_tradnl"/>
              </w:rPr>
              <w:br/>
            </w:r>
            <w:hyperlink r:id="rId47" w:history="1">
              <w:r w:rsidRPr="00856132">
                <w:rPr>
                  <w:rStyle w:val="Hyperlink"/>
                  <w:rFonts w:asciiTheme="minorHAnsi" w:hAnsiTheme="minorHAnsi" w:cstheme="minorHAnsi"/>
                  <w:sz w:val="22"/>
                  <w:lang w:val="es-ES_tradnl"/>
                </w:rPr>
                <w:t>39 (GCIS)</w:t>
              </w:r>
            </w:hyperlink>
          </w:p>
        </w:tc>
        <w:tc>
          <w:tcPr>
            <w:tcW w:w="11110" w:type="dxa"/>
          </w:tcPr>
          <w:p w14:paraId="1C0842B1" w14:textId="77777777" w:rsidR="000A55EC" w:rsidRPr="00856132" w:rsidRDefault="000A55EC" w:rsidP="00D32E3F">
            <w:pPr>
              <w:pStyle w:val="Tabletext"/>
              <w:jc w:val="both"/>
              <w:rPr>
                <w:rFonts w:eastAsia="Calibri"/>
                <w:sz w:val="22"/>
                <w:lang w:val="es-ES_tradnl"/>
              </w:rPr>
            </w:pPr>
            <w:r w:rsidRPr="00856132">
              <w:rPr>
                <w:rFonts w:eastAsia="Calibri"/>
                <w:sz w:val="22"/>
                <w:lang w:val="es-ES_tradnl"/>
              </w:rPr>
              <w:t>El GAR examinó los tres documentos del Grupo de Coordinación Intersectorial y tomó nota de ellos con agradecimiento.</w:t>
            </w:r>
          </w:p>
          <w:p w14:paraId="03F33ECC" w14:textId="2A2C4DC3" w:rsidR="000A55EC" w:rsidRPr="00856132" w:rsidRDefault="000A55EC" w:rsidP="00D32E3F">
            <w:pPr>
              <w:pStyle w:val="Tabletext"/>
              <w:jc w:val="both"/>
              <w:rPr>
                <w:color w:val="000000"/>
                <w:sz w:val="22"/>
                <w:lang w:val="es-ES_tradnl"/>
              </w:rPr>
            </w:pPr>
            <w:r w:rsidRPr="00856132">
              <w:rPr>
                <w:rFonts w:eastAsia="Calibri"/>
                <w:sz w:val="22"/>
                <w:lang w:val="es-ES_tradnl"/>
              </w:rPr>
              <w:t xml:space="preserve">Se informó al GAR de que la próxima reunión del GCIS se celebrará el 28 de mayo de 2025, junto con el GANT, y de que el GAR ha nombrado a sus dos vicepresidentes, el Sr. Tarcisio </w:t>
            </w:r>
            <w:proofErr w:type="spellStart"/>
            <w:r w:rsidRPr="00856132">
              <w:rPr>
                <w:rFonts w:eastAsia="Calibri"/>
                <w:sz w:val="22"/>
                <w:lang w:val="es-ES_tradnl"/>
              </w:rPr>
              <w:t>Aurélio</w:t>
            </w:r>
            <w:proofErr w:type="spellEnd"/>
            <w:r w:rsidRPr="00856132">
              <w:rPr>
                <w:rFonts w:eastAsia="Calibri"/>
                <w:sz w:val="22"/>
                <w:lang w:val="es-ES_tradnl"/>
              </w:rPr>
              <w:t xml:space="preserve"> BAKAUS (Brasil) y el Sr. </w:t>
            </w:r>
            <w:proofErr w:type="spellStart"/>
            <w:r w:rsidRPr="00856132">
              <w:rPr>
                <w:rFonts w:eastAsia="Calibri"/>
                <w:sz w:val="22"/>
                <w:lang w:val="es-ES_tradnl"/>
              </w:rPr>
              <w:t>Wako</w:t>
            </w:r>
            <w:proofErr w:type="spellEnd"/>
            <w:r w:rsidRPr="00856132">
              <w:rPr>
                <w:rFonts w:eastAsia="Calibri"/>
                <w:sz w:val="22"/>
                <w:lang w:val="es-ES_tradnl"/>
              </w:rPr>
              <w:t xml:space="preserve"> GABABO (Kenia), para que representen al Sector en el GCIS durante el presente ciclo. El </w:t>
            </w:r>
            <w:proofErr w:type="gramStart"/>
            <w:r w:rsidRPr="00856132">
              <w:rPr>
                <w:rFonts w:eastAsia="Calibri"/>
                <w:sz w:val="22"/>
                <w:lang w:val="es-ES_tradnl"/>
              </w:rPr>
              <w:t>Presiden</w:t>
            </w:r>
            <w:r w:rsidR="00856132">
              <w:rPr>
                <w:rFonts w:eastAsia="Calibri"/>
                <w:sz w:val="22"/>
                <w:lang w:val="es-ES_tradnl"/>
              </w:rPr>
              <w:t>t</w:t>
            </w:r>
            <w:r w:rsidRPr="00856132">
              <w:rPr>
                <w:rFonts w:eastAsia="Calibri"/>
                <w:sz w:val="22"/>
                <w:lang w:val="es-ES_tradnl"/>
              </w:rPr>
              <w:t>e</w:t>
            </w:r>
            <w:proofErr w:type="gramEnd"/>
            <w:r w:rsidRPr="00856132">
              <w:rPr>
                <w:rFonts w:eastAsia="Calibri"/>
                <w:sz w:val="22"/>
                <w:lang w:val="es-ES_tradnl"/>
              </w:rPr>
              <w:t xml:space="preserve"> del GCIS informó al GAR de que, con la jubilación del anterior coordinador sobre Accesibilidad, los Grupos Asesores de los Sectores deberían proceder a un nuevo nombramiento. El </w:t>
            </w:r>
            <w:proofErr w:type="gramStart"/>
            <w:r w:rsidRPr="00856132">
              <w:rPr>
                <w:rFonts w:eastAsia="Calibri"/>
                <w:sz w:val="22"/>
                <w:lang w:val="es-ES_tradnl"/>
              </w:rPr>
              <w:t>Presidente</w:t>
            </w:r>
            <w:proofErr w:type="gramEnd"/>
            <w:r w:rsidRPr="00856132">
              <w:rPr>
                <w:rFonts w:eastAsia="Calibri"/>
                <w:sz w:val="22"/>
                <w:lang w:val="es-ES_tradnl"/>
              </w:rPr>
              <w:t xml:space="preserve"> del GCIS instó a los miembros del GAR a participar activamente en la labor del Grupo de Trabajo del Consejo sobre los Planes Estratégico y Financiero</w:t>
            </w:r>
            <w:r w:rsidR="004559F5" w:rsidRPr="00856132">
              <w:rPr>
                <w:rFonts w:eastAsia="Calibri"/>
                <w:sz w:val="22"/>
                <w:lang w:val="es-ES_tradnl"/>
              </w:rPr>
              <w:t> </w:t>
            </w:r>
            <w:r w:rsidRPr="00856132">
              <w:rPr>
                <w:rFonts w:eastAsia="Calibri"/>
                <w:sz w:val="22"/>
                <w:lang w:val="es-ES_tradnl"/>
              </w:rPr>
              <w:t>2028-2031 (GTC-PEF</w:t>
            </w:r>
            <w:r w:rsidRPr="00856132">
              <w:rPr>
                <w:color w:val="000000" w:themeColor="text1"/>
                <w:sz w:val="22"/>
                <w:lang w:val="es-ES_tradnl"/>
              </w:rPr>
              <w:t>).</w:t>
            </w:r>
          </w:p>
          <w:p w14:paraId="25BCB7F5" w14:textId="77777777" w:rsidR="000A55EC" w:rsidRPr="00856132" w:rsidRDefault="000A55EC" w:rsidP="00D32E3F">
            <w:pPr>
              <w:pStyle w:val="Tabletext"/>
              <w:jc w:val="both"/>
              <w:rPr>
                <w:color w:val="000000"/>
                <w:sz w:val="22"/>
                <w:lang w:val="es-ES_tradnl"/>
              </w:rPr>
            </w:pPr>
            <w:r w:rsidRPr="00856132">
              <w:rPr>
                <w:color w:val="000000"/>
                <w:sz w:val="22"/>
                <w:lang w:val="es-ES_tradnl"/>
              </w:rPr>
              <w:t>El GAR tomó nota del informe de situación y del mandato actualizado del GCIS.</w:t>
            </w:r>
          </w:p>
          <w:p w14:paraId="53E9ED0C" w14:textId="5D61A0F4" w:rsidR="000A55EC" w:rsidRPr="00856132" w:rsidRDefault="000A55EC" w:rsidP="00D32E3F">
            <w:pPr>
              <w:pStyle w:val="Tabletext"/>
              <w:jc w:val="both"/>
              <w:rPr>
                <w:color w:val="000000"/>
                <w:sz w:val="22"/>
                <w:lang w:val="es-ES_tradnl"/>
              </w:rPr>
            </w:pPr>
            <w:r w:rsidRPr="00856132">
              <w:rPr>
                <w:color w:val="000000"/>
                <w:sz w:val="22"/>
                <w:lang w:val="es-ES_tradnl"/>
              </w:rPr>
              <w:t xml:space="preserve">El GAR manifestó su gratitud al </w:t>
            </w:r>
            <w:proofErr w:type="gramStart"/>
            <w:r w:rsidRPr="00856132">
              <w:rPr>
                <w:color w:val="000000"/>
                <w:sz w:val="22"/>
                <w:lang w:val="es-ES_tradnl"/>
              </w:rPr>
              <w:t>Presidente</w:t>
            </w:r>
            <w:proofErr w:type="gramEnd"/>
            <w:r w:rsidRPr="00856132">
              <w:rPr>
                <w:color w:val="000000"/>
                <w:sz w:val="22"/>
                <w:lang w:val="es-ES_tradnl"/>
              </w:rPr>
              <w:t xml:space="preserve"> del GCIS por dirigir este trabajo e instó a los representantes del GAR y a las Administraciones a que formularan sus observaciones en relación con la racionalización de las Resoluciones.</w:t>
            </w:r>
          </w:p>
          <w:p w14:paraId="5037C44B" w14:textId="77777777" w:rsidR="000A55EC" w:rsidRPr="00856132" w:rsidRDefault="000A55EC" w:rsidP="00D32E3F">
            <w:pPr>
              <w:pStyle w:val="Tabletext"/>
              <w:jc w:val="both"/>
              <w:rPr>
                <w:color w:val="000000"/>
                <w:sz w:val="22"/>
                <w:lang w:val="es-ES_tradnl"/>
              </w:rPr>
            </w:pPr>
            <w:r w:rsidRPr="00856132">
              <w:rPr>
                <w:color w:val="000000"/>
                <w:sz w:val="22"/>
                <w:lang w:val="es-ES_tradnl"/>
              </w:rPr>
              <w:t>El GAR también pidió a las Administraciones y al GCIS que siguieran colaborando para evitar solapamientos entre el trabajo de los distintos Sectores y destacó la necesidad de presentar propuestas tangibles al GCIS.</w:t>
            </w:r>
          </w:p>
          <w:p w14:paraId="6A83737B" w14:textId="7898EF76" w:rsidR="000A55EC" w:rsidRPr="00856132" w:rsidRDefault="000A55EC" w:rsidP="00D32E3F">
            <w:pPr>
              <w:pStyle w:val="Tabletext"/>
              <w:jc w:val="both"/>
              <w:rPr>
                <w:rFonts w:eastAsia="Calibri"/>
                <w:sz w:val="22"/>
                <w:lang w:val="es-ES_tradnl"/>
              </w:rPr>
            </w:pPr>
            <w:r w:rsidRPr="00856132">
              <w:rPr>
                <w:color w:val="000000"/>
                <w:sz w:val="22"/>
                <w:lang w:val="es-ES_tradnl"/>
              </w:rPr>
              <w:t xml:space="preserve">El </w:t>
            </w:r>
            <w:proofErr w:type="gramStart"/>
            <w:r w:rsidRPr="00856132">
              <w:rPr>
                <w:color w:val="000000"/>
                <w:sz w:val="22"/>
                <w:lang w:val="es-ES_tradnl"/>
              </w:rPr>
              <w:t>Presidente</w:t>
            </w:r>
            <w:proofErr w:type="gramEnd"/>
            <w:r w:rsidRPr="00856132">
              <w:rPr>
                <w:color w:val="000000"/>
                <w:sz w:val="22"/>
                <w:lang w:val="es-ES_tradnl"/>
              </w:rPr>
              <w:t xml:space="preserve"> del GCIS acordó añadir este punto al orden del día de la próxima reunión.</w:t>
            </w:r>
          </w:p>
        </w:tc>
      </w:tr>
      <w:tr w:rsidR="000A55EC" w:rsidRPr="00D71799" w14:paraId="12E9C42D" w14:textId="77777777" w:rsidTr="00D32E3F">
        <w:trPr>
          <w:cantSplit/>
        </w:trPr>
        <w:tc>
          <w:tcPr>
            <w:tcW w:w="964" w:type="dxa"/>
          </w:tcPr>
          <w:p w14:paraId="165E216E" w14:textId="77777777" w:rsidR="000A55EC" w:rsidRPr="00856132" w:rsidRDefault="000A55EC" w:rsidP="001963A8">
            <w:pPr>
              <w:pStyle w:val="Tabletext"/>
              <w:rPr>
                <w:b/>
                <w:sz w:val="22"/>
                <w:lang w:val="es-ES_tradnl"/>
              </w:rPr>
            </w:pPr>
          </w:p>
        </w:tc>
        <w:tc>
          <w:tcPr>
            <w:tcW w:w="1908" w:type="dxa"/>
          </w:tcPr>
          <w:p w14:paraId="343530DC" w14:textId="56A8B4A4" w:rsidR="000A55EC" w:rsidRPr="00856132" w:rsidRDefault="000A55EC" w:rsidP="001963A8">
            <w:pPr>
              <w:pStyle w:val="Tabletext"/>
              <w:rPr>
                <w:sz w:val="22"/>
                <w:lang w:val="es-ES_tradnl"/>
              </w:rPr>
            </w:pPr>
            <w:hyperlink r:id="rId48" w:history="1">
              <w:r w:rsidRPr="00856132">
                <w:rPr>
                  <w:rStyle w:val="Hyperlink"/>
                  <w:rFonts w:asciiTheme="minorHAnsi" w:hAnsiTheme="minorHAnsi" w:cstheme="minorHAnsi"/>
                  <w:sz w:val="22"/>
                  <w:lang w:val="es-ES_tradnl"/>
                </w:rPr>
                <w:t>20 (TSAG</w:t>
              </w:r>
            </w:hyperlink>
            <w:r w:rsidRPr="00856132">
              <w:rPr>
                <w:sz w:val="22"/>
                <w:lang w:val="es-ES_tradnl"/>
              </w:rPr>
              <w:t>)</w:t>
            </w:r>
            <w:r w:rsidRPr="00856132">
              <w:rPr>
                <w:sz w:val="22"/>
                <w:lang w:val="es-ES_tradnl"/>
              </w:rPr>
              <w:br/>
            </w:r>
            <w:hyperlink r:id="rId49" w:history="1">
              <w:r w:rsidRPr="00856132">
                <w:rPr>
                  <w:rStyle w:val="Hyperlink"/>
                  <w:rFonts w:asciiTheme="minorHAnsi" w:hAnsiTheme="minorHAnsi" w:cstheme="minorHAnsi"/>
                  <w:sz w:val="22"/>
                  <w:lang w:val="es-ES_tradnl"/>
                </w:rPr>
                <w:t>21 (TSAG)</w:t>
              </w:r>
            </w:hyperlink>
            <w:r w:rsidRPr="00856132">
              <w:rPr>
                <w:sz w:val="22"/>
                <w:lang w:val="es-ES_tradnl"/>
              </w:rPr>
              <w:br/>
            </w:r>
            <w:hyperlink r:id="rId50" w:history="1">
              <w:r w:rsidRPr="00856132">
                <w:rPr>
                  <w:rStyle w:val="Hyperlink"/>
                  <w:rFonts w:asciiTheme="minorHAnsi" w:hAnsiTheme="minorHAnsi" w:cstheme="minorHAnsi"/>
                  <w:sz w:val="22"/>
                  <w:lang w:val="es-ES_tradnl"/>
                </w:rPr>
                <w:t>22 (TSAG)</w:t>
              </w:r>
            </w:hyperlink>
            <w:r w:rsidRPr="00856132">
              <w:rPr>
                <w:sz w:val="22"/>
                <w:lang w:val="es-ES_tradnl"/>
              </w:rPr>
              <w:br/>
            </w:r>
            <w:hyperlink r:id="rId51" w:history="1">
              <w:r w:rsidRPr="00856132">
                <w:rPr>
                  <w:rStyle w:val="Hyperlink"/>
                  <w:rFonts w:asciiTheme="minorHAnsi" w:hAnsiTheme="minorHAnsi" w:cstheme="minorHAnsi"/>
                  <w:sz w:val="22"/>
                  <w:lang w:val="es-ES_tradnl"/>
                </w:rPr>
                <w:t>23 (TSAG)</w:t>
              </w:r>
            </w:hyperlink>
            <w:r w:rsidRPr="00856132">
              <w:rPr>
                <w:sz w:val="22"/>
                <w:lang w:val="es-ES_tradnl"/>
              </w:rPr>
              <w:br/>
            </w:r>
            <w:hyperlink r:id="rId52" w:history="1">
              <w:r w:rsidRPr="00856132">
                <w:rPr>
                  <w:rStyle w:val="Hyperlink"/>
                  <w:rFonts w:asciiTheme="minorHAnsi" w:hAnsiTheme="minorHAnsi" w:cstheme="minorHAnsi"/>
                  <w:sz w:val="22"/>
                  <w:lang w:val="es-ES_tradnl"/>
                </w:rPr>
                <w:t>31 (TSAG)</w:t>
              </w:r>
            </w:hyperlink>
          </w:p>
        </w:tc>
        <w:tc>
          <w:tcPr>
            <w:tcW w:w="11110" w:type="dxa"/>
          </w:tcPr>
          <w:p w14:paraId="77A02EBA" w14:textId="77777777" w:rsidR="000A55EC" w:rsidRPr="00856132" w:rsidRDefault="000A55EC" w:rsidP="00D32E3F">
            <w:pPr>
              <w:pStyle w:val="Tabletext"/>
              <w:jc w:val="both"/>
              <w:rPr>
                <w:rFonts w:eastAsia="Calibri"/>
                <w:sz w:val="22"/>
                <w:lang w:val="es-ES_tradnl"/>
              </w:rPr>
            </w:pPr>
            <w:r w:rsidRPr="00856132">
              <w:rPr>
                <w:rFonts w:eastAsia="Calibri"/>
                <w:sz w:val="22"/>
                <w:lang w:val="es-ES_tradnl"/>
              </w:rPr>
              <w:t>El GAR tomó nota con agradecimiento de las declaraciones de coordinación remitidas por el GANT.</w:t>
            </w:r>
          </w:p>
          <w:p w14:paraId="572D885C" w14:textId="2FF2E139" w:rsidR="000A55EC" w:rsidRPr="00856132" w:rsidRDefault="000A55EC" w:rsidP="00D32E3F">
            <w:pPr>
              <w:pStyle w:val="Tabletext"/>
              <w:jc w:val="both"/>
              <w:rPr>
                <w:rFonts w:eastAsia="Calibri"/>
                <w:sz w:val="22"/>
                <w:lang w:val="es-ES_tradnl"/>
              </w:rPr>
            </w:pPr>
            <w:r w:rsidRPr="00856132">
              <w:rPr>
                <w:rFonts w:eastAsia="Calibri"/>
                <w:sz w:val="22"/>
                <w:lang w:val="es-ES_tradnl"/>
              </w:rPr>
              <w:t>El GAR también tomó nota del creciente trabajo en el UIT-T relacionado con las radiocomunicaciones, que trasciende el mandato del</w:t>
            </w:r>
            <w:r w:rsidR="004559F5" w:rsidRPr="00856132">
              <w:rPr>
                <w:rFonts w:eastAsia="Calibri"/>
                <w:sz w:val="22"/>
                <w:lang w:val="es-ES_tradnl"/>
              </w:rPr>
              <w:t> </w:t>
            </w:r>
            <w:r w:rsidRPr="00856132">
              <w:rPr>
                <w:rFonts w:eastAsia="Calibri"/>
                <w:sz w:val="22"/>
                <w:lang w:val="es-ES_tradnl"/>
              </w:rPr>
              <w:t xml:space="preserve">UIT-T. El GAR recomendó al </w:t>
            </w:r>
            <w:proofErr w:type="gramStart"/>
            <w:r w:rsidRPr="00856132">
              <w:rPr>
                <w:rFonts w:eastAsia="Calibri"/>
                <w:sz w:val="22"/>
                <w:lang w:val="es-ES_tradnl"/>
              </w:rPr>
              <w:t>Director</w:t>
            </w:r>
            <w:proofErr w:type="gramEnd"/>
            <w:r w:rsidRPr="00856132">
              <w:rPr>
                <w:rFonts w:eastAsia="Calibri"/>
                <w:sz w:val="22"/>
                <w:lang w:val="es-ES_tradnl"/>
              </w:rPr>
              <w:t xml:space="preserve"> de la BR que se coordinara con el </w:t>
            </w:r>
            <w:proofErr w:type="gramStart"/>
            <w:r w:rsidRPr="00856132">
              <w:rPr>
                <w:rFonts w:eastAsia="Calibri"/>
                <w:sz w:val="22"/>
                <w:lang w:val="es-ES_tradnl"/>
              </w:rPr>
              <w:t>Director</w:t>
            </w:r>
            <w:proofErr w:type="gramEnd"/>
            <w:r w:rsidRPr="00856132">
              <w:rPr>
                <w:rFonts w:eastAsia="Calibri"/>
                <w:sz w:val="22"/>
                <w:lang w:val="es-ES_tradnl"/>
              </w:rPr>
              <w:t xml:space="preserve"> de la TSB para evitar la duplicación de tareas entre el</w:t>
            </w:r>
            <w:r w:rsidR="004559F5" w:rsidRPr="00856132">
              <w:rPr>
                <w:rFonts w:eastAsia="Calibri"/>
                <w:sz w:val="22"/>
                <w:lang w:val="es-ES_tradnl"/>
              </w:rPr>
              <w:t> </w:t>
            </w:r>
            <w:r w:rsidRPr="00856132">
              <w:rPr>
                <w:rFonts w:eastAsia="Calibri"/>
                <w:sz w:val="22"/>
                <w:lang w:val="es-ES_tradnl"/>
              </w:rPr>
              <w:t xml:space="preserve">UIT-R y el UIT-T, habida cuenta del mandato de cada Sector. El </w:t>
            </w:r>
            <w:proofErr w:type="gramStart"/>
            <w:r w:rsidRPr="00856132">
              <w:rPr>
                <w:rFonts w:eastAsia="Calibri"/>
                <w:sz w:val="22"/>
                <w:lang w:val="es-ES_tradnl"/>
              </w:rPr>
              <w:t>Presidente</w:t>
            </w:r>
            <w:proofErr w:type="gramEnd"/>
            <w:r w:rsidRPr="00856132">
              <w:rPr>
                <w:rFonts w:eastAsia="Calibri"/>
                <w:sz w:val="22"/>
                <w:lang w:val="es-ES_tradnl"/>
              </w:rPr>
              <w:t xml:space="preserve"> del GAR acordó señalar este asunto a la atención del </w:t>
            </w:r>
            <w:proofErr w:type="gramStart"/>
            <w:r w:rsidRPr="00856132">
              <w:rPr>
                <w:rFonts w:eastAsia="Calibri"/>
                <w:sz w:val="22"/>
                <w:lang w:val="es-ES_tradnl"/>
              </w:rPr>
              <w:t>Presidente</w:t>
            </w:r>
            <w:proofErr w:type="gramEnd"/>
            <w:r w:rsidRPr="00856132">
              <w:rPr>
                <w:rFonts w:eastAsia="Calibri"/>
                <w:sz w:val="22"/>
                <w:lang w:val="es-ES_tradnl"/>
              </w:rPr>
              <w:t xml:space="preserve"> del GANT e informar al respecto en la 33ª reunión del GAR.</w:t>
            </w:r>
          </w:p>
          <w:p w14:paraId="71B048E7" w14:textId="13B7047A" w:rsidR="000A55EC" w:rsidRPr="00856132" w:rsidRDefault="000A55EC" w:rsidP="00D32E3F">
            <w:pPr>
              <w:pStyle w:val="Tabletext"/>
              <w:jc w:val="both"/>
              <w:rPr>
                <w:rFonts w:eastAsia="Calibri"/>
                <w:sz w:val="22"/>
                <w:highlight w:val="yellow"/>
                <w:lang w:val="es-ES_tradnl"/>
              </w:rPr>
            </w:pPr>
            <w:r w:rsidRPr="00856132">
              <w:rPr>
                <w:rFonts w:eastAsia="Calibri"/>
                <w:sz w:val="22"/>
                <w:lang w:val="es-ES_tradnl"/>
              </w:rPr>
              <w:t>El GAR acordó enviar una declaración de coordinación de respuesta al GANT, que figura en el Anexo 3 al presente documento.</w:t>
            </w:r>
          </w:p>
        </w:tc>
      </w:tr>
      <w:tr w:rsidR="000A55EC" w:rsidRPr="00D71799" w14:paraId="0C42B379" w14:textId="77777777" w:rsidTr="00D32E3F">
        <w:trPr>
          <w:cantSplit/>
        </w:trPr>
        <w:tc>
          <w:tcPr>
            <w:tcW w:w="964" w:type="dxa"/>
          </w:tcPr>
          <w:p w14:paraId="2D17A85F" w14:textId="77777777" w:rsidR="000A55EC" w:rsidRPr="00856132" w:rsidRDefault="000A55EC" w:rsidP="001963A8">
            <w:pPr>
              <w:pStyle w:val="Tabletext"/>
              <w:rPr>
                <w:b/>
                <w:sz w:val="22"/>
                <w:lang w:val="es-ES_tradnl"/>
              </w:rPr>
            </w:pPr>
          </w:p>
        </w:tc>
        <w:tc>
          <w:tcPr>
            <w:tcW w:w="1908" w:type="dxa"/>
          </w:tcPr>
          <w:p w14:paraId="2F9996D3" w14:textId="6A816AF3" w:rsidR="000A55EC" w:rsidRPr="00856132" w:rsidRDefault="000A55EC" w:rsidP="001963A8">
            <w:pPr>
              <w:pStyle w:val="Tabletext"/>
              <w:rPr>
                <w:sz w:val="22"/>
                <w:lang w:val="es-ES_tradnl"/>
              </w:rPr>
            </w:pPr>
            <w:hyperlink r:id="rId53" w:history="1">
              <w:r w:rsidRPr="00856132">
                <w:rPr>
                  <w:rStyle w:val="Hyperlink"/>
                  <w:rFonts w:asciiTheme="minorHAnsi" w:hAnsiTheme="minorHAnsi" w:cstheme="minorHAnsi"/>
                  <w:sz w:val="22"/>
                  <w:lang w:val="es-ES_tradnl"/>
                </w:rPr>
                <w:t>17 (SG 11)</w:t>
              </w:r>
            </w:hyperlink>
            <w:r w:rsidRPr="00856132">
              <w:rPr>
                <w:sz w:val="22"/>
                <w:lang w:val="es-ES_tradnl"/>
              </w:rPr>
              <w:br/>
            </w:r>
            <w:hyperlink r:id="rId54" w:history="1">
              <w:r w:rsidRPr="00856132">
                <w:rPr>
                  <w:rStyle w:val="Hyperlink"/>
                  <w:rFonts w:asciiTheme="minorHAnsi" w:hAnsiTheme="minorHAnsi" w:cstheme="minorHAnsi"/>
                  <w:sz w:val="22"/>
                  <w:lang w:val="es-ES_tradnl"/>
                </w:rPr>
                <w:t>32 (SG 2)</w:t>
              </w:r>
            </w:hyperlink>
            <w:r w:rsidRPr="00856132">
              <w:rPr>
                <w:sz w:val="22"/>
                <w:lang w:val="es-ES_tradnl"/>
              </w:rPr>
              <w:br/>
            </w:r>
            <w:hyperlink r:id="rId55" w:history="1">
              <w:r w:rsidRPr="00856132">
                <w:rPr>
                  <w:rStyle w:val="Hyperlink"/>
                  <w:rFonts w:asciiTheme="minorHAnsi" w:hAnsiTheme="minorHAnsi" w:cstheme="minorHAnsi"/>
                  <w:sz w:val="22"/>
                  <w:lang w:val="es-ES_tradnl"/>
                </w:rPr>
                <w:t>19 (SG 3)</w:t>
              </w:r>
            </w:hyperlink>
            <w:r w:rsidRPr="00856132">
              <w:rPr>
                <w:sz w:val="22"/>
                <w:lang w:val="es-ES_tradnl"/>
              </w:rPr>
              <w:br/>
            </w:r>
            <w:hyperlink r:id="rId56" w:history="1">
              <w:r w:rsidRPr="00856132">
                <w:rPr>
                  <w:rStyle w:val="Hyperlink"/>
                  <w:rFonts w:asciiTheme="minorHAnsi" w:hAnsiTheme="minorHAnsi" w:cstheme="minorHAnsi"/>
                  <w:sz w:val="22"/>
                  <w:lang w:val="es-ES_tradnl"/>
                </w:rPr>
                <w:t>46 (SG15)</w:t>
              </w:r>
            </w:hyperlink>
          </w:p>
        </w:tc>
        <w:tc>
          <w:tcPr>
            <w:tcW w:w="11110" w:type="dxa"/>
          </w:tcPr>
          <w:p w14:paraId="323BF7B1" w14:textId="77777777" w:rsidR="000A55EC" w:rsidRPr="00856132" w:rsidRDefault="000A55EC" w:rsidP="00D32E3F">
            <w:pPr>
              <w:pStyle w:val="Tabletext"/>
              <w:jc w:val="both"/>
              <w:rPr>
                <w:rFonts w:eastAsia="Calibri"/>
                <w:sz w:val="22"/>
                <w:lang w:val="es-ES_tradnl"/>
              </w:rPr>
            </w:pPr>
            <w:r w:rsidRPr="00856132">
              <w:rPr>
                <w:rFonts w:eastAsia="Calibri"/>
                <w:sz w:val="22"/>
                <w:lang w:val="es-ES_tradnl"/>
              </w:rPr>
              <w:t>El GAR tomó nota de las declaraciones de coordinación remitidas por las Comisiones de Estudio del UIT-T:</w:t>
            </w:r>
          </w:p>
          <w:p w14:paraId="419A0F60" w14:textId="77777777" w:rsidR="000A55EC" w:rsidRPr="00856132" w:rsidRDefault="000A55EC" w:rsidP="00D32E3F">
            <w:pPr>
              <w:pStyle w:val="Tabletext"/>
              <w:jc w:val="both"/>
              <w:rPr>
                <w:rFonts w:eastAsia="Calibri"/>
                <w:sz w:val="22"/>
                <w:lang w:val="es-ES_tradnl"/>
              </w:rPr>
            </w:pPr>
            <w:r w:rsidRPr="00856132">
              <w:rPr>
                <w:rFonts w:eastAsia="Calibri"/>
                <w:sz w:val="22"/>
                <w:lang w:val="es-ES_tradnl"/>
              </w:rPr>
              <w:t>En relación con los Documentos RAG/17 y RAG/32, el GAR observó que las definiciones de aeronave no tripulada (ANT) no coincidían con las definiciones contenidas en el Reglamento de Radiocomunicaciones. El GAR señaló que en la declaración de coordinación dirigida al GANT también se debería considerar estos documentos y el debate general sobre los límites que deben establecerse entre el trabajo del UIT-R y el del UIT-T.</w:t>
            </w:r>
          </w:p>
          <w:p w14:paraId="708A7F4D" w14:textId="1AD9DDF4" w:rsidR="000A55EC" w:rsidRPr="00856132" w:rsidRDefault="000A55EC" w:rsidP="00D32E3F">
            <w:pPr>
              <w:pStyle w:val="Tabletext"/>
              <w:jc w:val="both"/>
              <w:rPr>
                <w:rFonts w:eastAsia="Calibri"/>
                <w:sz w:val="22"/>
                <w:lang w:val="es-ES_tradnl"/>
              </w:rPr>
            </w:pPr>
            <w:r w:rsidRPr="00856132">
              <w:rPr>
                <w:rFonts w:eastAsia="Calibri"/>
                <w:sz w:val="22"/>
                <w:lang w:val="es-ES_tradnl"/>
              </w:rPr>
              <w:t>En cuanto al Documento RAG/19, el GAR recordó el Artículo 155 del Convenio sobre los estudios realizados por las Comisiones de Estudio de Radiocomunicaciones: Por regla general, estos estudios no versarán sobre cuestiones económicas u operacionales, pero, si entrañan la comparación de soluciones técnicas alternativas, podrán tomarse en consideración los factores económicos.</w:t>
            </w:r>
          </w:p>
        </w:tc>
      </w:tr>
      <w:tr w:rsidR="000A55EC" w:rsidRPr="00D71799" w14:paraId="7497D2D3" w14:textId="77777777" w:rsidTr="00D32E3F">
        <w:trPr>
          <w:cantSplit/>
        </w:trPr>
        <w:tc>
          <w:tcPr>
            <w:tcW w:w="964" w:type="dxa"/>
          </w:tcPr>
          <w:p w14:paraId="75EBDE3A" w14:textId="77777777" w:rsidR="000A55EC" w:rsidRPr="00856132" w:rsidRDefault="000A55EC" w:rsidP="001963A8">
            <w:pPr>
              <w:pStyle w:val="Tabletext"/>
              <w:rPr>
                <w:b/>
                <w:sz w:val="22"/>
                <w:lang w:val="es-ES_tradnl"/>
              </w:rPr>
            </w:pPr>
          </w:p>
        </w:tc>
        <w:tc>
          <w:tcPr>
            <w:tcW w:w="1908" w:type="dxa"/>
          </w:tcPr>
          <w:p w14:paraId="74B95CE4" w14:textId="3E485A70" w:rsidR="000A55EC" w:rsidRPr="00856132" w:rsidRDefault="000A55EC" w:rsidP="001963A8">
            <w:pPr>
              <w:pStyle w:val="Tabletext"/>
              <w:rPr>
                <w:sz w:val="22"/>
                <w:lang w:val="es-ES_tradnl"/>
              </w:rPr>
            </w:pPr>
            <w:hyperlink r:id="rId57" w:history="1">
              <w:r w:rsidRPr="00856132">
                <w:rPr>
                  <w:rStyle w:val="Hyperlink"/>
                  <w:rFonts w:asciiTheme="minorHAnsi" w:hAnsiTheme="minorHAnsi" w:cstheme="minorHAnsi"/>
                  <w:sz w:val="22"/>
                  <w:lang w:val="es-ES_tradnl"/>
                </w:rPr>
                <w:t>26 (SG 4)</w:t>
              </w:r>
            </w:hyperlink>
            <w:r w:rsidRPr="00856132">
              <w:rPr>
                <w:sz w:val="22"/>
                <w:lang w:val="es-ES_tradnl"/>
              </w:rPr>
              <w:br/>
            </w:r>
            <w:hyperlink r:id="rId58" w:history="1">
              <w:r w:rsidRPr="00856132">
                <w:rPr>
                  <w:rStyle w:val="Hyperlink"/>
                  <w:rFonts w:asciiTheme="minorHAnsi" w:hAnsiTheme="minorHAnsi" w:cstheme="minorHAnsi"/>
                  <w:sz w:val="22"/>
                  <w:lang w:val="es-ES_tradnl"/>
                </w:rPr>
                <w:t>25 (WP 5D)</w:t>
              </w:r>
            </w:hyperlink>
            <w:r w:rsidRPr="00856132">
              <w:rPr>
                <w:sz w:val="22"/>
                <w:lang w:val="es-ES_tradnl"/>
              </w:rPr>
              <w:br/>
            </w:r>
            <w:hyperlink r:id="rId59" w:history="1">
              <w:r w:rsidRPr="00856132">
                <w:rPr>
                  <w:rStyle w:val="Hyperlink"/>
                  <w:rFonts w:asciiTheme="minorHAnsi" w:hAnsiTheme="minorHAnsi" w:cstheme="minorHAnsi"/>
                  <w:sz w:val="22"/>
                  <w:lang w:val="es-ES_tradnl"/>
                </w:rPr>
                <w:t>28 (CCT)</w:t>
              </w:r>
            </w:hyperlink>
            <w:r w:rsidRPr="00856132">
              <w:rPr>
                <w:sz w:val="22"/>
                <w:lang w:val="es-ES_tradnl"/>
              </w:rPr>
              <w:br/>
            </w:r>
            <w:hyperlink r:id="rId60" w:history="1">
              <w:r w:rsidRPr="00856132">
                <w:rPr>
                  <w:rStyle w:val="Hyperlink"/>
                  <w:rFonts w:asciiTheme="minorHAnsi" w:hAnsiTheme="minorHAnsi" w:cstheme="minorHAnsi"/>
                  <w:sz w:val="22"/>
                  <w:lang w:val="es-ES_tradnl"/>
                </w:rPr>
                <w:t>29 (CCT)</w:t>
              </w:r>
            </w:hyperlink>
            <w:r w:rsidRPr="00856132">
              <w:rPr>
                <w:sz w:val="22"/>
                <w:lang w:val="es-ES_tradnl"/>
              </w:rPr>
              <w:br/>
            </w:r>
            <w:hyperlink r:id="rId61" w:history="1">
              <w:r w:rsidRPr="00856132">
                <w:rPr>
                  <w:rStyle w:val="Hyperlink"/>
                  <w:rFonts w:asciiTheme="minorHAnsi" w:hAnsiTheme="minorHAnsi" w:cstheme="minorHAnsi"/>
                  <w:sz w:val="22"/>
                  <w:lang w:val="es-ES_tradnl"/>
                </w:rPr>
                <w:t>27 (WP 6A)</w:t>
              </w:r>
            </w:hyperlink>
          </w:p>
        </w:tc>
        <w:tc>
          <w:tcPr>
            <w:tcW w:w="11110" w:type="dxa"/>
          </w:tcPr>
          <w:p w14:paraId="062D808E" w14:textId="77777777" w:rsidR="000A55EC" w:rsidRPr="00856132" w:rsidRDefault="000A55EC" w:rsidP="00D32E3F">
            <w:pPr>
              <w:pStyle w:val="Tabletext"/>
              <w:jc w:val="both"/>
              <w:rPr>
                <w:rFonts w:eastAsia="Calibri"/>
                <w:sz w:val="22"/>
                <w:lang w:val="es-ES_tradnl"/>
              </w:rPr>
            </w:pPr>
            <w:r w:rsidRPr="00856132">
              <w:rPr>
                <w:rFonts w:eastAsia="Calibri"/>
                <w:sz w:val="22"/>
                <w:lang w:val="es-ES_tradnl"/>
              </w:rPr>
              <w:t>El GAR tomó nota de las declaraciones de coordinación remitidas por los Grupos del UIT-R relacionadas con la coordinación con las actividades del UIT-T.</w:t>
            </w:r>
          </w:p>
          <w:p w14:paraId="1AA98674" w14:textId="77777777" w:rsidR="000A55EC" w:rsidRPr="00856132" w:rsidRDefault="000A55EC" w:rsidP="00D32E3F">
            <w:pPr>
              <w:pStyle w:val="Tabletext"/>
              <w:jc w:val="both"/>
              <w:rPr>
                <w:rFonts w:eastAsia="Calibri"/>
                <w:sz w:val="22"/>
                <w:lang w:val="es-ES_tradnl"/>
              </w:rPr>
            </w:pPr>
            <w:r w:rsidRPr="00856132">
              <w:rPr>
                <w:rFonts w:eastAsia="Calibri"/>
                <w:sz w:val="22"/>
                <w:lang w:val="es-ES_tradnl"/>
              </w:rPr>
              <w:t>El GAR tomó nota de la necesidad de utilizar la terminología para las IMT de conformidad con la Resolución UIT-R 56 e instó a las Comisiones de Estudio a aplicarla de forma coherente.</w:t>
            </w:r>
          </w:p>
        </w:tc>
      </w:tr>
      <w:tr w:rsidR="000A55EC" w:rsidRPr="00D71799" w14:paraId="0A0D099B" w14:textId="77777777" w:rsidTr="00D32E3F">
        <w:trPr>
          <w:cantSplit/>
          <w:trHeight w:val="300"/>
        </w:trPr>
        <w:tc>
          <w:tcPr>
            <w:tcW w:w="964" w:type="dxa"/>
          </w:tcPr>
          <w:p w14:paraId="7F7FDBD0" w14:textId="77777777" w:rsidR="000A55EC" w:rsidRPr="00856132" w:rsidRDefault="000A55EC" w:rsidP="001963A8">
            <w:pPr>
              <w:pStyle w:val="Tabletext"/>
              <w:rPr>
                <w:b/>
                <w:sz w:val="22"/>
                <w:lang w:val="es-ES_tradnl"/>
              </w:rPr>
            </w:pPr>
            <w:r w:rsidRPr="00856132">
              <w:rPr>
                <w:b/>
                <w:sz w:val="22"/>
                <w:lang w:val="es-ES_tradnl"/>
              </w:rPr>
              <w:t>10</w:t>
            </w:r>
          </w:p>
        </w:tc>
        <w:tc>
          <w:tcPr>
            <w:tcW w:w="1908" w:type="dxa"/>
          </w:tcPr>
          <w:p w14:paraId="6720C1CE" w14:textId="77777777" w:rsidR="000A55EC" w:rsidRPr="00856132" w:rsidRDefault="000A55EC" w:rsidP="001963A8">
            <w:pPr>
              <w:pStyle w:val="Tabletext"/>
              <w:rPr>
                <w:b/>
                <w:bCs/>
                <w:sz w:val="22"/>
                <w:lang w:val="es-ES_tradnl"/>
              </w:rPr>
            </w:pPr>
            <w:r w:rsidRPr="00856132">
              <w:rPr>
                <w:b/>
                <w:bCs/>
                <w:sz w:val="22"/>
                <w:lang w:val="es-ES_tradnl"/>
              </w:rPr>
              <w:t>Reestructuración parcial del Departamento de Servicios Espaciales</w:t>
            </w:r>
          </w:p>
        </w:tc>
        <w:tc>
          <w:tcPr>
            <w:tcW w:w="11110" w:type="dxa"/>
          </w:tcPr>
          <w:p w14:paraId="6EB7F6CA" w14:textId="77777777" w:rsidR="000A55EC" w:rsidRPr="00856132" w:rsidRDefault="000A55EC" w:rsidP="00D32E3F">
            <w:pPr>
              <w:pStyle w:val="Tabletext"/>
              <w:jc w:val="both"/>
              <w:rPr>
                <w:rFonts w:eastAsia="Calibri"/>
                <w:sz w:val="22"/>
                <w:lang w:val="es-ES_tradnl"/>
              </w:rPr>
            </w:pPr>
            <w:r w:rsidRPr="00856132">
              <w:rPr>
                <w:rFonts w:eastAsia="Calibri"/>
                <w:sz w:val="22"/>
                <w:lang w:val="es-ES_tradnl"/>
              </w:rPr>
              <w:t>El GAR tomó nota de la información facilitada por la BR sobre la reestructuración parcial del Departamento de Servicios Espaciales.</w:t>
            </w:r>
          </w:p>
          <w:p w14:paraId="2F91DE61" w14:textId="1EB92D61" w:rsidR="000A55EC" w:rsidRPr="00856132" w:rsidRDefault="000A55EC" w:rsidP="00D32E3F">
            <w:pPr>
              <w:pStyle w:val="Tabletext"/>
              <w:jc w:val="both"/>
              <w:rPr>
                <w:rFonts w:eastAsia="Calibri"/>
                <w:sz w:val="22"/>
                <w:lang w:val="es-ES_tradnl"/>
              </w:rPr>
            </w:pPr>
            <w:r w:rsidRPr="00856132">
              <w:rPr>
                <w:rFonts w:eastAsia="Calibri"/>
                <w:sz w:val="22"/>
                <w:lang w:val="es-ES_tradnl"/>
              </w:rPr>
              <w:t xml:space="preserve">El GAR recomendó al </w:t>
            </w:r>
            <w:proofErr w:type="gramStart"/>
            <w:r w:rsidRPr="00856132">
              <w:rPr>
                <w:rFonts w:eastAsia="Calibri"/>
                <w:sz w:val="22"/>
                <w:lang w:val="es-ES_tradnl"/>
              </w:rPr>
              <w:t>Director</w:t>
            </w:r>
            <w:proofErr w:type="gramEnd"/>
            <w:r w:rsidRPr="00856132">
              <w:rPr>
                <w:rFonts w:eastAsia="Calibri"/>
                <w:sz w:val="22"/>
                <w:lang w:val="es-ES_tradnl"/>
              </w:rPr>
              <w:t xml:space="preserve"> de la BR que, en aras de la transparencia, publicara una Carta Circular para informar a los Miembros acerca de la reestructuración del Departamento de Servicios Espaciales (SSD), de las nuevas asignaciones de responsabilidades dentro del SSD, de los objetivos y la necesidad de la reestructuración.</w:t>
            </w:r>
          </w:p>
        </w:tc>
      </w:tr>
      <w:tr w:rsidR="000A55EC" w:rsidRPr="00D71799" w14:paraId="75BE3AEB" w14:textId="77777777" w:rsidTr="00D32E3F">
        <w:trPr>
          <w:cantSplit/>
        </w:trPr>
        <w:tc>
          <w:tcPr>
            <w:tcW w:w="964" w:type="dxa"/>
          </w:tcPr>
          <w:p w14:paraId="31363509" w14:textId="77777777" w:rsidR="000A55EC" w:rsidRPr="00856132" w:rsidRDefault="000A55EC" w:rsidP="001963A8">
            <w:pPr>
              <w:pStyle w:val="Tabletext"/>
              <w:rPr>
                <w:b/>
                <w:sz w:val="22"/>
                <w:lang w:val="es-ES_tradnl"/>
              </w:rPr>
            </w:pPr>
            <w:r w:rsidRPr="00856132">
              <w:rPr>
                <w:b/>
                <w:sz w:val="22"/>
                <w:lang w:val="es-ES_tradnl"/>
              </w:rPr>
              <w:t>11</w:t>
            </w:r>
          </w:p>
        </w:tc>
        <w:tc>
          <w:tcPr>
            <w:tcW w:w="1908" w:type="dxa"/>
          </w:tcPr>
          <w:p w14:paraId="079D56D1" w14:textId="77777777" w:rsidR="000A55EC" w:rsidRPr="00856132" w:rsidRDefault="000A55EC" w:rsidP="001963A8">
            <w:pPr>
              <w:pStyle w:val="Tabletext"/>
              <w:rPr>
                <w:b/>
                <w:bCs/>
                <w:sz w:val="22"/>
                <w:lang w:val="es-ES_tradnl"/>
              </w:rPr>
            </w:pPr>
            <w:r w:rsidRPr="00856132">
              <w:rPr>
                <w:b/>
                <w:bCs/>
                <w:sz w:val="22"/>
                <w:lang w:val="es-ES_tradnl"/>
              </w:rPr>
              <w:t>Proyecto de Plan Operacional renovable del UIT-R para el periodo 2026-2029</w:t>
            </w:r>
          </w:p>
          <w:p w14:paraId="4E85A79C" w14:textId="4DB4DDDA" w:rsidR="000A55EC" w:rsidRPr="00856132" w:rsidRDefault="000A55EC" w:rsidP="001963A8">
            <w:pPr>
              <w:pStyle w:val="Tabletext"/>
              <w:rPr>
                <w:sz w:val="22"/>
                <w:lang w:val="es-ES_tradnl"/>
              </w:rPr>
            </w:pPr>
            <w:hyperlink r:id="rId62" w:history="1">
              <w:r w:rsidRPr="00856132">
                <w:rPr>
                  <w:rStyle w:val="Hyperlink"/>
                  <w:rFonts w:asciiTheme="minorHAnsi" w:hAnsiTheme="minorHAnsi" w:cstheme="minorHAnsi"/>
                  <w:sz w:val="22"/>
                  <w:lang w:val="es-ES_tradnl"/>
                </w:rPr>
                <w:t>30 (§6)</w:t>
              </w:r>
            </w:hyperlink>
            <w:r w:rsidRPr="00856132">
              <w:rPr>
                <w:sz w:val="22"/>
                <w:lang w:val="es-ES_tradnl"/>
              </w:rPr>
              <w:t xml:space="preserve">, </w:t>
            </w:r>
            <w:hyperlink r:id="rId63" w:history="1">
              <w:r w:rsidRPr="00856132">
                <w:rPr>
                  <w:rStyle w:val="Hyperlink"/>
                  <w:rFonts w:asciiTheme="minorHAnsi" w:hAnsiTheme="minorHAnsi" w:cstheme="minorHAnsi"/>
                  <w:sz w:val="22"/>
                  <w:lang w:val="es-ES_tradnl"/>
                </w:rPr>
                <w:t>37</w:t>
              </w:r>
            </w:hyperlink>
          </w:p>
        </w:tc>
        <w:tc>
          <w:tcPr>
            <w:tcW w:w="11110" w:type="dxa"/>
          </w:tcPr>
          <w:p w14:paraId="787BE0DD" w14:textId="7F580354" w:rsidR="000A55EC" w:rsidRPr="00856132" w:rsidRDefault="000A55EC" w:rsidP="00D32E3F">
            <w:pPr>
              <w:pStyle w:val="Tabletext"/>
              <w:jc w:val="both"/>
              <w:rPr>
                <w:sz w:val="22"/>
                <w:lang w:val="es-ES_tradnl"/>
              </w:rPr>
            </w:pPr>
            <w:r w:rsidRPr="00856132">
              <w:rPr>
                <w:sz w:val="22"/>
                <w:lang w:val="es-ES_tradnl"/>
              </w:rPr>
              <w:t xml:space="preserve">El GAR examinó la información contenida en la sección 6 del Informe del </w:t>
            </w:r>
            <w:proofErr w:type="gramStart"/>
            <w:r w:rsidRPr="00856132">
              <w:rPr>
                <w:sz w:val="22"/>
                <w:lang w:val="es-ES_tradnl"/>
              </w:rPr>
              <w:t>Director</w:t>
            </w:r>
            <w:proofErr w:type="gramEnd"/>
            <w:r w:rsidRPr="00856132">
              <w:rPr>
                <w:sz w:val="22"/>
                <w:lang w:val="es-ES_tradnl"/>
              </w:rPr>
              <w:t xml:space="preserve"> sobre el Plan Operacional. El GAR también tomó nota del documento RAG/37 que contiene el proyecto de Plan Operacional del UIT-R para 2026-2029 y el informe de resultados de</w:t>
            </w:r>
            <w:r w:rsidR="004559F5" w:rsidRPr="00856132">
              <w:rPr>
                <w:sz w:val="22"/>
                <w:lang w:val="es-ES_tradnl"/>
              </w:rPr>
              <w:t> </w:t>
            </w:r>
            <w:r w:rsidRPr="00856132">
              <w:rPr>
                <w:sz w:val="22"/>
                <w:lang w:val="es-ES_tradnl"/>
              </w:rPr>
              <w:t>2024 que fue presentado por el Sr. Alassane Ba (</w:t>
            </w:r>
            <w:proofErr w:type="gramStart"/>
            <w:r w:rsidRPr="00856132">
              <w:rPr>
                <w:sz w:val="22"/>
                <w:lang w:val="es-ES_tradnl"/>
              </w:rPr>
              <w:t>Jefe</w:t>
            </w:r>
            <w:proofErr w:type="gramEnd"/>
            <w:r w:rsidRPr="00856132">
              <w:rPr>
                <w:sz w:val="22"/>
                <w:lang w:val="es-ES_tradnl"/>
              </w:rPr>
              <w:t>, FRMD).</w:t>
            </w:r>
          </w:p>
          <w:p w14:paraId="436E6C48" w14:textId="77777777" w:rsidR="000A55EC" w:rsidRPr="00856132" w:rsidRDefault="000A55EC" w:rsidP="00D32E3F">
            <w:pPr>
              <w:pStyle w:val="Tabletext"/>
              <w:jc w:val="both"/>
              <w:rPr>
                <w:sz w:val="22"/>
                <w:lang w:val="es-ES_tradnl"/>
              </w:rPr>
            </w:pPr>
            <w:r w:rsidRPr="00856132">
              <w:rPr>
                <w:sz w:val="22"/>
                <w:lang w:val="es-ES_tradnl"/>
              </w:rPr>
              <w:t>El GAR tomó nota de las propuestas para mejorar el Plan Operacional del UIT-R.</w:t>
            </w:r>
          </w:p>
          <w:p w14:paraId="7E64A295" w14:textId="3DA9FCA2" w:rsidR="000A55EC" w:rsidRPr="00856132" w:rsidRDefault="000A55EC" w:rsidP="00D32E3F">
            <w:pPr>
              <w:pStyle w:val="Tabletext"/>
              <w:jc w:val="both"/>
              <w:rPr>
                <w:sz w:val="22"/>
                <w:lang w:val="es-ES_tradnl"/>
              </w:rPr>
            </w:pPr>
            <w:r w:rsidRPr="00856132">
              <w:rPr>
                <w:sz w:val="22"/>
                <w:lang w:val="es-ES_tradnl"/>
              </w:rPr>
              <w:t>El GAR consideró la necesidad de seguir debatiendo el asunto en la 33ª reunión del GAR y posiblemente dedicar una sesión de medio día para examinar el Plan Operacional del UIT-R.</w:t>
            </w:r>
          </w:p>
        </w:tc>
      </w:tr>
      <w:tr w:rsidR="000A55EC" w:rsidRPr="00D71799" w14:paraId="0C4A50BD" w14:textId="77777777" w:rsidTr="00D32E3F">
        <w:trPr>
          <w:cantSplit/>
        </w:trPr>
        <w:tc>
          <w:tcPr>
            <w:tcW w:w="964" w:type="dxa"/>
          </w:tcPr>
          <w:p w14:paraId="1DE72EE7" w14:textId="77777777" w:rsidR="000A55EC" w:rsidRPr="00856132" w:rsidRDefault="000A55EC" w:rsidP="001963A8">
            <w:pPr>
              <w:pStyle w:val="Tabletext"/>
              <w:rPr>
                <w:b/>
                <w:sz w:val="22"/>
                <w:lang w:val="es-ES_tradnl"/>
              </w:rPr>
            </w:pPr>
            <w:r w:rsidRPr="00856132">
              <w:rPr>
                <w:b/>
                <w:sz w:val="22"/>
                <w:lang w:val="es-ES_tradnl"/>
              </w:rPr>
              <w:lastRenderedPageBreak/>
              <w:t>12</w:t>
            </w:r>
          </w:p>
        </w:tc>
        <w:tc>
          <w:tcPr>
            <w:tcW w:w="1908" w:type="dxa"/>
          </w:tcPr>
          <w:p w14:paraId="48FF0C30" w14:textId="2EAFC93E" w:rsidR="000A55EC" w:rsidRPr="00856132" w:rsidRDefault="000A55EC" w:rsidP="001963A8">
            <w:pPr>
              <w:pStyle w:val="Tabletext"/>
              <w:rPr>
                <w:rStyle w:val="normaltextrun"/>
                <w:rFonts w:asciiTheme="minorHAnsi" w:hAnsiTheme="minorHAnsi" w:cstheme="minorHAnsi"/>
                <w:b/>
                <w:bCs/>
                <w:color w:val="000000"/>
                <w:sz w:val="22"/>
                <w:shd w:val="clear" w:color="auto" w:fill="FFFFFF"/>
                <w:lang w:val="es-ES_tradnl"/>
              </w:rPr>
            </w:pPr>
            <w:r w:rsidRPr="00856132">
              <w:rPr>
                <w:rStyle w:val="normaltextrun"/>
                <w:rFonts w:asciiTheme="minorHAnsi" w:hAnsiTheme="minorHAnsi" w:cstheme="minorHAnsi"/>
                <w:b/>
                <w:bCs/>
                <w:color w:val="000000"/>
                <w:sz w:val="22"/>
                <w:shd w:val="clear" w:color="auto" w:fill="FFFFFF"/>
                <w:lang w:val="es-ES_tradnl"/>
              </w:rPr>
              <w:t>Sistema de información de la BR</w:t>
            </w:r>
          </w:p>
          <w:p w14:paraId="038C464F" w14:textId="6E14C337" w:rsidR="00373415" w:rsidRPr="00856132" w:rsidRDefault="000A55EC" w:rsidP="001963A8">
            <w:pPr>
              <w:pStyle w:val="Tabletext"/>
              <w:rPr>
                <w:lang w:val="es-ES_tradnl"/>
              </w:rPr>
            </w:pPr>
            <w:hyperlink r:id="rId64" w:history="1">
              <w:r w:rsidRPr="00856132">
                <w:rPr>
                  <w:rStyle w:val="Hyperlink"/>
                  <w:rFonts w:asciiTheme="minorHAnsi" w:hAnsiTheme="minorHAnsi" w:cstheme="minorHAnsi"/>
                  <w:sz w:val="22"/>
                  <w:lang w:val="es-ES_tradnl"/>
                </w:rPr>
                <w:t>30 (§7.1 a 7.6)</w:t>
              </w:r>
            </w:hyperlink>
          </w:p>
          <w:p w14:paraId="59F4EE2C" w14:textId="599C57B9" w:rsidR="004559F5" w:rsidRPr="00856132" w:rsidRDefault="000A55EC" w:rsidP="00373415">
            <w:pPr>
              <w:pStyle w:val="Tabletext"/>
              <w:spacing w:before="1440"/>
              <w:rPr>
                <w:sz w:val="22"/>
                <w:lang w:val="es-ES_tradnl"/>
              </w:rPr>
            </w:pPr>
            <w:hyperlink r:id="rId65" w:history="1">
              <w:r w:rsidRPr="00856132">
                <w:rPr>
                  <w:rStyle w:val="Hyperlink"/>
                  <w:rFonts w:asciiTheme="minorHAnsi" w:hAnsiTheme="minorHAnsi" w:cstheme="minorHAnsi"/>
                  <w:sz w:val="22"/>
                  <w:lang w:val="es-ES_tradnl"/>
                </w:rPr>
                <w:t>40 (Japón)</w:t>
              </w:r>
            </w:hyperlink>
          </w:p>
          <w:p w14:paraId="7D7C652C" w14:textId="64198097" w:rsidR="000A55EC" w:rsidRPr="00856132" w:rsidRDefault="000A55EC" w:rsidP="001963A8">
            <w:pPr>
              <w:pStyle w:val="Tabletext"/>
              <w:rPr>
                <w:rStyle w:val="normaltextrun"/>
                <w:rFonts w:asciiTheme="minorHAnsi" w:hAnsiTheme="minorHAnsi" w:cstheme="minorHAnsi"/>
                <w:b/>
                <w:color w:val="000000"/>
                <w:sz w:val="22"/>
                <w:shd w:val="clear" w:color="auto" w:fill="FFFFFF"/>
                <w:lang w:val="es-ES_tradnl"/>
              </w:rPr>
            </w:pPr>
            <w:hyperlink r:id="rId66" w:history="1">
              <w:r w:rsidRPr="00856132">
                <w:rPr>
                  <w:rStyle w:val="Hyperlink"/>
                  <w:rFonts w:asciiTheme="minorHAnsi" w:hAnsiTheme="minorHAnsi" w:cstheme="minorHAnsi"/>
                  <w:sz w:val="22"/>
                  <w:lang w:val="es-ES_tradnl"/>
                </w:rPr>
                <w:t>45 (Francia)</w:t>
              </w:r>
            </w:hyperlink>
          </w:p>
        </w:tc>
        <w:tc>
          <w:tcPr>
            <w:tcW w:w="11110" w:type="dxa"/>
          </w:tcPr>
          <w:p w14:paraId="284255A0" w14:textId="74091201" w:rsidR="000A55EC" w:rsidRPr="00856132" w:rsidRDefault="000A55EC" w:rsidP="00D32E3F">
            <w:pPr>
              <w:pStyle w:val="Tabletext"/>
              <w:jc w:val="both"/>
              <w:rPr>
                <w:sz w:val="22"/>
                <w:lang w:val="es-ES_tradnl"/>
              </w:rPr>
            </w:pPr>
            <w:r w:rsidRPr="00856132">
              <w:rPr>
                <w:sz w:val="22"/>
                <w:lang w:val="es-ES_tradnl"/>
              </w:rPr>
              <w:t xml:space="preserve">El GAR examinó la información contenida en las secciones 7.1 a 7.6 del Informe del </w:t>
            </w:r>
            <w:proofErr w:type="gramStart"/>
            <w:r w:rsidRPr="00856132">
              <w:rPr>
                <w:sz w:val="22"/>
                <w:lang w:val="es-ES_tradnl"/>
              </w:rPr>
              <w:t>Director</w:t>
            </w:r>
            <w:proofErr w:type="gramEnd"/>
            <w:r w:rsidRPr="00856132">
              <w:rPr>
                <w:sz w:val="22"/>
                <w:lang w:val="es-ES_tradnl"/>
              </w:rPr>
              <w:t xml:space="preserve"> sobre el sistema de información de la BR, que comprende el </w:t>
            </w:r>
            <w:r w:rsidRPr="00856132">
              <w:rPr>
                <w:i/>
                <w:iCs/>
                <w:sz w:val="22"/>
                <w:lang w:val="es-ES_tradnl"/>
              </w:rPr>
              <w:t>software</w:t>
            </w:r>
            <w:r w:rsidRPr="00856132">
              <w:rPr>
                <w:sz w:val="22"/>
                <w:lang w:val="es-ES_tradnl"/>
              </w:rPr>
              <w:t xml:space="preserve"> y las herramientas relacionadas tanto con los servicios terrenales como con los espaciales.</w:t>
            </w:r>
          </w:p>
          <w:p w14:paraId="13DBB2B8" w14:textId="6285CAC7" w:rsidR="000A55EC" w:rsidRPr="00856132" w:rsidRDefault="000A55EC" w:rsidP="00D32E3F">
            <w:pPr>
              <w:pStyle w:val="Tabletext"/>
              <w:jc w:val="both"/>
              <w:rPr>
                <w:sz w:val="22"/>
                <w:lang w:val="es-ES_tradnl"/>
              </w:rPr>
            </w:pPr>
            <w:r w:rsidRPr="00856132">
              <w:rPr>
                <w:sz w:val="22"/>
                <w:lang w:val="es-ES_tradnl"/>
              </w:rPr>
              <w:t>El GAR manifestó su gran satisfacción por el trabajo realizado por la BR en el desarrollo y el progreso de los sistemas de información tanto para los servicios terrenales como para los espaciales, entre los que se incluyen diversas herramientas web y aplicaciones del Reglamento de Radiocomunicaciones. El GAR tomó nota con reconocimiento de la aplicación en línea de la BRIFIC (servicios espaciales y terrenales) y de su puesta a disposición gratuita para todas las administraciones.</w:t>
            </w:r>
          </w:p>
          <w:p w14:paraId="6E63FD48" w14:textId="65CE2D62" w:rsidR="000A55EC" w:rsidRPr="00856132" w:rsidRDefault="000A55EC" w:rsidP="00D32E3F">
            <w:pPr>
              <w:pStyle w:val="Tabletext"/>
              <w:jc w:val="both"/>
              <w:rPr>
                <w:sz w:val="22"/>
                <w:lang w:val="es-ES_tradnl"/>
              </w:rPr>
            </w:pPr>
            <w:r w:rsidRPr="00856132">
              <w:rPr>
                <w:sz w:val="22"/>
                <w:lang w:val="es-ES_tradnl"/>
              </w:rPr>
              <w:t>El GAR también tomó nota de dos contribuciones en las que se contempla la continuación de los trabajos de desarrollo en virtud de la</w:t>
            </w:r>
            <w:r w:rsidR="004559F5" w:rsidRPr="00856132">
              <w:rPr>
                <w:sz w:val="22"/>
                <w:lang w:val="es-ES_tradnl"/>
              </w:rPr>
              <w:t> R</w:t>
            </w:r>
            <w:r w:rsidRPr="00856132">
              <w:rPr>
                <w:sz w:val="22"/>
                <w:lang w:val="es-ES_tradnl"/>
              </w:rPr>
              <w:t>esolución 55 (Rev. CMR-23), Presentación y publicación electrónicas de las notificaciones de redes de satélites:</w:t>
            </w:r>
          </w:p>
          <w:p w14:paraId="0CF89517" w14:textId="03DB8035" w:rsidR="000A55EC" w:rsidRPr="00856132" w:rsidRDefault="000A55EC" w:rsidP="00D32E3F">
            <w:pPr>
              <w:pStyle w:val="enumlev1"/>
              <w:keepNext/>
              <w:keepLines/>
              <w:rPr>
                <w:sz w:val="22"/>
                <w:lang w:val="es-ES_tradnl"/>
              </w:rPr>
            </w:pPr>
            <w:r w:rsidRPr="00856132">
              <w:rPr>
                <w:sz w:val="22"/>
                <w:lang w:val="es-ES_tradnl"/>
              </w:rPr>
              <w:t>–</w:t>
            </w:r>
            <w:r w:rsidRPr="00856132">
              <w:rPr>
                <w:sz w:val="22"/>
                <w:lang w:val="es-ES_tradnl"/>
              </w:rPr>
              <w:tab/>
              <w:t>Documento RAG/40, y</w:t>
            </w:r>
          </w:p>
          <w:p w14:paraId="377C566B" w14:textId="77777777" w:rsidR="000A55EC" w:rsidRPr="00856132" w:rsidRDefault="000A55EC" w:rsidP="00D32E3F">
            <w:pPr>
              <w:pStyle w:val="enumlev1"/>
              <w:keepNext/>
              <w:keepLines/>
              <w:rPr>
                <w:lang w:val="es-ES_tradnl"/>
              </w:rPr>
            </w:pPr>
            <w:r w:rsidRPr="00856132">
              <w:rPr>
                <w:sz w:val="22"/>
                <w:lang w:val="es-ES_tradnl"/>
              </w:rPr>
              <w:t>–</w:t>
            </w:r>
            <w:r w:rsidRPr="00856132">
              <w:rPr>
                <w:sz w:val="22"/>
                <w:lang w:val="es-ES_tradnl"/>
              </w:rPr>
              <w:tab/>
              <w:t>Documento RAG/45</w:t>
            </w:r>
          </w:p>
          <w:p w14:paraId="380C1027" w14:textId="77777777" w:rsidR="000A55EC" w:rsidRPr="00856132" w:rsidRDefault="000A55EC" w:rsidP="00D32E3F">
            <w:pPr>
              <w:pStyle w:val="Tabletext"/>
              <w:jc w:val="both"/>
              <w:rPr>
                <w:rFonts w:eastAsia="Calibri"/>
                <w:sz w:val="22"/>
                <w:lang w:val="es-ES_tradnl"/>
              </w:rPr>
            </w:pPr>
            <w:r w:rsidRPr="00856132">
              <w:rPr>
                <w:rFonts w:eastAsia="Calibri"/>
                <w:sz w:val="22"/>
                <w:lang w:val="es-ES_tradnl"/>
              </w:rPr>
              <w:t>El GAR dio las gracias a Japón por su continuo apoyo a la aplicación de la Resolución 55.</w:t>
            </w:r>
          </w:p>
          <w:p w14:paraId="41D4745F" w14:textId="77777777" w:rsidR="000A55EC" w:rsidRPr="00856132" w:rsidRDefault="000A55EC" w:rsidP="00D32E3F">
            <w:pPr>
              <w:pStyle w:val="Tabletext"/>
              <w:jc w:val="both"/>
              <w:rPr>
                <w:rFonts w:eastAsia="Calibri"/>
                <w:sz w:val="22"/>
                <w:lang w:val="es-ES_tradnl"/>
              </w:rPr>
            </w:pPr>
            <w:r w:rsidRPr="00856132">
              <w:rPr>
                <w:rFonts w:eastAsia="Calibri"/>
                <w:sz w:val="22"/>
                <w:lang w:val="es-ES_tradnl"/>
              </w:rPr>
              <w:t>Asimismo, el GAR invitó a la BR a proseguir con los desarrollos indicados en respuesta a las dos contribuciones mencionadas, con sujeción a las limitaciones financieras de la BR.</w:t>
            </w:r>
          </w:p>
          <w:p w14:paraId="0D18D259" w14:textId="5E65B486" w:rsidR="000A55EC" w:rsidRPr="00856132" w:rsidRDefault="000A55EC" w:rsidP="00D32E3F">
            <w:pPr>
              <w:pStyle w:val="Tabletext"/>
              <w:jc w:val="both"/>
              <w:rPr>
                <w:color w:val="000000"/>
                <w:sz w:val="22"/>
                <w:highlight w:val="yellow"/>
                <w:shd w:val="clear" w:color="auto" w:fill="FFFFFF"/>
                <w:lang w:val="es-ES_tradnl"/>
              </w:rPr>
            </w:pPr>
            <w:r w:rsidRPr="00856132">
              <w:rPr>
                <w:rFonts w:eastAsia="Calibri"/>
                <w:sz w:val="22"/>
                <w:lang w:val="es-ES_tradnl"/>
              </w:rPr>
              <w:t xml:space="preserve">El GAR recomendó al </w:t>
            </w:r>
            <w:proofErr w:type="gramStart"/>
            <w:r w:rsidRPr="00856132">
              <w:rPr>
                <w:rFonts w:eastAsia="Calibri"/>
                <w:sz w:val="22"/>
                <w:lang w:val="es-ES_tradnl"/>
              </w:rPr>
              <w:t>Director</w:t>
            </w:r>
            <w:proofErr w:type="gramEnd"/>
            <w:r w:rsidRPr="00856132">
              <w:rPr>
                <w:rFonts w:eastAsia="Calibri"/>
                <w:sz w:val="22"/>
                <w:lang w:val="es-ES_tradnl"/>
              </w:rPr>
              <w:t xml:space="preserve"> de la BR que inste a las administraciones, en la medida de lo posible y teniendo en cuenta las limitaciones y la disponibilidad de recursos, a que utilicen la plataforma de presentación y comunicación electrónicas</w:t>
            </w:r>
            <w:r w:rsidRPr="00856132">
              <w:rPr>
                <w:rFonts w:eastAsia="Verdana"/>
                <w:color w:val="000000" w:themeColor="text1"/>
                <w:sz w:val="22"/>
                <w:lang w:val="es-ES_tradnl"/>
              </w:rPr>
              <w:t>.</w:t>
            </w:r>
          </w:p>
        </w:tc>
      </w:tr>
      <w:tr w:rsidR="000A55EC" w:rsidRPr="00D71799" w14:paraId="4FD7349D" w14:textId="77777777" w:rsidTr="00D32E3F">
        <w:trPr>
          <w:cantSplit/>
        </w:trPr>
        <w:tc>
          <w:tcPr>
            <w:tcW w:w="964" w:type="dxa"/>
          </w:tcPr>
          <w:p w14:paraId="1A08232D" w14:textId="77777777" w:rsidR="000A55EC" w:rsidRPr="00856132" w:rsidRDefault="000A55EC" w:rsidP="001963A8">
            <w:pPr>
              <w:pStyle w:val="Tabletext"/>
              <w:rPr>
                <w:b/>
                <w:sz w:val="22"/>
                <w:lang w:val="es-ES_tradnl"/>
              </w:rPr>
            </w:pPr>
            <w:r w:rsidRPr="00856132">
              <w:rPr>
                <w:b/>
                <w:sz w:val="22"/>
                <w:lang w:val="es-ES_tradnl"/>
              </w:rPr>
              <w:t>13</w:t>
            </w:r>
          </w:p>
        </w:tc>
        <w:tc>
          <w:tcPr>
            <w:tcW w:w="1908" w:type="dxa"/>
          </w:tcPr>
          <w:p w14:paraId="453A37E2" w14:textId="77777777" w:rsidR="000A55EC" w:rsidRPr="00856132" w:rsidRDefault="000A55EC" w:rsidP="001963A8">
            <w:pPr>
              <w:pStyle w:val="Tabletext"/>
              <w:rPr>
                <w:b/>
                <w:bCs/>
                <w:sz w:val="22"/>
                <w:lang w:val="es-ES_tradnl"/>
              </w:rPr>
            </w:pPr>
            <w:r w:rsidRPr="00856132">
              <w:rPr>
                <w:b/>
                <w:bCs/>
                <w:sz w:val="22"/>
                <w:lang w:val="es-ES_tradnl"/>
              </w:rPr>
              <w:t>Divulgación</w:t>
            </w:r>
          </w:p>
          <w:p w14:paraId="657EBE54" w14:textId="69812AC7" w:rsidR="000A55EC" w:rsidRPr="00856132" w:rsidRDefault="000A55EC" w:rsidP="001963A8">
            <w:pPr>
              <w:pStyle w:val="Tabletext"/>
              <w:rPr>
                <w:sz w:val="22"/>
                <w:lang w:val="es-ES_tradnl"/>
              </w:rPr>
            </w:pPr>
            <w:hyperlink r:id="rId67" w:history="1">
              <w:r w:rsidRPr="00856132">
                <w:rPr>
                  <w:rStyle w:val="Hyperlink"/>
                  <w:rFonts w:asciiTheme="minorHAnsi" w:hAnsiTheme="minorHAnsi" w:cstheme="minorHAnsi"/>
                  <w:bCs/>
                  <w:sz w:val="22"/>
                  <w:lang w:val="es-ES_tradnl"/>
                </w:rPr>
                <w:t>30 (§8.1 a 8.6)</w:t>
              </w:r>
            </w:hyperlink>
          </w:p>
          <w:p w14:paraId="4A588591" w14:textId="3F7E5021" w:rsidR="000A55EC" w:rsidRPr="00856132" w:rsidRDefault="000A55EC" w:rsidP="001963A8">
            <w:pPr>
              <w:pStyle w:val="Tabletext"/>
              <w:rPr>
                <w:sz w:val="22"/>
                <w:lang w:val="es-ES_tradnl"/>
              </w:rPr>
            </w:pPr>
            <w:hyperlink r:id="rId68" w:history="1">
              <w:r w:rsidRPr="00856132">
                <w:rPr>
                  <w:rStyle w:val="Hyperlink"/>
                  <w:rFonts w:asciiTheme="minorHAnsi" w:hAnsiTheme="minorHAnsi" w:cstheme="minorHAnsi"/>
                  <w:bCs/>
                  <w:sz w:val="22"/>
                  <w:lang w:val="es-ES_tradnl"/>
                </w:rPr>
                <w:t>30 (Cor.1)</w:t>
              </w:r>
            </w:hyperlink>
          </w:p>
          <w:p w14:paraId="4108D87A" w14:textId="00F8EF58" w:rsidR="000A55EC" w:rsidRPr="00856132" w:rsidRDefault="000A55EC" w:rsidP="001963A8">
            <w:pPr>
              <w:pStyle w:val="Tabletext"/>
              <w:rPr>
                <w:sz w:val="22"/>
                <w:lang w:val="es-ES_tradnl"/>
              </w:rPr>
            </w:pPr>
            <w:hyperlink r:id="rId69" w:history="1">
              <w:r w:rsidRPr="00856132">
                <w:rPr>
                  <w:rStyle w:val="Hyperlink"/>
                  <w:rFonts w:asciiTheme="minorHAnsi" w:hAnsiTheme="minorHAnsi" w:cstheme="minorHAnsi"/>
                  <w:sz w:val="22"/>
                  <w:lang w:val="es-ES_tradnl"/>
                </w:rPr>
                <w:t>41 (India)</w:t>
              </w:r>
            </w:hyperlink>
          </w:p>
        </w:tc>
        <w:tc>
          <w:tcPr>
            <w:tcW w:w="11110" w:type="dxa"/>
          </w:tcPr>
          <w:p w14:paraId="0B65A122" w14:textId="26265700" w:rsidR="000A55EC" w:rsidRPr="00856132" w:rsidRDefault="000A55EC" w:rsidP="00D32E3F">
            <w:pPr>
              <w:pStyle w:val="Tabletext"/>
              <w:jc w:val="both"/>
              <w:rPr>
                <w:sz w:val="22"/>
                <w:lang w:val="es-ES_tradnl"/>
              </w:rPr>
            </w:pPr>
            <w:r w:rsidRPr="00856132">
              <w:rPr>
                <w:sz w:val="22"/>
                <w:lang w:val="es-ES_tradnl"/>
              </w:rPr>
              <w:t xml:space="preserve">El GAR examinó la información contenida en las secciones 8.1 a 8.6 del Informe del </w:t>
            </w:r>
            <w:proofErr w:type="gramStart"/>
            <w:r w:rsidRPr="00856132">
              <w:rPr>
                <w:sz w:val="22"/>
                <w:lang w:val="es-ES_tradnl"/>
              </w:rPr>
              <w:t>Director</w:t>
            </w:r>
            <w:proofErr w:type="gramEnd"/>
            <w:r w:rsidRPr="00856132">
              <w:rPr>
                <w:sz w:val="22"/>
                <w:lang w:val="es-ES_tradnl"/>
              </w:rPr>
              <w:t xml:space="preserve"> sobre afiliación, comunicación, promoción, seminarios, talleres y otros tipos de asistencia a los Estados Miembros y actividades de capacitación.</w:t>
            </w:r>
          </w:p>
          <w:p w14:paraId="54E33C8A" w14:textId="77777777" w:rsidR="000A55EC" w:rsidRPr="00856132" w:rsidRDefault="000A55EC" w:rsidP="00D32E3F">
            <w:pPr>
              <w:pStyle w:val="Tabletext"/>
              <w:jc w:val="both"/>
              <w:rPr>
                <w:rFonts w:eastAsia="Calibri"/>
                <w:sz w:val="22"/>
                <w:lang w:val="es-ES_tradnl"/>
              </w:rPr>
            </w:pPr>
            <w:r w:rsidRPr="00856132">
              <w:rPr>
                <w:sz w:val="22"/>
                <w:lang w:val="es-ES_tradnl"/>
              </w:rPr>
              <w:t>El GAR también examinó la contribución contenida en el Documento RAG/41 en el que se invita a la Oficina de Radiocomunicaciones a organizar seminarios subregionales de radiocomunicaciones</w:t>
            </w:r>
            <w:r w:rsidRPr="00856132">
              <w:rPr>
                <w:rFonts w:eastAsia="Calibri"/>
                <w:sz w:val="22"/>
                <w:lang w:val="es-ES_tradnl"/>
              </w:rPr>
              <w:t>.</w:t>
            </w:r>
          </w:p>
          <w:p w14:paraId="2C9653E6" w14:textId="77777777" w:rsidR="000A55EC" w:rsidRPr="00856132" w:rsidRDefault="000A55EC" w:rsidP="00D32E3F">
            <w:pPr>
              <w:pStyle w:val="Tabletext"/>
              <w:jc w:val="both"/>
              <w:rPr>
                <w:sz w:val="22"/>
                <w:lang w:val="es-ES_tradnl"/>
              </w:rPr>
            </w:pPr>
            <w:r w:rsidRPr="00856132">
              <w:rPr>
                <w:sz w:val="22"/>
                <w:lang w:val="es-ES_tradnl"/>
              </w:rPr>
              <w:t>El GAR tomó nota de las solicitudes de organizar seminarios adicionales e instó a la BR a llevar a cabo, según proceda y habida cuenta de sus limitaciones financieras, actividades y seminarios regionales/subregionales adicionales que giren en torno a las herramientas de la UIT, los procedimientos de notificación, registro y coordinación, y la gestión del espectro en general.</w:t>
            </w:r>
          </w:p>
          <w:p w14:paraId="1E1D6943" w14:textId="77777777" w:rsidR="000A55EC" w:rsidRPr="00856132" w:rsidRDefault="000A55EC" w:rsidP="00D32E3F">
            <w:pPr>
              <w:pStyle w:val="Tabletext"/>
              <w:jc w:val="both"/>
              <w:rPr>
                <w:sz w:val="22"/>
                <w:lang w:val="es-ES_tradnl"/>
              </w:rPr>
            </w:pPr>
            <w:r w:rsidRPr="00856132">
              <w:rPr>
                <w:sz w:val="22"/>
                <w:lang w:val="es-ES_tradnl"/>
              </w:rPr>
              <w:t xml:space="preserve">En cuanto a la serie </w:t>
            </w:r>
            <w:proofErr w:type="spellStart"/>
            <w:r w:rsidRPr="00856132">
              <w:rPr>
                <w:sz w:val="22"/>
                <w:lang w:val="es-ES_tradnl"/>
              </w:rPr>
              <w:t>Space</w:t>
            </w:r>
            <w:proofErr w:type="spellEnd"/>
            <w:r w:rsidRPr="00856132">
              <w:rPr>
                <w:sz w:val="22"/>
                <w:lang w:val="es-ES_tradnl"/>
              </w:rPr>
              <w:t xml:space="preserve"> </w:t>
            </w:r>
            <w:proofErr w:type="spellStart"/>
            <w:r w:rsidRPr="00856132">
              <w:rPr>
                <w:sz w:val="22"/>
                <w:lang w:val="es-ES_tradnl"/>
              </w:rPr>
              <w:t>Connect</w:t>
            </w:r>
            <w:proofErr w:type="spellEnd"/>
            <w:r w:rsidRPr="00856132">
              <w:rPr>
                <w:sz w:val="22"/>
                <w:lang w:val="es-ES_tradnl"/>
              </w:rPr>
              <w:t xml:space="preserve"> organizada por la Secretaría General, el GAR tomó nota de las preocupaciones que suscitaba la duplicación de esta actividad con la responsabilidad del UIT-R.</w:t>
            </w:r>
          </w:p>
          <w:p w14:paraId="05A61744" w14:textId="7ECB6FBD" w:rsidR="000A55EC" w:rsidRPr="00856132" w:rsidRDefault="000A55EC" w:rsidP="00D32E3F">
            <w:pPr>
              <w:pStyle w:val="Tabletext"/>
              <w:jc w:val="both"/>
              <w:rPr>
                <w:rFonts w:eastAsia="Calibri"/>
                <w:sz w:val="22"/>
                <w:highlight w:val="yellow"/>
                <w:lang w:val="es-ES_tradnl"/>
              </w:rPr>
            </w:pPr>
            <w:r w:rsidRPr="00856132">
              <w:rPr>
                <w:sz w:val="22"/>
                <w:lang w:val="es-ES_tradnl"/>
              </w:rPr>
              <w:t>El GAR tomó nota de la presentación de la Sra. Xiuqi Wang sobre la NOW4WRC27 y el programa de tutorías</w:t>
            </w:r>
            <w:r w:rsidRPr="00856132">
              <w:rPr>
                <w:rFonts w:eastAsia="Calibri"/>
                <w:sz w:val="22"/>
                <w:lang w:val="es-ES_tradnl"/>
              </w:rPr>
              <w:t>.</w:t>
            </w:r>
          </w:p>
        </w:tc>
      </w:tr>
      <w:tr w:rsidR="000A55EC" w:rsidRPr="00D71799" w14:paraId="0FA3C63A" w14:textId="77777777" w:rsidTr="00D32E3F">
        <w:trPr>
          <w:cantSplit/>
        </w:trPr>
        <w:tc>
          <w:tcPr>
            <w:tcW w:w="964" w:type="dxa"/>
          </w:tcPr>
          <w:p w14:paraId="0E0A4B9F" w14:textId="77777777" w:rsidR="000A55EC" w:rsidRPr="00856132" w:rsidRDefault="000A55EC" w:rsidP="001963A8">
            <w:pPr>
              <w:pStyle w:val="Tabletext"/>
              <w:rPr>
                <w:b/>
                <w:sz w:val="22"/>
                <w:lang w:val="es-ES_tradnl"/>
              </w:rPr>
            </w:pPr>
            <w:r w:rsidRPr="00856132">
              <w:rPr>
                <w:b/>
                <w:sz w:val="22"/>
                <w:lang w:val="es-ES_tradnl"/>
              </w:rPr>
              <w:lastRenderedPageBreak/>
              <w:t>14</w:t>
            </w:r>
          </w:p>
        </w:tc>
        <w:tc>
          <w:tcPr>
            <w:tcW w:w="1908" w:type="dxa"/>
          </w:tcPr>
          <w:p w14:paraId="3C03CB68" w14:textId="77777777" w:rsidR="000A55EC" w:rsidRPr="00856132" w:rsidRDefault="000A55EC" w:rsidP="001963A8">
            <w:pPr>
              <w:pStyle w:val="Tabletext"/>
              <w:rPr>
                <w:b/>
                <w:bCs/>
                <w:sz w:val="22"/>
                <w:lang w:val="es-ES_tradnl"/>
              </w:rPr>
            </w:pPr>
            <w:r w:rsidRPr="00856132">
              <w:rPr>
                <w:b/>
                <w:bCs/>
                <w:sz w:val="22"/>
                <w:lang w:val="es-ES_tradnl"/>
              </w:rPr>
              <w:t>Fecha de la próxima reunión</w:t>
            </w:r>
          </w:p>
        </w:tc>
        <w:tc>
          <w:tcPr>
            <w:tcW w:w="11110" w:type="dxa"/>
          </w:tcPr>
          <w:p w14:paraId="789F3AE8" w14:textId="77777777" w:rsidR="000A55EC" w:rsidRPr="00856132" w:rsidRDefault="000A55EC" w:rsidP="00D32E3F">
            <w:pPr>
              <w:pStyle w:val="Tabletext"/>
              <w:jc w:val="both"/>
              <w:rPr>
                <w:sz w:val="22"/>
                <w:lang w:val="es-ES_tradnl"/>
              </w:rPr>
            </w:pPr>
            <w:r w:rsidRPr="00856132">
              <w:rPr>
                <w:sz w:val="22"/>
                <w:lang w:val="es-ES_tradnl"/>
              </w:rPr>
              <w:t>El GAR tomó nota de las fechas de la próxima reunión, a saber, del 30 de marzo al 2 de abril de 2026 (4 días)</w:t>
            </w:r>
          </w:p>
        </w:tc>
      </w:tr>
      <w:tr w:rsidR="000A55EC" w:rsidRPr="00D71799" w14:paraId="66245F43" w14:textId="77777777" w:rsidTr="00D32E3F">
        <w:trPr>
          <w:cantSplit/>
        </w:trPr>
        <w:tc>
          <w:tcPr>
            <w:tcW w:w="964" w:type="dxa"/>
          </w:tcPr>
          <w:p w14:paraId="18F860EF" w14:textId="12A8DB31" w:rsidR="000A55EC" w:rsidRPr="00856132" w:rsidRDefault="00CA6785" w:rsidP="001963A8">
            <w:pPr>
              <w:pStyle w:val="Tabletext"/>
              <w:rPr>
                <w:b/>
                <w:sz w:val="22"/>
                <w:lang w:val="es-ES_tradnl"/>
              </w:rPr>
            </w:pPr>
            <w:r w:rsidRPr="00856132">
              <w:rPr>
                <w:b/>
                <w:sz w:val="22"/>
                <w:lang w:val="es-ES_tradnl"/>
              </w:rPr>
              <w:t>15</w:t>
            </w:r>
          </w:p>
        </w:tc>
        <w:tc>
          <w:tcPr>
            <w:tcW w:w="1908" w:type="dxa"/>
          </w:tcPr>
          <w:p w14:paraId="0BAB7DB4" w14:textId="77777777" w:rsidR="000A55EC" w:rsidRPr="00856132" w:rsidRDefault="000A55EC" w:rsidP="001963A8">
            <w:pPr>
              <w:pStyle w:val="Tabletext"/>
              <w:rPr>
                <w:b/>
                <w:bCs/>
                <w:sz w:val="22"/>
                <w:lang w:val="es-ES_tradnl"/>
              </w:rPr>
            </w:pPr>
            <w:r w:rsidRPr="00856132">
              <w:rPr>
                <w:b/>
                <w:bCs/>
                <w:sz w:val="22"/>
                <w:lang w:val="es-ES_tradnl"/>
              </w:rPr>
              <w:t>Otros asuntos</w:t>
            </w:r>
          </w:p>
        </w:tc>
        <w:tc>
          <w:tcPr>
            <w:tcW w:w="11110" w:type="dxa"/>
            <w:tcBorders>
              <w:bottom w:val="single" w:sz="6" w:space="0" w:color="auto"/>
            </w:tcBorders>
          </w:tcPr>
          <w:p w14:paraId="4D0223CD" w14:textId="5D8A978D" w:rsidR="000A55EC" w:rsidRPr="00856132" w:rsidRDefault="000A55EC" w:rsidP="00D32E3F">
            <w:pPr>
              <w:pStyle w:val="Tabletext"/>
              <w:jc w:val="both"/>
              <w:rPr>
                <w:sz w:val="22"/>
                <w:lang w:val="es-ES_tradnl"/>
              </w:rPr>
            </w:pPr>
            <w:r w:rsidRPr="00856132">
              <w:rPr>
                <w:sz w:val="22"/>
                <w:lang w:val="es-ES_tradnl"/>
              </w:rPr>
              <w:t>No se recibieron documentos sobre este punto del orden del día.</w:t>
            </w:r>
          </w:p>
        </w:tc>
      </w:tr>
    </w:tbl>
    <w:p w14:paraId="4BB95EA6" w14:textId="3F3A96EF" w:rsidR="000A55EC" w:rsidRPr="00856132" w:rsidRDefault="000A55EC" w:rsidP="004559F5">
      <w:pPr>
        <w:rPr>
          <w:lang w:val="es-ES_tradnl" w:eastAsia="en-GB"/>
        </w:rPr>
      </w:pPr>
      <w:r w:rsidRPr="00856132">
        <w:rPr>
          <w:lang w:val="es-ES_tradnl" w:eastAsia="en-GB"/>
        </w:rPr>
        <w:t>Anexo 1:</w:t>
      </w:r>
      <w:r w:rsidRPr="00856132">
        <w:rPr>
          <w:lang w:val="es-ES_tradnl" w:eastAsia="en-GB"/>
        </w:rPr>
        <w:tab/>
        <w:t>Mandato del Grupo por Correspondencia del GAR sobre el Plan Estratégico de la UIT para 2028-2031</w:t>
      </w:r>
    </w:p>
    <w:p w14:paraId="2170F593" w14:textId="27E4640F" w:rsidR="000A55EC" w:rsidRPr="00856132" w:rsidRDefault="000A55EC" w:rsidP="004559F5">
      <w:pPr>
        <w:rPr>
          <w:lang w:val="es-ES_tradnl" w:eastAsia="en-GB"/>
        </w:rPr>
      </w:pPr>
      <w:r w:rsidRPr="00856132">
        <w:rPr>
          <w:lang w:val="es-ES_tradnl" w:eastAsia="en-GB"/>
        </w:rPr>
        <w:t>Anexo 2:</w:t>
      </w:r>
      <w:r w:rsidRPr="00856132">
        <w:rPr>
          <w:lang w:val="es-ES_tradnl" w:eastAsia="en-GB"/>
        </w:rPr>
        <w:tab/>
        <w:t>Mandato actualizado del Grupo por Correspondencia del GAR sobre la mejora del proceso de la Reunión Preparatoria de la Conferencia (RPC)</w:t>
      </w:r>
    </w:p>
    <w:p w14:paraId="0589D821" w14:textId="049A15C3" w:rsidR="000A55EC" w:rsidRPr="00856132" w:rsidRDefault="000A55EC" w:rsidP="004559F5">
      <w:pPr>
        <w:rPr>
          <w:lang w:val="es-ES_tradnl" w:eastAsia="zh-CN"/>
        </w:rPr>
      </w:pPr>
      <w:r w:rsidRPr="00856132">
        <w:rPr>
          <w:lang w:val="es-ES_tradnl" w:eastAsia="en-GB"/>
        </w:rPr>
        <w:t>Anexo 3:</w:t>
      </w:r>
      <w:r w:rsidRPr="00856132">
        <w:rPr>
          <w:lang w:val="es-ES_tradnl" w:eastAsia="en-GB"/>
        </w:rPr>
        <w:tab/>
      </w:r>
      <w:r w:rsidRPr="00856132">
        <w:rPr>
          <w:lang w:val="es-ES_tradnl" w:eastAsia="zh-CN"/>
        </w:rPr>
        <w:t>Respuesta a la Declaración de coordinación del GANT (con copia a la CE 2, CE 3 y al CCT del UIT-T) relativa a la creación de nuevos temas de trabajo y definiciones del UIT-T sobre aspectos relacionados con las radiocomunicaciones terrenales y por satélite</w:t>
      </w:r>
    </w:p>
    <w:p w14:paraId="563F1E50" w14:textId="77777777" w:rsidR="000A55EC" w:rsidRPr="00856132" w:rsidRDefault="000A55EC" w:rsidP="000A55EC">
      <w:pPr>
        <w:pStyle w:val="Reasons"/>
        <w:rPr>
          <w:lang w:val="es-ES_tradnl"/>
        </w:rPr>
      </w:pPr>
    </w:p>
    <w:p w14:paraId="4E7ACB70" w14:textId="77777777" w:rsidR="000A55EC" w:rsidRPr="00856132" w:rsidRDefault="000A55EC" w:rsidP="000A55EC">
      <w:pPr>
        <w:jc w:val="left"/>
        <w:rPr>
          <w:lang w:val="es-ES_tradnl"/>
        </w:rPr>
        <w:sectPr w:rsidR="000A55EC" w:rsidRPr="00856132" w:rsidSect="002A0380">
          <w:headerReference w:type="even" r:id="rId70"/>
          <w:headerReference w:type="default" r:id="rId71"/>
          <w:headerReference w:type="first" r:id="rId72"/>
          <w:footerReference w:type="first" r:id="rId73"/>
          <w:pgSz w:w="16834" w:h="11907" w:orient="landscape"/>
          <w:pgMar w:top="1134" w:right="1418" w:bottom="1134" w:left="1418" w:header="720" w:footer="720" w:gutter="0"/>
          <w:paperSrc w:first="15" w:other="15"/>
          <w:cols w:space="720"/>
          <w:titlePg/>
          <w:docGrid w:linePitch="326"/>
        </w:sectPr>
      </w:pPr>
    </w:p>
    <w:p w14:paraId="57DB6280" w14:textId="3FC4C0DE" w:rsidR="000A55EC" w:rsidRPr="00856132" w:rsidRDefault="000A55EC" w:rsidP="004559F5">
      <w:pPr>
        <w:pStyle w:val="AnnexNo"/>
        <w:rPr>
          <w:rFonts w:cstheme="minorHAnsi"/>
          <w:sz w:val="28"/>
          <w:szCs w:val="28"/>
          <w:lang w:val="es-ES_tradnl"/>
        </w:rPr>
      </w:pPr>
      <w:r w:rsidRPr="00856132">
        <w:rPr>
          <w:rFonts w:cstheme="minorHAnsi"/>
          <w:sz w:val="28"/>
          <w:szCs w:val="28"/>
          <w:lang w:val="es-ES_tradnl"/>
        </w:rPr>
        <w:lastRenderedPageBreak/>
        <w:t>ANEXO 1</w:t>
      </w:r>
    </w:p>
    <w:p w14:paraId="165EA809" w14:textId="77777777" w:rsidR="000A55EC" w:rsidRPr="00856132" w:rsidRDefault="000A55EC" w:rsidP="000A55EC">
      <w:pPr>
        <w:pStyle w:val="AnnexNoTitle"/>
        <w:spacing w:before="360"/>
        <w:rPr>
          <w:lang w:val="es-ES_tradnl"/>
        </w:rPr>
      </w:pPr>
      <w:r w:rsidRPr="00856132">
        <w:rPr>
          <w:lang w:val="es-ES_tradnl"/>
        </w:rPr>
        <w:t xml:space="preserve">Mandato del Grupo por Correspondencia del GAR sobre </w:t>
      </w:r>
      <w:r w:rsidRPr="00856132">
        <w:rPr>
          <w:lang w:val="es-ES_tradnl"/>
        </w:rPr>
        <w:br/>
        <w:t>el Plan Estratégico de la UIT para 2028-2031</w:t>
      </w:r>
    </w:p>
    <w:p w14:paraId="52CCADDF" w14:textId="28A20AB9" w:rsidR="000A55EC" w:rsidRPr="00856132" w:rsidRDefault="000A55EC" w:rsidP="004559F5">
      <w:pPr>
        <w:pStyle w:val="Normalaftertitle"/>
        <w:rPr>
          <w:lang w:val="es-ES_tradnl"/>
        </w:rPr>
      </w:pPr>
      <w:r w:rsidRPr="00856132">
        <w:rPr>
          <w:lang w:val="es-ES_tradnl"/>
        </w:rPr>
        <w:t>El Grupo por Correspondencia del Grupo Asesor de Radiocomunicaciones (GAR) se encarga de redactar el proyecto de documento que el GAR presentará al Grupo de Trabajo del Consejo sobre los Planes Estratégico y Financiero de la UIT para 2028-2031 que se presentarán a la Conferencia de Plenipotenciarios en 2026, de conformidad con el punto 62A (PP-02) del Artículo 4 del Convenio de la UIT, con el siguiente mandato:</w:t>
      </w:r>
    </w:p>
    <w:p w14:paraId="11372EB6" w14:textId="71DC301E" w:rsidR="000A55EC" w:rsidRPr="00856132" w:rsidRDefault="00CA6785" w:rsidP="00CA6785">
      <w:pPr>
        <w:pStyle w:val="enumlev1"/>
        <w:rPr>
          <w:lang w:val="es-ES_tradnl"/>
        </w:rPr>
      </w:pPr>
      <w:r w:rsidRPr="00856132">
        <w:rPr>
          <w:lang w:val="es-ES_tradnl"/>
        </w:rPr>
        <w:t>–</w:t>
      </w:r>
      <w:r w:rsidR="000A55EC" w:rsidRPr="00856132">
        <w:rPr>
          <w:lang w:val="es-ES_tradnl"/>
        </w:rPr>
        <w:tab/>
        <w:t>Llevar a cabo una evaluación de la aplicación de los anteriores Planes Estratégico y Financiero, en lo relativo a los aspectos relacionados con el mandato del UIT-R;</w:t>
      </w:r>
    </w:p>
    <w:p w14:paraId="0D07C8C6" w14:textId="4B502FF4" w:rsidR="000A55EC" w:rsidRPr="00856132" w:rsidRDefault="00CA6785" w:rsidP="000A55EC">
      <w:pPr>
        <w:pStyle w:val="enumlev1"/>
        <w:rPr>
          <w:lang w:val="es-ES_tradnl"/>
        </w:rPr>
      </w:pPr>
      <w:r w:rsidRPr="00856132">
        <w:rPr>
          <w:lang w:val="es-ES_tradnl"/>
        </w:rPr>
        <w:t>–</w:t>
      </w:r>
      <w:r w:rsidR="000A55EC" w:rsidRPr="00856132">
        <w:rPr>
          <w:lang w:val="es-ES_tradnl"/>
        </w:rPr>
        <w:tab/>
        <w:t>Elaborar el proyecto de contribución del GAR al nuevo proyecto de Planes Estratégico y Financiero para el periodo 2028-2031, teniendo en cuenta las contribuciones de los Miembros y de la Oficina de Radiocomunicaciones, con arreglo a los principios contenidos en los instrumentos fundamentales de la Unión.</w:t>
      </w:r>
    </w:p>
    <w:p w14:paraId="7EAE006F" w14:textId="3AC4760F" w:rsidR="000A55EC" w:rsidRPr="00856132" w:rsidRDefault="000A55EC" w:rsidP="00CA6785">
      <w:pPr>
        <w:rPr>
          <w:lang w:val="es-ES_tradnl"/>
        </w:rPr>
      </w:pPr>
      <w:r w:rsidRPr="00856132">
        <w:rPr>
          <w:lang w:val="es-ES_tradnl"/>
        </w:rPr>
        <w:t>El Grupo por Correspondencia comenzará sus trabajos después de la 32ª reunión del GAR, tomará en consideración los resultados de la reunión de septiembre de 2025 del Grupo de Trabajo del Consejo sobre los Planes Estratégico y Financiero (GTC-PEF) y tendrá por objetivo presentar la propuesta de contribución del GAR en una reunión extraordinaria que éste celebrará antes de la reunión de enero/febrero del GTC-PEF con el fin examinar el proyecto de Planes Estratégico y Financiero del UIT-R. En aras de la eficacia y la inclusión, el trabajo deberá llevarse a cabo principalmente en dos reuniones virtuales a lo sumo, ciñéndose a las secciones § A1.3.2.9 y §</w:t>
      </w:r>
      <w:r w:rsidR="001963A8" w:rsidRPr="00856132">
        <w:rPr>
          <w:lang w:val="es-ES_tradnl"/>
        </w:rPr>
        <w:t> </w:t>
      </w:r>
      <w:r w:rsidRPr="00856132">
        <w:rPr>
          <w:lang w:val="es-ES_tradnl"/>
        </w:rPr>
        <w:t>A.1.3.2.10 de la Resolución UIT-R 1-9.</w:t>
      </w:r>
    </w:p>
    <w:p w14:paraId="74539E7A" w14:textId="2401381B" w:rsidR="000A55EC" w:rsidRPr="00856132" w:rsidRDefault="000A55EC" w:rsidP="00CA6785">
      <w:pPr>
        <w:rPr>
          <w:lang w:val="es-ES_tradnl"/>
        </w:rPr>
      </w:pPr>
      <w:r w:rsidRPr="00856132">
        <w:rPr>
          <w:lang w:val="es-ES_tradnl"/>
        </w:rPr>
        <w:t xml:space="preserve">Presidirá este Grupo por Correspondencia el Sr. El </w:t>
      </w:r>
      <w:proofErr w:type="spellStart"/>
      <w:r w:rsidRPr="00856132">
        <w:rPr>
          <w:lang w:val="es-ES_tradnl"/>
        </w:rPr>
        <w:t>Hadjar</w:t>
      </w:r>
      <w:proofErr w:type="spellEnd"/>
      <w:r w:rsidRPr="00856132">
        <w:rPr>
          <w:lang w:val="es-ES_tradnl"/>
        </w:rPr>
        <w:t xml:space="preserve"> ABDOURAMANE (correo</w:t>
      </w:r>
      <w:r w:rsidR="00CA6785" w:rsidRPr="00856132">
        <w:rPr>
          <w:lang w:val="es-ES_tradnl"/>
        </w:rPr>
        <w:t>-</w:t>
      </w:r>
      <w:r w:rsidRPr="00856132">
        <w:rPr>
          <w:lang w:val="es-ES_tradnl"/>
        </w:rPr>
        <w:t>e:</w:t>
      </w:r>
      <w:r w:rsidR="00CA6785" w:rsidRPr="00856132">
        <w:rPr>
          <w:lang w:val="es-ES_tradnl"/>
        </w:rPr>
        <w:t xml:space="preserve"> </w:t>
      </w:r>
      <w:hyperlink r:id="rId74" w:history="1">
        <w:r w:rsidR="00CA6785" w:rsidRPr="00856132">
          <w:rPr>
            <w:rStyle w:val="Hyperlink"/>
            <w:rFonts w:asciiTheme="minorHAnsi" w:hAnsiTheme="minorHAnsi" w:cstheme="minorHAnsi"/>
            <w:lang w:val="es-ES_tradnl"/>
          </w:rPr>
          <w:t>choco0742@live.ca</w:t>
        </w:r>
      </w:hyperlink>
      <w:r w:rsidRPr="00856132">
        <w:rPr>
          <w:lang w:val="es-ES_tradnl"/>
        </w:rPr>
        <w:t>), que se encargará de coordinar las actividades y velar por la comunicación y presentación oportunas del informe del Grupo antes de la 33ª reunión del GAR.</w:t>
      </w:r>
    </w:p>
    <w:p w14:paraId="46F3ADC6" w14:textId="77777777" w:rsidR="000A55EC" w:rsidRPr="00856132" w:rsidRDefault="000A55EC" w:rsidP="000A55EC">
      <w:pPr>
        <w:rPr>
          <w:lang w:val="es-ES_tradnl"/>
        </w:rPr>
      </w:pPr>
      <w:r w:rsidRPr="00856132">
        <w:rPr>
          <w:lang w:val="es-ES_tradnl"/>
        </w:rPr>
        <w:br w:type="page"/>
      </w:r>
    </w:p>
    <w:p w14:paraId="0D5E5DB9" w14:textId="77777777" w:rsidR="000A55EC" w:rsidRPr="00856132" w:rsidRDefault="000A55EC" w:rsidP="001963A8">
      <w:pPr>
        <w:pStyle w:val="AnnexNo"/>
        <w:rPr>
          <w:lang w:val="es-ES_tradnl"/>
        </w:rPr>
      </w:pPr>
      <w:r w:rsidRPr="00856132">
        <w:rPr>
          <w:lang w:val="es-ES_tradnl"/>
        </w:rPr>
        <w:lastRenderedPageBreak/>
        <w:t>ANEXO 2</w:t>
      </w:r>
    </w:p>
    <w:p w14:paraId="783E3F0C" w14:textId="77777777" w:rsidR="000A55EC" w:rsidRPr="00856132" w:rsidRDefault="000A55EC" w:rsidP="001963A8">
      <w:pPr>
        <w:pStyle w:val="Annextitle"/>
        <w:rPr>
          <w:lang w:val="es-ES_tradnl"/>
        </w:rPr>
      </w:pPr>
      <w:r w:rsidRPr="00856132">
        <w:rPr>
          <w:lang w:val="es-ES_tradnl"/>
        </w:rPr>
        <w:t xml:space="preserve">Mandato actualizado del Grupo por Correspondencia del GAR sobre la mejora del </w:t>
      </w:r>
      <w:r w:rsidRPr="00856132">
        <w:rPr>
          <w:lang w:val="es-ES_tradnl"/>
        </w:rPr>
        <w:br/>
        <w:t>proceso de la Reunión Preparatoria de la Conferencia (RPC)</w:t>
      </w:r>
    </w:p>
    <w:p w14:paraId="58D8093C" w14:textId="77777777" w:rsidR="000A55EC" w:rsidRPr="00856132" w:rsidRDefault="000A55EC" w:rsidP="001963A8">
      <w:pPr>
        <w:pStyle w:val="Normalaftertitle"/>
        <w:rPr>
          <w:lang w:val="es-ES_tradnl"/>
        </w:rPr>
      </w:pPr>
      <w:r w:rsidRPr="00856132">
        <w:rPr>
          <w:lang w:val="es-ES_tradnl"/>
        </w:rPr>
        <w:t>El Grupo por Correspondencia (GC) del Grupo Asesor de Radiocomunicaciones (GAR) tiene encomendada la tarea de estudiar posibles mejoras del proceso de la Reunión Preparatoria de la Conferencia (RPC) con arreglo al siguiente mandato:</w:t>
      </w:r>
    </w:p>
    <w:p w14:paraId="72E71EBB" w14:textId="77777777" w:rsidR="000A55EC" w:rsidRPr="00856132" w:rsidRDefault="000A55EC" w:rsidP="000A55EC">
      <w:pPr>
        <w:pStyle w:val="enumlev1"/>
        <w:rPr>
          <w:lang w:val="es-ES_tradnl"/>
        </w:rPr>
      </w:pPr>
      <w:r w:rsidRPr="00856132">
        <w:rPr>
          <w:lang w:val="es-ES_tradnl"/>
        </w:rPr>
        <w:t>–</w:t>
      </w:r>
      <w:r w:rsidRPr="00856132">
        <w:rPr>
          <w:lang w:val="es-ES_tradnl"/>
        </w:rPr>
        <w:tab/>
        <w:t>Seguir examinando el proceso de la RPC, con el fin de mejorar el proceso en sí y los objetivos de la Segunda Sesión de la RPC, así como cualquier modificación del procedimiento para la preparación del Informe de la RPC;</w:t>
      </w:r>
    </w:p>
    <w:p w14:paraId="2792E744" w14:textId="77777777" w:rsidR="000A55EC" w:rsidRPr="00856132" w:rsidRDefault="000A55EC" w:rsidP="000A55EC">
      <w:pPr>
        <w:pStyle w:val="enumlev1"/>
        <w:rPr>
          <w:rFonts w:asciiTheme="minorHAnsi" w:hAnsiTheme="minorHAnsi" w:cstheme="minorHAnsi"/>
          <w:lang w:val="es-ES_tradnl"/>
        </w:rPr>
      </w:pPr>
      <w:r w:rsidRPr="00856132">
        <w:rPr>
          <w:lang w:val="es-ES_tradnl"/>
        </w:rPr>
        <w:t>–</w:t>
      </w:r>
      <w:r w:rsidRPr="00856132">
        <w:rPr>
          <w:lang w:val="es-ES_tradnl"/>
        </w:rPr>
        <w:tab/>
      </w:r>
      <w:r w:rsidRPr="00856132">
        <w:rPr>
          <w:rFonts w:asciiTheme="minorHAnsi" w:hAnsiTheme="minorHAnsi" w:cstheme="minorHAnsi"/>
          <w:lang w:val="es-ES_tradnl"/>
        </w:rPr>
        <w:t xml:space="preserve">Estudiar, en consecuencia, cómo podría modificarse la Resolución </w:t>
      </w:r>
      <w:hyperlink r:id="rId75" w:history="1">
        <w:r w:rsidRPr="00856132">
          <w:rPr>
            <w:rStyle w:val="Hyperlink"/>
            <w:rFonts w:asciiTheme="minorHAnsi" w:hAnsiTheme="minorHAnsi" w:cstheme="minorHAnsi"/>
            <w:lang w:val="es-ES_tradnl"/>
          </w:rPr>
          <w:t>UIT-R 2-9</w:t>
        </w:r>
      </w:hyperlink>
      <w:r w:rsidRPr="00856132">
        <w:rPr>
          <w:rFonts w:asciiTheme="minorHAnsi" w:hAnsiTheme="minorHAnsi" w:cstheme="minorHAnsi"/>
          <w:lang w:val="es-ES_tradnl"/>
        </w:rPr>
        <w:t xml:space="preserve"> (relativa a la Reunión Preparatoria de la Conferencia) para incorporar las conclusiones del mencionado examen.</w:t>
      </w:r>
    </w:p>
    <w:p w14:paraId="49BEF4F1" w14:textId="77777777" w:rsidR="000A55EC" w:rsidRPr="00856132" w:rsidRDefault="000A55EC" w:rsidP="00A37C71">
      <w:pPr>
        <w:rPr>
          <w:lang w:val="es-ES_tradnl"/>
        </w:rPr>
      </w:pPr>
      <w:r w:rsidRPr="00856132">
        <w:rPr>
          <w:lang w:val="es-ES_tradnl"/>
        </w:rPr>
        <w:t>El Grupo por Correspondencia proseguirá sus trabajos inmediatamente después de la 32ª reunión del GAR y tendrá por objetivo presentar un informe exhaustivo antes de la 33ª reunión del GAR. En aras de la eficacia y la inclusión, los trabajos deberán realizarse principalmente por correspondencia, ateniéndose a las secciones § A1.3.2.9 y § A.1.3.2.10 de la Resolución UIT-R 1-9.</w:t>
      </w:r>
    </w:p>
    <w:p w14:paraId="3DC7A834" w14:textId="0EC65A28" w:rsidR="000A55EC" w:rsidRPr="00856132" w:rsidRDefault="000A55EC" w:rsidP="000A55EC">
      <w:pPr>
        <w:rPr>
          <w:rFonts w:asciiTheme="minorHAnsi" w:hAnsiTheme="minorHAnsi" w:cstheme="minorHAnsi"/>
          <w:lang w:val="es-ES_tradnl"/>
        </w:rPr>
      </w:pPr>
      <w:r w:rsidRPr="00856132">
        <w:rPr>
          <w:rFonts w:asciiTheme="minorHAnsi" w:hAnsiTheme="minorHAnsi" w:cstheme="minorHAnsi"/>
          <w:lang w:val="es-ES_tradnl"/>
        </w:rPr>
        <w:t xml:space="preserve">Presidirá este Grupo por Correspondencia el Sr. Fahad ALGHAMDI (correo-e: </w:t>
      </w:r>
      <w:hyperlink r:id="rId76" w:history="1">
        <w:r w:rsidRPr="00856132">
          <w:rPr>
            <w:rStyle w:val="Hyperlink"/>
            <w:rFonts w:asciiTheme="minorHAnsi" w:hAnsiTheme="minorHAnsi" w:cstheme="minorHAnsi"/>
            <w:lang w:val="es-ES_tradnl"/>
          </w:rPr>
          <w:t>fabghamdi@citc.gov.sa</w:t>
        </w:r>
      </w:hyperlink>
      <w:r w:rsidRPr="00856132">
        <w:rPr>
          <w:rFonts w:asciiTheme="minorHAnsi" w:hAnsiTheme="minorHAnsi" w:cstheme="minorHAnsi"/>
          <w:lang w:val="es-ES_tradnl"/>
        </w:rPr>
        <w:t>), que se encargará de coordinar las actividades y velar por la comunicación y presentación oportunas del informe del Grupo a más tardar 45 días antes de la 33ª reunión del</w:t>
      </w:r>
      <w:r w:rsidR="001963A8" w:rsidRPr="00856132">
        <w:rPr>
          <w:rFonts w:asciiTheme="minorHAnsi" w:hAnsiTheme="minorHAnsi" w:cstheme="minorHAnsi"/>
          <w:lang w:val="es-ES_tradnl"/>
        </w:rPr>
        <w:t> </w:t>
      </w:r>
      <w:r w:rsidRPr="00856132">
        <w:rPr>
          <w:rFonts w:asciiTheme="minorHAnsi" w:hAnsiTheme="minorHAnsi" w:cstheme="minorHAnsi"/>
          <w:lang w:val="es-ES_tradnl"/>
        </w:rPr>
        <w:t>GAR.</w:t>
      </w:r>
    </w:p>
    <w:p w14:paraId="2F8CA6E3" w14:textId="77777777" w:rsidR="000A55EC" w:rsidRPr="00856132" w:rsidRDefault="000A55EC" w:rsidP="000A55EC">
      <w:pPr>
        <w:rPr>
          <w:rFonts w:asciiTheme="minorHAnsi" w:hAnsiTheme="minorHAnsi" w:cstheme="minorHAnsi"/>
          <w:lang w:val="es-ES_tradnl"/>
        </w:rPr>
      </w:pPr>
      <w:r w:rsidRPr="00856132">
        <w:rPr>
          <w:rFonts w:asciiTheme="minorHAnsi" w:hAnsiTheme="minorHAnsi" w:cstheme="minorHAnsi"/>
          <w:lang w:val="es-ES_tradnl"/>
        </w:rPr>
        <w:t>En la página web del GAR se facilitará otra información pertinente para los trabajos de este Grupo por Correspondencia.</w:t>
      </w:r>
    </w:p>
    <w:p w14:paraId="73DEF739" w14:textId="77777777" w:rsidR="000A55EC" w:rsidRPr="00856132" w:rsidRDefault="000A55EC" w:rsidP="000A55EC">
      <w:pPr>
        <w:rPr>
          <w:lang w:val="es-ES_tradnl"/>
        </w:rPr>
      </w:pPr>
    </w:p>
    <w:p w14:paraId="4BBF4370" w14:textId="77777777" w:rsidR="000A55EC" w:rsidRPr="00856132" w:rsidRDefault="000A55EC" w:rsidP="000A55EC">
      <w:pPr>
        <w:rPr>
          <w:rFonts w:asciiTheme="minorHAnsi" w:hAnsiTheme="minorHAnsi" w:cstheme="minorHAnsi"/>
          <w:lang w:val="es-ES_tradnl"/>
        </w:rPr>
      </w:pPr>
      <w:r w:rsidRPr="00856132">
        <w:rPr>
          <w:rFonts w:asciiTheme="minorHAnsi" w:hAnsiTheme="minorHAnsi" w:cstheme="minorHAnsi"/>
          <w:lang w:val="es-ES_tradnl"/>
        </w:rPr>
        <w:br w:type="page"/>
      </w:r>
    </w:p>
    <w:p w14:paraId="038AF1BD" w14:textId="77777777" w:rsidR="000A55EC" w:rsidRPr="00856132" w:rsidRDefault="000A55EC" w:rsidP="001963A8">
      <w:pPr>
        <w:pStyle w:val="AnnexNo"/>
        <w:rPr>
          <w:lang w:val="es-ES_tradnl"/>
        </w:rPr>
      </w:pPr>
      <w:r w:rsidRPr="00856132">
        <w:rPr>
          <w:lang w:val="es-ES_tradnl"/>
        </w:rPr>
        <w:lastRenderedPageBreak/>
        <w:t>ANEXO 3</w:t>
      </w:r>
    </w:p>
    <w:p w14:paraId="04688F2B" w14:textId="77777777" w:rsidR="000A55EC" w:rsidRPr="00856132" w:rsidRDefault="000A55EC" w:rsidP="001963A8">
      <w:pPr>
        <w:pStyle w:val="Annextitle"/>
        <w:rPr>
          <w:lang w:val="es-ES_tradnl"/>
        </w:rPr>
      </w:pPr>
      <w:r w:rsidRPr="00856132">
        <w:rPr>
          <w:lang w:val="es-ES_tradnl"/>
        </w:rPr>
        <w:t xml:space="preserve">Respuesta a la Declaración de coordinación del GANT (con copia a la CE 2, CE 3 y al CCT </w:t>
      </w:r>
      <w:r w:rsidRPr="00856132">
        <w:rPr>
          <w:lang w:val="es-ES_tradnl"/>
        </w:rPr>
        <w:br/>
        <w:t xml:space="preserve">del UIT-T) relativa a la creación de nuevos temas de trabajo y definiciones del UIT-T </w:t>
      </w:r>
      <w:r w:rsidRPr="00856132">
        <w:rPr>
          <w:lang w:val="es-ES_tradnl"/>
        </w:rPr>
        <w:br/>
        <w:t>sobre aspectos relacionados con las radiocomunicaciones terrenales y por satélite</w:t>
      </w:r>
    </w:p>
    <w:p w14:paraId="2219FE27" w14:textId="2C7C334E" w:rsidR="000A55EC" w:rsidRPr="00856132" w:rsidRDefault="000A55EC" w:rsidP="002844B0">
      <w:pPr>
        <w:pStyle w:val="Normalaftertitle"/>
        <w:rPr>
          <w:lang w:val="es-ES_tradnl"/>
        </w:rPr>
      </w:pPr>
      <w:r w:rsidRPr="00856132">
        <w:rPr>
          <w:lang w:val="es-ES_tradnl"/>
        </w:rPr>
        <w:t>En su 32ª reunión, celebrada en abril de 2025, el GAR examinó numerosas declaraciones de coordinación relativas a nuevos temas de trabajo y definiciones del UIT-T sobre aspectos relacionados con las radiocomunicaciones terrenales y por satélite, como las Telecomunicaciones Móviles Internacionales (IMT) (</w:t>
      </w:r>
      <w:hyperlink r:id="rId77" w:history="1">
        <w:r w:rsidRPr="00856132">
          <w:rPr>
            <w:rStyle w:val="Hyperlink"/>
            <w:lang w:val="es-ES_tradnl"/>
          </w:rPr>
          <w:t>RAG/25</w:t>
        </w:r>
      </w:hyperlink>
      <w:r w:rsidRPr="00856132">
        <w:rPr>
          <w:lang w:val="es-ES_tradnl"/>
        </w:rPr>
        <w:t xml:space="preserve">, </w:t>
      </w:r>
      <w:hyperlink r:id="rId78" w:history="1">
        <w:r w:rsidRPr="00856132">
          <w:rPr>
            <w:rStyle w:val="Hyperlink"/>
            <w:lang w:val="es-ES_tradnl"/>
          </w:rPr>
          <w:t>RAG/28</w:t>
        </w:r>
      </w:hyperlink>
      <w:r w:rsidRPr="00856132">
        <w:rPr>
          <w:lang w:val="es-ES_tradnl"/>
        </w:rPr>
        <w:t xml:space="preserve">, y </w:t>
      </w:r>
      <w:hyperlink r:id="rId79" w:history="1">
        <w:r w:rsidRPr="00856132">
          <w:rPr>
            <w:rStyle w:val="Hyperlink"/>
            <w:lang w:val="es-ES_tradnl"/>
          </w:rPr>
          <w:t>RAG/29</w:t>
        </w:r>
      </w:hyperlink>
      <w:r w:rsidRPr="00856132">
        <w:rPr>
          <w:lang w:val="es-ES_tradnl"/>
        </w:rPr>
        <w:t>), las aeronaves no tripuladas (</w:t>
      </w:r>
      <w:hyperlink r:id="rId80" w:history="1">
        <w:r w:rsidRPr="00856132">
          <w:rPr>
            <w:rStyle w:val="Hyperlink"/>
            <w:lang w:val="es-ES_tradnl"/>
          </w:rPr>
          <w:t>RAG/17</w:t>
        </w:r>
      </w:hyperlink>
      <w:r w:rsidRPr="00856132">
        <w:rPr>
          <w:lang w:val="es-ES_tradnl"/>
        </w:rPr>
        <w:t xml:space="preserve"> y</w:t>
      </w:r>
      <w:r w:rsidR="002844B0" w:rsidRPr="00856132">
        <w:rPr>
          <w:lang w:val="es-ES_tradnl"/>
        </w:rPr>
        <w:t> </w:t>
      </w:r>
      <w:hyperlink r:id="rId81" w:history="1">
        <w:r w:rsidRPr="00856132">
          <w:rPr>
            <w:rStyle w:val="Hyperlink"/>
            <w:lang w:val="es-ES_tradnl"/>
          </w:rPr>
          <w:t>RAG/32</w:t>
        </w:r>
      </w:hyperlink>
      <w:r w:rsidRPr="00856132">
        <w:rPr>
          <w:lang w:val="es-ES_tradnl"/>
        </w:rPr>
        <w:t>), y la conectividad minorista por satélite (</w:t>
      </w:r>
      <w:hyperlink r:id="rId82" w:history="1">
        <w:r w:rsidRPr="00856132">
          <w:rPr>
            <w:rStyle w:val="Hyperlink"/>
            <w:lang w:val="es-ES_tradnl"/>
          </w:rPr>
          <w:t>RAG/19</w:t>
        </w:r>
      </w:hyperlink>
      <w:r w:rsidRPr="00856132">
        <w:rPr>
          <w:lang w:val="es-ES_tradnl"/>
        </w:rPr>
        <w:t xml:space="preserve"> y </w:t>
      </w:r>
      <w:hyperlink r:id="rId83" w:history="1">
        <w:r w:rsidRPr="00856132">
          <w:rPr>
            <w:rStyle w:val="Hyperlink"/>
            <w:lang w:val="es-ES_tradnl"/>
          </w:rPr>
          <w:t>RAG/26</w:t>
        </w:r>
      </w:hyperlink>
      <w:r w:rsidRPr="00856132">
        <w:rPr>
          <w:lang w:val="es-ES_tradnl"/>
        </w:rPr>
        <w:t>), en los que existe solapamiento con el cometido del UIT-R sobre asuntos técnicos y reglamentarios relacionados con las radiocomunicaciones.</w:t>
      </w:r>
    </w:p>
    <w:p w14:paraId="5A37D889" w14:textId="1D3FAF97" w:rsidR="000A55EC" w:rsidRPr="00856132" w:rsidRDefault="000A55EC" w:rsidP="000A55EC">
      <w:pPr>
        <w:tabs>
          <w:tab w:val="clear" w:pos="794"/>
          <w:tab w:val="clear" w:pos="1191"/>
          <w:tab w:val="clear" w:pos="1588"/>
          <w:tab w:val="clear" w:pos="1985"/>
        </w:tabs>
        <w:overflowPunct/>
        <w:autoSpaceDE/>
        <w:autoSpaceDN/>
        <w:adjustRightInd/>
        <w:textAlignment w:val="auto"/>
        <w:rPr>
          <w:lang w:val="es-ES_tradnl"/>
        </w:rPr>
      </w:pPr>
      <w:r w:rsidRPr="00856132">
        <w:rPr>
          <w:lang w:val="es-ES_tradnl"/>
        </w:rPr>
        <w:t>El GAR también examinó y apreció varias declaraciones de coordinación del UIT-T sobre las medidas que están adoptando para resolver este solapamiento con el UIT-R (</w:t>
      </w:r>
      <w:hyperlink r:id="rId84">
        <w:r w:rsidRPr="00856132">
          <w:rPr>
            <w:rStyle w:val="Hyperlink"/>
            <w:lang w:val="es-ES_tradnl"/>
          </w:rPr>
          <w:t>RAG/22</w:t>
        </w:r>
      </w:hyperlink>
      <w:r w:rsidRPr="00856132">
        <w:rPr>
          <w:lang w:val="es-ES_tradnl"/>
        </w:rPr>
        <w:t xml:space="preserve"> y </w:t>
      </w:r>
      <w:hyperlink r:id="rId85">
        <w:r w:rsidRPr="00856132">
          <w:rPr>
            <w:rStyle w:val="Hyperlink"/>
            <w:lang w:val="es-ES_tradnl"/>
          </w:rPr>
          <w:t>RAG/46</w:t>
        </w:r>
      </w:hyperlink>
      <w:r w:rsidRPr="00856132">
        <w:rPr>
          <w:lang w:val="es-ES_tradnl"/>
        </w:rPr>
        <w:t>).</w:t>
      </w:r>
    </w:p>
    <w:p w14:paraId="2B7AECB8" w14:textId="66B015F0" w:rsidR="000A55EC" w:rsidRPr="00856132" w:rsidRDefault="000A55EC" w:rsidP="000A55EC">
      <w:pPr>
        <w:tabs>
          <w:tab w:val="clear" w:pos="794"/>
          <w:tab w:val="clear" w:pos="1191"/>
          <w:tab w:val="clear" w:pos="1588"/>
          <w:tab w:val="clear" w:pos="1985"/>
        </w:tabs>
        <w:overflowPunct/>
        <w:autoSpaceDE/>
        <w:autoSpaceDN/>
        <w:adjustRightInd/>
        <w:textAlignment w:val="auto"/>
        <w:rPr>
          <w:bCs/>
          <w:lang w:val="es-ES_tradnl"/>
        </w:rPr>
      </w:pPr>
      <w:r w:rsidRPr="00856132">
        <w:rPr>
          <w:lang w:val="es-ES_tradnl"/>
        </w:rPr>
        <w:t xml:space="preserve">Tal y como concluyó anteriormente, el GAR </w:t>
      </w:r>
      <w:r w:rsidR="00856132" w:rsidRPr="00856132">
        <w:rPr>
          <w:lang w:val="es-ES_tradnl"/>
        </w:rPr>
        <w:t>«</w:t>
      </w:r>
      <w:r w:rsidRPr="00856132">
        <w:rPr>
          <w:lang w:val="es-ES_tradnl"/>
        </w:rPr>
        <w:t>está sumamente preocupado por la tendencia en auge en el UIT-T a abordar cuestiones que forman parte exclusivamente de los mandatos de las Comisiones de Estudio del UIT-R</w:t>
      </w:r>
      <w:r w:rsidR="00856132" w:rsidRPr="00856132">
        <w:rPr>
          <w:rFonts w:eastAsia="Calibri" w:cs="Arial"/>
          <w:lang w:val="es-ES_tradnl"/>
        </w:rPr>
        <w:t>»</w:t>
      </w:r>
      <w:r w:rsidRPr="00856132">
        <w:rPr>
          <w:rFonts w:eastAsia="Calibri" w:cs="Arial"/>
          <w:lang w:val="es-ES_tradnl"/>
        </w:rPr>
        <w:t xml:space="preserve"> y </w:t>
      </w:r>
      <w:r w:rsidR="00856132" w:rsidRPr="00856132">
        <w:rPr>
          <w:rFonts w:eastAsia="Calibri" w:cs="Arial"/>
          <w:lang w:val="es-ES_tradnl"/>
        </w:rPr>
        <w:t>«</w:t>
      </w:r>
      <w:r w:rsidRPr="00856132">
        <w:rPr>
          <w:rFonts w:eastAsia="Calibri" w:cs="Arial"/>
          <w:lang w:val="es-ES_tradnl"/>
        </w:rPr>
        <w:t>destaca que tanto el UIT-T como el UIT-R deberían evitar poner en marcha trabajos que claramente formen parte del mandato de otro Sector</w:t>
      </w:r>
      <w:r w:rsidR="00856132" w:rsidRPr="00856132">
        <w:rPr>
          <w:rFonts w:eastAsia="Calibri" w:cs="Arial"/>
          <w:lang w:val="es-ES_tradnl"/>
        </w:rPr>
        <w:t>»</w:t>
      </w:r>
      <w:r w:rsidRPr="00856132">
        <w:rPr>
          <w:rFonts w:eastAsia="Calibri" w:cs="Arial"/>
          <w:lang w:val="es-ES_tradnl"/>
        </w:rPr>
        <w:t xml:space="preserve"> (</w:t>
      </w:r>
      <w:r w:rsidRPr="00856132">
        <w:rPr>
          <w:lang w:val="es-ES_tradnl"/>
        </w:rPr>
        <w:t xml:space="preserve">véase </w:t>
      </w:r>
      <w:r w:rsidRPr="00856132">
        <w:rPr>
          <w:bCs/>
          <w:lang w:val="es-ES_tradnl"/>
        </w:rPr>
        <w:t xml:space="preserve">§ 10 de la </w:t>
      </w:r>
      <w:r w:rsidRPr="00856132">
        <w:rPr>
          <w:lang w:val="es-ES_tradnl"/>
        </w:rPr>
        <w:t xml:space="preserve">Circular Administrativa </w:t>
      </w:r>
      <w:hyperlink r:id="rId86" w:history="1">
        <w:r w:rsidRPr="00856132">
          <w:rPr>
            <w:bCs/>
            <w:color w:val="0000FF" w:themeColor="hyperlink"/>
            <w:u w:val="single"/>
            <w:lang w:val="es-ES_tradnl"/>
          </w:rPr>
          <w:t>CA/267</w:t>
        </w:r>
      </w:hyperlink>
      <w:r w:rsidRPr="00856132">
        <w:rPr>
          <w:bCs/>
          <w:lang w:val="es-ES_tradnl"/>
        </w:rPr>
        <w:t>, relativa a la reunión del GAR de mayo de 2023).</w:t>
      </w:r>
    </w:p>
    <w:p w14:paraId="25D8065E" w14:textId="10EC7945" w:rsidR="000A55EC" w:rsidRPr="00856132" w:rsidRDefault="000A55EC" w:rsidP="000A55EC">
      <w:pPr>
        <w:tabs>
          <w:tab w:val="clear" w:pos="794"/>
          <w:tab w:val="clear" w:pos="1191"/>
          <w:tab w:val="clear" w:pos="1588"/>
          <w:tab w:val="clear" w:pos="1985"/>
        </w:tabs>
        <w:overflowPunct/>
        <w:autoSpaceDE/>
        <w:autoSpaceDN/>
        <w:adjustRightInd/>
        <w:textAlignment w:val="auto"/>
        <w:rPr>
          <w:lang w:val="es-ES_tradnl"/>
        </w:rPr>
      </w:pPr>
      <w:r w:rsidRPr="00856132">
        <w:rPr>
          <w:lang w:val="es-ES_tradnl"/>
        </w:rPr>
        <w:t xml:space="preserve">Por otra parte, el GAR acoge con satisfacción la conclusión del GANT formulada en el Documento </w:t>
      </w:r>
      <w:hyperlink r:id="rId87">
        <w:r w:rsidRPr="00856132">
          <w:rPr>
            <w:rStyle w:val="Hyperlink"/>
            <w:lang w:val="es-ES_tradnl"/>
          </w:rPr>
          <w:t>RAG/22</w:t>
        </w:r>
      </w:hyperlink>
      <w:r w:rsidRPr="00856132">
        <w:rPr>
          <w:lang w:val="es-ES_tradnl"/>
        </w:rPr>
        <w:t xml:space="preserve"> de que </w:t>
      </w:r>
      <w:r w:rsidR="002844B0" w:rsidRPr="00856132">
        <w:rPr>
          <w:lang w:val="es-ES_tradnl"/>
        </w:rPr>
        <w:t>«</w:t>
      </w:r>
      <w:r w:rsidRPr="00856132">
        <w:rPr>
          <w:lang w:val="es-ES_tradnl"/>
        </w:rPr>
        <w:t>el GANT insta por tanto a todas las Comisiones de Estudio de la UIT a que se pongan en contacto con las Comisiones de Estudio y los Grupos de Trabajo pertinentes del UIT-R para llevar a cabo la cooperación y coordinación necesarias, como se estipula en el CV197F y en la Resolución</w:t>
      </w:r>
      <w:r w:rsidR="002844B0" w:rsidRPr="00856132">
        <w:rPr>
          <w:lang w:val="es-ES_tradnl"/>
        </w:rPr>
        <w:t> </w:t>
      </w:r>
      <w:r w:rsidRPr="00856132">
        <w:rPr>
          <w:lang w:val="es-ES_tradnl"/>
        </w:rPr>
        <w:t>18 (AMNT, Ginebra 2022) antes de iniciar el estudio de cualquier tema de trabajo, tales como las aeronaves no tripuladas, los satélites y la propagación, que puedan tener repercusiones en los servicios de radiocomunicaciones terrenales y espaciales</w:t>
      </w:r>
      <w:r w:rsidR="002844B0" w:rsidRPr="00856132">
        <w:rPr>
          <w:lang w:val="es-ES_tradnl"/>
        </w:rPr>
        <w:t>»</w:t>
      </w:r>
      <w:r w:rsidRPr="00856132">
        <w:rPr>
          <w:lang w:val="es-ES_tradnl"/>
        </w:rPr>
        <w:t>. El GAR también señala que las IMT son uno de esos temas.</w:t>
      </w:r>
    </w:p>
    <w:p w14:paraId="6B790E7A" w14:textId="04808339" w:rsidR="000A55EC" w:rsidRPr="00856132" w:rsidRDefault="000A55EC" w:rsidP="000A55EC">
      <w:pPr>
        <w:tabs>
          <w:tab w:val="clear" w:pos="794"/>
          <w:tab w:val="clear" w:pos="1191"/>
          <w:tab w:val="clear" w:pos="1588"/>
          <w:tab w:val="clear" w:pos="1985"/>
        </w:tabs>
        <w:overflowPunct/>
        <w:autoSpaceDE/>
        <w:autoSpaceDN/>
        <w:adjustRightInd/>
        <w:textAlignment w:val="auto"/>
        <w:rPr>
          <w:lang w:val="es-ES_tradnl"/>
        </w:rPr>
      </w:pPr>
      <w:r w:rsidRPr="00856132">
        <w:rPr>
          <w:lang w:val="es-ES_tradnl"/>
        </w:rPr>
        <w:t>El GAR pide al GANT y a las Comisiones de Estudio del UIT-T que se atengan a sus mandatos de normalización de las telecomunicaciones, pero sin entrar en cuestiones del espectro radioeléctrico y de los recursos orbitales, y que adopten nuevas medidas para evitar posibles solapamientos del</w:t>
      </w:r>
      <w:r w:rsidR="002844B0" w:rsidRPr="00856132">
        <w:rPr>
          <w:lang w:val="es-ES_tradnl"/>
        </w:rPr>
        <w:t> </w:t>
      </w:r>
      <w:r w:rsidRPr="00856132">
        <w:rPr>
          <w:lang w:val="es-ES_tradnl"/>
        </w:rPr>
        <w:t>UIT-T con los trabajos del UIT-R sobre asuntos técnicos y reglamentarios relacionados con las radiocomunicaciones. El GAR solicita al GANT que revise los puntos anteriores y brinde la orientación adecuada a las Comisiones de Estudio del UIT-T pertinentes para que eviten iniciar cualquier trabajo que pertenezca al ámbito del UIT-R.</w:t>
      </w:r>
    </w:p>
    <w:p w14:paraId="1E2D3F5B" w14:textId="73346BA5" w:rsidR="000A55EC" w:rsidRPr="00856132" w:rsidRDefault="000A55EC" w:rsidP="000A55EC">
      <w:pPr>
        <w:tabs>
          <w:tab w:val="clear" w:pos="794"/>
          <w:tab w:val="clear" w:pos="1191"/>
          <w:tab w:val="clear" w:pos="1588"/>
          <w:tab w:val="clear" w:pos="1985"/>
        </w:tabs>
        <w:overflowPunct/>
        <w:autoSpaceDE/>
        <w:autoSpaceDN/>
        <w:adjustRightInd/>
        <w:textAlignment w:val="auto"/>
        <w:rPr>
          <w:lang w:val="es-ES_tradnl"/>
        </w:rPr>
      </w:pPr>
      <w:r w:rsidRPr="00856132">
        <w:rPr>
          <w:lang w:val="es-ES_tradnl"/>
        </w:rPr>
        <w:t xml:space="preserve">El GAR también recomienda que el UIT-T emplee una redacción más precisa dentro de su ámbito para evitar solapamientos con el UIT-R. Cuando se utilice un término que ya está en el Reglamento de Radiocomunicaciones, el UIT-T debe asegurarse de que lo utiliza de manera coherente con dicho Reglamento. En cuanto a las propuestas de un nuevo término, </w:t>
      </w:r>
      <w:r w:rsidR="002844B0" w:rsidRPr="00856132">
        <w:rPr>
          <w:lang w:val="es-ES_tradnl"/>
        </w:rPr>
        <w:t>«</w:t>
      </w:r>
      <w:r w:rsidRPr="00856132">
        <w:rPr>
          <w:lang w:val="es-ES_tradnl"/>
        </w:rPr>
        <w:t>servicio de telecomunicaciones para aeronaves no tripuladas</w:t>
      </w:r>
      <w:r w:rsidR="002844B0" w:rsidRPr="00856132">
        <w:rPr>
          <w:lang w:val="es-ES_tradnl"/>
        </w:rPr>
        <w:t>»</w:t>
      </w:r>
      <w:r w:rsidRPr="00856132">
        <w:rPr>
          <w:lang w:val="es-ES_tradnl"/>
        </w:rPr>
        <w:t>, el GAR recuerda al UIT-T y al GANT que este término se solapa con la terminología del Reglamento de Radiocomunicaciones y, en cierta medida, la contradice.</w:t>
      </w:r>
    </w:p>
    <w:p w14:paraId="48E4423A" w14:textId="53879273" w:rsidR="000A55EC" w:rsidRPr="00856132" w:rsidRDefault="000A55EC" w:rsidP="000A55EC">
      <w:pPr>
        <w:tabs>
          <w:tab w:val="clear" w:pos="794"/>
          <w:tab w:val="clear" w:pos="1191"/>
          <w:tab w:val="clear" w:pos="1588"/>
          <w:tab w:val="clear" w:pos="1985"/>
        </w:tabs>
        <w:overflowPunct/>
        <w:autoSpaceDE/>
        <w:autoSpaceDN/>
        <w:adjustRightInd/>
        <w:textAlignment w:val="auto"/>
        <w:rPr>
          <w:lang w:val="es-ES_tradnl"/>
        </w:rPr>
      </w:pPr>
      <w:r w:rsidRPr="00856132">
        <w:rPr>
          <w:lang w:val="es-ES_tradnl"/>
        </w:rPr>
        <w:t>Asimismo, cuando envíen declaraciones de coordinación al UIT-R, las Comisiones de Estudio y los Grupos de Trabajo del UIT-T también deben enviar dichas declaraciones a sus Comisiones de Estudio o Grupos de Trabajo homólogos del UIT-R para que examinen los posibles solapamientos o ámbitos de colaboración antes de plantear la cuestión al GAR.</w:t>
      </w:r>
      <w:r w:rsidR="002844B0" w:rsidRPr="00856132">
        <w:rPr>
          <w:lang w:val="es-ES_tradnl"/>
        </w:rPr>
        <w:t xml:space="preserve"> </w:t>
      </w:r>
      <w:r w:rsidRPr="00856132">
        <w:rPr>
          <w:lang w:val="es-ES_tradnl"/>
        </w:rPr>
        <w:t>El GAR también ruega al GANT que asesore a las Comisiones de Estudio del UIT-T para que prevean un tiempo adecuado si requieren respuestas de las Comisiones de Estudio del UIT-R antes de proceder la aprobación definitiva de nuevos temas de trabajo o definiciones.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100"/>
      </w:tblGrid>
      <w:tr w:rsidR="000A55EC" w:rsidRPr="00856132" w14:paraId="6614BADF" w14:textId="77777777" w:rsidTr="00A113A7">
        <w:tc>
          <w:tcPr>
            <w:tcW w:w="9629" w:type="dxa"/>
            <w:gridSpan w:val="2"/>
          </w:tcPr>
          <w:p w14:paraId="219ED9C2" w14:textId="66C3ED69" w:rsidR="000A55EC" w:rsidRPr="00856132" w:rsidRDefault="000A55EC" w:rsidP="00A113A7">
            <w:pPr>
              <w:keepNext/>
              <w:spacing w:after="120" w:line="240" w:lineRule="auto"/>
              <w:jc w:val="left"/>
              <w:rPr>
                <w:b/>
                <w:bCs/>
                <w:lang w:val="es-ES_tradnl" w:eastAsia="ja-JP"/>
              </w:rPr>
            </w:pPr>
            <w:r w:rsidRPr="00856132">
              <w:rPr>
                <w:b/>
                <w:bCs/>
                <w:lang w:val="es-ES_tradnl"/>
              </w:rPr>
              <w:lastRenderedPageBreak/>
              <w:t>Situación:</w:t>
            </w:r>
            <w:r w:rsidRPr="00856132">
              <w:rPr>
                <w:b/>
                <w:bCs/>
                <w:lang w:val="es-ES_tradnl"/>
              </w:rPr>
              <w:tab/>
            </w:r>
            <w:r w:rsidRPr="00856132">
              <w:rPr>
                <w:lang w:val="es-ES_tradnl"/>
              </w:rPr>
              <w:t>Para acción</w:t>
            </w:r>
          </w:p>
        </w:tc>
      </w:tr>
      <w:tr w:rsidR="000A55EC" w:rsidRPr="00D71799" w14:paraId="11BC58BF" w14:textId="77777777" w:rsidTr="00A113A7">
        <w:tc>
          <w:tcPr>
            <w:tcW w:w="5529" w:type="dxa"/>
            <w:hideMark/>
          </w:tcPr>
          <w:p w14:paraId="4451DD38" w14:textId="77777777" w:rsidR="000A55EC" w:rsidRPr="00856132" w:rsidRDefault="000A55EC" w:rsidP="00A113A7">
            <w:pPr>
              <w:keepNext/>
              <w:spacing w:after="120" w:line="240" w:lineRule="auto"/>
              <w:ind w:left="1134" w:hanging="1134"/>
              <w:jc w:val="left"/>
              <w:rPr>
                <w:lang w:val="es-ES_tradnl"/>
              </w:rPr>
            </w:pPr>
            <w:bookmarkStart w:id="0" w:name="irecnoe"/>
            <w:bookmarkEnd w:id="0"/>
            <w:r w:rsidRPr="00856132">
              <w:rPr>
                <w:b/>
                <w:bCs/>
                <w:lang w:val="es-ES_tradnl" w:eastAsia="ja-JP"/>
              </w:rPr>
              <w:t>Contacto:</w:t>
            </w:r>
            <w:r w:rsidRPr="00856132">
              <w:rPr>
                <w:b/>
                <w:bCs/>
                <w:lang w:val="es-ES_tradnl" w:eastAsia="ja-JP"/>
              </w:rPr>
              <w:tab/>
            </w:r>
            <w:r w:rsidRPr="00856132">
              <w:rPr>
                <w:lang w:val="es-ES_tradnl" w:eastAsia="ja-JP"/>
              </w:rPr>
              <w:t>Sergio Buonomo</w:t>
            </w:r>
          </w:p>
        </w:tc>
        <w:tc>
          <w:tcPr>
            <w:tcW w:w="4100" w:type="dxa"/>
            <w:hideMark/>
          </w:tcPr>
          <w:p w14:paraId="13A08FE1" w14:textId="77777777" w:rsidR="000A55EC" w:rsidRPr="00856132" w:rsidRDefault="000A55EC" w:rsidP="00A113A7">
            <w:pPr>
              <w:keepNext/>
              <w:spacing w:after="120" w:line="240" w:lineRule="auto"/>
              <w:jc w:val="left"/>
              <w:rPr>
                <w:lang w:val="es-ES_tradnl" w:eastAsia="ja-JP"/>
              </w:rPr>
            </w:pPr>
            <w:r w:rsidRPr="00856132">
              <w:rPr>
                <w:b/>
                <w:bCs/>
                <w:lang w:val="es-ES_tradnl" w:eastAsia="ja-JP"/>
              </w:rPr>
              <w:t>Correo-e:</w:t>
            </w:r>
            <w:r w:rsidRPr="00856132">
              <w:rPr>
                <w:lang w:val="es-ES_tradnl"/>
              </w:rPr>
              <w:tab/>
            </w:r>
            <w:hyperlink r:id="rId88" w:history="1">
              <w:r w:rsidRPr="00856132">
                <w:rPr>
                  <w:rStyle w:val="Hyperlink"/>
                  <w:lang w:val="es-ES_tradnl" w:eastAsia="ja-JP"/>
                </w:rPr>
                <w:t>Sergio.Buonomo@itu.int</w:t>
              </w:r>
            </w:hyperlink>
          </w:p>
        </w:tc>
      </w:tr>
    </w:tbl>
    <w:p w14:paraId="403DEF0A" w14:textId="77777777" w:rsidR="000A55EC" w:rsidRPr="00856132" w:rsidRDefault="000A55EC" w:rsidP="000A55EC">
      <w:pPr>
        <w:jc w:val="center"/>
        <w:rPr>
          <w:lang w:val="es-ES_tradnl"/>
        </w:rPr>
      </w:pPr>
      <w:r w:rsidRPr="00856132">
        <w:rPr>
          <w:lang w:val="es-ES_tradnl"/>
        </w:rPr>
        <w:t>______________</w:t>
      </w:r>
    </w:p>
    <w:sectPr w:rsidR="000A55EC" w:rsidRPr="00856132" w:rsidSect="00132DD2">
      <w:headerReference w:type="even" r:id="rId89"/>
      <w:headerReference w:type="default" r:id="rId90"/>
      <w:headerReference w:type="first" r:id="rId91"/>
      <w:footerReference w:type="first" r:id="rId92"/>
      <w:pgSz w:w="11907" w:h="16834" w:code="9"/>
      <w:pgMar w:top="1134" w:right="1134" w:bottom="993" w:left="1134" w:header="567"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EEF2B" w14:textId="77777777" w:rsidR="002B7EE0" w:rsidRDefault="002B7EE0">
      <w:r>
        <w:separator/>
      </w:r>
    </w:p>
  </w:endnote>
  <w:endnote w:type="continuationSeparator" w:id="0">
    <w:p w14:paraId="77A46DFC" w14:textId="77777777" w:rsidR="002B7EE0" w:rsidRDefault="002B7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13AE2" w14:textId="77777777" w:rsidR="0085435D" w:rsidRDefault="008543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14774" w14:textId="77777777" w:rsidR="0085435D" w:rsidRDefault="008543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2B5DD" w14:textId="74458013" w:rsidR="005370F0" w:rsidRPr="003B370E" w:rsidRDefault="00CF7B6D" w:rsidP="00132DD2">
    <w:pPr>
      <w:pStyle w:val="Footer"/>
      <w:spacing w:before="0" w:line="240" w:lineRule="auto"/>
      <w:jc w:val="center"/>
      <w:rPr>
        <w:sz w:val="19"/>
        <w:szCs w:val="19"/>
        <w:lang w:val="es-ES"/>
      </w:rPr>
    </w:pPr>
    <w:r w:rsidRPr="00353E34">
      <w:rPr>
        <w:color w:val="4F81BD" w:themeColor="accent1"/>
        <w:sz w:val="19"/>
        <w:szCs w:val="19"/>
        <w:lang w:val="es-ES"/>
      </w:rPr>
      <w:t xml:space="preserve">Unión Internacional de Telecomunicaciones • Place des </w:t>
    </w:r>
    <w:proofErr w:type="spellStart"/>
    <w:r w:rsidRPr="00353E34">
      <w:rPr>
        <w:color w:val="4F81BD" w:themeColor="accent1"/>
        <w:sz w:val="19"/>
        <w:szCs w:val="19"/>
        <w:lang w:val="es-ES"/>
      </w:rPr>
      <w:t>Nations</w:t>
    </w:r>
    <w:proofErr w:type="spellEnd"/>
    <w:r w:rsidRPr="00353E34">
      <w:rPr>
        <w:color w:val="4F81BD" w:themeColor="accent1"/>
        <w:sz w:val="19"/>
        <w:szCs w:val="19"/>
        <w:lang w:val="es-ES"/>
      </w:rPr>
      <w:t>, CH-1211 Ginebra 20, Suiza</w:t>
    </w:r>
    <w:r w:rsidRPr="00353E34">
      <w:rPr>
        <w:color w:val="4F81BD" w:themeColor="accent1"/>
        <w:sz w:val="19"/>
        <w:szCs w:val="19"/>
        <w:lang w:val="es-ES"/>
      </w:rPr>
      <w:br/>
      <w:t xml:space="preserve">Tel.: +41 22 730 5111 • Correo-e: </w:t>
    </w:r>
    <w:hyperlink r:id="rId1" w:history="1">
      <w:r w:rsidR="0082526C">
        <w:rPr>
          <w:rStyle w:val="Hyperlink"/>
          <w:sz w:val="19"/>
          <w:szCs w:val="19"/>
          <w:lang w:val="es-ES"/>
        </w:rPr>
        <w:t>itumail@itu.int</w:t>
      </w:r>
    </w:hyperlink>
    <w:r w:rsidRPr="00353E34">
      <w:rPr>
        <w:color w:val="4F81BD" w:themeColor="accent1"/>
        <w:sz w:val="19"/>
        <w:szCs w:val="19"/>
        <w:lang w:val="es-ES"/>
      </w:rPr>
      <w:t xml:space="preserve"> </w:t>
    </w:r>
    <w:r w:rsidRPr="00353E34">
      <w:rPr>
        <w:color w:val="4F81BD"/>
        <w:sz w:val="19"/>
        <w:szCs w:val="19"/>
        <w:lang w:val="es-ES"/>
      </w:rPr>
      <w:t xml:space="preserve">• Fax: +41 22 733 7256 • </w:t>
    </w:r>
    <w:hyperlink r:id="rId2" w:history="1">
      <w:r w:rsidRPr="00353E34">
        <w:rPr>
          <w:rStyle w:val="Hyperlink"/>
          <w:sz w:val="19"/>
          <w:szCs w:val="19"/>
          <w:lang w:val="es-ES"/>
        </w:rPr>
        <w:t>www.itu.int</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0B69E" w14:textId="72E0020F" w:rsidR="000A55EC" w:rsidRPr="00AD3079" w:rsidRDefault="000A55EC" w:rsidP="00AD307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7880D" w14:textId="77777777" w:rsidR="005370F0" w:rsidRPr="003B370E" w:rsidRDefault="005370F0" w:rsidP="00132DD2">
    <w:pPr>
      <w:pStyle w:val="Footer"/>
      <w:spacing w:before="0" w:line="240" w:lineRule="auto"/>
      <w:jc w:val="center"/>
      <w:rPr>
        <w:sz w:val="19"/>
        <w:szCs w:val="19"/>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51E98" w14:textId="77777777" w:rsidR="002B7EE0" w:rsidRDefault="002B7EE0">
      <w:r>
        <w:t>____________________</w:t>
      </w:r>
    </w:p>
  </w:footnote>
  <w:footnote w:type="continuationSeparator" w:id="0">
    <w:p w14:paraId="1E70CB41" w14:textId="77777777" w:rsidR="002B7EE0" w:rsidRDefault="002B7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AAE91" w14:textId="0409C569" w:rsidR="00E915AF" w:rsidRPr="00D239B4" w:rsidRDefault="001B42C9" w:rsidP="00D316C8">
    <w:pPr>
      <w:pStyle w:val="Header"/>
      <w:jc w:val="center"/>
      <w:rPr>
        <w:sz w:val="18"/>
        <w:szCs w:val="16"/>
      </w:rPr>
    </w:pPr>
    <w:r w:rsidRPr="00D239B4">
      <w:rPr>
        <w:rStyle w:val="PageNumber"/>
        <w:sz w:val="18"/>
        <w:szCs w:val="16"/>
      </w:rPr>
      <w:fldChar w:fldCharType="begin"/>
    </w:r>
    <w:r w:rsidR="00E915AF" w:rsidRPr="00D239B4">
      <w:rPr>
        <w:rStyle w:val="PageNumber"/>
        <w:sz w:val="18"/>
        <w:szCs w:val="16"/>
      </w:rPr>
      <w:instrText xml:space="preserve"> PAGE </w:instrText>
    </w:r>
    <w:r w:rsidRPr="00D239B4">
      <w:rPr>
        <w:rStyle w:val="PageNumber"/>
        <w:sz w:val="18"/>
        <w:szCs w:val="16"/>
      </w:rPr>
      <w:fldChar w:fldCharType="separate"/>
    </w:r>
    <w:r w:rsidR="00535FEF">
      <w:rPr>
        <w:rStyle w:val="PageNumber"/>
        <w:noProof/>
        <w:sz w:val="18"/>
        <w:szCs w:val="16"/>
      </w:rPr>
      <w:t>2</w:t>
    </w:r>
    <w:r w:rsidRPr="00D239B4">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B8C66" w14:textId="77777777" w:rsidR="00D316C8" w:rsidRPr="00D239B4" w:rsidRDefault="00D316C8" w:rsidP="00D316C8">
    <w:pPr>
      <w:pStyle w:val="Header"/>
      <w:jc w:val="center"/>
      <w:rPr>
        <w:sz w:val="18"/>
        <w:szCs w:val="16"/>
      </w:rPr>
    </w:pP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Pr>
        <w:rStyle w:val="PageNumber"/>
        <w:sz w:val="18"/>
        <w:szCs w:val="16"/>
      </w:rPr>
      <w:t>2</w:t>
    </w:r>
    <w:r w:rsidRPr="00D239B4">
      <w:rPr>
        <w:rStyle w:val="PageNumber"/>
        <w:sz w:val="18"/>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F2AC4" w14:textId="64940D97" w:rsidR="0085435D" w:rsidRDefault="006955E3" w:rsidP="006955E3">
    <w:pPr>
      <w:pStyle w:val="Header"/>
      <w:spacing w:before="960" w:after="240"/>
      <w:jc w:val="center"/>
    </w:pPr>
    <w:r>
      <w:rPr>
        <w:noProof/>
        <w:lang w:val="en-GB" w:eastAsia="en-GB"/>
      </w:rPr>
      <w:drawing>
        <wp:inline distT="0" distB="0" distL="0" distR="0" wp14:anchorId="1EDA3D96" wp14:editId="0B17701F">
          <wp:extent cx="765175" cy="765175"/>
          <wp:effectExtent l="0" t="0" r="0" b="0"/>
          <wp:docPr id="1350946514" name="Picture 1350946514" descr="A blue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946514" name="Picture 1350946514" descr="A blue logo with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82BE0" w14:textId="77777777" w:rsidR="000A55EC" w:rsidRPr="003F3DB0" w:rsidRDefault="000A55EC">
    <w:pPr>
      <w:pStyle w:val="Header"/>
      <w:jc w:val="center"/>
      <w:rPr>
        <w:sz w:val="18"/>
        <w:szCs w:val="18"/>
      </w:rPr>
    </w:pPr>
    <w:r w:rsidRPr="003F3DB0">
      <w:rPr>
        <w:sz w:val="18"/>
        <w:szCs w:val="18"/>
      </w:rPr>
      <w:t xml:space="preserve">- </w:t>
    </w:r>
    <w:r w:rsidRPr="003F3DB0">
      <w:rPr>
        <w:sz w:val="18"/>
        <w:szCs w:val="18"/>
      </w:rPr>
      <w:fldChar w:fldCharType="begin"/>
    </w:r>
    <w:r w:rsidRPr="003F3DB0">
      <w:rPr>
        <w:sz w:val="18"/>
        <w:szCs w:val="18"/>
      </w:rPr>
      <w:instrText xml:space="preserve"> PAGE  \* MERGEFORMAT </w:instrText>
    </w:r>
    <w:r w:rsidRPr="003F3DB0">
      <w:rPr>
        <w:sz w:val="18"/>
        <w:szCs w:val="18"/>
      </w:rPr>
      <w:fldChar w:fldCharType="separate"/>
    </w:r>
    <w:r w:rsidRPr="003F3DB0">
      <w:rPr>
        <w:noProof/>
        <w:sz w:val="18"/>
        <w:szCs w:val="18"/>
      </w:rPr>
      <w:t>6</w:t>
    </w:r>
    <w:r w:rsidRPr="003F3DB0">
      <w:rPr>
        <w:sz w:val="18"/>
        <w:szCs w:val="18"/>
      </w:rPr>
      <w:fldChar w:fldCharType="end"/>
    </w:r>
    <w:r w:rsidRPr="003F3DB0">
      <w:rPr>
        <w:sz w:val="18"/>
        <w:szCs w:val="18"/>
      </w:rPr>
      <w:t xml:space="preserve"> -</w:t>
    </w:r>
  </w:p>
  <w:p w14:paraId="0B87FC22" w14:textId="77777777" w:rsidR="000A55EC" w:rsidRPr="00C4515A" w:rsidRDefault="000A55EC" w:rsidP="002A6CE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2699E" w14:textId="77777777" w:rsidR="000A55EC" w:rsidRPr="003F3DB0" w:rsidRDefault="000A55EC">
    <w:pPr>
      <w:pStyle w:val="Header"/>
      <w:jc w:val="center"/>
      <w:rPr>
        <w:sz w:val="18"/>
        <w:szCs w:val="18"/>
      </w:rPr>
    </w:pPr>
    <w:r w:rsidRPr="003F3DB0">
      <w:rPr>
        <w:sz w:val="18"/>
        <w:szCs w:val="18"/>
        <w:lang w:val="fr-CA"/>
      </w:rPr>
      <w:t xml:space="preserve">- </w:t>
    </w:r>
    <w:r w:rsidRPr="003F3DB0">
      <w:rPr>
        <w:sz w:val="18"/>
        <w:szCs w:val="18"/>
        <w:lang w:val="fr-CA"/>
      </w:rPr>
      <w:fldChar w:fldCharType="begin"/>
    </w:r>
    <w:r w:rsidRPr="003F3DB0">
      <w:rPr>
        <w:sz w:val="18"/>
        <w:szCs w:val="18"/>
        <w:lang w:val="fr-CA"/>
      </w:rPr>
      <w:instrText xml:space="preserve"> PAGE   \* MERGEFORMAT </w:instrText>
    </w:r>
    <w:r w:rsidRPr="003F3DB0">
      <w:rPr>
        <w:sz w:val="18"/>
        <w:szCs w:val="18"/>
        <w:lang w:val="fr-CA"/>
      </w:rPr>
      <w:fldChar w:fldCharType="separate"/>
    </w:r>
    <w:r w:rsidRPr="003F3DB0">
      <w:rPr>
        <w:sz w:val="18"/>
        <w:szCs w:val="18"/>
        <w:lang w:val="fr-CA"/>
      </w:rPr>
      <w:t>10</w:t>
    </w:r>
    <w:r w:rsidRPr="003F3DB0">
      <w:rPr>
        <w:noProof/>
        <w:sz w:val="18"/>
        <w:szCs w:val="18"/>
        <w:lang w:val="fr-CA"/>
      </w:rPr>
      <w:fldChar w:fldCharType="end"/>
    </w:r>
    <w:r w:rsidRPr="003F3DB0">
      <w:rPr>
        <w:noProof/>
        <w:sz w:val="18"/>
        <w:szCs w:val="18"/>
        <w:lang w:val="fr-CA"/>
      </w:rPr>
      <w:t xml:space="preserve"> -</w:t>
    </w:r>
    <w:r w:rsidRPr="003F3DB0">
      <w:rPr>
        <w:noProof/>
        <w:sz w:val="18"/>
        <w:szCs w:val="18"/>
        <w:lang w:val="fr-CA"/>
      </w:rPr>
      <w:b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57D19" w14:textId="77777777" w:rsidR="000A55EC" w:rsidRPr="003F3DB0" w:rsidRDefault="000A55EC">
    <w:pPr>
      <w:pStyle w:val="Header"/>
      <w:jc w:val="center"/>
      <w:rPr>
        <w:noProof/>
        <w:sz w:val="18"/>
        <w:szCs w:val="18"/>
        <w:lang w:val="fr-CA"/>
      </w:rPr>
    </w:pPr>
    <w:r w:rsidRPr="003F3DB0">
      <w:rPr>
        <w:sz w:val="18"/>
        <w:szCs w:val="18"/>
        <w:lang w:val="fr-CA"/>
      </w:rPr>
      <w:t xml:space="preserve">- </w:t>
    </w:r>
    <w:r w:rsidRPr="003F3DB0">
      <w:rPr>
        <w:sz w:val="18"/>
        <w:szCs w:val="18"/>
        <w:lang w:val="fr-CA"/>
      </w:rPr>
      <w:fldChar w:fldCharType="begin"/>
    </w:r>
    <w:r w:rsidRPr="003F3DB0">
      <w:rPr>
        <w:sz w:val="18"/>
        <w:szCs w:val="18"/>
        <w:lang w:val="fr-CA"/>
      </w:rPr>
      <w:instrText xml:space="preserve"> PAGE   \* MERGEFORMAT </w:instrText>
    </w:r>
    <w:r w:rsidRPr="003F3DB0">
      <w:rPr>
        <w:sz w:val="18"/>
        <w:szCs w:val="18"/>
        <w:lang w:val="fr-CA"/>
      </w:rPr>
      <w:fldChar w:fldCharType="separate"/>
    </w:r>
    <w:r w:rsidRPr="003F3DB0">
      <w:rPr>
        <w:sz w:val="18"/>
        <w:szCs w:val="18"/>
        <w:lang w:val="fr-CA"/>
      </w:rPr>
      <w:t>3</w:t>
    </w:r>
    <w:r w:rsidRPr="003F3DB0">
      <w:rPr>
        <w:noProof/>
        <w:sz w:val="18"/>
        <w:szCs w:val="18"/>
        <w:lang w:val="fr-CA"/>
      </w:rPr>
      <w:fldChar w:fldCharType="end"/>
    </w:r>
    <w:r w:rsidRPr="003F3DB0">
      <w:rPr>
        <w:noProof/>
        <w:sz w:val="18"/>
        <w:szCs w:val="18"/>
        <w:lang w:val="fr-CA"/>
      </w:rPr>
      <w:t xml:space="preserve"> -</w:t>
    </w:r>
  </w:p>
  <w:p w14:paraId="1D5D1568" w14:textId="77777777" w:rsidR="000A55EC" w:rsidRPr="00A71DD7" w:rsidRDefault="000A55EC" w:rsidP="00A71DD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FE084" w14:textId="77777777" w:rsidR="00E915AF" w:rsidRPr="001D179C" w:rsidRDefault="002F73E0" w:rsidP="001D179C">
    <w:pPr>
      <w:pStyle w:val="Header"/>
      <w:jc w:val="center"/>
    </w:pPr>
    <w:r w:rsidRPr="003F3DB0">
      <w:rPr>
        <w:sz w:val="18"/>
        <w:szCs w:val="18"/>
      </w:rPr>
      <w:t xml:space="preserve">- </w:t>
    </w:r>
    <w:r w:rsidRPr="003F3DB0">
      <w:rPr>
        <w:sz w:val="18"/>
        <w:szCs w:val="18"/>
      </w:rPr>
      <w:fldChar w:fldCharType="begin"/>
    </w:r>
    <w:r w:rsidRPr="003F3DB0">
      <w:rPr>
        <w:sz w:val="18"/>
        <w:szCs w:val="18"/>
      </w:rPr>
      <w:instrText xml:space="preserve"> PAGE  \* MERGEFORMAT </w:instrText>
    </w:r>
    <w:r w:rsidRPr="003F3DB0">
      <w:rPr>
        <w:sz w:val="18"/>
        <w:szCs w:val="18"/>
      </w:rPr>
      <w:fldChar w:fldCharType="separate"/>
    </w:r>
    <w:r>
      <w:rPr>
        <w:sz w:val="18"/>
        <w:szCs w:val="18"/>
      </w:rPr>
      <w:t>9</w:t>
    </w:r>
    <w:r w:rsidRPr="003F3DB0">
      <w:rPr>
        <w:sz w:val="18"/>
        <w:szCs w:val="18"/>
      </w:rPr>
      <w:fldChar w:fldCharType="end"/>
    </w:r>
    <w:r w:rsidRPr="003F3DB0">
      <w:rPr>
        <w:sz w:val="18"/>
        <w:szCs w:val="18"/>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D635B" w14:textId="77777777" w:rsidR="00E915AF" w:rsidRPr="00AF3325" w:rsidRDefault="002F73E0" w:rsidP="001D179C">
    <w:pPr>
      <w:pStyle w:val="Header"/>
      <w:jc w:val="center"/>
    </w:pPr>
    <w:r w:rsidRPr="003F3DB0">
      <w:rPr>
        <w:sz w:val="18"/>
        <w:szCs w:val="18"/>
      </w:rPr>
      <w:t xml:space="preserve">- </w:t>
    </w:r>
    <w:r w:rsidRPr="003F3DB0">
      <w:rPr>
        <w:sz w:val="18"/>
        <w:szCs w:val="18"/>
      </w:rPr>
      <w:fldChar w:fldCharType="begin"/>
    </w:r>
    <w:r w:rsidRPr="003F3DB0">
      <w:rPr>
        <w:sz w:val="18"/>
        <w:szCs w:val="18"/>
      </w:rPr>
      <w:instrText xml:space="preserve"> PAGE  \* MERGEFORMAT </w:instrText>
    </w:r>
    <w:r w:rsidRPr="003F3DB0">
      <w:rPr>
        <w:sz w:val="18"/>
        <w:szCs w:val="18"/>
      </w:rPr>
      <w:fldChar w:fldCharType="separate"/>
    </w:r>
    <w:r>
      <w:rPr>
        <w:sz w:val="18"/>
        <w:szCs w:val="18"/>
      </w:rPr>
      <w:t>9</w:t>
    </w:r>
    <w:r w:rsidRPr="003F3DB0">
      <w:rPr>
        <w:sz w:val="18"/>
        <w:szCs w:val="18"/>
      </w:rPr>
      <w:fldChar w:fldCharType="end"/>
    </w:r>
    <w:r w:rsidRPr="003F3DB0">
      <w:rPr>
        <w:sz w:val="18"/>
        <w:szCs w:val="18"/>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D2A48" w14:textId="77777777" w:rsidR="006955E3" w:rsidRPr="003F3DB0" w:rsidRDefault="002F73E0" w:rsidP="003F3DB0">
    <w:pPr>
      <w:pStyle w:val="Header"/>
      <w:jc w:val="center"/>
      <w:rPr>
        <w:sz w:val="18"/>
        <w:szCs w:val="18"/>
      </w:rPr>
    </w:pPr>
    <w:r w:rsidRPr="003F3DB0">
      <w:rPr>
        <w:sz w:val="18"/>
        <w:szCs w:val="18"/>
      </w:rPr>
      <w:t xml:space="preserve">- </w:t>
    </w:r>
    <w:r w:rsidRPr="003F3DB0">
      <w:rPr>
        <w:sz w:val="18"/>
        <w:szCs w:val="18"/>
      </w:rPr>
      <w:fldChar w:fldCharType="begin"/>
    </w:r>
    <w:r w:rsidRPr="003F3DB0">
      <w:rPr>
        <w:sz w:val="18"/>
        <w:szCs w:val="18"/>
      </w:rPr>
      <w:instrText xml:space="preserve"> PAGE  \* MERGEFORMAT </w:instrText>
    </w:r>
    <w:r w:rsidRPr="003F3DB0">
      <w:rPr>
        <w:sz w:val="18"/>
        <w:szCs w:val="18"/>
      </w:rPr>
      <w:fldChar w:fldCharType="separate"/>
    </w:r>
    <w:r w:rsidRPr="003F3DB0">
      <w:rPr>
        <w:sz w:val="18"/>
        <w:szCs w:val="18"/>
      </w:rPr>
      <w:t>8</w:t>
    </w:r>
    <w:r w:rsidRPr="003F3DB0">
      <w:rPr>
        <w:sz w:val="18"/>
        <w:szCs w:val="18"/>
      </w:rPr>
      <w:fldChar w:fldCharType="end"/>
    </w:r>
    <w:r w:rsidRPr="003F3DB0">
      <w:rPr>
        <w:sz w:val="18"/>
        <w:szCs w:val="18"/>
      </w:rPr>
      <w:t xml:space="preserve"> -</w:t>
    </w:r>
  </w:p>
  <w:p w14:paraId="536BD642" w14:textId="77777777" w:rsidR="00E915AF" w:rsidRPr="001B3D4D" w:rsidRDefault="00E915AF" w:rsidP="001B3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1F820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9086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FEEE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A044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0F865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3AA6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4C8A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B60F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5030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BC8A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25E0DF5"/>
    <w:multiLevelType w:val="hybridMultilevel"/>
    <w:tmpl w:val="A57045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2AA6122"/>
    <w:multiLevelType w:val="hybridMultilevel"/>
    <w:tmpl w:val="9176C87A"/>
    <w:lvl w:ilvl="0" w:tplc="88C2E8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3046063"/>
    <w:multiLevelType w:val="hybridMultilevel"/>
    <w:tmpl w:val="DEC6DA88"/>
    <w:lvl w:ilvl="0" w:tplc="51D83494">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0438055F"/>
    <w:multiLevelType w:val="hybridMultilevel"/>
    <w:tmpl w:val="2EFE2C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5110B23"/>
    <w:multiLevelType w:val="hybridMultilevel"/>
    <w:tmpl w:val="D2B2AF0E"/>
    <w:lvl w:ilvl="0" w:tplc="180A77C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5AC3ECA"/>
    <w:multiLevelType w:val="hybridMultilevel"/>
    <w:tmpl w:val="782489BE"/>
    <w:lvl w:ilvl="0" w:tplc="51D8349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8FA01AB"/>
    <w:multiLevelType w:val="hybridMultilevel"/>
    <w:tmpl w:val="D1007AE0"/>
    <w:lvl w:ilvl="0" w:tplc="B2085296">
      <w:start w:val="1"/>
      <w:numFmt w:val="lowerLetter"/>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21" w15:restartNumberingAfterBreak="0">
    <w:nsid w:val="0CFD03C1"/>
    <w:multiLevelType w:val="hybridMultilevel"/>
    <w:tmpl w:val="54BC3DDE"/>
    <w:lvl w:ilvl="0" w:tplc="0586423C">
      <w:numFmt w:val="bullet"/>
      <w:lvlText w:val="–"/>
      <w:lvlJc w:val="left"/>
      <w:pPr>
        <w:ind w:left="720" w:hanging="360"/>
      </w:pPr>
      <w:rPr>
        <w:rFonts w:ascii="Times New Roman" w:eastAsiaTheme="minorHAnsi" w:hAnsi="Times New Roman" w:cs="Times New Roman"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22" w15:restartNumberingAfterBreak="0">
    <w:nsid w:val="0F1E2B4B"/>
    <w:multiLevelType w:val="hybridMultilevel"/>
    <w:tmpl w:val="CAA0E3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4372D93"/>
    <w:multiLevelType w:val="hybridMultilevel"/>
    <w:tmpl w:val="386A912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25113D01"/>
    <w:multiLevelType w:val="hybridMultilevel"/>
    <w:tmpl w:val="E95ADFB0"/>
    <w:lvl w:ilvl="0" w:tplc="EB8AA4F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15106E"/>
    <w:multiLevelType w:val="hybridMultilevel"/>
    <w:tmpl w:val="9D16FCA8"/>
    <w:lvl w:ilvl="0" w:tplc="7A3E20D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2D4E55"/>
    <w:multiLevelType w:val="hybridMultilevel"/>
    <w:tmpl w:val="EADC9596"/>
    <w:lvl w:ilvl="0" w:tplc="4D10B512">
      <w:start w:val="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F5492E"/>
    <w:multiLevelType w:val="hybridMultilevel"/>
    <w:tmpl w:val="867CE624"/>
    <w:lvl w:ilvl="0" w:tplc="D5B2A5E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29" w15:restartNumberingAfterBreak="0">
    <w:nsid w:val="44A411B9"/>
    <w:multiLevelType w:val="hybridMultilevel"/>
    <w:tmpl w:val="56B276A8"/>
    <w:lvl w:ilvl="0" w:tplc="180A77C0">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1" w15:restartNumberingAfterBreak="0">
    <w:nsid w:val="4CF92693"/>
    <w:multiLevelType w:val="hybridMultilevel"/>
    <w:tmpl w:val="F24E5124"/>
    <w:lvl w:ilvl="0" w:tplc="4E14C930">
      <w:start w:val="2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8018F2"/>
    <w:multiLevelType w:val="hybridMultilevel"/>
    <w:tmpl w:val="5F2EC17E"/>
    <w:lvl w:ilvl="0" w:tplc="20CE0814">
      <w:start w:val="20"/>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59A4F62"/>
    <w:multiLevelType w:val="hybridMultilevel"/>
    <w:tmpl w:val="62689E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702DD7"/>
    <w:multiLevelType w:val="hybridMultilevel"/>
    <w:tmpl w:val="4E323016"/>
    <w:lvl w:ilvl="0" w:tplc="1026DFC6">
      <w:start w:val="7"/>
      <w:numFmt w:val="bullet"/>
      <w:lvlText w:val="-"/>
      <w:lvlJc w:val="left"/>
      <w:pPr>
        <w:ind w:left="720" w:hanging="360"/>
      </w:pPr>
      <w:rPr>
        <w:rFonts w:ascii="Calibri" w:eastAsia="Times New Roman" w:hAnsi="Calibri" w:cs="Calibri"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5" w15:restartNumberingAfterBreak="0">
    <w:nsid w:val="57D0217F"/>
    <w:multiLevelType w:val="multilevel"/>
    <w:tmpl w:val="828C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87A0136"/>
    <w:multiLevelType w:val="hybridMultilevel"/>
    <w:tmpl w:val="6C542D00"/>
    <w:lvl w:ilvl="0" w:tplc="1A3CD41A">
      <w:numFmt w:val="bullet"/>
      <w:lvlText w:val="-"/>
      <w:lvlJc w:val="left"/>
      <w:pPr>
        <w:ind w:left="1154" w:hanging="360"/>
      </w:pPr>
      <w:rPr>
        <w:rFonts w:ascii="Times New Roman" w:eastAsiaTheme="minorHAnsi" w:hAnsi="Times New Roman" w:cs="Times New Roman"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37" w15:restartNumberingAfterBreak="0">
    <w:nsid w:val="5E286284"/>
    <w:multiLevelType w:val="hybridMultilevel"/>
    <w:tmpl w:val="9A08C8B6"/>
    <w:lvl w:ilvl="0" w:tplc="B55ABF4E">
      <w:start w:val="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010000"/>
    <w:multiLevelType w:val="hybridMultilevel"/>
    <w:tmpl w:val="2D22F5D4"/>
    <w:lvl w:ilvl="0" w:tplc="5210B4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4EB4F0E"/>
    <w:multiLevelType w:val="hybridMultilevel"/>
    <w:tmpl w:val="126C2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342C4B"/>
    <w:multiLevelType w:val="hybridMultilevel"/>
    <w:tmpl w:val="FABC8574"/>
    <w:lvl w:ilvl="0" w:tplc="1026DFC6">
      <w:start w:val="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172598"/>
    <w:multiLevelType w:val="hybridMultilevel"/>
    <w:tmpl w:val="44DABA12"/>
    <w:lvl w:ilvl="0" w:tplc="DBE43624">
      <w:start w:val="1"/>
      <w:numFmt w:val="decimal"/>
      <w:lvlText w:val="%1."/>
      <w:lvlJc w:val="left"/>
      <w:pPr>
        <w:ind w:left="1429" w:hanging="360"/>
      </w:pPr>
      <w:rPr>
        <w:sz w:val="24"/>
        <w:szCs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2" w15:restartNumberingAfterBreak="0">
    <w:nsid w:val="71F17AEA"/>
    <w:multiLevelType w:val="hybridMultilevel"/>
    <w:tmpl w:val="83640B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33D3F45"/>
    <w:multiLevelType w:val="hybridMultilevel"/>
    <w:tmpl w:val="FFBA1E6C"/>
    <w:lvl w:ilvl="0" w:tplc="51D83494">
      <w:numFmt w:val="bullet"/>
      <w:lvlText w:val="-"/>
      <w:lvlJc w:val="left"/>
      <w:pPr>
        <w:ind w:left="1287" w:hanging="360"/>
      </w:pPr>
      <w:rPr>
        <w:rFonts w:ascii="Calibri" w:eastAsiaTheme="minorEastAsia" w:hAnsi="Calibri" w:cs="Calibr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4" w15:restartNumberingAfterBreak="0">
    <w:nsid w:val="7DD93989"/>
    <w:multiLevelType w:val="hybridMultilevel"/>
    <w:tmpl w:val="B90EE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117760"/>
    <w:multiLevelType w:val="hybridMultilevel"/>
    <w:tmpl w:val="03C6FB12"/>
    <w:lvl w:ilvl="0" w:tplc="45320D7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18091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9789161">
    <w:abstractNumId w:val="30"/>
  </w:num>
  <w:num w:numId="3" w16cid:durableId="402534784">
    <w:abstractNumId w:val="25"/>
  </w:num>
  <w:num w:numId="4" w16cid:durableId="738482825">
    <w:abstractNumId w:val="22"/>
  </w:num>
  <w:num w:numId="5" w16cid:durableId="162085180">
    <w:abstractNumId w:val="35"/>
  </w:num>
  <w:num w:numId="6" w16cid:durableId="1668822900">
    <w:abstractNumId w:val="24"/>
  </w:num>
  <w:num w:numId="7" w16cid:durableId="414521121">
    <w:abstractNumId w:val="15"/>
  </w:num>
  <w:num w:numId="8" w16cid:durableId="269553769">
    <w:abstractNumId w:val="44"/>
  </w:num>
  <w:num w:numId="9" w16cid:durableId="790048614">
    <w:abstractNumId w:val="41"/>
  </w:num>
  <w:num w:numId="10" w16cid:durableId="141510022">
    <w:abstractNumId w:val="27"/>
  </w:num>
  <w:num w:numId="11" w16cid:durableId="1826781842">
    <w:abstractNumId w:val="19"/>
  </w:num>
  <w:num w:numId="12" w16cid:durableId="330375925">
    <w:abstractNumId w:val="39"/>
  </w:num>
  <w:num w:numId="13" w16cid:durableId="1145512836">
    <w:abstractNumId w:val="38"/>
  </w:num>
  <w:num w:numId="14" w16cid:durableId="855268352">
    <w:abstractNumId w:val="45"/>
  </w:num>
  <w:num w:numId="15" w16cid:durableId="603657621">
    <w:abstractNumId w:val="26"/>
  </w:num>
  <w:num w:numId="16" w16cid:durableId="780611243">
    <w:abstractNumId w:val="31"/>
  </w:num>
  <w:num w:numId="17" w16cid:durableId="507208712">
    <w:abstractNumId w:val="32"/>
  </w:num>
  <w:num w:numId="18" w16cid:durableId="1124620306">
    <w:abstractNumId w:val="23"/>
  </w:num>
  <w:num w:numId="19" w16cid:durableId="1930649127">
    <w:abstractNumId w:val="43"/>
  </w:num>
  <w:num w:numId="20" w16cid:durableId="1172573425">
    <w:abstractNumId w:val="16"/>
  </w:num>
  <w:num w:numId="21" w16cid:durableId="955719700">
    <w:abstractNumId w:val="33"/>
  </w:num>
  <w:num w:numId="22" w16cid:durableId="1277253530">
    <w:abstractNumId w:val="37"/>
  </w:num>
  <w:num w:numId="23" w16cid:durableId="1710757716">
    <w:abstractNumId w:val="34"/>
  </w:num>
  <w:num w:numId="24" w16cid:durableId="704644763">
    <w:abstractNumId w:val="40"/>
  </w:num>
  <w:num w:numId="25" w16cid:durableId="454443229">
    <w:abstractNumId w:val="42"/>
  </w:num>
  <w:num w:numId="26" w16cid:durableId="808743725">
    <w:abstractNumId w:val="20"/>
  </w:num>
  <w:num w:numId="27" w16cid:durableId="1648633349">
    <w:abstractNumId w:val="17"/>
  </w:num>
  <w:num w:numId="28" w16cid:durableId="1000156089">
    <w:abstractNumId w:val="14"/>
  </w:num>
  <w:num w:numId="29" w16cid:durableId="421923813">
    <w:abstractNumId w:val="18"/>
  </w:num>
  <w:num w:numId="30" w16cid:durableId="257906446">
    <w:abstractNumId w:val="29"/>
  </w:num>
  <w:num w:numId="31" w16cid:durableId="110173215">
    <w:abstractNumId w:val="21"/>
  </w:num>
  <w:num w:numId="32" w16cid:durableId="2250027">
    <w:abstractNumId w:val="36"/>
  </w:num>
  <w:num w:numId="33" w16cid:durableId="555045133">
    <w:abstractNumId w:val="9"/>
  </w:num>
  <w:num w:numId="34" w16cid:durableId="2145654182">
    <w:abstractNumId w:val="7"/>
  </w:num>
  <w:num w:numId="35" w16cid:durableId="995109176">
    <w:abstractNumId w:val="6"/>
  </w:num>
  <w:num w:numId="36" w16cid:durableId="2143881943">
    <w:abstractNumId w:val="5"/>
  </w:num>
  <w:num w:numId="37" w16cid:durableId="688147492">
    <w:abstractNumId w:val="4"/>
  </w:num>
  <w:num w:numId="38" w16cid:durableId="2017078362">
    <w:abstractNumId w:val="8"/>
  </w:num>
  <w:num w:numId="39" w16cid:durableId="1444770101">
    <w:abstractNumId w:val="3"/>
  </w:num>
  <w:num w:numId="40" w16cid:durableId="528421830">
    <w:abstractNumId w:val="2"/>
  </w:num>
  <w:num w:numId="41" w16cid:durableId="241066049">
    <w:abstractNumId w:val="1"/>
  </w:num>
  <w:num w:numId="42" w16cid:durableId="1585068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activeWritingStyle w:appName="MSWord" w:lang="fr-CH" w:vendorID="64" w:dllVersion="6"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fr-CA" w:vendorID="64" w:dllVersion="0" w:nlCheck="1" w:checkStyle="0"/>
  <w:activeWritingStyle w:appName="MSWord" w:lang="ru-R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2B7EE0"/>
    <w:rsid w:val="00006A31"/>
    <w:rsid w:val="00006C82"/>
    <w:rsid w:val="00010E30"/>
    <w:rsid w:val="00015C76"/>
    <w:rsid w:val="00026CF8"/>
    <w:rsid w:val="00030BD7"/>
    <w:rsid w:val="00031E64"/>
    <w:rsid w:val="00034340"/>
    <w:rsid w:val="00035CB3"/>
    <w:rsid w:val="00045A8D"/>
    <w:rsid w:val="0005167A"/>
    <w:rsid w:val="00054E5D"/>
    <w:rsid w:val="00062552"/>
    <w:rsid w:val="00070258"/>
    <w:rsid w:val="0007323C"/>
    <w:rsid w:val="00086D03"/>
    <w:rsid w:val="00091718"/>
    <w:rsid w:val="000A096A"/>
    <w:rsid w:val="000A375E"/>
    <w:rsid w:val="000A55EC"/>
    <w:rsid w:val="000A7051"/>
    <w:rsid w:val="000B0AF6"/>
    <w:rsid w:val="000B0E9B"/>
    <w:rsid w:val="000B2CAE"/>
    <w:rsid w:val="000B78C1"/>
    <w:rsid w:val="000C03C7"/>
    <w:rsid w:val="000C2AD0"/>
    <w:rsid w:val="000D321D"/>
    <w:rsid w:val="000D3F3B"/>
    <w:rsid w:val="000E3DEE"/>
    <w:rsid w:val="000E4BCD"/>
    <w:rsid w:val="00100B72"/>
    <w:rsid w:val="00101F7D"/>
    <w:rsid w:val="00103C76"/>
    <w:rsid w:val="0011265F"/>
    <w:rsid w:val="00117282"/>
    <w:rsid w:val="00117389"/>
    <w:rsid w:val="00121C2D"/>
    <w:rsid w:val="00132DD2"/>
    <w:rsid w:val="00134404"/>
    <w:rsid w:val="00144DFB"/>
    <w:rsid w:val="00187CA3"/>
    <w:rsid w:val="00195EB7"/>
    <w:rsid w:val="001963A8"/>
    <w:rsid w:val="00196710"/>
    <w:rsid w:val="00196770"/>
    <w:rsid w:val="00196D19"/>
    <w:rsid w:val="00197324"/>
    <w:rsid w:val="001B351B"/>
    <w:rsid w:val="001B3D4D"/>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7BE7"/>
    <w:rsid w:val="00266E74"/>
    <w:rsid w:val="00283C3B"/>
    <w:rsid w:val="002844B0"/>
    <w:rsid w:val="002861E6"/>
    <w:rsid w:val="00287D18"/>
    <w:rsid w:val="002A2618"/>
    <w:rsid w:val="002A3F03"/>
    <w:rsid w:val="002A5DD7"/>
    <w:rsid w:val="002B0CAC"/>
    <w:rsid w:val="002B55A0"/>
    <w:rsid w:val="002B7EE0"/>
    <w:rsid w:val="002D5A15"/>
    <w:rsid w:val="002D5BDD"/>
    <w:rsid w:val="002E3D27"/>
    <w:rsid w:val="002F0890"/>
    <w:rsid w:val="002F2531"/>
    <w:rsid w:val="002F4967"/>
    <w:rsid w:val="002F73E0"/>
    <w:rsid w:val="00306452"/>
    <w:rsid w:val="00311970"/>
    <w:rsid w:val="00316935"/>
    <w:rsid w:val="003266ED"/>
    <w:rsid w:val="00326C68"/>
    <w:rsid w:val="0033029C"/>
    <w:rsid w:val="003370B8"/>
    <w:rsid w:val="00345D38"/>
    <w:rsid w:val="00352097"/>
    <w:rsid w:val="00353E34"/>
    <w:rsid w:val="003666FF"/>
    <w:rsid w:val="00371EA3"/>
    <w:rsid w:val="0037309C"/>
    <w:rsid w:val="00373415"/>
    <w:rsid w:val="00380A6E"/>
    <w:rsid w:val="003836D4"/>
    <w:rsid w:val="003974CD"/>
    <w:rsid w:val="003A1F49"/>
    <w:rsid w:val="003A55ED"/>
    <w:rsid w:val="003A5D52"/>
    <w:rsid w:val="003B2BDA"/>
    <w:rsid w:val="003B370E"/>
    <w:rsid w:val="003B55EC"/>
    <w:rsid w:val="003C2EA7"/>
    <w:rsid w:val="003C4471"/>
    <w:rsid w:val="003C7D41"/>
    <w:rsid w:val="003D4A69"/>
    <w:rsid w:val="003E504F"/>
    <w:rsid w:val="003E78D6"/>
    <w:rsid w:val="003F0E9F"/>
    <w:rsid w:val="00400573"/>
    <w:rsid w:val="004007A3"/>
    <w:rsid w:val="00406D71"/>
    <w:rsid w:val="004326DB"/>
    <w:rsid w:val="0043682E"/>
    <w:rsid w:val="00447ECB"/>
    <w:rsid w:val="004559F5"/>
    <w:rsid w:val="004623F7"/>
    <w:rsid w:val="00480F51"/>
    <w:rsid w:val="00481124"/>
    <w:rsid w:val="004815EB"/>
    <w:rsid w:val="00487569"/>
    <w:rsid w:val="00496864"/>
    <w:rsid w:val="00496920"/>
    <w:rsid w:val="004A4496"/>
    <w:rsid w:val="004A5F47"/>
    <w:rsid w:val="004B11AB"/>
    <w:rsid w:val="004B7C9A"/>
    <w:rsid w:val="004C6779"/>
    <w:rsid w:val="004D2E4D"/>
    <w:rsid w:val="004D733B"/>
    <w:rsid w:val="004E0DC4"/>
    <w:rsid w:val="004E0FB5"/>
    <w:rsid w:val="004E43BB"/>
    <w:rsid w:val="004E460D"/>
    <w:rsid w:val="004F178E"/>
    <w:rsid w:val="004F4543"/>
    <w:rsid w:val="004F57BB"/>
    <w:rsid w:val="00505309"/>
    <w:rsid w:val="0050789B"/>
    <w:rsid w:val="00517035"/>
    <w:rsid w:val="005224A1"/>
    <w:rsid w:val="00534372"/>
    <w:rsid w:val="00535FEF"/>
    <w:rsid w:val="005370F0"/>
    <w:rsid w:val="00543DF8"/>
    <w:rsid w:val="00546101"/>
    <w:rsid w:val="00553364"/>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073F1"/>
    <w:rsid w:val="00615565"/>
    <w:rsid w:val="00633607"/>
    <w:rsid w:val="0064371D"/>
    <w:rsid w:val="00650543"/>
    <w:rsid w:val="00650B2A"/>
    <w:rsid w:val="00651777"/>
    <w:rsid w:val="006550F8"/>
    <w:rsid w:val="006829F3"/>
    <w:rsid w:val="006955E3"/>
    <w:rsid w:val="006A518B"/>
    <w:rsid w:val="006B0590"/>
    <w:rsid w:val="006B49DA"/>
    <w:rsid w:val="006B7269"/>
    <w:rsid w:val="006C53F8"/>
    <w:rsid w:val="006C7CDE"/>
    <w:rsid w:val="007234B1"/>
    <w:rsid w:val="00723D08"/>
    <w:rsid w:val="00725FDA"/>
    <w:rsid w:val="00727816"/>
    <w:rsid w:val="00730B9A"/>
    <w:rsid w:val="00750CFA"/>
    <w:rsid w:val="007553DA"/>
    <w:rsid w:val="00775DB8"/>
    <w:rsid w:val="00782354"/>
    <w:rsid w:val="007921A7"/>
    <w:rsid w:val="007B3DB1"/>
    <w:rsid w:val="007D183E"/>
    <w:rsid w:val="007D43D0"/>
    <w:rsid w:val="007E1833"/>
    <w:rsid w:val="007E3F13"/>
    <w:rsid w:val="007F751A"/>
    <w:rsid w:val="00800012"/>
    <w:rsid w:val="0080261F"/>
    <w:rsid w:val="00805A02"/>
    <w:rsid w:val="00806160"/>
    <w:rsid w:val="00811A37"/>
    <w:rsid w:val="008143A4"/>
    <w:rsid w:val="0081513E"/>
    <w:rsid w:val="0082526C"/>
    <w:rsid w:val="008266B5"/>
    <w:rsid w:val="00854131"/>
    <w:rsid w:val="0085435D"/>
    <w:rsid w:val="00856132"/>
    <w:rsid w:val="0085652D"/>
    <w:rsid w:val="0087694B"/>
    <w:rsid w:val="00880F4D"/>
    <w:rsid w:val="008B35A3"/>
    <w:rsid w:val="008B37E1"/>
    <w:rsid w:val="008B45F8"/>
    <w:rsid w:val="008C11CB"/>
    <w:rsid w:val="008C2E74"/>
    <w:rsid w:val="008D5409"/>
    <w:rsid w:val="008D6955"/>
    <w:rsid w:val="008E006D"/>
    <w:rsid w:val="008E38B4"/>
    <w:rsid w:val="008F4F21"/>
    <w:rsid w:val="00904D4A"/>
    <w:rsid w:val="009076D7"/>
    <w:rsid w:val="00912DAB"/>
    <w:rsid w:val="009151BA"/>
    <w:rsid w:val="00925023"/>
    <w:rsid w:val="009277BC"/>
    <w:rsid w:val="00927D57"/>
    <w:rsid w:val="0093002D"/>
    <w:rsid w:val="00931A51"/>
    <w:rsid w:val="00947185"/>
    <w:rsid w:val="009518B3"/>
    <w:rsid w:val="00963D9D"/>
    <w:rsid w:val="00974443"/>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5D86"/>
    <w:rsid w:val="009E681E"/>
    <w:rsid w:val="00A119E6"/>
    <w:rsid w:val="00A20FBC"/>
    <w:rsid w:val="00A31370"/>
    <w:rsid w:val="00A34D6F"/>
    <w:rsid w:val="00A37C71"/>
    <w:rsid w:val="00A41F91"/>
    <w:rsid w:val="00A63355"/>
    <w:rsid w:val="00A7596D"/>
    <w:rsid w:val="00A80EFE"/>
    <w:rsid w:val="00A963DF"/>
    <w:rsid w:val="00A96D3A"/>
    <w:rsid w:val="00AC0C22"/>
    <w:rsid w:val="00AC3896"/>
    <w:rsid w:val="00AD2CF2"/>
    <w:rsid w:val="00AD3079"/>
    <w:rsid w:val="00AE2D88"/>
    <w:rsid w:val="00AE6F6F"/>
    <w:rsid w:val="00AF3325"/>
    <w:rsid w:val="00AF34D9"/>
    <w:rsid w:val="00AF5B37"/>
    <w:rsid w:val="00AF70DA"/>
    <w:rsid w:val="00B019D3"/>
    <w:rsid w:val="00B34CF9"/>
    <w:rsid w:val="00B37559"/>
    <w:rsid w:val="00B4054B"/>
    <w:rsid w:val="00B579B0"/>
    <w:rsid w:val="00B57D11"/>
    <w:rsid w:val="00B649D7"/>
    <w:rsid w:val="00B81C2F"/>
    <w:rsid w:val="00B90743"/>
    <w:rsid w:val="00B90C45"/>
    <w:rsid w:val="00B933BE"/>
    <w:rsid w:val="00BA42BB"/>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7D48"/>
    <w:rsid w:val="00C9291E"/>
    <w:rsid w:val="00CA3F44"/>
    <w:rsid w:val="00CA4E58"/>
    <w:rsid w:val="00CA6785"/>
    <w:rsid w:val="00CB3771"/>
    <w:rsid w:val="00CB44BF"/>
    <w:rsid w:val="00CB5153"/>
    <w:rsid w:val="00CE076A"/>
    <w:rsid w:val="00CE463D"/>
    <w:rsid w:val="00CF7B6D"/>
    <w:rsid w:val="00D10BA0"/>
    <w:rsid w:val="00D21694"/>
    <w:rsid w:val="00D239B4"/>
    <w:rsid w:val="00D24EB5"/>
    <w:rsid w:val="00D316C8"/>
    <w:rsid w:val="00D32E3F"/>
    <w:rsid w:val="00D35AB9"/>
    <w:rsid w:val="00D41571"/>
    <w:rsid w:val="00D416A0"/>
    <w:rsid w:val="00D47672"/>
    <w:rsid w:val="00D5123C"/>
    <w:rsid w:val="00D55560"/>
    <w:rsid w:val="00D61C5A"/>
    <w:rsid w:val="00D63BFF"/>
    <w:rsid w:val="00D6790C"/>
    <w:rsid w:val="00D71799"/>
    <w:rsid w:val="00D73277"/>
    <w:rsid w:val="00D76586"/>
    <w:rsid w:val="00D82657"/>
    <w:rsid w:val="00D87E20"/>
    <w:rsid w:val="00D951E4"/>
    <w:rsid w:val="00D97EF5"/>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25C9"/>
    <w:rsid w:val="00E96415"/>
    <w:rsid w:val="00EA15B3"/>
    <w:rsid w:val="00EB1886"/>
    <w:rsid w:val="00EB2358"/>
    <w:rsid w:val="00EB3EB8"/>
    <w:rsid w:val="00EC00EF"/>
    <w:rsid w:val="00EC02FE"/>
    <w:rsid w:val="00EC4A96"/>
    <w:rsid w:val="00EE03A0"/>
    <w:rsid w:val="00F21C79"/>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330C465"/>
  <w15:docId w15:val="{540A99F6-8275-4534-8B63-70D0CB54E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370E"/>
    <w:pPr>
      <w:tabs>
        <w:tab w:val="left" w:pos="794"/>
        <w:tab w:val="left" w:pos="1191"/>
        <w:tab w:val="left" w:pos="1588"/>
        <w:tab w:val="left" w:pos="1985"/>
      </w:tabs>
      <w:overflowPunct w:val="0"/>
      <w:autoSpaceDE w:val="0"/>
      <w:autoSpaceDN w:val="0"/>
      <w:adjustRightInd w:val="0"/>
      <w:spacing w:before="12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link w:val="SourceChar"/>
    <w:qFormat/>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link w:val="Title1Char"/>
    <w:qFormat/>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超级链接,超?级链,Style 58,超????,하이퍼링크2,超链接1,하이퍼링크21,超??级链Ú,fL????,fL?级,超??级链,超?级链Ú,’´?级链,’´????,’´??级链Ú,’´??级,超?级链?,Style?,S"/>
    <w:basedOn w:val="DefaultParagraphFont"/>
    <w:uiPriority w:val="99"/>
    <w:qForma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uiPriority w:val="59"/>
    <w:qFormat/>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aliases w:val="encabezado Char,Page No Char,header odd Char,header odd1 Char,header odd2 Char,header Char,he Char"/>
    <w:basedOn w:val="DefaultParagraphFont"/>
    <w:link w:val="Header"/>
    <w:rsid w:val="001B3D4D"/>
    <w:rPr>
      <w:sz w:val="24"/>
      <w:szCs w:val="22"/>
      <w:lang w:val="en-US" w:eastAsia="en-US"/>
    </w:rPr>
  </w:style>
  <w:style w:type="character" w:styleId="UnresolvedMention">
    <w:name w:val="Unresolved Mention"/>
    <w:basedOn w:val="DefaultParagraphFont"/>
    <w:uiPriority w:val="99"/>
    <w:semiHidden/>
    <w:unhideWhenUsed/>
    <w:rsid w:val="00353E34"/>
    <w:rPr>
      <w:color w:val="605E5C"/>
      <w:shd w:val="clear" w:color="auto" w:fill="E1DFDD"/>
    </w:rPr>
  </w:style>
  <w:style w:type="character" w:styleId="FollowedHyperlink">
    <w:name w:val="FollowedHyperlink"/>
    <w:basedOn w:val="DefaultParagraphFont"/>
    <w:semiHidden/>
    <w:unhideWhenUsed/>
    <w:rsid w:val="000A55EC"/>
    <w:rPr>
      <w:color w:val="800080" w:themeColor="followedHyperlink"/>
      <w:u w:val="single"/>
    </w:rPr>
  </w:style>
  <w:style w:type="paragraph" w:customStyle="1" w:styleId="Default">
    <w:name w:val="Default"/>
    <w:rsid w:val="000A55EC"/>
    <w:pPr>
      <w:autoSpaceDE w:val="0"/>
      <w:autoSpaceDN w:val="0"/>
      <w:adjustRightInd w:val="0"/>
    </w:pPr>
    <w:rPr>
      <w:rFonts w:ascii="Verdana" w:eastAsiaTheme="minorEastAsia" w:hAnsi="Verdana" w:cs="Verdana"/>
      <w:color w:val="000000"/>
      <w:sz w:val="24"/>
      <w:szCs w:val="24"/>
      <w:lang w:val="en-US"/>
    </w:rPr>
  </w:style>
  <w:style w:type="character" w:customStyle="1" w:styleId="h21">
    <w:name w:val="h21"/>
    <w:basedOn w:val="DefaultParagraphFont"/>
    <w:rsid w:val="000A55EC"/>
    <w:rPr>
      <w:b/>
      <w:bCs/>
      <w:color w:val="3366CC"/>
      <w:sz w:val="36"/>
      <w:szCs w:val="36"/>
    </w:rPr>
  </w:style>
  <w:style w:type="character" w:styleId="PlaceholderText">
    <w:name w:val="Placeholder Text"/>
    <w:basedOn w:val="DefaultParagraphFont"/>
    <w:uiPriority w:val="99"/>
    <w:semiHidden/>
    <w:rsid w:val="000A55EC"/>
    <w:rPr>
      <w:color w:val="808080"/>
    </w:rPr>
  </w:style>
  <w:style w:type="character" w:customStyle="1" w:styleId="baec5a81-e4d6-4674-97f3-e9220f0136c1">
    <w:name w:val="baec5a81-e4d6-4674-97f3-e9220f0136c1"/>
    <w:basedOn w:val="DefaultParagraphFont"/>
    <w:rsid w:val="000A55EC"/>
  </w:style>
  <w:style w:type="paragraph" w:customStyle="1" w:styleId="Message">
    <w:name w:val="Message"/>
    <w:rsid w:val="000A55EC"/>
    <w:pPr>
      <w:spacing w:before="240" w:line="300" w:lineRule="exact"/>
      <w:ind w:left="794" w:right="794"/>
    </w:pPr>
    <w:rPr>
      <w:rFonts w:ascii="Arial" w:eastAsiaTheme="minorEastAsia" w:hAnsi="Arial" w:cs="Times New Roman"/>
      <w:sz w:val="22"/>
      <w:lang w:val="en-US" w:eastAsia="en-US" w:bidi="he-IL"/>
    </w:rPr>
  </w:style>
  <w:style w:type="paragraph" w:styleId="Date">
    <w:name w:val="Date"/>
    <w:basedOn w:val="Normal"/>
    <w:next w:val="Normal"/>
    <w:link w:val="DateChar"/>
    <w:rsid w:val="000A55EC"/>
    <w:pPr>
      <w:spacing w:before="160"/>
    </w:pPr>
    <w:rPr>
      <w:rFonts w:eastAsiaTheme="minorEastAsia"/>
      <w:sz w:val="22"/>
    </w:rPr>
  </w:style>
  <w:style w:type="character" w:customStyle="1" w:styleId="DateChar">
    <w:name w:val="Date Char"/>
    <w:basedOn w:val="DefaultParagraphFont"/>
    <w:link w:val="Date"/>
    <w:rsid w:val="000A55EC"/>
    <w:rPr>
      <w:rFonts w:eastAsiaTheme="minorEastAsia"/>
      <w:sz w:val="22"/>
      <w:szCs w:val="22"/>
      <w:lang w:val="en-US" w:eastAsia="en-US"/>
    </w:rPr>
  </w:style>
  <w:style w:type="character" w:customStyle="1" w:styleId="FooterChar">
    <w:name w:val="Footer Char"/>
    <w:basedOn w:val="DefaultParagraphFont"/>
    <w:link w:val="Footer"/>
    <w:rsid w:val="000A55EC"/>
    <w:rPr>
      <w:sz w:val="24"/>
      <w:szCs w:val="22"/>
      <w:lang w:val="en-US" w:eastAsia="en-US"/>
    </w:rPr>
  </w:style>
  <w:style w:type="character" w:styleId="EndnoteReference">
    <w:name w:val="endnote reference"/>
    <w:rsid w:val="000A55EC"/>
    <w:rPr>
      <w:vertAlign w:val="superscript"/>
    </w:rPr>
  </w:style>
  <w:style w:type="table" w:customStyle="1" w:styleId="TableGrid1">
    <w:name w:val="Table Grid1"/>
    <w:basedOn w:val="TableNormal"/>
    <w:next w:val="TableGrid"/>
    <w:uiPriority w:val="59"/>
    <w:rsid w:val="000A55E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A55EC"/>
    <w:rPr>
      <w:rFonts w:eastAsia="SimSu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0A55EC"/>
    <w:rPr>
      <w:color w:val="605E5C"/>
      <w:shd w:val="clear" w:color="auto" w:fill="E1DFDD"/>
    </w:rPr>
  </w:style>
  <w:style w:type="character" w:customStyle="1" w:styleId="Artdef">
    <w:name w:val="Art_def"/>
    <w:rsid w:val="000A55EC"/>
    <w:rPr>
      <w:b/>
      <w:color w:val="FFCC00"/>
    </w:rPr>
  </w:style>
  <w:style w:type="table" w:customStyle="1" w:styleId="TableGrid2">
    <w:name w:val="Table Grid2"/>
    <w:basedOn w:val="TableNormal"/>
    <w:next w:val="TableGrid"/>
    <w:uiPriority w:val="39"/>
    <w:rsid w:val="000A55EC"/>
    <w:rPr>
      <w:rFonts w:asciiTheme="minorHAnsi" w:eastAsiaTheme="minorEastAsia" w:hAnsiTheme="minorHAnsi" w:cstheme="minorBidi"/>
      <w:sz w:val="22"/>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A55EC"/>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lang w:val="en-GB" w:eastAsia="en-GB"/>
    </w:rPr>
  </w:style>
  <w:style w:type="paragraph" w:styleId="Revision">
    <w:name w:val="Revision"/>
    <w:hidden/>
    <w:uiPriority w:val="99"/>
    <w:semiHidden/>
    <w:rsid w:val="000A55EC"/>
    <w:rPr>
      <w:rFonts w:eastAsiaTheme="minorEastAsia"/>
      <w:sz w:val="22"/>
      <w:szCs w:val="22"/>
      <w:lang w:val="en-US" w:eastAsia="en-US"/>
    </w:rPr>
  </w:style>
  <w:style w:type="paragraph" w:styleId="CommentSubject">
    <w:name w:val="annotation subject"/>
    <w:basedOn w:val="CommentText"/>
    <w:next w:val="CommentText"/>
    <w:link w:val="CommentSubjectChar"/>
    <w:semiHidden/>
    <w:unhideWhenUsed/>
    <w:rsid w:val="000A55EC"/>
    <w:pPr>
      <w:spacing w:before="160" w:line="240" w:lineRule="auto"/>
    </w:pPr>
    <w:rPr>
      <w:rFonts w:eastAsiaTheme="minorEastAsia"/>
      <w:b/>
      <w:bCs/>
      <w:szCs w:val="20"/>
    </w:rPr>
  </w:style>
  <w:style w:type="character" w:customStyle="1" w:styleId="CommentTextChar">
    <w:name w:val="Comment Text Char"/>
    <w:basedOn w:val="DefaultParagraphFont"/>
    <w:link w:val="CommentText"/>
    <w:semiHidden/>
    <w:rsid w:val="000A55EC"/>
    <w:rPr>
      <w:szCs w:val="22"/>
      <w:lang w:val="en-US" w:eastAsia="en-US"/>
    </w:rPr>
  </w:style>
  <w:style w:type="character" w:customStyle="1" w:styleId="CommentSubjectChar">
    <w:name w:val="Comment Subject Char"/>
    <w:basedOn w:val="CommentTextChar"/>
    <w:link w:val="CommentSubject"/>
    <w:semiHidden/>
    <w:rsid w:val="000A55EC"/>
    <w:rPr>
      <w:rFonts w:eastAsiaTheme="minorEastAsia"/>
      <w:b/>
      <w:bCs/>
      <w:szCs w:val="22"/>
      <w:lang w:val="en-US" w:eastAsia="en-US"/>
    </w:rPr>
  </w:style>
  <w:style w:type="character" w:customStyle="1" w:styleId="normaltextrun">
    <w:name w:val="normaltextrun"/>
    <w:basedOn w:val="DefaultParagraphFont"/>
    <w:rsid w:val="000A55EC"/>
  </w:style>
  <w:style w:type="character" w:customStyle="1" w:styleId="eop">
    <w:name w:val="eop"/>
    <w:basedOn w:val="DefaultParagraphFont"/>
    <w:rsid w:val="000A55EC"/>
  </w:style>
  <w:style w:type="character" w:customStyle="1" w:styleId="ListParagraphChar">
    <w:name w:val="List Paragraph Char"/>
    <w:basedOn w:val="DefaultParagraphFont"/>
    <w:link w:val="ListParagraph"/>
    <w:uiPriority w:val="34"/>
    <w:locked/>
    <w:rsid w:val="000A55EC"/>
    <w:rPr>
      <w:rFonts w:eastAsia="SimSun" w:cs="Times New Roman"/>
      <w:sz w:val="22"/>
      <w:szCs w:val="22"/>
      <w:lang w:val="en-US"/>
    </w:rPr>
  </w:style>
  <w:style w:type="paragraph" w:customStyle="1" w:styleId="AnnexNo">
    <w:name w:val="Annex_No"/>
    <w:basedOn w:val="Normal"/>
    <w:next w:val="Normal"/>
    <w:link w:val="AnnexNoChar"/>
    <w:rsid w:val="001963A8"/>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heme="minorHAnsi" w:hAnsiTheme="minorHAnsi" w:cs="Times New Roman"/>
      <w:caps/>
      <w:sz w:val="26"/>
      <w:szCs w:val="20"/>
      <w:lang w:val="ru-RU"/>
    </w:rPr>
  </w:style>
  <w:style w:type="character" w:customStyle="1" w:styleId="AnnexNoChar">
    <w:name w:val="Annex_No Char"/>
    <w:link w:val="AnnexNo"/>
    <w:locked/>
    <w:rsid w:val="001963A8"/>
    <w:rPr>
      <w:rFonts w:asciiTheme="minorHAnsi" w:hAnsiTheme="minorHAnsi" w:cs="Times New Roman"/>
      <w:caps/>
      <w:sz w:val="26"/>
      <w:lang w:val="ru-RU" w:eastAsia="en-US"/>
    </w:rPr>
  </w:style>
  <w:style w:type="paragraph" w:customStyle="1" w:styleId="Annextitle">
    <w:name w:val="Annex_title"/>
    <w:basedOn w:val="Normal"/>
    <w:next w:val="Normal"/>
    <w:link w:val="AnnextitleChar1"/>
    <w:rsid w:val="001963A8"/>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heme="minorHAnsi" w:hAnsiTheme="minorHAnsi" w:cs="Times New Roman"/>
      <w:b/>
      <w:sz w:val="26"/>
      <w:szCs w:val="20"/>
      <w:lang w:val="ru-RU"/>
    </w:rPr>
  </w:style>
  <w:style w:type="character" w:customStyle="1" w:styleId="AnnextitleChar1">
    <w:name w:val="Annex_title Char1"/>
    <w:link w:val="Annextitle"/>
    <w:locked/>
    <w:rsid w:val="001963A8"/>
    <w:rPr>
      <w:rFonts w:asciiTheme="minorHAnsi" w:hAnsiTheme="minorHAnsi" w:cs="Times New Roman"/>
      <w:b/>
      <w:sz w:val="26"/>
      <w:lang w:val="ru-RU" w:eastAsia="en-US"/>
    </w:rPr>
  </w:style>
  <w:style w:type="paragraph" w:customStyle="1" w:styleId="Reasons">
    <w:name w:val="Reasons"/>
    <w:basedOn w:val="Normal"/>
    <w:qFormat/>
    <w:rsid w:val="000A55EC"/>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TabletextChar">
    <w:name w:val="Table_text Char"/>
    <w:link w:val="Tabletext"/>
    <w:locked/>
    <w:rsid w:val="000A55EC"/>
    <w:rPr>
      <w:szCs w:val="22"/>
      <w:lang w:val="en-US" w:eastAsia="en-US"/>
    </w:rPr>
  </w:style>
  <w:style w:type="character" w:customStyle="1" w:styleId="TableheadChar">
    <w:name w:val="Table_head Char"/>
    <w:basedOn w:val="DefaultParagraphFont"/>
    <w:link w:val="Tablehead"/>
    <w:locked/>
    <w:rsid w:val="000A55EC"/>
    <w:rPr>
      <w:b/>
      <w:szCs w:val="22"/>
      <w:lang w:val="en-US" w:eastAsia="en-US"/>
    </w:rPr>
  </w:style>
  <w:style w:type="character" w:customStyle="1" w:styleId="enumlev1Char">
    <w:name w:val="enumlev1 Char"/>
    <w:basedOn w:val="DefaultParagraphFont"/>
    <w:link w:val="enumlev1"/>
    <w:rsid w:val="000A55EC"/>
    <w:rPr>
      <w:sz w:val="24"/>
      <w:szCs w:val="22"/>
      <w:lang w:val="en-US" w:eastAsia="en-US"/>
    </w:rPr>
  </w:style>
  <w:style w:type="character" w:customStyle="1" w:styleId="scxw44145403">
    <w:name w:val="scxw44145403"/>
    <w:basedOn w:val="DefaultParagraphFont"/>
    <w:rsid w:val="000A55EC"/>
  </w:style>
  <w:style w:type="paragraph" w:customStyle="1" w:styleId="Tablefin">
    <w:name w:val="Table_fin"/>
    <w:basedOn w:val="Tabletext"/>
    <w:rsid w:val="000A55EC"/>
    <w:rPr>
      <w:rFonts w:ascii="Times New Roman" w:hAnsi="Times New Roman" w:cs="Times New Roman"/>
      <w:sz w:val="22"/>
      <w:szCs w:val="20"/>
      <w:lang w:val="en-GB"/>
    </w:rPr>
  </w:style>
  <w:style w:type="character" w:customStyle="1" w:styleId="SourceChar">
    <w:name w:val="Source Char"/>
    <w:link w:val="Source"/>
    <w:locked/>
    <w:rsid w:val="000A55EC"/>
    <w:rPr>
      <w:b/>
      <w:sz w:val="28"/>
      <w:szCs w:val="22"/>
      <w:lang w:val="en-US" w:eastAsia="en-US"/>
    </w:rPr>
  </w:style>
  <w:style w:type="character" w:customStyle="1" w:styleId="Title1Char">
    <w:name w:val="Title 1 Char"/>
    <w:link w:val="Title1"/>
    <w:qFormat/>
    <w:locked/>
    <w:rsid w:val="000A55EC"/>
    <w:rPr>
      <w:caps/>
      <w:sz w:val="28"/>
      <w:szCs w:val="22"/>
      <w:lang w:val="en-US" w:eastAsia="en-US"/>
    </w:rPr>
  </w:style>
  <w:style w:type="paragraph" w:customStyle="1" w:styleId="paragraph">
    <w:name w:val="paragraph"/>
    <w:basedOn w:val="Normal"/>
    <w:rsid w:val="000A55EC"/>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R23-RAG-C-0030/es" TargetMode="External"/><Relationship Id="rId21" Type="http://schemas.openxmlformats.org/officeDocument/2006/relationships/hyperlink" Target="https://www.itu.int/md/R23-RAG-C-0030/es" TargetMode="External"/><Relationship Id="rId42" Type="http://schemas.openxmlformats.org/officeDocument/2006/relationships/hyperlink" Target="https://www.itu.int/md/R23-RAG-C-0014/es" TargetMode="External"/><Relationship Id="rId47" Type="http://schemas.openxmlformats.org/officeDocument/2006/relationships/hyperlink" Target="https://www.itu.int/md/R23-RAG-C-0039/es" TargetMode="External"/><Relationship Id="rId63" Type="http://schemas.openxmlformats.org/officeDocument/2006/relationships/hyperlink" Target="https://www.itu.int/md/R23-RAG-C-0037/es" TargetMode="External"/><Relationship Id="rId68" Type="http://schemas.openxmlformats.org/officeDocument/2006/relationships/hyperlink" Target="https://www.itu.int/md/R23-RAG-C-0030/es" TargetMode="External"/><Relationship Id="rId84" Type="http://schemas.openxmlformats.org/officeDocument/2006/relationships/hyperlink" Target="https://www.itu.int/md/R23-RAG-C-0022/es" TargetMode="External"/><Relationship Id="rId89" Type="http://schemas.openxmlformats.org/officeDocument/2006/relationships/header" Target="header7.xml"/><Relationship Id="rId16" Type="http://schemas.openxmlformats.org/officeDocument/2006/relationships/hyperlink" Target="https://www.itu.int/md/R23-RAG-250414-TD-0005/es" TargetMode="External"/><Relationship Id="rId11" Type="http://schemas.openxmlformats.org/officeDocument/2006/relationships/footer" Target="footer1.xml"/><Relationship Id="rId32" Type="http://schemas.openxmlformats.org/officeDocument/2006/relationships/hyperlink" Target="https://www.itu.int/md/R23-RAG-C-0030/es" TargetMode="External"/><Relationship Id="rId37" Type="http://schemas.openxmlformats.org/officeDocument/2006/relationships/hyperlink" Target="https://www.itu.int/md/R23-RAG-C-0030/en" TargetMode="External"/><Relationship Id="rId53" Type="http://schemas.openxmlformats.org/officeDocument/2006/relationships/hyperlink" Target="https://www.itu.int/md/R23-RAG-C-0017/es" TargetMode="External"/><Relationship Id="rId58" Type="http://schemas.openxmlformats.org/officeDocument/2006/relationships/hyperlink" Target="https://www.itu.int/md/R23-RAG-C-0025/es" TargetMode="External"/><Relationship Id="rId74" Type="http://schemas.openxmlformats.org/officeDocument/2006/relationships/hyperlink" Target="mailto:choco0742@live.ca" TargetMode="External"/><Relationship Id="rId79" Type="http://schemas.openxmlformats.org/officeDocument/2006/relationships/hyperlink" Target="https://www.itu.int/md/R23-RAG-C-0029/es" TargetMode="External"/><Relationship Id="rId5" Type="http://schemas.openxmlformats.org/officeDocument/2006/relationships/webSettings" Target="webSettings.xml"/><Relationship Id="rId90" Type="http://schemas.openxmlformats.org/officeDocument/2006/relationships/header" Target="header8.xml"/><Relationship Id="rId22" Type="http://schemas.openxmlformats.org/officeDocument/2006/relationships/hyperlink" Target="https://www.itu.int/md/R23-RAG-C-0030/es" TargetMode="External"/><Relationship Id="rId27" Type="http://schemas.openxmlformats.org/officeDocument/2006/relationships/hyperlink" Target="https://www.itu.int/md/R23-RAG-C-0033/es" TargetMode="External"/><Relationship Id="rId43" Type="http://schemas.openxmlformats.org/officeDocument/2006/relationships/hyperlink" Target="https://www.itu.int/md/R23-RAG-C-0043/es" TargetMode="External"/><Relationship Id="rId48" Type="http://schemas.openxmlformats.org/officeDocument/2006/relationships/hyperlink" Target="https://www.itu.int/md/R23-RAG-C-0020/es" TargetMode="External"/><Relationship Id="rId64" Type="http://schemas.openxmlformats.org/officeDocument/2006/relationships/hyperlink" Target="https://www.itu.int/md/R23-RAG-C-0030/es" TargetMode="External"/><Relationship Id="rId69" Type="http://schemas.openxmlformats.org/officeDocument/2006/relationships/hyperlink" Target="https://www.itu.int/md/R23-RAG-C-0041/es" TargetMode="External"/><Relationship Id="rId8" Type="http://schemas.openxmlformats.org/officeDocument/2006/relationships/hyperlink" Target="https://www.itu.int/rag" TargetMode="External"/><Relationship Id="rId51" Type="http://schemas.openxmlformats.org/officeDocument/2006/relationships/hyperlink" Target="https://www.itu.int/md/R23-RAG-C-0023/es" TargetMode="External"/><Relationship Id="rId72" Type="http://schemas.openxmlformats.org/officeDocument/2006/relationships/header" Target="header6.xml"/><Relationship Id="rId80" Type="http://schemas.openxmlformats.org/officeDocument/2006/relationships/hyperlink" Target="https://www.itu.int/md/R23-RAG-C-0017/es" TargetMode="External"/><Relationship Id="rId85" Type="http://schemas.openxmlformats.org/officeDocument/2006/relationships/hyperlink" Target="https://www.itu.int/md/R23-RAG-C-0046/es"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www.itu.int/md/R23-RAG-ADM-0002/es" TargetMode="External"/><Relationship Id="rId25" Type="http://schemas.openxmlformats.org/officeDocument/2006/relationships/hyperlink" Target="https://www.itu.int/md/S24-CL-C-0138/es" TargetMode="External"/><Relationship Id="rId33" Type="http://schemas.openxmlformats.org/officeDocument/2006/relationships/hyperlink" Target="https://www.itu.int/md/R23-RAG-C-0036/es" TargetMode="External"/><Relationship Id="rId38" Type="http://schemas.openxmlformats.org/officeDocument/2006/relationships/hyperlink" Target="https://www.itu.int/md/R00-CR-CIR-0504/es" TargetMode="External"/><Relationship Id="rId46" Type="http://schemas.openxmlformats.org/officeDocument/2006/relationships/hyperlink" Target="https://www.itu.int/md/R23-RAG-C-0034/es" TargetMode="External"/><Relationship Id="rId59" Type="http://schemas.openxmlformats.org/officeDocument/2006/relationships/hyperlink" Target="https://www.itu.int/md/R23-RAG-C-0028/es" TargetMode="External"/><Relationship Id="rId67" Type="http://schemas.openxmlformats.org/officeDocument/2006/relationships/hyperlink" Target="https://www.itu.int/md/R23-RAG-C-0030/es" TargetMode="External"/><Relationship Id="rId20" Type="http://schemas.openxmlformats.org/officeDocument/2006/relationships/hyperlink" Target="https://www.itu.int/md/R23-RAG-C-0030/es" TargetMode="External"/><Relationship Id="rId41" Type="http://schemas.openxmlformats.org/officeDocument/2006/relationships/hyperlink" Target="https://www.itu.int/md/R23-RAG-C-0030/en" TargetMode="External"/><Relationship Id="rId54" Type="http://schemas.openxmlformats.org/officeDocument/2006/relationships/hyperlink" Target="https://www.itu.int/md/R23-RAG-C-0032/es" TargetMode="External"/><Relationship Id="rId62" Type="http://schemas.openxmlformats.org/officeDocument/2006/relationships/hyperlink" Target="https://www.itu.int/md/R23-RAG-C-0030/es" TargetMode="External"/><Relationship Id="rId70" Type="http://schemas.openxmlformats.org/officeDocument/2006/relationships/header" Target="header4.xml"/><Relationship Id="rId75" Type="http://schemas.openxmlformats.org/officeDocument/2006/relationships/hyperlink" Target="https://www.itu.int/pub/R-RES-R.2" TargetMode="External"/><Relationship Id="rId83" Type="http://schemas.openxmlformats.org/officeDocument/2006/relationships/hyperlink" Target="https://www.itu.int/md/R23-RAG-C-0026/es" TargetMode="External"/><Relationship Id="rId88" Type="http://schemas.openxmlformats.org/officeDocument/2006/relationships/hyperlink" Target="mailto:Sergio.Buonomo@itu.int" TargetMode="External"/><Relationship Id="rId91"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R23-RAG-240325-TD-0001/es" TargetMode="External"/><Relationship Id="rId23" Type="http://schemas.openxmlformats.org/officeDocument/2006/relationships/hyperlink" Target="https://www.itu.int/md/S24-CL-C-0012/es" TargetMode="External"/><Relationship Id="rId28" Type="http://schemas.openxmlformats.org/officeDocument/2006/relationships/hyperlink" Target="https://www.itu.int/md/R23-RAG-C-0024/es" TargetMode="External"/><Relationship Id="rId36" Type="http://schemas.openxmlformats.org/officeDocument/2006/relationships/hyperlink" Target="https://www.itu.int/md/R23-RAG-C-0030/es" TargetMode="External"/><Relationship Id="rId49" Type="http://schemas.openxmlformats.org/officeDocument/2006/relationships/hyperlink" Target="https://www.itu.int/md/R23-RAG-C-0021/es" TargetMode="External"/><Relationship Id="rId57" Type="http://schemas.openxmlformats.org/officeDocument/2006/relationships/hyperlink" Target="https://www.itu.int/md/R23-RAG-C-0026/es" TargetMode="External"/><Relationship Id="rId10" Type="http://schemas.openxmlformats.org/officeDocument/2006/relationships/header" Target="header2.xml"/><Relationship Id="rId31" Type="http://schemas.openxmlformats.org/officeDocument/2006/relationships/hyperlink" Target="mailto:membership@itu.int" TargetMode="External"/><Relationship Id="rId44" Type="http://schemas.openxmlformats.org/officeDocument/2006/relationships/hyperlink" Target="https://www.itu.int/md/R23-RAG-C-0044/es" TargetMode="External"/><Relationship Id="rId52" Type="http://schemas.openxmlformats.org/officeDocument/2006/relationships/hyperlink" Target="https://www.itu.int/md/R23-RAG-C-0031/es" TargetMode="External"/><Relationship Id="rId60" Type="http://schemas.openxmlformats.org/officeDocument/2006/relationships/hyperlink" Target="https://www.itu.int/md/R23-RAG-C-0029/es" TargetMode="External"/><Relationship Id="rId65" Type="http://schemas.openxmlformats.org/officeDocument/2006/relationships/hyperlink" Target="https://www.itu.int/md/R23-RAG-C-0040/es" TargetMode="External"/><Relationship Id="rId73" Type="http://schemas.openxmlformats.org/officeDocument/2006/relationships/footer" Target="footer4.xml"/><Relationship Id="rId78" Type="http://schemas.openxmlformats.org/officeDocument/2006/relationships/hyperlink" Target="https://www.itu.int/md/R23-RAG-C-0028/es" TargetMode="External"/><Relationship Id="rId81" Type="http://schemas.openxmlformats.org/officeDocument/2006/relationships/hyperlink" Target="https://www.itu.int/md/R23-RAG-C-0032/es" TargetMode="External"/><Relationship Id="rId86" Type="http://schemas.openxmlformats.org/officeDocument/2006/relationships/hyperlink" Target="https://www.itu.int/md/R00-CA-CIR-0267/es"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www.itu.int/md/R23-RAG-C-0030/es" TargetMode="External"/><Relationship Id="rId39" Type="http://schemas.openxmlformats.org/officeDocument/2006/relationships/hyperlink" Target="https://www.itu.int/md/R23-RAG-C-0030/es" TargetMode="External"/><Relationship Id="rId34" Type="http://schemas.openxmlformats.org/officeDocument/2006/relationships/hyperlink" Target="https://www.itu.int/md/R23-RAG-C-0035/es" TargetMode="External"/><Relationship Id="rId50" Type="http://schemas.openxmlformats.org/officeDocument/2006/relationships/hyperlink" Target="https://www.itu.int/md/R23-RAG-C-0022/es" TargetMode="External"/><Relationship Id="rId55" Type="http://schemas.openxmlformats.org/officeDocument/2006/relationships/hyperlink" Target="https://www.itu.int/md/R23-RAG-C-0019/es" TargetMode="External"/><Relationship Id="rId76" Type="http://schemas.openxmlformats.org/officeDocument/2006/relationships/hyperlink" Target="mailto:fabghamdi@citc.gov.sa" TargetMode="External"/><Relationship Id="rId7" Type="http://schemas.openxmlformats.org/officeDocument/2006/relationships/endnotes" Target="endnotes.xml"/><Relationship Id="rId71" Type="http://schemas.openxmlformats.org/officeDocument/2006/relationships/header" Target="header5.xml"/><Relationship Id="rId92" Type="http://schemas.openxmlformats.org/officeDocument/2006/relationships/footer" Target="footer5.xml"/><Relationship Id="rId2" Type="http://schemas.openxmlformats.org/officeDocument/2006/relationships/numbering" Target="numbering.xml"/><Relationship Id="rId29" Type="http://schemas.openxmlformats.org/officeDocument/2006/relationships/hyperlink" Target="https://www.itu.int/md/R23-RAG-C-0030/es" TargetMode="External"/><Relationship Id="rId24" Type="http://schemas.openxmlformats.org/officeDocument/2006/relationships/hyperlink" Target="https://www.itu.int/md/S24-CL-C-0137/es" TargetMode="External"/><Relationship Id="rId40" Type="http://schemas.openxmlformats.org/officeDocument/2006/relationships/hyperlink" Target="https://www.itu.int/md/R23-RAG-C-0030/es" TargetMode="External"/><Relationship Id="rId45" Type="http://schemas.openxmlformats.org/officeDocument/2006/relationships/hyperlink" Target="https://www.itu.int/md/R23-RAG-C-0018/es" TargetMode="External"/><Relationship Id="rId66" Type="http://schemas.openxmlformats.org/officeDocument/2006/relationships/hyperlink" Target="https://www.itu.int/md/R23-RAG-C-0045/es" TargetMode="External"/><Relationship Id="rId87" Type="http://schemas.openxmlformats.org/officeDocument/2006/relationships/hyperlink" Target="https://www.itu.int/md/R23-RAG-C-0022/es" TargetMode="External"/><Relationship Id="rId61" Type="http://schemas.openxmlformats.org/officeDocument/2006/relationships/hyperlink" Target="https://www.itu.int/md/R23-RAG-C-0027/es" TargetMode="External"/><Relationship Id="rId82" Type="http://schemas.openxmlformats.org/officeDocument/2006/relationships/hyperlink" Target="https://www.itu.int/md/R23-RAG-C-0019/es" TargetMode="External"/><Relationship Id="rId19" Type="http://schemas.openxmlformats.org/officeDocument/2006/relationships/hyperlink" Target="https://www.itu.int/md/R23-RAG-C-0030/es" TargetMode="External"/><Relationship Id="rId14" Type="http://schemas.openxmlformats.org/officeDocument/2006/relationships/footer" Target="footer3.xml"/><Relationship Id="rId30" Type="http://schemas.openxmlformats.org/officeDocument/2006/relationships/hyperlink" Target="https://www.itu.int/md/R23-RAG-C-0038/es" TargetMode="External"/><Relationship Id="rId35" Type="http://schemas.openxmlformats.org/officeDocument/2006/relationships/hyperlink" Target="https://www.itu.int/md/R23-RAG-C-0042/es" TargetMode="External"/><Relationship Id="rId56" Type="http://schemas.openxmlformats.org/officeDocument/2006/relationships/hyperlink" Target="https://www.itu.int/md/R23-RAG-C-0046/es" TargetMode="External"/><Relationship Id="rId77" Type="http://schemas.openxmlformats.org/officeDocument/2006/relationships/hyperlink" Target="https://www.itu.int/md/R23-RAG-C-0025/es"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br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2387C-DC9E-461E-8AFA-8ECF22AA9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7140</Words>
  <Characters>40454</Characters>
  <Application>Microsoft Office Word</Application>
  <DocSecurity>0</DocSecurity>
  <Lines>337</Lines>
  <Paragraphs>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PS_BR Circulars</vt:lpstr>
      <vt:lpstr>ITU-T Rec. Book 1 Resolutions ITU-T Series A Recommendations:</vt:lpstr>
    </vt:vector>
  </TitlesOfParts>
  <Company>ITU</Company>
  <LinksUpToDate>false</LinksUpToDate>
  <CharactersWithSpaces>47500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PS_BR Circulars</dc:title>
  <dc:creator>Panoussopoulos, Sonia</dc:creator>
  <cp:lastModifiedBy>Panoussopoulos, Sonia</cp:lastModifiedBy>
  <cp:revision>4</cp:revision>
  <cp:lastPrinted>2013-03-08T10:15:00Z</cp:lastPrinted>
  <dcterms:created xsi:type="dcterms:W3CDTF">2025-05-02T06:57:00Z</dcterms:created>
  <dcterms:modified xsi:type="dcterms:W3CDTF">2025-05-02T07:50:00Z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