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89" w:type="dxa"/>
        <w:jc w:val="center"/>
        <w:tblLayout w:type="fixed"/>
        <w:tblLook w:val="04A0" w:firstRow="1" w:lastRow="0" w:firstColumn="1" w:lastColumn="0" w:noHBand="0" w:noVBand="1"/>
      </w:tblPr>
      <w:tblGrid>
        <w:gridCol w:w="1526"/>
        <w:gridCol w:w="5528"/>
        <w:gridCol w:w="2835"/>
      </w:tblGrid>
      <w:tr w:rsidR="00E53DCE" w:rsidRPr="00C337A5" w14:paraId="3373B1DA" w14:textId="77777777" w:rsidTr="004228FA">
        <w:trPr>
          <w:jc w:val="center"/>
        </w:trPr>
        <w:tc>
          <w:tcPr>
            <w:tcW w:w="9889" w:type="dxa"/>
            <w:gridSpan w:val="3"/>
            <w:shd w:val="clear" w:color="auto" w:fill="auto"/>
          </w:tcPr>
          <w:p w14:paraId="131D11D0" w14:textId="77777777" w:rsidR="00E53DCE" w:rsidRPr="00C337A5" w:rsidRDefault="00E53DCE" w:rsidP="006160CB">
            <w:pPr>
              <w:spacing w:before="0"/>
              <w:jc w:val="left"/>
              <w:rPr>
                <w:rFonts w:cstheme="minorHAnsi"/>
                <w:b/>
                <w:bCs/>
                <w:color w:val="808080"/>
                <w:sz w:val="28"/>
                <w:szCs w:val="28"/>
                <w:lang w:val="fr-FR"/>
              </w:rPr>
            </w:pPr>
            <w:r w:rsidRPr="00C337A5">
              <w:rPr>
                <w:rFonts w:cstheme="minorHAnsi"/>
                <w:b/>
                <w:bCs/>
                <w:color w:val="808080"/>
                <w:sz w:val="28"/>
                <w:szCs w:val="28"/>
                <w:lang w:val="fr-FR"/>
              </w:rPr>
              <w:t>Bureau des radiocommunications (BR)</w:t>
            </w:r>
          </w:p>
          <w:p w14:paraId="5D410CA3" w14:textId="77777777" w:rsidR="00E53DCE" w:rsidRPr="00C337A5" w:rsidRDefault="00E53DCE" w:rsidP="006160CB">
            <w:pPr>
              <w:spacing w:before="0"/>
              <w:jc w:val="left"/>
              <w:rPr>
                <w:rFonts w:cstheme="minorHAnsi"/>
                <w:b/>
                <w:bCs/>
                <w:color w:val="808080"/>
                <w:sz w:val="28"/>
                <w:szCs w:val="28"/>
                <w:lang w:val="fr-FR"/>
              </w:rPr>
            </w:pPr>
          </w:p>
          <w:p w14:paraId="238EAC46" w14:textId="77777777" w:rsidR="00E53DCE" w:rsidRPr="00C337A5" w:rsidRDefault="00E53DCE" w:rsidP="006160CB">
            <w:pPr>
              <w:spacing w:before="0"/>
              <w:jc w:val="left"/>
              <w:rPr>
                <w:rFonts w:cs="Times New Roman Bold"/>
                <w:b/>
                <w:bCs/>
                <w:color w:val="808080"/>
                <w:sz w:val="28"/>
                <w:szCs w:val="28"/>
                <w:lang w:val="fr-FR"/>
              </w:rPr>
            </w:pPr>
          </w:p>
        </w:tc>
      </w:tr>
      <w:tr w:rsidR="00E53DCE" w:rsidRPr="00C337A5" w14:paraId="32D03654" w14:textId="77777777" w:rsidTr="004228FA">
        <w:trPr>
          <w:jc w:val="center"/>
        </w:trPr>
        <w:tc>
          <w:tcPr>
            <w:tcW w:w="7054" w:type="dxa"/>
            <w:gridSpan w:val="2"/>
            <w:shd w:val="clear" w:color="auto" w:fill="auto"/>
          </w:tcPr>
          <w:p w14:paraId="787AC96A" w14:textId="3D9136F5" w:rsidR="00E53DCE" w:rsidRPr="00C337A5" w:rsidRDefault="00E53DCE" w:rsidP="006160CB">
            <w:pPr>
              <w:spacing w:before="0"/>
              <w:jc w:val="left"/>
              <w:rPr>
                <w:sz w:val="28"/>
                <w:szCs w:val="28"/>
                <w:lang w:val="fr-FR"/>
              </w:rPr>
            </w:pPr>
            <w:r w:rsidRPr="00C337A5">
              <w:rPr>
                <w:szCs w:val="24"/>
                <w:lang w:val="fr-FR"/>
              </w:rPr>
              <w:t>Circulaire administrative</w:t>
            </w:r>
          </w:p>
          <w:p w14:paraId="198DE3D1" w14:textId="68B23013" w:rsidR="00E53DCE" w:rsidRPr="00C337A5" w:rsidRDefault="00E53DCE" w:rsidP="006160CB">
            <w:pPr>
              <w:spacing w:before="0"/>
              <w:jc w:val="left"/>
              <w:rPr>
                <w:b/>
                <w:bCs/>
                <w:sz w:val="28"/>
                <w:szCs w:val="28"/>
                <w:lang w:val="fr-FR"/>
              </w:rPr>
            </w:pPr>
            <w:r w:rsidRPr="00C337A5">
              <w:rPr>
                <w:b/>
                <w:bCs/>
                <w:szCs w:val="24"/>
                <w:lang w:val="fr-FR"/>
              </w:rPr>
              <w:t>CA/</w:t>
            </w:r>
            <w:r w:rsidR="00A72099" w:rsidRPr="00C337A5">
              <w:rPr>
                <w:b/>
                <w:bCs/>
                <w:szCs w:val="24"/>
                <w:lang w:val="fr-FR"/>
              </w:rPr>
              <w:t>275</w:t>
            </w:r>
          </w:p>
        </w:tc>
        <w:tc>
          <w:tcPr>
            <w:tcW w:w="2835" w:type="dxa"/>
            <w:shd w:val="clear" w:color="auto" w:fill="auto"/>
          </w:tcPr>
          <w:p w14:paraId="73698996" w14:textId="095AA715" w:rsidR="00E53DCE" w:rsidRPr="00C337A5" w:rsidRDefault="00C52FBB" w:rsidP="00304636">
            <w:pPr>
              <w:spacing w:before="0"/>
              <w:jc w:val="right"/>
              <w:rPr>
                <w:sz w:val="28"/>
                <w:szCs w:val="28"/>
                <w:lang w:val="fr-FR"/>
              </w:rPr>
            </w:pPr>
            <w:r w:rsidRPr="00C337A5">
              <w:rPr>
                <w:szCs w:val="24"/>
                <w:lang w:val="fr-FR"/>
              </w:rPr>
              <w:t xml:space="preserve">Le </w:t>
            </w:r>
            <w:r w:rsidR="00741378">
              <w:rPr>
                <w:szCs w:val="24"/>
                <w:lang w:val="fr-FR"/>
              </w:rPr>
              <w:t>31</w:t>
            </w:r>
            <w:r w:rsidRPr="00C337A5">
              <w:rPr>
                <w:szCs w:val="24"/>
                <w:lang w:val="fr-FR"/>
              </w:rPr>
              <w:t xml:space="preserve"> mai 2024</w:t>
            </w:r>
          </w:p>
        </w:tc>
      </w:tr>
      <w:tr w:rsidR="00E53DCE" w:rsidRPr="00C337A5" w14:paraId="21CF050B" w14:textId="77777777" w:rsidTr="004228FA">
        <w:trPr>
          <w:jc w:val="center"/>
        </w:trPr>
        <w:tc>
          <w:tcPr>
            <w:tcW w:w="9889" w:type="dxa"/>
            <w:gridSpan w:val="3"/>
            <w:shd w:val="clear" w:color="auto" w:fill="auto"/>
          </w:tcPr>
          <w:p w14:paraId="78C111A6" w14:textId="77777777" w:rsidR="00E53DCE" w:rsidRPr="00C337A5" w:rsidRDefault="00E53DCE" w:rsidP="006160CB">
            <w:pPr>
              <w:spacing w:before="0"/>
              <w:jc w:val="left"/>
              <w:rPr>
                <w:rFonts w:cs="Arial"/>
                <w:szCs w:val="24"/>
                <w:lang w:val="fr-FR"/>
              </w:rPr>
            </w:pPr>
          </w:p>
        </w:tc>
      </w:tr>
      <w:tr w:rsidR="00E53DCE" w:rsidRPr="00C337A5" w14:paraId="2F4E240B" w14:textId="77777777" w:rsidTr="004228FA">
        <w:trPr>
          <w:jc w:val="center"/>
        </w:trPr>
        <w:tc>
          <w:tcPr>
            <w:tcW w:w="9889" w:type="dxa"/>
            <w:gridSpan w:val="3"/>
            <w:shd w:val="clear" w:color="auto" w:fill="auto"/>
          </w:tcPr>
          <w:p w14:paraId="1E0134AA" w14:textId="77777777" w:rsidR="00E53DCE" w:rsidRPr="00C337A5" w:rsidRDefault="00E53DCE" w:rsidP="006160CB">
            <w:pPr>
              <w:spacing w:before="0"/>
              <w:jc w:val="left"/>
              <w:rPr>
                <w:szCs w:val="24"/>
                <w:lang w:val="fr-FR"/>
              </w:rPr>
            </w:pPr>
          </w:p>
        </w:tc>
      </w:tr>
      <w:tr w:rsidR="00E53DCE" w:rsidRPr="00C337A5" w14:paraId="007114AC" w14:textId="77777777" w:rsidTr="004228FA">
        <w:trPr>
          <w:jc w:val="center"/>
        </w:trPr>
        <w:tc>
          <w:tcPr>
            <w:tcW w:w="9889" w:type="dxa"/>
            <w:gridSpan w:val="3"/>
            <w:shd w:val="clear" w:color="auto" w:fill="auto"/>
          </w:tcPr>
          <w:p w14:paraId="43A7338A" w14:textId="676483D4" w:rsidR="00E53DCE" w:rsidRPr="00C337A5" w:rsidRDefault="00EE1A57" w:rsidP="006160CB">
            <w:pPr>
              <w:spacing w:before="0"/>
              <w:jc w:val="left"/>
              <w:rPr>
                <w:b/>
                <w:bCs/>
                <w:szCs w:val="24"/>
                <w:lang w:val="fr-FR"/>
              </w:rPr>
            </w:pPr>
            <w:r w:rsidRPr="00C337A5">
              <w:rPr>
                <w:b/>
                <w:bCs/>
                <w:szCs w:val="24"/>
                <w:lang w:val="fr-FR"/>
              </w:rPr>
              <w:t xml:space="preserve">Aux Administrations des </w:t>
            </w:r>
            <w:r w:rsidR="00A72099" w:rsidRPr="00C337A5">
              <w:rPr>
                <w:b/>
                <w:bCs/>
                <w:szCs w:val="24"/>
                <w:lang w:val="fr-FR"/>
              </w:rPr>
              <w:t>États Membres de l'UIT, aux Membres du Secteur des radiocommunications, aux Associés de l'UIT-R et aux établissements universitaires participant aux travaux de l'UIT</w:t>
            </w:r>
          </w:p>
        </w:tc>
      </w:tr>
      <w:tr w:rsidR="00E53DCE" w:rsidRPr="00C337A5" w14:paraId="6C559311" w14:textId="77777777" w:rsidTr="004228FA">
        <w:trPr>
          <w:jc w:val="center"/>
        </w:trPr>
        <w:tc>
          <w:tcPr>
            <w:tcW w:w="9889" w:type="dxa"/>
            <w:gridSpan w:val="3"/>
            <w:shd w:val="clear" w:color="auto" w:fill="auto"/>
          </w:tcPr>
          <w:p w14:paraId="0D32AE4E" w14:textId="77777777" w:rsidR="00E53DCE" w:rsidRPr="00C337A5" w:rsidRDefault="00E53DCE" w:rsidP="006160CB">
            <w:pPr>
              <w:spacing w:before="0"/>
              <w:jc w:val="left"/>
              <w:rPr>
                <w:szCs w:val="24"/>
                <w:lang w:val="fr-FR"/>
              </w:rPr>
            </w:pPr>
          </w:p>
        </w:tc>
      </w:tr>
      <w:tr w:rsidR="00E53DCE" w:rsidRPr="00C337A5" w14:paraId="26C0E337" w14:textId="77777777" w:rsidTr="004228FA">
        <w:trPr>
          <w:jc w:val="center"/>
        </w:trPr>
        <w:tc>
          <w:tcPr>
            <w:tcW w:w="9889" w:type="dxa"/>
            <w:gridSpan w:val="3"/>
            <w:shd w:val="clear" w:color="auto" w:fill="auto"/>
          </w:tcPr>
          <w:p w14:paraId="29F7E960" w14:textId="77777777" w:rsidR="00E53DCE" w:rsidRPr="00C337A5" w:rsidRDefault="00E53DCE" w:rsidP="006160CB">
            <w:pPr>
              <w:spacing w:before="0"/>
              <w:jc w:val="left"/>
              <w:rPr>
                <w:szCs w:val="24"/>
                <w:lang w:val="fr-FR"/>
              </w:rPr>
            </w:pPr>
          </w:p>
        </w:tc>
      </w:tr>
      <w:tr w:rsidR="00E53DCE" w:rsidRPr="00C337A5" w14:paraId="2813E03B" w14:textId="77777777" w:rsidTr="004228FA">
        <w:trPr>
          <w:jc w:val="center"/>
        </w:trPr>
        <w:tc>
          <w:tcPr>
            <w:tcW w:w="1526" w:type="dxa"/>
            <w:shd w:val="clear" w:color="auto" w:fill="auto"/>
          </w:tcPr>
          <w:p w14:paraId="50D97891" w14:textId="77777777" w:rsidR="00E53DCE" w:rsidRPr="00C337A5" w:rsidRDefault="003471C9" w:rsidP="006160CB">
            <w:pPr>
              <w:tabs>
                <w:tab w:val="clear" w:pos="1588"/>
                <w:tab w:val="left" w:pos="1560"/>
              </w:tabs>
              <w:spacing w:before="0"/>
              <w:jc w:val="left"/>
              <w:rPr>
                <w:szCs w:val="24"/>
                <w:lang w:val="fr-FR"/>
              </w:rPr>
            </w:pPr>
            <w:r w:rsidRPr="00C337A5">
              <w:rPr>
                <w:lang w:val="fr-FR"/>
              </w:rPr>
              <w:t>Objet</w:t>
            </w:r>
            <w:r w:rsidR="00E53DCE" w:rsidRPr="00C337A5">
              <w:rPr>
                <w:szCs w:val="24"/>
                <w:lang w:val="fr-FR"/>
              </w:rPr>
              <w:t>:</w:t>
            </w:r>
          </w:p>
        </w:tc>
        <w:tc>
          <w:tcPr>
            <w:tcW w:w="8363" w:type="dxa"/>
            <w:gridSpan w:val="2"/>
            <w:vMerge w:val="restart"/>
            <w:shd w:val="clear" w:color="auto" w:fill="auto"/>
          </w:tcPr>
          <w:p w14:paraId="7AF01389" w14:textId="3A96D3DA" w:rsidR="00A72099" w:rsidRPr="00C337A5" w:rsidRDefault="00A72099" w:rsidP="00A72099">
            <w:pPr>
              <w:tabs>
                <w:tab w:val="clear" w:pos="1588"/>
                <w:tab w:val="left" w:pos="1560"/>
              </w:tabs>
              <w:spacing w:before="0"/>
              <w:jc w:val="left"/>
              <w:rPr>
                <w:b/>
                <w:bCs/>
                <w:szCs w:val="24"/>
                <w:lang w:val="fr-FR"/>
              </w:rPr>
            </w:pPr>
            <w:r w:rsidRPr="00C337A5">
              <w:rPr>
                <w:b/>
                <w:bCs/>
                <w:szCs w:val="24"/>
                <w:lang w:val="fr-FR"/>
              </w:rPr>
              <w:t>Séminaire régional OMM-UIT de 2024 pour les pays de la CEI</w:t>
            </w:r>
            <w:r w:rsidRPr="00C337A5">
              <w:rPr>
                <w:rStyle w:val="FootnoteReference"/>
                <w:b/>
                <w:bCs/>
                <w:szCs w:val="24"/>
                <w:lang w:val="fr-FR"/>
              </w:rPr>
              <w:footnoteReference w:customMarkFollows="1" w:id="1"/>
              <w:t>*</w:t>
            </w:r>
            <w:r w:rsidRPr="00C337A5">
              <w:rPr>
                <w:b/>
                <w:bCs/>
                <w:szCs w:val="24"/>
                <w:lang w:val="fr-FR"/>
              </w:rPr>
              <w:t xml:space="preserve"> sur le thème «Observation de la Terre au service de la réalisation des Objectifs de développement durable: technologies, spectre, applications et retombées»</w:t>
            </w:r>
          </w:p>
          <w:p w14:paraId="41F3265F" w14:textId="672A5844" w:rsidR="00E53DCE" w:rsidRPr="00C337A5" w:rsidRDefault="00A72099" w:rsidP="00A72099">
            <w:pPr>
              <w:tabs>
                <w:tab w:val="clear" w:pos="1588"/>
                <w:tab w:val="left" w:pos="1560"/>
              </w:tabs>
              <w:spacing w:before="0"/>
              <w:rPr>
                <w:b/>
                <w:bCs/>
                <w:szCs w:val="24"/>
                <w:lang w:val="fr-FR"/>
              </w:rPr>
            </w:pPr>
            <w:r w:rsidRPr="00C337A5">
              <w:rPr>
                <w:b/>
                <w:bCs/>
                <w:szCs w:val="24"/>
                <w:lang w:val="fr-FR"/>
              </w:rPr>
              <w:t>Almaty, Kazakhstan, 16-17 septembre 2024</w:t>
            </w:r>
          </w:p>
        </w:tc>
      </w:tr>
      <w:tr w:rsidR="00E53DCE" w:rsidRPr="00C337A5" w14:paraId="61BFC634" w14:textId="77777777" w:rsidTr="004228FA">
        <w:trPr>
          <w:jc w:val="center"/>
        </w:trPr>
        <w:tc>
          <w:tcPr>
            <w:tcW w:w="1526" w:type="dxa"/>
            <w:shd w:val="clear" w:color="auto" w:fill="auto"/>
          </w:tcPr>
          <w:p w14:paraId="1D8E097C" w14:textId="77777777" w:rsidR="00E53DCE" w:rsidRPr="00C337A5" w:rsidRDefault="00E53DCE" w:rsidP="006160CB">
            <w:pPr>
              <w:tabs>
                <w:tab w:val="clear" w:pos="1588"/>
                <w:tab w:val="left" w:pos="1560"/>
              </w:tabs>
              <w:spacing w:before="0"/>
              <w:jc w:val="left"/>
              <w:rPr>
                <w:b/>
                <w:bCs/>
                <w:szCs w:val="24"/>
                <w:lang w:val="fr-FR"/>
              </w:rPr>
            </w:pPr>
          </w:p>
        </w:tc>
        <w:tc>
          <w:tcPr>
            <w:tcW w:w="8363" w:type="dxa"/>
            <w:gridSpan w:val="2"/>
            <w:vMerge/>
            <w:shd w:val="clear" w:color="auto" w:fill="auto"/>
          </w:tcPr>
          <w:p w14:paraId="6D0E898D" w14:textId="77777777" w:rsidR="00E53DCE" w:rsidRPr="00C337A5" w:rsidRDefault="00E53DCE" w:rsidP="006160CB">
            <w:pPr>
              <w:tabs>
                <w:tab w:val="clear" w:pos="1588"/>
                <w:tab w:val="left" w:pos="1560"/>
              </w:tabs>
              <w:spacing w:before="0"/>
              <w:rPr>
                <w:b/>
                <w:bCs/>
                <w:szCs w:val="24"/>
                <w:lang w:val="fr-FR"/>
              </w:rPr>
            </w:pPr>
          </w:p>
        </w:tc>
      </w:tr>
      <w:tr w:rsidR="00E53DCE" w:rsidRPr="00C337A5" w14:paraId="16E0966F" w14:textId="77777777" w:rsidTr="004228FA">
        <w:trPr>
          <w:jc w:val="center"/>
        </w:trPr>
        <w:tc>
          <w:tcPr>
            <w:tcW w:w="1526" w:type="dxa"/>
            <w:shd w:val="clear" w:color="auto" w:fill="auto"/>
          </w:tcPr>
          <w:p w14:paraId="1523ACF5" w14:textId="77777777" w:rsidR="00E53DCE" w:rsidRPr="00C337A5" w:rsidRDefault="00E53DCE" w:rsidP="006160CB">
            <w:pPr>
              <w:tabs>
                <w:tab w:val="clear" w:pos="1588"/>
                <w:tab w:val="left" w:pos="1560"/>
              </w:tabs>
              <w:spacing w:before="0"/>
              <w:jc w:val="left"/>
              <w:rPr>
                <w:b/>
                <w:bCs/>
                <w:szCs w:val="24"/>
                <w:lang w:val="fr-FR"/>
              </w:rPr>
            </w:pPr>
          </w:p>
        </w:tc>
        <w:tc>
          <w:tcPr>
            <w:tcW w:w="8363" w:type="dxa"/>
            <w:gridSpan w:val="2"/>
            <w:vMerge/>
            <w:shd w:val="clear" w:color="auto" w:fill="auto"/>
          </w:tcPr>
          <w:p w14:paraId="14AEF458" w14:textId="77777777" w:rsidR="00E53DCE" w:rsidRPr="00C337A5" w:rsidRDefault="00E53DCE" w:rsidP="006160CB">
            <w:pPr>
              <w:tabs>
                <w:tab w:val="clear" w:pos="1588"/>
                <w:tab w:val="left" w:pos="1560"/>
              </w:tabs>
              <w:spacing w:before="0"/>
              <w:rPr>
                <w:b/>
                <w:bCs/>
                <w:szCs w:val="24"/>
                <w:lang w:val="fr-FR"/>
              </w:rPr>
            </w:pPr>
          </w:p>
        </w:tc>
      </w:tr>
      <w:tr w:rsidR="00E53DCE" w:rsidRPr="00C337A5" w14:paraId="7F2EC983" w14:textId="77777777" w:rsidTr="004228FA">
        <w:trPr>
          <w:jc w:val="center"/>
        </w:trPr>
        <w:tc>
          <w:tcPr>
            <w:tcW w:w="9889" w:type="dxa"/>
            <w:gridSpan w:val="3"/>
            <w:shd w:val="clear" w:color="auto" w:fill="auto"/>
          </w:tcPr>
          <w:p w14:paraId="40F7D839" w14:textId="77777777" w:rsidR="00E53DCE" w:rsidRPr="00C337A5" w:rsidRDefault="00E53DCE" w:rsidP="00E53DCE">
            <w:pPr>
              <w:tabs>
                <w:tab w:val="clear" w:pos="1588"/>
                <w:tab w:val="left" w:pos="1560"/>
              </w:tabs>
              <w:spacing w:before="0"/>
              <w:jc w:val="left"/>
              <w:rPr>
                <w:szCs w:val="24"/>
                <w:lang w:val="fr-FR"/>
              </w:rPr>
            </w:pPr>
          </w:p>
        </w:tc>
      </w:tr>
      <w:tr w:rsidR="00E53DCE" w:rsidRPr="00C337A5" w14:paraId="290A0292" w14:textId="77777777" w:rsidTr="004228FA">
        <w:trPr>
          <w:jc w:val="center"/>
        </w:trPr>
        <w:tc>
          <w:tcPr>
            <w:tcW w:w="9889" w:type="dxa"/>
            <w:gridSpan w:val="3"/>
            <w:shd w:val="clear" w:color="auto" w:fill="auto"/>
          </w:tcPr>
          <w:p w14:paraId="40F59961" w14:textId="77777777" w:rsidR="00E53DCE" w:rsidRPr="00C337A5" w:rsidRDefault="00E53DCE" w:rsidP="006160CB">
            <w:pPr>
              <w:spacing w:before="0"/>
              <w:jc w:val="left"/>
              <w:rPr>
                <w:b/>
                <w:bCs/>
                <w:szCs w:val="24"/>
                <w:lang w:val="fr-FR"/>
              </w:rPr>
            </w:pPr>
          </w:p>
        </w:tc>
      </w:tr>
    </w:tbl>
    <w:p w14:paraId="13AE2A81" w14:textId="324B00BA" w:rsidR="00A72099" w:rsidRPr="00C337A5" w:rsidRDefault="00A72099" w:rsidP="00A72099">
      <w:pPr>
        <w:pStyle w:val="Heading1"/>
        <w:jc w:val="left"/>
        <w:rPr>
          <w:lang w:val="fr-FR"/>
        </w:rPr>
      </w:pPr>
      <w:r w:rsidRPr="00C337A5">
        <w:rPr>
          <w:lang w:val="fr-FR"/>
        </w:rPr>
        <w:t>1</w:t>
      </w:r>
      <w:r w:rsidRPr="00C337A5">
        <w:rPr>
          <w:lang w:val="fr-FR"/>
        </w:rPr>
        <w:tab/>
        <w:t>Introduction</w:t>
      </w:r>
    </w:p>
    <w:p w14:paraId="1BA14A57" w14:textId="72A52C70" w:rsidR="00A72099" w:rsidRPr="00C337A5" w:rsidRDefault="00A72099" w:rsidP="00741378">
      <w:pPr>
        <w:rPr>
          <w:lang w:val="fr-FR"/>
        </w:rPr>
      </w:pPr>
      <w:r w:rsidRPr="00C337A5">
        <w:rPr>
          <w:lang w:val="fr-FR"/>
        </w:rPr>
        <w:t>Au vu du succès des séminaires conjoints organisés par l'Organisation météorologique mondiale (</w:t>
      </w:r>
      <w:hyperlink r:id="rId8" w:history="1">
        <w:r w:rsidRPr="00C337A5">
          <w:rPr>
            <w:rStyle w:val="Hyperlink"/>
            <w:szCs w:val="24"/>
            <w:lang w:val="fr-FR"/>
          </w:rPr>
          <w:t>OMM</w:t>
        </w:r>
      </w:hyperlink>
      <w:r w:rsidRPr="00C337A5">
        <w:rPr>
          <w:lang w:val="fr-FR"/>
        </w:rPr>
        <w:t>) et l'Union internationale des télécommunications (</w:t>
      </w:r>
      <w:hyperlink r:id="rId9" w:anchor="/fr" w:history="1">
        <w:r w:rsidRPr="00C337A5">
          <w:rPr>
            <w:rStyle w:val="Hyperlink"/>
            <w:szCs w:val="24"/>
            <w:lang w:val="fr-FR"/>
          </w:rPr>
          <w:t>UIT</w:t>
        </w:r>
      </w:hyperlink>
      <w:r w:rsidRPr="00C337A5">
        <w:rPr>
          <w:lang w:val="fr-FR"/>
        </w:rPr>
        <w:t>) en 2009 et 2017, j'ai le plaisir de vous informer que l'OMM et l'UIT organisent en 2024 un séminaire régional pour les pays de la Communauté des États indépendants (CEI), à l'aimable invitation du Ministère du développement du numérique, de l'innovation et de l'industrie aérospatiale de la République du Kazakhstan (</w:t>
      </w:r>
      <w:hyperlink r:id="rId10" w:history="1">
        <w:r w:rsidRPr="00C337A5">
          <w:rPr>
            <w:rStyle w:val="Hyperlink"/>
            <w:szCs w:val="24"/>
            <w:lang w:val="fr-FR"/>
          </w:rPr>
          <w:t>https://www.gov.kz/memleket/entities/mdai?lang=en</w:t>
        </w:r>
      </w:hyperlink>
      <w:r w:rsidRPr="00C337A5">
        <w:rPr>
          <w:lang w:val="fr-FR"/>
        </w:rPr>
        <w:t>) et en coopération avec la Communauté régionale des communications (RCC) (</w:t>
      </w:r>
      <w:hyperlink r:id="rId11" w:history="1">
        <w:r w:rsidRPr="00C337A5">
          <w:rPr>
            <w:rStyle w:val="Hyperlink"/>
            <w:szCs w:val="24"/>
            <w:lang w:val="fr-FR"/>
          </w:rPr>
          <w:t>https://en.rcc.org.ru</w:t>
        </w:r>
      </w:hyperlink>
      <w:r w:rsidRPr="00C337A5">
        <w:rPr>
          <w:lang w:val="fr-FR"/>
        </w:rPr>
        <w:t>). Ce séminaire régional sera la première manifestation organisée dans le cadre du nouveau programme conjoint OMM-UIT de renforcement des capacités pour la période 2024-2027, suivie d'initiatives similaires pour d'autres régions de l'UIT.</w:t>
      </w:r>
    </w:p>
    <w:p w14:paraId="001156D6" w14:textId="11E8333A" w:rsidR="00E53DCE" w:rsidRPr="00C337A5" w:rsidRDefault="00A72099" w:rsidP="00741378">
      <w:pPr>
        <w:rPr>
          <w:lang w:val="fr-FR"/>
        </w:rPr>
      </w:pPr>
      <w:r w:rsidRPr="00C337A5">
        <w:rPr>
          <w:lang w:val="fr-FR"/>
        </w:rPr>
        <w:t>Ce séminaire a pour but de mieux faire connaître les services météorologiques et hydrologiques nationaux (SMHN) et de sensibiliser le public à l'importance que revêt la protection du spectre pour la météorologie et au fait qu'il est de plus en plus nécessaire d'associer ces services aux activités de gestion du spectre aux niveaux national et international, en particulier dans le cadre des travaux préparatoires en vue des Conférences mondiales des radiocommunications de l'UIT. Le séminaire permettra en outre aux gestionnaires du spectre et aux administrateurs publics des télécommunications d'avoir une vue d'ensemble de l'utilisation du spectre des fréquences radioélectriques par les applications météorologiques et d'observation de la Terre actuelles ainsi que de leur évolution future, et mettra en avant l'importance sur le plan socio-économique de ces services dans le contexte des Objectifs de développement durable (ODD) fixés par les Nations Unies.</w:t>
      </w:r>
    </w:p>
    <w:p w14:paraId="6BACFCD8" w14:textId="71D4417B" w:rsidR="00A72099" w:rsidRPr="00C337A5" w:rsidRDefault="00A72099" w:rsidP="00A72099">
      <w:pPr>
        <w:pStyle w:val="Heading1"/>
        <w:jc w:val="left"/>
        <w:rPr>
          <w:lang w:val="fr-FR"/>
        </w:rPr>
      </w:pPr>
      <w:r w:rsidRPr="00C337A5">
        <w:rPr>
          <w:lang w:val="fr-FR"/>
        </w:rPr>
        <w:lastRenderedPageBreak/>
        <w:t>2</w:t>
      </w:r>
      <w:r w:rsidRPr="00C337A5">
        <w:rPr>
          <w:lang w:val="fr-FR"/>
        </w:rPr>
        <w:tab/>
        <w:t>Programme du séminaire</w:t>
      </w:r>
    </w:p>
    <w:p w14:paraId="1401F0A5" w14:textId="73AC0B83" w:rsidR="00A72099" w:rsidRPr="00C337A5" w:rsidRDefault="00A72099" w:rsidP="00741378">
      <w:pPr>
        <w:rPr>
          <w:lang w:val="fr-FR"/>
        </w:rPr>
      </w:pPr>
      <w:r w:rsidRPr="00C337A5">
        <w:rPr>
          <w:lang w:val="fr-FR"/>
        </w:rPr>
        <w:t>On trouvera dans l'Annexe 1 des renseignements d'ordre général ainsi que le projet de programme.</w:t>
      </w:r>
    </w:p>
    <w:p w14:paraId="2C447DF5" w14:textId="79CFBC06" w:rsidR="00A72099" w:rsidRPr="00C337A5" w:rsidRDefault="00A72099" w:rsidP="00741378">
      <w:pPr>
        <w:rPr>
          <w:lang w:val="fr-FR"/>
        </w:rPr>
      </w:pPr>
      <w:r w:rsidRPr="00C337A5">
        <w:rPr>
          <w:lang w:val="fr-FR"/>
        </w:rPr>
        <w:t xml:space="preserve">Les participants peuvent consulter une page web de l'UIT dédiée au séminaire, à l'adresse </w:t>
      </w:r>
      <w:hyperlink r:id="rId12" w:history="1">
        <w:r w:rsidRPr="00C337A5">
          <w:rPr>
            <w:rStyle w:val="Hyperlink"/>
            <w:b/>
            <w:bCs/>
            <w:szCs w:val="24"/>
            <w:lang w:val="fr-FR"/>
          </w:rPr>
          <w:t>www.itu.int/Global-ITU-WMO</w:t>
        </w:r>
      </w:hyperlink>
      <w:r w:rsidRPr="00C337A5">
        <w:rPr>
          <w:lang w:val="fr-FR"/>
        </w:rPr>
        <w:t>.</w:t>
      </w:r>
    </w:p>
    <w:p w14:paraId="5AA0F1C0" w14:textId="77777777" w:rsidR="00A72099" w:rsidRPr="00C337A5" w:rsidRDefault="00A72099" w:rsidP="00741378">
      <w:pPr>
        <w:rPr>
          <w:lang w:val="fr-FR"/>
        </w:rPr>
      </w:pPr>
      <w:r w:rsidRPr="00C337A5">
        <w:rPr>
          <w:lang w:val="fr-FR"/>
        </w:rPr>
        <w:t>Des renseignements complémentaires seront publiés dès que possible, ainsi qu'un programme détaillé du séminaire et des renseignements concernant les exposés.</w:t>
      </w:r>
    </w:p>
    <w:p w14:paraId="2A429268" w14:textId="316D1F0D" w:rsidR="00A72099" w:rsidRPr="00C337A5" w:rsidRDefault="00A72099" w:rsidP="00741378">
      <w:pPr>
        <w:rPr>
          <w:lang w:val="fr-FR"/>
        </w:rPr>
      </w:pPr>
      <w:r w:rsidRPr="00C337A5">
        <w:rPr>
          <w:lang w:val="fr-FR"/>
        </w:rPr>
        <w:t>Coordonnées des personnes à contacter: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8353"/>
      </w:tblGrid>
      <w:tr w:rsidR="00A72099" w:rsidRPr="00C337A5" w14:paraId="0CB7AC58" w14:textId="77777777" w:rsidTr="00C52FBB">
        <w:tc>
          <w:tcPr>
            <w:tcW w:w="1276" w:type="dxa"/>
          </w:tcPr>
          <w:p w14:paraId="031D1D76" w14:textId="797D86E6" w:rsidR="00A72099" w:rsidRPr="00C337A5" w:rsidRDefault="00A72099" w:rsidP="00A72099">
            <w:pPr>
              <w:ind w:left="38"/>
              <w:jc w:val="left"/>
              <w:rPr>
                <w:szCs w:val="24"/>
                <w:lang w:val="fr-FR"/>
              </w:rPr>
            </w:pPr>
            <w:r w:rsidRPr="00C337A5">
              <w:rPr>
                <w:szCs w:val="24"/>
                <w:lang w:val="fr-FR"/>
              </w:rPr>
              <w:t>À l'UIT</w:t>
            </w:r>
            <w:r w:rsidR="00636901" w:rsidRPr="00C337A5">
              <w:rPr>
                <w:szCs w:val="24"/>
                <w:lang w:val="fr-FR"/>
              </w:rPr>
              <w:t>:</w:t>
            </w:r>
          </w:p>
        </w:tc>
        <w:tc>
          <w:tcPr>
            <w:tcW w:w="8353" w:type="dxa"/>
          </w:tcPr>
          <w:p w14:paraId="375E5498" w14:textId="77885CC9" w:rsidR="00A72099" w:rsidRPr="00C337A5" w:rsidRDefault="00A72099" w:rsidP="00741378">
            <w:pPr>
              <w:rPr>
                <w:szCs w:val="24"/>
                <w:lang w:val="fr-FR"/>
              </w:rPr>
            </w:pPr>
            <w:r w:rsidRPr="00C337A5">
              <w:rPr>
                <w:szCs w:val="24"/>
                <w:lang w:val="fr-FR"/>
              </w:rPr>
              <w:t>M. Vadim Nozdrin, Conseiller du Département des commissions d'études de l'UIT</w:t>
            </w:r>
            <w:r w:rsidRPr="00C337A5">
              <w:rPr>
                <w:szCs w:val="24"/>
                <w:lang w:val="fr-FR"/>
              </w:rPr>
              <w:noBreakHyphen/>
              <w:t>R, Bureau des radiocommunications</w:t>
            </w:r>
          </w:p>
          <w:p w14:paraId="38E01639" w14:textId="7B1DE13F" w:rsidR="00A72099" w:rsidRPr="00C337A5" w:rsidRDefault="00A72099" w:rsidP="00741378">
            <w:pPr>
              <w:rPr>
                <w:szCs w:val="24"/>
                <w:lang w:val="fr-FR"/>
              </w:rPr>
            </w:pPr>
            <w:r w:rsidRPr="00C337A5">
              <w:rPr>
                <w:szCs w:val="24"/>
                <w:lang w:val="fr-FR"/>
              </w:rPr>
              <w:t>Courriel:</w:t>
            </w:r>
            <w:r w:rsidRPr="00C337A5">
              <w:rPr>
                <w:szCs w:val="24"/>
                <w:lang w:val="fr-FR"/>
              </w:rPr>
              <w:tab/>
            </w:r>
            <w:hyperlink r:id="rId13" w:history="1">
              <w:r w:rsidRPr="00C337A5">
                <w:rPr>
                  <w:rStyle w:val="Hyperlink"/>
                  <w:szCs w:val="24"/>
                  <w:lang w:val="fr-FR"/>
                </w:rPr>
                <w:t>vadim.nozdrin@itu.int</w:t>
              </w:r>
            </w:hyperlink>
          </w:p>
          <w:p w14:paraId="0EFFF71C" w14:textId="319B8A57" w:rsidR="00A72099" w:rsidRPr="00C337A5" w:rsidRDefault="00A72099" w:rsidP="00741378">
            <w:pPr>
              <w:tabs>
                <w:tab w:val="clear" w:pos="794"/>
                <w:tab w:val="left" w:pos="1162"/>
              </w:tabs>
              <w:spacing w:before="0"/>
              <w:rPr>
                <w:szCs w:val="24"/>
                <w:lang w:val="fr-FR"/>
              </w:rPr>
            </w:pPr>
            <w:r w:rsidRPr="00C337A5">
              <w:rPr>
                <w:szCs w:val="24"/>
                <w:lang w:val="fr-FR"/>
              </w:rPr>
              <w:t>Tél.:</w:t>
            </w:r>
            <w:r w:rsidRPr="00C337A5">
              <w:rPr>
                <w:szCs w:val="24"/>
                <w:lang w:val="fr-FR"/>
              </w:rPr>
              <w:tab/>
              <w:t>+41 22 730 60 16</w:t>
            </w:r>
          </w:p>
        </w:tc>
      </w:tr>
      <w:tr w:rsidR="00A72099" w:rsidRPr="00C337A5" w14:paraId="7D08EAE7" w14:textId="77777777" w:rsidTr="00C52FBB">
        <w:tc>
          <w:tcPr>
            <w:tcW w:w="1276" w:type="dxa"/>
          </w:tcPr>
          <w:p w14:paraId="7D5B54CD" w14:textId="5FAD31AB" w:rsidR="00A72099" w:rsidRPr="00C337A5" w:rsidRDefault="00A72099" w:rsidP="00A72099">
            <w:pPr>
              <w:ind w:left="38"/>
              <w:jc w:val="left"/>
              <w:rPr>
                <w:szCs w:val="24"/>
                <w:lang w:val="fr-FR"/>
              </w:rPr>
            </w:pPr>
            <w:r w:rsidRPr="00C337A5">
              <w:rPr>
                <w:szCs w:val="24"/>
                <w:lang w:val="fr-FR"/>
              </w:rPr>
              <w:t>À l'OMM</w:t>
            </w:r>
            <w:r w:rsidR="00636901" w:rsidRPr="00C337A5">
              <w:rPr>
                <w:szCs w:val="24"/>
                <w:lang w:val="fr-FR"/>
              </w:rPr>
              <w:t>:</w:t>
            </w:r>
          </w:p>
        </w:tc>
        <w:tc>
          <w:tcPr>
            <w:tcW w:w="8353" w:type="dxa"/>
          </w:tcPr>
          <w:p w14:paraId="4A41FAF9" w14:textId="77777777" w:rsidR="00A72099" w:rsidRPr="00C337A5" w:rsidRDefault="00A72099" w:rsidP="00741378">
            <w:pPr>
              <w:rPr>
                <w:szCs w:val="24"/>
                <w:lang w:val="fr-FR"/>
              </w:rPr>
            </w:pPr>
            <w:r w:rsidRPr="00C337A5">
              <w:rPr>
                <w:szCs w:val="24"/>
                <w:lang w:val="fr-FR"/>
              </w:rPr>
              <w:t>Natalia Donoho, Chef de la Division des systèmes spatiaux et leur utilisation, Organisation météorologique mondiale</w:t>
            </w:r>
          </w:p>
          <w:p w14:paraId="6045FDCB" w14:textId="2AAF66EA" w:rsidR="00A72099" w:rsidRPr="00C337A5" w:rsidRDefault="00A72099" w:rsidP="00741378">
            <w:pPr>
              <w:rPr>
                <w:szCs w:val="24"/>
                <w:lang w:val="fr-FR"/>
              </w:rPr>
            </w:pPr>
            <w:r w:rsidRPr="00C337A5">
              <w:rPr>
                <w:szCs w:val="24"/>
                <w:lang w:val="fr-FR"/>
              </w:rPr>
              <w:t>Courriel:</w:t>
            </w:r>
            <w:r w:rsidRPr="00C337A5">
              <w:rPr>
                <w:szCs w:val="24"/>
                <w:lang w:val="fr-FR"/>
              </w:rPr>
              <w:tab/>
            </w:r>
            <w:hyperlink r:id="rId14" w:history="1">
              <w:r w:rsidRPr="00C337A5">
                <w:rPr>
                  <w:rStyle w:val="Hyperlink"/>
                  <w:szCs w:val="24"/>
                  <w:lang w:val="fr-FR"/>
                </w:rPr>
                <w:t>ndonoho@wmo.int</w:t>
              </w:r>
            </w:hyperlink>
          </w:p>
          <w:p w14:paraId="33D13C74" w14:textId="232A8776" w:rsidR="00A72099" w:rsidRPr="00C337A5" w:rsidRDefault="00A72099" w:rsidP="00741378">
            <w:pPr>
              <w:tabs>
                <w:tab w:val="clear" w:pos="794"/>
                <w:tab w:val="left" w:pos="1162"/>
              </w:tabs>
              <w:spacing w:before="0"/>
              <w:rPr>
                <w:szCs w:val="24"/>
                <w:lang w:val="fr-FR"/>
              </w:rPr>
            </w:pPr>
            <w:r w:rsidRPr="00C337A5">
              <w:rPr>
                <w:szCs w:val="24"/>
                <w:lang w:val="fr-FR"/>
              </w:rPr>
              <w:t>Tél.:</w:t>
            </w:r>
            <w:r w:rsidRPr="00C337A5">
              <w:rPr>
                <w:szCs w:val="24"/>
                <w:lang w:val="fr-FR"/>
              </w:rPr>
              <w:tab/>
              <w:t>+41 79 509 0199</w:t>
            </w:r>
          </w:p>
        </w:tc>
      </w:tr>
    </w:tbl>
    <w:p w14:paraId="424D0CB7" w14:textId="6B60A947" w:rsidR="00A72099" w:rsidRPr="00C337A5" w:rsidRDefault="00A72099" w:rsidP="00741378">
      <w:pPr>
        <w:rPr>
          <w:lang w:val="fr-FR"/>
        </w:rPr>
      </w:pPr>
      <w:r w:rsidRPr="00C337A5">
        <w:rPr>
          <w:lang w:val="fr-FR"/>
        </w:rPr>
        <w:t>Le séminaire se déroulera en russe et un service d'interprétation simultanée sera assuré en anglais.</w:t>
      </w:r>
    </w:p>
    <w:p w14:paraId="4B92095C" w14:textId="77777777" w:rsidR="00A72099" w:rsidRPr="00C337A5" w:rsidRDefault="00A72099" w:rsidP="00FA6598">
      <w:pPr>
        <w:pStyle w:val="Heading1"/>
        <w:spacing w:before="480"/>
        <w:rPr>
          <w:lang w:val="fr-FR"/>
        </w:rPr>
      </w:pPr>
      <w:r w:rsidRPr="00C337A5">
        <w:rPr>
          <w:lang w:val="fr-FR"/>
        </w:rPr>
        <w:t>3</w:t>
      </w:r>
      <w:r w:rsidRPr="00C337A5">
        <w:rPr>
          <w:lang w:val="fr-FR"/>
        </w:rPr>
        <w:tab/>
        <w:t>Lieu du séminaire</w:t>
      </w:r>
    </w:p>
    <w:p w14:paraId="3C7DE7F6" w14:textId="337C3FAC" w:rsidR="00A72099" w:rsidRPr="00C337A5" w:rsidRDefault="00A72099" w:rsidP="00741378">
      <w:pPr>
        <w:rPr>
          <w:lang w:val="fr-FR"/>
        </w:rPr>
      </w:pPr>
      <w:r w:rsidRPr="00C337A5">
        <w:rPr>
          <w:lang w:val="fr-FR"/>
        </w:rPr>
        <w:t>Le séminaire aura lieu à l'Hôtel Novotel Almaty City Center:</w:t>
      </w:r>
    </w:p>
    <w:p w14:paraId="4538A487" w14:textId="67CBE674" w:rsidR="00A72099" w:rsidRPr="00C337A5" w:rsidRDefault="00C52FBB" w:rsidP="00741378">
      <w:pPr>
        <w:pStyle w:val="enumlev1"/>
        <w:rPr>
          <w:lang w:val="fr-FR"/>
        </w:rPr>
      </w:pPr>
      <w:r w:rsidRPr="00C337A5">
        <w:rPr>
          <w:lang w:val="fr-FR"/>
        </w:rPr>
        <w:tab/>
      </w:r>
      <w:r w:rsidR="00A72099" w:rsidRPr="00C337A5">
        <w:rPr>
          <w:lang w:val="fr-FR"/>
        </w:rPr>
        <w:t>Adresse:</w:t>
      </w:r>
      <w:r w:rsidR="00A72099" w:rsidRPr="00C337A5">
        <w:rPr>
          <w:lang w:val="fr-FR"/>
        </w:rPr>
        <w:tab/>
        <w:t>Dostyk Avenue 104 A, Almaty, Kazakhstan</w:t>
      </w:r>
    </w:p>
    <w:p w14:paraId="764AFEBA" w14:textId="1454F00C" w:rsidR="00A72099" w:rsidRPr="00C337A5" w:rsidRDefault="00C52FBB" w:rsidP="00741378">
      <w:pPr>
        <w:pStyle w:val="enumlev1"/>
        <w:rPr>
          <w:lang w:val="fr-FR"/>
        </w:rPr>
      </w:pPr>
      <w:r w:rsidRPr="00C337A5">
        <w:rPr>
          <w:lang w:val="fr-FR"/>
        </w:rPr>
        <w:tab/>
      </w:r>
      <w:r w:rsidR="00A72099" w:rsidRPr="00C337A5">
        <w:rPr>
          <w:lang w:val="fr-FR"/>
        </w:rPr>
        <w:t>Site web:</w:t>
      </w:r>
      <w:r w:rsidR="00A72099" w:rsidRPr="00C337A5">
        <w:rPr>
          <w:lang w:val="fr-FR"/>
        </w:rPr>
        <w:tab/>
      </w:r>
      <w:hyperlink r:id="rId15" w:history="1">
        <w:r w:rsidR="00A72099" w:rsidRPr="00C337A5">
          <w:rPr>
            <w:rStyle w:val="Hyperlink"/>
            <w:szCs w:val="24"/>
            <w:lang w:val="fr-FR"/>
          </w:rPr>
          <w:t>https://novotel-almaty-city-center.almaty-hotel.com/en/</w:t>
        </w:r>
      </w:hyperlink>
    </w:p>
    <w:p w14:paraId="62264670" w14:textId="77777777" w:rsidR="00A72099" w:rsidRPr="00C337A5" w:rsidRDefault="00A72099" w:rsidP="00741378">
      <w:pPr>
        <w:pStyle w:val="Heading1"/>
        <w:rPr>
          <w:lang w:val="fr-FR"/>
        </w:rPr>
      </w:pPr>
      <w:r w:rsidRPr="00C337A5">
        <w:rPr>
          <w:lang w:val="fr-FR"/>
        </w:rPr>
        <w:t>4</w:t>
      </w:r>
      <w:r w:rsidRPr="00C337A5">
        <w:rPr>
          <w:lang w:val="fr-FR"/>
        </w:rPr>
        <w:tab/>
        <w:t>Participation</w:t>
      </w:r>
    </w:p>
    <w:p w14:paraId="71692EF2" w14:textId="77777777" w:rsidR="00A72099" w:rsidRPr="00C337A5" w:rsidRDefault="00A72099" w:rsidP="00741378">
      <w:pPr>
        <w:rPr>
          <w:lang w:val="fr-FR"/>
        </w:rPr>
      </w:pPr>
      <w:r w:rsidRPr="00C337A5">
        <w:rPr>
          <w:lang w:val="fr-FR"/>
        </w:rPr>
        <w:t>Les États Membres de l'UIT et les établissements universitaires participant aux travaux de l'UIT, ainsi que les Membres du Secteur et les Associés de l'UIT-R issus des pays de la CEI sont invités à prendre part à ce séminaire. La participation au séminaire est également ouverte aux participants au bloc de réunions des Groupes de travail 7A, 7B, 7C et 7D de l'UIT-R, qui auront lieu après cette manifestation.</w:t>
      </w:r>
    </w:p>
    <w:p w14:paraId="6B3AE835" w14:textId="1E32F0EF" w:rsidR="00A72099" w:rsidRPr="00C337A5" w:rsidRDefault="00A72099" w:rsidP="00741378">
      <w:pPr>
        <w:rPr>
          <w:lang w:val="fr-FR"/>
        </w:rPr>
      </w:pPr>
      <w:r w:rsidRPr="00C337A5">
        <w:rPr>
          <w:lang w:val="fr-FR"/>
        </w:rPr>
        <w:t>L'inscription préalable aux manifestations de l'UIT-R est obligatoire et s'effectue exclusivement en ligne par l'intermédiaire des coordonnateurs désignés. Il a été demandé à chacun des Membres de l'UIT-R de désigner un coordonnateur chargé de s'occuper de toutes les formalités d'inscription, y compris des demandes d'assistance pour l'obtention d'un visa, lesquelles devront également être soumises par ce coordonnateur au cours de la procédure d'inscription en ligne. Les personnes souhaitant s'inscrire à une manifestation de l'UIT-R devront prendre contact directement avec le coordonnateur désigné pour l'entité qu'elles représentent. On trouvera la liste des coordonnateurs désignés pour l'UIT-R (accès réservé aux titulaires d'un compte TIES) ainsi que des précisions au sujet de l'inscription aux manifestations, à l'adresse suivante:</w:t>
      </w:r>
    </w:p>
    <w:p w14:paraId="4DEB217B" w14:textId="3857DE5C" w:rsidR="00A72099" w:rsidRPr="00C337A5" w:rsidRDefault="009E1ED6" w:rsidP="00A72099">
      <w:pPr>
        <w:jc w:val="center"/>
        <w:rPr>
          <w:szCs w:val="24"/>
          <w:lang w:val="fr-FR"/>
        </w:rPr>
      </w:pPr>
      <w:hyperlink r:id="rId16" w:history="1">
        <w:r w:rsidR="00A72099" w:rsidRPr="00C337A5">
          <w:rPr>
            <w:rStyle w:val="Hyperlink"/>
            <w:szCs w:val="24"/>
            <w:lang w:val="fr-FR"/>
          </w:rPr>
          <w:t>www.itu.int/en/ITU-R/information/events</w:t>
        </w:r>
      </w:hyperlink>
    </w:p>
    <w:p w14:paraId="507038A2" w14:textId="77777777" w:rsidR="00A72099" w:rsidRPr="00C337A5" w:rsidRDefault="00A72099" w:rsidP="00741378">
      <w:pPr>
        <w:rPr>
          <w:szCs w:val="24"/>
          <w:lang w:val="fr-FR"/>
        </w:rPr>
      </w:pPr>
      <w:r w:rsidRPr="00C337A5">
        <w:rPr>
          <w:szCs w:val="24"/>
          <w:lang w:val="fr-FR"/>
        </w:rPr>
        <w:t>En ce qui concerne l'inscription des services météorologiques et hydrologiques nationaux (SMHN) de l'OMM, veuillez prendre contact avec Natalia Donoho (voir ci-dessus).</w:t>
      </w:r>
    </w:p>
    <w:p w14:paraId="7C398D98" w14:textId="77777777" w:rsidR="00A72099" w:rsidRPr="00C337A5" w:rsidRDefault="00A72099" w:rsidP="00741378">
      <w:pPr>
        <w:rPr>
          <w:szCs w:val="24"/>
          <w:lang w:val="fr-FR"/>
        </w:rPr>
      </w:pPr>
      <w:r w:rsidRPr="00C337A5">
        <w:rPr>
          <w:szCs w:val="24"/>
          <w:lang w:val="fr-FR"/>
        </w:rPr>
        <w:t xml:space="preserve">Veuillez noter que la date limite d'inscription est le </w:t>
      </w:r>
      <w:r w:rsidRPr="00C337A5">
        <w:rPr>
          <w:b/>
          <w:bCs/>
          <w:szCs w:val="24"/>
          <w:lang w:val="fr-FR"/>
        </w:rPr>
        <w:t>1er septembre 2024</w:t>
      </w:r>
      <w:r w:rsidRPr="00C337A5">
        <w:rPr>
          <w:szCs w:val="24"/>
          <w:lang w:val="fr-FR"/>
        </w:rPr>
        <w:t>.</w:t>
      </w:r>
    </w:p>
    <w:p w14:paraId="46F9EBE4" w14:textId="77777777" w:rsidR="00A72099" w:rsidRPr="00C337A5" w:rsidRDefault="00A72099" w:rsidP="00A72099">
      <w:pPr>
        <w:pStyle w:val="Heading1"/>
        <w:jc w:val="left"/>
        <w:rPr>
          <w:lang w:val="fr-FR"/>
        </w:rPr>
      </w:pPr>
      <w:r w:rsidRPr="00C337A5">
        <w:rPr>
          <w:lang w:val="fr-FR"/>
        </w:rPr>
        <w:lastRenderedPageBreak/>
        <w:t>5</w:t>
      </w:r>
      <w:r w:rsidRPr="00C337A5">
        <w:rPr>
          <w:lang w:val="fr-FR"/>
        </w:rPr>
        <w:tab/>
        <w:t>Participation à distance et diffusion sur le web</w:t>
      </w:r>
    </w:p>
    <w:p w14:paraId="5C9C058A" w14:textId="76E11014" w:rsidR="00A72099" w:rsidRPr="00C337A5" w:rsidRDefault="00A72099" w:rsidP="00741378">
      <w:pPr>
        <w:rPr>
          <w:lang w:val="fr-FR"/>
        </w:rPr>
      </w:pPr>
      <w:r w:rsidRPr="00C337A5">
        <w:rPr>
          <w:lang w:val="fr-FR"/>
        </w:rPr>
        <w:t>Pour des raisons techniques, la diffusion audio sur le web, l'enregistrement des séances et la participation à distance ne seront pas assurés.</w:t>
      </w:r>
    </w:p>
    <w:p w14:paraId="3197CC3B" w14:textId="77777777" w:rsidR="00A72099" w:rsidRPr="00C337A5" w:rsidRDefault="00A72099" w:rsidP="00A72099">
      <w:pPr>
        <w:pStyle w:val="Heading1"/>
        <w:jc w:val="left"/>
        <w:rPr>
          <w:lang w:val="fr-FR"/>
        </w:rPr>
      </w:pPr>
      <w:r w:rsidRPr="00C337A5">
        <w:rPr>
          <w:lang w:val="fr-FR"/>
        </w:rPr>
        <w:t>6</w:t>
      </w:r>
      <w:r w:rsidRPr="00C337A5">
        <w:rPr>
          <w:lang w:val="fr-FR"/>
        </w:rPr>
        <w:tab/>
        <w:t>Informations pratiques pour les participants</w:t>
      </w:r>
    </w:p>
    <w:p w14:paraId="3332CDF8" w14:textId="64E98EC3" w:rsidR="00A72099" w:rsidRPr="00C337A5" w:rsidRDefault="00A72099" w:rsidP="00741378">
      <w:pPr>
        <w:rPr>
          <w:lang w:val="fr-FR"/>
        </w:rPr>
      </w:pPr>
      <w:r w:rsidRPr="00C337A5">
        <w:rPr>
          <w:lang w:val="fr-FR"/>
        </w:rPr>
        <w:t>Toutes les informations pratiques destinées aux participants sont présentées dans les Annexes 2 et 3. Veuillez consulter régulièrement la page web du séminaire pour d'éventuelles mises à jour.</w:t>
      </w:r>
    </w:p>
    <w:p w14:paraId="0A01CAEF" w14:textId="52849267" w:rsidR="00C3556B" w:rsidRDefault="004F47EA" w:rsidP="00741378">
      <w:pPr>
        <w:spacing w:before="1320"/>
        <w:jc w:val="left"/>
        <w:rPr>
          <w:szCs w:val="24"/>
          <w:lang w:val="fr-FR"/>
        </w:rPr>
      </w:pPr>
      <w:r w:rsidRPr="00C337A5">
        <w:rPr>
          <w:lang w:val="fr-FR"/>
        </w:rPr>
        <w:t>Mario Maniewicz</w:t>
      </w:r>
      <w:r w:rsidR="00E53DCE" w:rsidRPr="00C337A5">
        <w:rPr>
          <w:szCs w:val="24"/>
          <w:lang w:val="fr-FR"/>
        </w:rPr>
        <w:br/>
        <w:t>Directeur</w:t>
      </w:r>
    </w:p>
    <w:p w14:paraId="628F0D10" w14:textId="3075D0C1" w:rsidR="006B5B44" w:rsidRPr="006B5B44" w:rsidRDefault="006B5B44" w:rsidP="006B5B44">
      <w:pPr>
        <w:spacing w:before="2400" w:line="240" w:lineRule="auto"/>
        <w:rPr>
          <w:lang w:val="fr-FR"/>
        </w:rPr>
      </w:pPr>
      <w:r w:rsidRPr="006B5B44">
        <w:rPr>
          <w:b/>
          <w:bCs/>
          <w:lang w:val="fr-FR"/>
        </w:rPr>
        <w:t>Annexes</w:t>
      </w:r>
      <w:r w:rsidRPr="00C36235">
        <w:rPr>
          <w:lang w:val="fr-FR"/>
        </w:rPr>
        <w:t xml:space="preserve">: </w:t>
      </w:r>
      <w:r w:rsidR="009E1ED6">
        <w:rPr>
          <w:lang w:val="fr-FR"/>
        </w:rPr>
        <w:t>3</w:t>
      </w:r>
    </w:p>
    <w:p w14:paraId="60AF456E" w14:textId="1B4D0925" w:rsidR="00A72099" w:rsidRPr="00C337A5" w:rsidRDefault="00A72099" w:rsidP="00A72099">
      <w:pPr>
        <w:jc w:val="left"/>
        <w:rPr>
          <w:lang w:val="fr-FR"/>
        </w:rPr>
      </w:pPr>
      <w:r w:rsidRPr="00C337A5">
        <w:rPr>
          <w:lang w:val="fr-FR"/>
        </w:rPr>
        <w:br w:type="page"/>
      </w:r>
    </w:p>
    <w:p w14:paraId="3797FF6E" w14:textId="42F16C82" w:rsidR="00DF6ACB" w:rsidRPr="00C337A5" w:rsidRDefault="00DF6ACB" w:rsidP="00DF6ACB">
      <w:pPr>
        <w:pStyle w:val="AnnexNoTitle"/>
        <w:rPr>
          <w:lang w:val="fr-FR"/>
        </w:rPr>
      </w:pPr>
      <w:r w:rsidRPr="00C337A5">
        <w:rPr>
          <w:lang w:val="fr-FR"/>
        </w:rPr>
        <w:lastRenderedPageBreak/>
        <w:t>Annexe 1</w:t>
      </w:r>
      <w:r w:rsidRPr="00C337A5">
        <w:rPr>
          <w:lang w:val="fr-FR"/>
        </w:rPr>
        <w:br/>
      </w:r>
      <w:r w:rsidRPr="00C337A5">
        <w:rPr>
          <w:lang w:val="fr-FR"/>
        </w:rPr>
        <w:br/>
        <w:t>Document d'information</w:t>
      </w:r>
      <w:r w:rsidRPr="00C337A5">
        <w:rPr>
          <w:lang w:val="fr-FR"/>
        </w:rPr>
        <w:br/>
      </w:r>
      <w:r w:rsidRPr="00C337A5">
        <w:rPr>
          <w:lang w:val="fr-FR"/>
        </w:rPr>
        <w:br/>
        <w:t>Améliorer l'observation de la Terre et la météorologie</w:t>
      </w:r>
      <w:r w:rsidRPr="00C337A5">
        <w:rPr>
          <w:lang w:val="fr-FR"/>
        </w:rPr>
        <w:br/>
        <w:t>grâce à une gestion efficace du spectre</w:t>
      </w:r>
    </w:p>
    <w:p w14:paraId="5D2EDD99" w14:textId="0B5D1F8B" w:rsidR="00DF6ACB" w:rsidRPr="00C337A5" w:rsidRDefault="00DF6ACB" w:rsidP="00741378">
      <w:pPr>
        <w:pStyle w:val="Normalaftertitle"/>
        <w:rPr>
          <w:lang w:val="fr-FR"/>
        </w:rPr>
      </w:pPr>
      <w:r w:rsidRPr="00C337A5">
        <w:rPr>
          <w:lang w:val="fr-FR"/>
        </w:rPr>
        <w:t>Selon les prévisions de l'Organisation des Nations Unies (ONU), d'ici 2050, la population mondiale atteindra 9 milliards de personnes. La tâche de répondre aux besoins essentiels fondamentaux de l'humanité – eau, nourriture, conditions de vie adéquates – devient d'une importance cruciale face à l'épuisement progressif des ressources naturelles, aux changements climatiques et au nombre croissant de catastrophes naturelles. Conscients de la nécessité urgente d'élaborer des mesures pour surmonter les crises potentielles, les dirigeants de la communauté mondiale ont défini</w:t>
      </w:r>
      <w:r w:rsidR="007B0086" w:rsidRPr="00C337A5">
        <w:rPr>
          <w:lang w:val="fr-FR"/>
        </w:rPr>
        <w:t> </w:t>
      </w:r>
      <w:r w:rsidRPr="00C337A5">
        <w:rPr>
          <w:lang w:val="fr-FR"/>
        </w:rPr>
        <w:t>17</w:t>
      </w:r>
      <w:r w:rsidR="007B0086" w:rsidRPr="00C337A5">
        <w:rPr>
          <w:lang w:val="fr-FR"/>
        </w:rPr>
        <w:t> </w:t>
      </w:r>
      <w:r w:rsidRPr="00C337A5">
        <w:rPr>
          <w:lang w:val="fr-FR"/>
        </w:rPr>
        <w:t>Objectifs de développement durable (ODD), pour lesquels des mécanismes de gestion optimaux devraient être trouvés, afin de réduire la consommation grâce à une utilisation efficace des ressources et d'assurer la protection des écosystèmes naturels de notre planète.</w:t>
      </w:r>
    </w:p>
    <w:p w14:paraId="69F83116" w14:textId="77777777" w:rsidR="00DF6ACB" w:rsidRPr="00C337A5" w:rsidRDefault="00DF6ACB" w:rsidP="00741378">
      <w:pPr>
        <w:rPr>
          <w:lang w:val="fr-FR"/>
        </w:rPr>
      </w:pPr>
      <w:r w:rsidRPr="00C337A5">
        <w:rPr>
          <w:lang w:val="fr-FR"/>
        </w:rPr>
        <w:t>Dans le cadre de la réalisation des ODD, une importance particulière est accordée aux systèmes d'observation de la Terre et aux systèmes météorologiques, en ce qu'ils contribuent directement ou indirectement à la réalisation de tous les Objectifs, sans exception. De plus, les données obtenues au moyen de systèmes de télédétection pertinents sont indispensables pour surveiller les résultats des mesures prises. Ainsi, environ 30 des 232 indicateurs mis au point pour assurer le suivi de la réalisation des ODD sont tributaires de données obtenues par des satellites de télédétection de la Terre.</w:t>
      </w:r>
    </w:p>
    <w:p w14:paraId="71801884" w14:textId="77777777" w:rsidR="00DF6ACB" w:rsidRPr="00C337A5" w:rsidRDefault="00DF6ACB" w:rsidP="00741378">
      <w:pPr>
        <w:rPr>
          <w:lang w:val="fr-FR"/>
        </w:rPr>
      </w:pPr>
      <w:r w:rsidRPr="00C337A5">
        <w:rPr>
          <w:lang w:val="fr-FR"/>
        </w:rPr>
        <w:t>S'agissant de l'utilisation du spectre des fréquences radioélectriques, il convient de noter que dans ce cas, il est nécessaire non seulement de fournir un accès à cette ressource naturelle pour l'ensemble des systèmes radioélectriques concernés, mais aussi de garantir un silence radioélectrique complet dans les bandes de fréquences utilisées à l'échelle mondiale pour étudier diverses caractéristiques de l'atmosphère et de la surface de la Terre en contrôlant les émissions d'origine naturelle.</w:t>
      </w:r>
    </w:p>
    <w:p w14:paraId="5A398600" w14:textId="3F89E2AE" w:rsidR="00DF6ACB" w:rsidRPr="00C337A5" w:rsidRDefault="00DF6ACB" w:rsidP="00741378">
      <w:pPr>
        <w:rPr>
          <w:lang w:val="fr-FR"/>
        </w:rPr>
      </w:pPr>
      <w:r w:rsidRPr="00C337A5">
        <w:rPr>
          <w:lang w:val="fr-FR"/>
        </w:rPr>
        <w:t>Pendant plus de 140 ans, les organismes de télécommunication et les instituts météorologiques internationaux ont instauré une coopération et un partenariat fructueux, dans un premier temps dans le cadre de l'Union télégraphique internationale et de l'Organisation météorologique internationale à la fin des années 1800, instances qui allaient devenir respectivement l'UIT et</w:t>
      </w:r>
      <w:r w:rsidR="007B0086" w:rsidRPr="00C337A5">
        <w:rPr>
          <w:lang w:val="fr-FR"/>
        </w:rPr>
        <w:t> </w:t>
      </w:r>
      <w:r w:rsidRPr="00C337A5">
        <w:rPr>
          <w:lang w:val="fr-FR"/>
        </w:rPr>
        <w:t>l'OMM dans les années 1950. Tandis que l'OMM s'efforce de répondre aux besoins liés à l'observation de la météo, du climat, de l'eau et de l'environnement, à la diffusion des données associées, ainsi qu'aux services et aux applications correspondants, l'UIT, en tant que préposé international au spectre, attribue les fréquences radioélectriques nécessaires pour garantir le fonctionnement exempt de brouillages des systèmes et des applications spatiaux et de Terre radioélectriques utilisés pour la surveillance de la météo, de l'eau et du climat.</w:t>
      </w:r>
    </w:p>
    <w:p w14:paraId="6BD68630" w14:textId="0CC97BEF" w:rsidR="00DF6ACB" w:rsidRPr="00C337A5" w:rsidRDefault="00DF6ACB" w:rsidP="00741378">
      <w:pPr>
        <w:rPr>
          <w:lang w:val="fr-FR"/>
        </w:rPr>
      </w:pPr>
      <w:r w:rsidRPr="00C337A5">
        <w:rPr>
          <w:lang w:val="fr-FR"/>
        </w:rPr>
        <w:t>Il convient de communiquer de manière plus efficace la valeur ajoutée des avantages économiques et sociétaux qui découlent des observations météorologiques actuelles et futures. La</w:t>
      </w:r>
      <w:r w:rsidR="007B0086" w:rsidRPr="00C337A5">
        <w:rPr>
          <w:lang w:val="fr-FR"/>
        </w:rPr>
        <w:t> </w:t>
      </w:r>
      <w:r w:rsidRPr="00C337A5">
        <w:rPr>
          <w:lang w:val="fr-FR"/>
        </w:rPr>
        <w:t>future gestion du spectre doit reposer sur un équilibre judicieux entre les intérêts publics et les intérêts privés, afin de définir une méthode harmonisée à l'échelle mondiale pour une utilisation efficace du spectre, et nécessite une participation plus active des agences météorologiques au processus de prise de décisions.</w:t>
      </w:r>
    </w:p>
    <w:p w14:paraId="1FE6D7A0" w14:textId="77777777" w:rsidR="00DF6ACB" w:rsidRPr="00C337A5" w:rsidRDefault="00DF6ACB" w:rsidP="00741378">
      <w:pPr>
        <w:keepNext/>
        <w:rPr>
          <w:lang w:val="fr-FR"/>
        </w:rPr>
      </w:pPr>
      <w:r w:rsidRPr="00C337A5">
        <w:rPr>
          <w:lang w:val="fr-FR"/>
        </w:rPr>
        <w:lastRenderedPageBreak/>
        <w:t>Le séminaire vise à:</w:t>
      </w:r>
    </w:p>
    <w:p w14:paraId="75EAD616" w14:textId="3E2C1093" w:rsidR="00DF6ACB" w:rsidRPr="00C337A5" w:rsidRDefault="00DF6ACB" w:rsidP="00741378">
      <w:pPr>
        <w:pStyle w:val="enumlev1"/>
        <w:keepLines/>
        <w:rPr>
          <w:lang w:val="fr-FR"/>
        </w:rPr>
      </w:pPr>
      <w:r w:rsidRPr="00C337A5">
        <w:rPr>
          <w:lang w:val="fr-FR"/>
        </w:rPr>
        <w:t>•</w:t>
      </w:r>
      <w:r w:rsidRPr="00C337A5">
        <w:rPr>
          <w:lang w:val="fr-FR"/>
        </w:rPr>
        <w:tab/>
      </w:r>
      <w:r w:rsidR="007B0086" w:rsidRPr="00C337A5">
        <w:rPr>
          <w:lang w:val="fr-FR"/>
        </w:rPr>
        <w:t>s</w:t>
      </w:r>
      <w:r w:rsidRPr="00C337A5">
        <w:rPr>
          <w:lang w:val="fr-FR"/>
        </w:rPr>
        <w:t>ensibiliser davantage les services météorologiques et hydrologiques nationaux à l'importance que revêt la protection du spectre pour la météorologie et au fait qu'il est de plus en plus nécessaire d'associer ces services aux activités de gestion du spectre aux niveaux national et international</w:t>
      </w:r>
      <w:r w:rsidR="007B749C" w:rsidRPr="00C337A5">
        <w:rPr>
          <w:lang w:val="fr-FR"/>
        </w:rPr>
        <w:t>;</w:t>
      </w:r>
    </w:p>
    <w:p w14:paraId="4D23F657" w14:textId="103DD118" w:rsidR="00DF6ACB" w:rsidRPr="00C337A5" w:rsidRDefault="00DF6ACB" w:rsidP="00741378">
      <w:pPr>
        <w:pStyle w:val="enumlev1"/>
        <w:rPr>
          <w:lang w:val="fr-FR"/>
        </w:rPr>
      </w:pPr>
      <w:r w:rsidRPr="00C337A5">
        <w:rPr>
          <w:lang w:val="fr-FR"/>
        </w:rPr>
        <w:t>•</w:t>
      </w:r>
      <w:r w:rsidRPr="00C337A5">
        <w:rPr>
          <w:lang w:val="fr-FR"/>
        </w:rPr>
        <w:tab/>
      </w:r>
      <w:r w:rsidR="007B0086" w:rsidRPr="00C337A5">
        <w:rPr>
          <w:lang w:val="fr-FR"/>
        </w:rPr>
        <w:t>o</w:t>
      </w:r>
      <w:r w:rsidRPr="00C337A5">
        <w:rPr>
          <w:lang w:val="fr-FR"/>
        </w:rPr>
        <w:t>ffrir aux gestionnaires du spectre et aux administrateurs publics des télécommunications une vue d'ensemble de l'utilisation du spectre des fréquences radioélectriques par les applications météorologiques actuelles ainsi que de leur évolution future, et mettre en avant l'importance sur le plan socio-économique de ces services dans le contexte des</w:t>
      </w:r>
      <w:r w:rsidR="007B0086" w:rsidRPr="00C337A5">
        <w:rPr>
          <w:lang w:val="fr-FR"/>
        </w:rPr>
        <w:t> </w:t>
      </w:r>
      <w:r w:rsidRPr="00C337A5">
        <w:rPr>
          <w:lang w:val="fr-FR"/>
        </w:rPr>
        <w:t>ODD</w:t>
      </w:r>
      <w:r w:rsidR="007B0086" w:rsidRPr="00C337A5">
        <w:rPr>
          <w:lang w:val="fr-FR"/>
        </w:rPr>
        <w:t>;</w:t>
      </w:r>
    </w:p>
    <w:p w14:paraId="77AE3441" w14:textId="635FEAFF" w:rsidR="00DF6ACB" w:rsidRPr="00C337A5" w:rsidRDefault="00DF6ACB" w:rsidP="00741378">
      <w:pPr>
        <w:pStyle w:val="enumlev1"/>
        <w:rPr>
          <w:lang w:val="fr-FR"/>
        </w:rPr>
      </w:pPr>
      <w:r w:rsidRPr="00C337A5">
        <w:rPr>
          <w:lang w:val="fr-FR"/>
        </w:rPr>
        <w:t>•</w:t>
      </w:r>
      <w:r w:rsidRPr="00C337A5">
        <w:rPr>
          <w:lang w:val="fr-FR"/>
        </w:rPr>
        <w:tab/>
      </w:r>
      <w:r w:rsidR="007B0086" w:rsidRPr="00C337A5">
        <w:rPr>
          <w:lang w:val="fr-FR"/>
        </w:rPr>
        <w:t>e</w:t>
      </w:r>
      <w:r w:rsidRPr="00C337A5">
        <w:rPr>
          <w:lang w:val="fr-FR"/>
        </w:rPr>
        <w:t>ncourager l'échange d'informations entre les services météorologiques et hydrologiques nationaux et les autorités nationales de réglementation.</w:t>
      </w:r>
    </w:p>
    <w:p w14:paraId="71179AD8" w14:textId="2F461784" w:rsidR="00DF6ACB" w:rsidRPr="00C337A5" w:rsidRDefault="00DF6ACB" w:rsidP="00741378">
      <w:pPr>
        <w:rPr>
          <w:lang w:val="fr-FR"/>
        </w:rPr>
      </w:pPr>
      <w:r w:rsidRPr="00C337A5">
        <w:rPr>
          <w:lang w:val="fr-FR"/>
        </w:rPr>
        <w:t>Le séminaire OMM-UIT vise à donner le coup d'envoi d'un cycle de manifestations périodiques organisées dans le sillage de la Conférence mondiale des radiocommunications de 2023 (CMR</w:t>
      </w:r>
      <w:r w:rsidR="007B0086" w:rsidRPr="00C337A5">
        <w:rPr>
          <w:lang w:val="fr-FR"/>
        </w:rPr>
        <w:noBreakHyphen/>
      </w:r>
      <w:r w:rsidRPr="00C337A5">
        <w:rPr>
          <w:lang w:val="fr-FR"/>
        </w:rPr>
        <w:t>23). Dans ce contexte, les thèmes suivants seront abordés:</w:t>
      </w:r>
    </w:p>
    <w:p w14:paraId="319C4CC7" w14:textId="537EAE76" w:rsidR="00DF6ACB" w:rsidRPr="00C337A5" w:rsidRDefault="00DF6ACB" w:rsidP="00741378">
      <w:pPr>
        <w:pStyle w:val="enumlev1"/>
        <w:rPr>
          <w:lang w:val="fr-FR"/>
        </w:rPr>
      </w:pPr>
      <w:r w:rsidRPr="00C337A5">
        <w:rPr>
          <w:lang w:val="fr-FR"/>
        </w:rPr>
        <w:t>•</w:t>
      </w:r>
      <w:r w:rsidRPr="00C337A5">
        <w:rPr>
          <w:lang w:val="fr-FR"/>
        </w:rPr>
        <w:tab/>
      </w:r>
      <w:r w:rsidRPr="00C337A5">
        <w:rPr>
          <w:i/>
          <w:iCs/>
          <w:lang w:val="fr-FR"/>
        </w:rPr>
        <w:t>Aperçu des activités menées par l'OMM et l'UIT en matière d'observation de la Terre et de météorologie</w:t>
      </w:r>
      <w:r w:rsidRPr="00C337A5">
        <w:rPr>
          <w:lang w:val="fr-FR"/>
        </w:rPr>
        <w:t>, ainsi que des infrastructures météorologiques et hydrologiques qui sous</w:t>
      </w:r>
      <w:r w:rsidR="007B0086" w:rsidRPr="00C337A5">
        <w:rPr>
          <w:lang w:val="fr-FR"/>
        </w:rPr>
        <w:noBreakHyphen/>
      </w:r>
      <w:r w:rsidRPr="00C337A5">
        <w:rPr>
          <w:lang w:val="fr-FR"/>
        </w:rPr>
        <w:t>tendent les services météorologiques et environnementaux connexes dans le monde entier.</w:t>
      </w:r>
    </w:p>
    <w:p w14:paraId="543A2EF5" w14:textId="77777777" w:rsidR="00DF6ACB" w:rsidRPr="00C337A5" w:rsidRDefault="00DF6ACB" w:rsidP="00741378">
      <w:pPr>
        <w:pStyle w:val="enumlev1"/>
        <w:rPr>
          <w:lang w:val="fr-FR"/>
        </w:rPr>
      </w:pPr>
      <w:r w:rsidRPr="00C337A5">
        <w:rPr>
          <w:lang w:val="fr-FR"/>
        </w:rPr>
        <w:t>•</w:t>
      </w:r>
      <w:r w:rsidRPr="00C337A5">
        <w:rPr>
          <w:lang w:val="fr-FR"/>
        </w:rPr>
        <w:tab/>
      </w:r>
      <w:r w:rsidRPr="00C337A5">
        <w:rPr>
          <w:i/>
          <w:iCs/>
          <w:lang w:val="fr-FR"/>
        </w:rPr>
        <w:t>Technologies radioélectriques liées aux activités d'observation de la Terre et à la météorologie</w:t>
      </w:r>
      <w:r w:rsidRPr="00C337A5">
        <w:rPr>
          <w:lang w:val="fr-FR"/>
        </w:rPr>
        <w:t>: examen d'un aperçu général des systèmes de radiocommunication existants et des nouvelles avancées technologiques.</w:t>
      </w:r>
    </w:p>
    <w:p w14:paraId="57283D7A" w14:textId="77777777" w:rsidR="00DF6ACB" w:rsidRPr="00C337A5" w:rsidRDefault="00DF6ACB" w:rsidP="00741378">
      <w:pPr>
        <w:pStyle w:val="enumlev1"/>
        <w:rPr>
          <w:lang w:val="fr-FR"/>
        </w:rPr>
      </w:pPr>
      <w:r w:rsidRPr="00C337A5">
        <w:rPr>
          <w:lang w:val="fr-FR"/>
        </w:rPr>
        <w:t>•</w:t>
      </w:r>
      <w:r w:rsidRPr="00C337A5">
        <w:rPr>
          <w:lang w:val="fr-FR"/>
        </w:rPr>
        <w:tab/>
      </w:r>
      <w:r w:rsidRPr="00C337A5">
        <w:rPr>
          <w:i/>
          <w:iCs/>
          <w:lang w:val="fr-FR"/>
        </w:rPr>
        <w:t>Perspectives des agences spatiales</w:t>
      </w:r>
      <w:r w:rsidRPr="00C337A5">
        <w:rPr>
          <w:lang w:val="fr-FR"/>
        </w:rPr>
        <w:t>: examen des missions et applications actuelles et futures, ainsi que des besoins de spectre existants et futurs.</w:t>
      </w:r>
    </w:p>
    <w:p w14:paraId="3DCB4E4F" w14:textId="77777777" w:rsidR="00DF6ACB" w:rsidRPr="00C337A5" w:rsidRDefault="00DF6ACB" w:rsidP="00741378">
      <w:pPr>
        <w:pStyle w:val="enumlev1"/>
        <w:rPr>
          <w:lang w:val="fr-FR"/>
        </w:rPr>
      </w:pPr>
      <w:r w:rsidRPr="00C337A5">
        <w:rPr>
          <w:lang w:val="fr-FR"/>
        </w:rPr>
        <w:t>•</w:t>
      </w:r>
      <w:r w:rsidRPr="00C337A5">
        <w:rPr>
          <w:lang w:val="fr-FR"/>
        </w:rPr>
        <w:tab/>
      </w:r>
      <w:r w:rsidRPr="00C337A5">
        <w:rPr>
          <w:i/>
          <w:iCs/>
          <w:lang w:val="fr-FR"/>
        </w:rPr>
        <w:t>Valeur économique de l'observation de la Terre, avantages pour la société et facilitation de la prise de décisions</w:t>
      </w:r>
      <w:r w:rsidRPr="00C337A5">
        <w:rPr>
          <w:lang w:val="fr-FR"/>
        </w:rPr>
        <w:t>.</w:t>
      </w:r>
    </w:p>
    <w:p w14:paraId="3B87F023" w14:textId="77777777" w:rsidR="00DF6ACB" w:rsidRPr="00C337A5" w:rsidRDefault="00DF6ACB" w:rsidP="00741378">
      <w:pPr>
        <w:pStyle w:val="enumlev1"/>
        <w:rPr>
          <w:lang w:val="fr-FR"/>
        </w:rPr>
      </w:pPr>
      <w:r w:rsidRPr="00C337A5">
        <w:rPr>
          <w:lang w:val="fr-FR"/>
        </w:rPr>
        <w:t>•</w:t>
      </w:r>
      <w:r w:rsidRPr="00C337A5">
        <w:rPr>
          <w:lang w:val="fr-FR"/>
        </w:rPr>
        <w:tab/>
      </w:r>
      <w:r w:rsidRPr="00C337A5">
        <w:rPr>
          <w:i/>
          <w:iCs/>
          <w:lang w:val="fr-FR"/>
        </w:rPr>
        <w:t>Incidence des brouillages radioélectriques sur l'utilisation du spectre pour l'observation de la Terre</w:t>
      </w:r>
      <w:r w:rsidRPr="00C337A5">
        <w:rPr>
          <w:lang w:val="fr-FR"/>
        </w:rPr>
        <w:t>: mise en évidence de la situation concernant la dégradation des mesures et les cas de brouillage, en particulier dans les bandes de fréquences attribuées aux services passifs, et examen des moyens permettant de garder le spectre propre (réglementation, contrôle, dénonciation, sanction, par exemple).</w:t>
      </w:r>
    </w:p>
    <w:p w14:paraId="69143479" w14:textId="54D38BC8" w:rsidR="00DF6ACB" w:rsidRPr="00C337A5" w:rsidRDefault="00DF6ACB" w:rsidP="00741378">
      <w:pPr>
        <w:pStyle w:val="enumlev1"/>
        <w:rPr>
          <w:lang w:val="fr-FR"/>
        </w:rPr>
      </w:pPr>
      <w:r w:rsidRPr="00C337A5">
        <w:rPr>
          <w:lang w:val="fr-FR"/>
        </w:rPr>
        <w:t>•</w:t>
      </w:r>
      <w:r w:rsidRPr="00C337A5">
        <w:rPr>
          <w:lang w:val="fr-FR"/>
        </w:rPr>
        <w:tab/>
      </w:r>
      <w:r w:rsidRPr="00C337A5">
        <w:rPr>
          <w:i/>
          <w:iCs/>
          <w:lang w:val="fr-FR"/>
        </w:rPr>
        <w:t>Résultats de la CMR-23 et travaux préparatoires en vue de la CMR-27</w:t>
      </w:r>
      <w:r w:rsidRPr="00C337A5">
        <w:rPr>
          <w:lang w:val="fr-FR"/>
        </w:rPr>
        <w:t>: examen des enseignements à tirer pour les conférences futures afin d'améliorer la préparation de la prochaine CMR. Examen préliminaire des points de l'ordre du jour de la future CMR visant à définir les intérêts et les menaces potentielles pour le spectre utilisé par les agences météorologiques et d'observation de la Terre, afin de définir des priorités et des stratégies pour le prochain cycle d'études.</w:t>
      </w:r>
    </w:p>
    <w:p w14:paraId="75649825" w14:textId="52A64C79" w:rsidR="00A72099" w:rsidRPr="00C337A5" w:rsidRDefault="00DF6ACB" w:rsidP="00741378">
      <w:pPr>
        <w:rPr>
          <w:lang w:val="fr-FR"/>
        </w:rPr>
      </w:pPr>
      <w:r w:rsidRPr="00C337A5">
        <w:rPr>
          <w:lang w:val="fr-FR"/>
        </w:rPr>
        <w:t>La participation au séminaire est ouverte aux spécialistes des organismes nationaux de réglementation, des services météorologiques ou hydrologiques nationaux, des agences de gestion des fréquences et des agences spatiales, des institutions de recherche-développement, ainsi qu'aux développeurs et fabricants d'équipements des pays de la CEI.</w:t>
      </w:r>
    </w:p>
    <w:p w14:paraId="50D0AF79" w14:textId="25CC0D7F" w:rsidR="007B0086" w:rsidRPr="00C337A5" w:rsidRDefault="007B0086" w:rsidP="00DF6ACB">
      <w:pPr>
        <w:jc w:val="left"/>
        <w:rPr>
          <w:lang w:val="fr-FR"/>
        </w:rPr>
      </w:pPr>
      <w:r w:rsidRPr="00C337A5">
        <w:rPr>
          <w:lang w:val="fr-FR"/>
        </w:rPr>
        <w:br w:type="page"/>
      </w:r>
    </w:p>
    <w:p w14:paraId="7BA5226F" w14:textId="4475B150" w:rsidR="007B0086" w:rsidRPr="00C337A5" w:rsidRDefault="007B0086" w:rsidP="007B0086">
      <w:pPr>
        <w:pStyle w:val="AnnexNoTitle"/>
        <w:rPr>
          <w:lang w:val="fr-FR"/>
        </w:rPr>
      </w:pPr>
      <w:r w:rsidRPr="00C337A5">
        <w:rPr>
          <w:lang w:val="fr-FR"/>
        </w:rPr>
        <w:lastRenderedPageBreak/>
        <w:t>Projet de programme</w:t>
      </w:r>
      <w:r w:rsidRPr="00C337A5">
        <w:rPr>
          <w:lang w:val="fr-FR"/>
        </w:rPr>
        <w:br/>
      </w:r>
      <w:r w:rsidRPr="00C337A5">
        <w:rPr>
          <w:lang w:val="fr-FR"/>
        </w:rPr>
        <w:br/>
        <w:t>Séminaire régional OMM-UIT sur le thème</w:t>
      </w:r>
      <w:r w:rsidR="008113D8" w:rsidRPr="00C337A5">
        <w:rPr>
          <w:lang w:val="fr-FR"/>
        </w:rPr>
        <w:t xml:space="preserve"> </w:t>
      </w:r>
      <w:r w:rsidRPr="00C337A5">
        <w:rPr>
          <w:lang w:val="fr-FR"/>
        </w:rPr>
        <w:t>«Observation de la Terre au</w:t>
      </w:r>
      <w:r w:rsidR="007B749C" w:rsidRPr="00C337A5">
        <w:rPr>
          <w:lang w:val="fr-FR"/>
        </w:rPr>
        <w:br/>
      </w:r>
      <w:r w:rsidRPr="00C337A5">
        <w:rPr>
          <w:lang w:val="fr-FR"/>
        </w:rPr>
        <w:t>service</w:t>
      </w:r>
      <w:r w:rsidR="007B749C" w:rsidRPr="00C337A5">
        <w:rPr>
          <w:lang w:val="fr-FR"/>
        </w:rPr>
        <w:t xml:space="preserve"> </w:t>
      </w:r>
      <w:r w:rsidRPr="00C337A5">
        <w:rPr>
          <w:lang w:val="fr-FR"/>
        </w:rPr>
        <w:t>de la réalisation des Objectifs de développement durable:</w:t>
      </w:r>
      <w:r w:rsidR="007B749C" w:rsidRPr="00C337A5">
        <w:rPr>
          <w:lang w:val="fr-FR"/>
        </w:rPr>
        <w:br/>
      </w:r>
      <w:r w:rsidRPr="00C337A5">
        <w:rPr>
          <w:lang w:val="fr-FR"/>
        </w:rPr>
        <w:t>technologies, spectre, applications et retombées»</w:t>
      </w:r>
    </w:p>
    <w:p w14:paraId="202E92BC" w14:textId="53B5BED7" w:rsidR="007B0086" w:rsidRPr="00C337A5" w:rsidRDefault="007B0086" w:rsidP="007B0086">
      <w:pPr>
        <w:spacing w:after="240"/>
        <w:jc w:val="center"/>
        <w:rPr>
          <w:lang w:val="fr-FR"/>
        </w:rPr>
      </w:pPr>
      <w:r w:rsidRPr="00C337A5">
        <w:rPr>
          <w:lang w:val="fr-FR"/>
        </w:rPr>
        <w:t>(16-17 septembre 202</w:t>
      </w:r>
      <w:r w:rsidR="006A4B4E" w:rsidRPr="00C337A5">
        <w:rPr>
          <w:lang w:val="fr-FR"/>
        </w:rPr>
        <w:t>4</w:t>
      </w:r>
      <w:r w:rsidRPr="00C337A5">
        <w:rPr>
          <w:lang w:val="fr-FR"/>
        </w:rPr>
        <w:t>, Almaty)</w:t>
      </w:r>
    </w:p>
    <w:tbl>
      <w:tblPr>
        <w:tblStyle w:val="TableGrid"/>
        <w:tblW w:w="0" w:type="auto"/>
        <w:tblLook w:val="04A0" w:firstRow="1" w:lastRow="0" w:firstColumn="1" w:lastColumn="0" w:noHBand="0" w:noVBand="1"/>
      </w:tblPr>
      <w:tblGrid>
        <w:gridCol w:w="1696"/>
        <w:gridCol w:w="2977"/>
        <w:gridCol w:w="1701"/>
        <w:gridCol w:w="3255"/>
      </w:tblGrid>
      <w:tr w:rsidR="007B0086" w:rsidRPr="00C337A5" w14:paraId="5E9E5AF0" w14:textId="77777777" w:rsidTr="007B749C">
        <w:tc>
          <w:tcPr>
            <w:tcW w:w="1696" w:type="dxa"/>
          </w:tcPr>
          <w:p w14:paraId="23841E41" w14:textId="77777777" w:rsidR="007B0086" w:rsidRPr="00C337A5" w:rsidRDefault="007B0086" w:rsidP="007B0086">
            <w:pPr>
              <w:pStyle w:val="Tablehead"/>
              <w:rPr>
                <w:sz w:val="22"/>
                <w:szCs w:val="24"/>
                <w:lang w:val="fr-FR"/>
              </w:rPr>
            </w:pPr>
          </w:p>
        </w:tc>
        <w:tc>
          <w:tcPr>
            <w:tcW w:w="2977" w:type="dxa"/>
          </w:tcPr>
          <w:p w14:paraId="1E89645B" w14:textId="5C4D59F5" w:rsidR="007B0086" w:rsidRPr="00C337A5" w:rsidRDefault="007B0086" w:rsidP="007B0086">
            <w:pPr>
              <w:pStyle w:val="Tablehead"/>
              <w:rPr>
                <w:sz w:val="22"/>
                <w:szCs w:val="24"/>
                <w:lang w:val="fr-FR"/>
              </w:rPr>
            </w:pPr>
            <w:r w:rsidRPr="00C337A5">
              <w:rPr>
                <w:sz w:val="22"/>
                <w:szCs w:val="24"/>
                <w:lang w:val="fr-FR"/>
              </w:rPr>
              <w:t>16 septembre 2024</w:t>
            </w:r>
          </w:p>
        </w:tc>
        <w:tc>
          <w:tcPr>
            <w:tcW w:w="1701" w:type="dxa"/>
          </w:tcPr>
          <w:p w14:paraId="17DBA824" w14:textId="77777777" w:rsidR="007B0086" w:rsidRPr="00C337A5" w:rsidRDefault="007B0086" w:rsidP="007B0086">
            <w:pPr>
              <w:pStyle w:val="Tablehead"/>
              <w:rPr>
                <w:sz w:val="22"/>
                <w:szCs w:val="24"/>
                <w:lang w:val="fr-FR"/>
              </w:rPr>
            </w:pPr>
          </w:p>
        </w:tc>
        <w:tc>
          <w:tcPr>
            <w:tcW w:w="3255" w:type="dxa"/>
          </w:tcPr>
          <w:p w14:paraId="60CE1F94" w14:textId="4F7E9D03" w:rsidR="007B0086" w:rsidRPr="00C337A5" w:rsidRDefault="007B0086" w:rsidP="007B0086">
            <w:pPr>
              <w:pStyle w:val="Tablehead"/>
              <w:rPr>
                <w:sz w:val="22"/>
                <w:szCs w:val="24"/>
                <w:lang w:val="fr-FR"/>
              </w:rPr>
            </w:pPr>
            <w:r w:rsidRPr="00C337A5">
              <w:rPr>
                <w:sz w:val="22"/>
                <w:szCs w:val="24"/>
                <w:lang w:val="fr-FR"/>
              </w:rPr>
              <w:t>17 septembre 2024</w:t>
            </w:r>
          </w:p>
        </w:tc>
      </w:tr>
      <w:tr w:rsidR="007B0086" w:rsidRPr="00C337A5" w14:paraId="5A663DFF" w14:textId="77777777" w:rsidTr="007B749C">
        <w:tc>
          <w:tcPr>
            <w:tcW w:w="1696" w:type="dxa"/>
          </w:tcPr>
          <w:p w14:paraId="7C1391C9" w14:textId="216999BD" w:rsidR="007B0086" w:rsidRPr="00C337A5" w:rsidRDefault="007B0086" w:rsidP="007B0086">
            <w:pPr>
              <w:pStyle w:val="Tabletext"/>
              <w:jc w:val="center"/>
              <w:rPr>
                <w:b/>
                <w:bCs/>
                <w:sz w:val="22"/>
                <w:szCs w:val="24"/>
                <w:lang w:val="fr-FR"/>
              </w:rPr>
            </w:pPr>
            <w:r w:rsidRPr="00C337A5">
              <w:rPr>
                <w:b/>
                <w:bCs/>
                <w:sz w:val="22"/>
                <w:szCs w:val="24"/>
                <w:lang w:val="fr-FR"/>
              </w:rPr>
              <w:t>09 h 30-10</w:t>
            </w:r>
            <w:r w:rsidR="008113D8" w:rsidRPr="00C337A5">
              <w:rPr>
                <w:b/>
                <w:bCs/>
                <w:sz w:val="22"/>
                <w:szCs w:val="24"/>
                <w:lang w:val="fr-FR"/>
              </w:rPr>
              <w:t xml:space="preserve"> </w:t>
            </w:r>
            <w:r w:rsidRPr="00C337A5">
              <w:rPr>
                <w:b/>
                <w:bCs/>
                <w:sz w:val="22"/>
                <w:szCs w:val="24"/>
                <w:lang w:val="fr-FR"/>
              </w:rPr>
              <w:t>h</w:t>
            </w:r>
            <w:r w:rsidR="008113D8" w:rsidRPr="00C337A5">
              <w:rPr>
                <w:b/>
                <w:bCs/>
                <w:sz w:val="22"/>
                <w:szCs w:val="24"/>
                <w:lang w:val="fr-FR"/>
              </w:rPr>
              <w:t xml:space="preserve"> 00</w:t>
            </w:r>
          </w:p>
        </w:tc>
        <w:tc>
          <w:tcPr>
            <w:tcW w:w="2977" w:type="dxa"/>
          </w:tcPr>
          <w:p w14:paraId="15CCBBBE" w14:textId="413FCF59" w:rsidR="007B0086" w:rsidRPr="00C337A5" w:rsidRDefault="007B0086" w:rsidP="007B0086">
            <w:pPr>
              <w:pStyle w:val="Tabletext"/>
              <w:rPr>
                <w:sz w:val="22"/>
                <w:szCs w:val="24"/>
                <w:lang w:val="fr-FR"/>
              </w:rPr>
            </w:pPr>
            <w:r w:rsidRPr="00C337A5">
              <w:rPr>
                <w:sz w:val="22"/>
                <w:szCs w:val="24"/>
                <w:lang w:val="fr-FR"/>
              </w:rPr>
              <w:t>Ouverture</w:t>
            </w:r>
          </w:p>
        </w:tc>
        <w:tc>
          <w:tcPr>
            <w:tcW w:w="1701" w:type="dxa"/>
          </w:tcPr>
          <w:p w14:paraId="6A4B14E7" w14:textId="17D7FB71" w:rsidR="007B0086" w:rsidRPr="00C337A5" w:rsidRDefault="007B0086" w:rsidP="007B0086">
            <w:pPr>
              <w:pStyle w:val="Tabletext"/>
              <w:jc w:val="center"/>
              <w:rPr>
                <w:b/>
                <w:bCs/>
                <w:sz w:val="22"/>
                <w:szCs w:val="24"/>
                <w:lang w:val="fr-FR"/>
              </w:rPr>
            </w:pPr>
            <w:r w:rsidRPr="00C337A5">
              <w:rPr>
                <w:b/>
                <w:bCs/>
                <w:sz w:val="22"/>
                <w:szCs w:val="24"/>
                <w:lang w:val="fr-FR"/>
              </w:rPr>
              <w:t>09 h</w:t>
            </w:r>
            <w:r w:rsidR="008113D8" w:rsidRPr="00C337A5">
              <w:rPr>
                <w:b/>
                <w:bCs/>
                <w:sz w:val="22"/>
                <w:szCs w:val="24"/>
                <w:lang w:val="fr-FR"/>
              </w:rPr>
              <w:t xml:space="preserve"> 00</w:t>
            </w:r>
            <w:r w:rsidRPr="00C337A5">
              <w:rPr>
                <w:b/>
                <w:bCs/>
                <w:sz w:val="22"/>
                <w:szCs w:val="24"/>
                <w:lang w:val="fr-FR"/>
              </w:rPr>
              <w:t>-10 h 30</w:t>
            </w:r>
          </w:p>
        </w:tc>
        <w:tc>
          <w:tcPr>
            <w:tcW w:w="3255" w:type="dxa"/>
          </w:tcPr>
          <w:p w14:paraId="5D6DDA8D" w14:textId="1E390572" w:rsidR="007B0086" w:rsidRPr="00C337A5" w:rsidRDefault="007B0086" w:rsidP="007B0086">
            <w:pPr>
              <w:pStyle w:val="Tabletext"/>
              <w:rPr>
                <w:sz w:val="22"/>
                <w:szCs w:val="24"/>
                <w:lang w:val="fr-FR"/>
              </w:rPr>
            </w:pPr>
            <w:r w:rsidRPr="00C337A5">
              <w:rPr>
                <w:sz w:val="22"/>
                <w:szCs w:val="24"/>
                <w:lang w:val="fr-FR"/>
              </w:rPr>
              <w:t>Perspectives des agences spatiales: évolution des programmes d'observation de la Terre</w:t>
            </w:r>
          </w:p>
        </w:tc>
      </w:tr>
      <w:tr w:rsidR="007B0086" w:rsidRPr="00C337A5" w14:paraId="32327DAD" w14:textId="77777777" w:rsidTr="007B749C">
        <w:tc>
          <w:tcPr>
            <w:tcW w:w="1696" w:type="dxa"/>
          </w:tcPr>
          <w:p w14:paraId="1F653342" w14:textId="4BB14E20" w:rsidR="007B0086" w:rsidRPr="00C337A5" w:rsidRDefault="007B0086" w:rsidP="007B0086">
            <w:pPr>
              <w:pStyle w:val="Tabletext"/>
              <w:jc w:val="center"/>
              <w:rPr>
                <w:b/>
                <w:bCs/>
                <w:sz w:val="22"/>
                <w:szCs w:val="24"/>
                <w:lang w:val="fr-FR"/>
              </w:rPr>
            </w:pPr>
            <w:r w:rsidRPr="00C337A5">
              <w:rPr>
                <w:b/>
                <w:bCs/>
                <w:sz w:val="22"/>
                <w:szCs w:val="24"/>
                <w:lang w:val="fr-FR"/>
              </w:rPr>
              <w:t>10 h 20-12</w:t>
            </w:r>
            <w:r w:rsidR="008113D8" w:rsidRPr="00C337A5">
              <w:rPr>
                <w:b/>
                <w:bCs/>
                <w:sz w:val="22"/>
                <w:szCs w:val="24"/>
                <w:lang w:val="fr-FR"/>
              </w:rPr>
              <w:t xml:space="preserve"> </w:t>
            </w:r>
            <w:r w:rsidRPr="00C337A5">
              <w:rPr>
                <w:b/>
                <w:bCs/>
                <w:sz w:val="22"/>
                <w:szCs w:val="24"/>
                <w:lang w:val="fr-FR"/>
              </w:rPr>
              <w:t>h</w:t>
            </w:r>
            <w:r w:rsidR="008113D8" w:rsidRPr="00C337A5">
              <w:rPr>
                <w:b/>
                <w:bCs/>
                <w:sz w:val="22"/>
                <w:szCs w:val="24"/>
                <w:lang w:val="fr-FR"/>
              </w:rPr>
              <w:t xml:space="preserve"> 00</w:t>
            </w:r>
          </w:p>
        </w:tc>
        <w:tc>
          <w:tcPr>
            <w:tcW w:w="2977" w:type="dxa"/>
          </w:tcPr>
          <w:p w14:paraId="086C39BB" w14:textId="6EEFF3F4" w:rsidR="007B0086" w:rsidRPr="00C337A5" w:rsidRDefault="007B0086" w:rsidP="007B0086">
            <w:pPr>
              <w:pStyle w:val="Tabletext"/>
              <w:rPr>
                <w:sz w:val="22"/>
                <w:szCs w:val="24"/>
                <w:lang w:val="fr-FR"/>
              </w:rPr>
            </w:pPr>
            <w:r w:rsidRPr="00C337A5">
              <w:rPr>
                <w:sz w:val="22"/>
                <w:szCs w:val="24"/>
                <w:lang w:val="fr-FR"/>
              </w:rPr>
              <w:t xml:space="preserve">Aperçu des activités menées par l'OMM et l'UIT en matière d'observation de la Terre et de météorologie </w:t>
            </w:r>
          </w:p>
        </w:tc>
        <w:tc>
          <w:tcPr>
            <w:tcW w:w="1701" w:type="dxa"/>
          </w:tcPr>
          <w:p w14:paraId="3AEF6ABD" w14:textId="7953AB23" w:rsidR="007B0086" w:rsidRPr="00C337A5" w:rsidRDefault="007B0086" w:rsidP="007B0086">
            <w:pPr>
              <w:pStyle w:val="Tabletext"/>
              <w:jc w:val="center"/>
              <w:rPr>
                <w:b/>
                <w:bCs/>
                <w:sz w:val="22"/>
                <w:szCs w:val="24"/>
                <w:lang w:val="fr-FR"/>
              </w:rPr>
            </w:pPr>
            <w:r w:rsidRPr="00C337A5">
              <w:rPr>
                <w:b/>
                <w:bCs/>
                <w:sz w:val="22"/>
                <w:szCs w:val="24"/>
                <w:lang w:val="fr-FR"/>
              </w:rPr>
              <w:t>11 h</w:t>
            </w:r>
            <w:r w:rsidR="008113D8" w:rsidRPr="00C337A5">
              <w:rPr>
                <w:b/>
                <w:bCs/>
                <w:sz w:val="22"/>
                <w:szCs w:val="24"/>
                <w:lang w:val="fr-FR"/>
              </w:rPr>
              <w:t xml:space="preserve"> 00</w:t>
            </w:r>
            <w:r w:rsidRPr="00C337A5">
              <w:rPr>
                <w:b/>
                <w:bCs/>
                <w:sz w:val="22"/>
                <w:szCs w:val="24"/>
                <w:lang w:val="fr-FR"/>
              </w:rPr>
              <w:t>-12 h 30</w:t>
            </w:r>
          </w:p>
        </w:tc>
        <w:tc>
          <w:tcPr>
            <w:tcW w:w="3255" w:type="dxa"/>
          </w:tcPr>
          <w:p w14:paraId="0DDEAA28" w14:textId="65866959" w:rsidR="007B0086" w:rsidRPr="00C337A5" w:rsidRDefault="007B0086" w:rsidP="007B0086">
            <w:pPr>
              <w:pStyle w:val="Tabletext"/>
              <w:rPr>
                <w:sz w:val="22"/>
                <w:szCs w:val="24"/>
                <w:lang w:val="fr-FR"/>
              </w:rPr>
            </w:pPr>
            <w:r w:rsidRPr="00C337A5">
              <w:rPr>
                <w:sz w:val="22"/>
                <w:szCs w:val="24"/>
                <w:lang w:val="fr-FR"/>
              </w:rPr>
              <w:t>Perspectives des agences spatiales: évolution des programmes d'observation de la Terre</w:t>
            </w:r>
          </w:p>
        </w:tc>
      </w:tr>
      <w:tr w:rsidR="007B0086" w:rsidRPr="00C337A5" w14:paraId="3A2689CA" w14:textId="77777777" w:rsidTr="007B749C">
        <w:tc>
          <w:tcPr>
            <w:tcW w:w="1696" w:type="dxa"/>
          </w:tcPr>
          <w:p w14:paraId="560C11B7" w14:textId="70847191" w:rsidR="007B0086" w:rsidRPr="00C337A5" w:rsidRDefault="007B0086" w:rsidP="007B0086">
            <w:pPr>
              <w:pStyle w:val="Tabletext"/>
              <w:jc w:val="center"/>
              <w:rPr>
                <w:b/>
                <w:bCs/>
                <w:sz w:val="22"/>
                <w:szCs w:val="24"/>
                <w:lang w:val="fr-FR"/>
              </w:rPr>
            </w:pPr>
            <w:r w:rsidRPr="00C337A5">
              <w:rPr>
                <w:b/>
                <w:bCs/>
                <w:sz w:val="22"/>
                <w:szCs w:val="24"/>
                <w:lang w:val="fr-FR"/>
              </w:rPr>
              <w:t>13 h 30-15 h 30</w:t>
            </w:r>
          </w:p>
        </w:tc>
        <w:tc>
          <w:tcPr>
            <w:tcW w:w="2977" w:type="dxa"/>
          </w:tcPr>
          <w:p w14:paraId="28107857" w14:textId="2405B9A5" w:rsidR="007B0086" w:rsidRPr="00C337A5" w:rsidRDefault="007B0086" w:rsidP="007B0086">
            <w:pPr>
              <w:pStyle w:val="Tabletext"/>
              <w:rPr>
                <w:sz w:val="22"/>
                <w:szCs w:val="24"/>
                <w:lang w:val="fr-FR"/>
              </w:rPr>
            </w:pPr>
            <w:r w:rsidRPr="00C337A5">
              <w:rPr>
                <w:sz w:val="22"/>
                <w:szCs w:val="24"/>
                <w:lang w:val="fr-FR"/>
              </w:rPr>
              <w:t>Technologies radioélectriques liées aux activités d'observation de la Terre</w:t>
            </w:r>
          </w:p>
        </w:tc>
        <w:tc>
          <w:tcPr>
            <w:tcW w:w="1701" w:type="dxa"/>
          </w:tcPr>
          <w:p w14:paraId="1AE579CC" w14:textId="12452251" w:rsidR="007B0086" w:rsidRPr="00C337A5" w:rsidRDefault="007B0086" w:rsidP="007B0086">
            <w:pPr>
              <w:pStyle w:val="Tabletext"/>
              <w:jc w:val="center"/>
              <w:rPr>
                <w:b/>
                <w:bCs/>
                <w:sz w:val="22"/>
                <w:szCs w:val="24"/>
                <w:lang w:val="fr-FR"/>
              </w:rPr>
            </w:pPr>
            <w:r w:rsidRPr="00C337A5">
              <w:rPr>
                <w:b/>
                <w:bCs/>
                <w:sz w:val="22"/>
                <w:szCs w:val="24"/>
                <w:lang w:val="fr-FR"/>
              </w:rPr>
              <w:t>14 h</w:t>
            </w:r>
            <w:r w:rsidR="008113D8" w:rsidRPr="00C337A5">
              <w:rPr>
                <w:b/>
                <w:bCs/>
                <w:sz w:val="22"/>
                <w:szCs w:val="24"/>
                <w:lang w:val="fr-FR"/>
              </w:rPr>
              <w:t xml:space="preserve"> 00</w:t>
            </w:r>
            <w:r w:rsidRPr="00C337A5">
              <w:rPr>
                <w:b/>
                <w:bCs/>
                <w:sz w:val="22"/>
                <w:szCs w:val="24"/>
                <w:lang w:val="fr-FR"/>
              </w:rPr>
              <w:t>-15 h 30</w:t>
            </w:r>
          </w:p>
        </w:tc>
        <w:tc>
          <w:tcPr>
            <w:tcW w:w="3255" w:type="dxa"/>
          </w:tcPr>
          <w:p w14:paraId="707E58EE" w14:textId="108EE22F" w:rsidR="007B0086" w:rsidRPr="00C337A5" w:rsidRDefault="007B0086" w:rsidP="007B0086">
            <w:pPr>
              <w:pStyle w:val="Tabletext"/>
              <w:rPr>
                <w:sz w:val="22"/>
                <w:szCs w:val="24"/>
                <w:lang w:val="fr-FR"/>
              </w:rPr>
            </w:pPr>
            <w:r w:rsidRPr="00C337A5">
              <w:rPr>
                <w:sz w:val="22"/>
                <w:szCs w:val="24"/>
                <w:lang w:val="fr-FR"/>
              </w:rPr>
              <w:t>Incidence des brouillages radioélectriques sur l'utilisation du spectre pour l'observation de la Terre</w:t>
            </w:r>
          </w:p>
        </w:tc>
      </w:tr>
      <w:tr w:rsidR="007B0086" w:rsidRPr="00C337A5" w14:paraId="4AB04A99" w14:textId="77777777" w:rsidTr="007B749C">
        <w:tc>
          <w:tcPr>
            <w:tcW w:w="1696" w:type="dxa"/>
          </w:tcPr>
          <w:p w14:paraId="7380D070" w14:textId="44F9B954" w:rsidR="007B0086" w:rsidRPr="00C337A5" w:rsidRDefault="007B0086" w:rsidP="007B0086">
            <w:pPr>
              <w:pStyle w:val="Tabletext"/>
              <w:jc w:val="center"/>
              <w:rPr>
                <w:b/>
                <w:bCs/>
                <w:sz w:val="22"/>
                <w:szCs w:val="24"/>
                <w:lang w:val="fr-FR"/>
              </w:rPr>
            </w:pPr>
            <w:r w:rsidRPr="00C337A5">
              <w:rPr>
                <w:b/>
                <w:bCs/>
                <w:sz w:val="22"/>
                <w:szCs w:val="24"/>
                <w:lang w:val="fr-FR"/>
              </w:rPr>
              <w:t>16</w:t>
            </w:r>
            <w:r w:rsidR="008113D8" w:rsidRPr="00C337A5">
              <w:rPr>
                <w:b/>
                <w:bCs/>
                <w:sz w:val="22"/>
                <w:szCs w:val="24"/>
                <w:lang w:val="fr-FR"/>
              </w:rPr>
              <w:t xml:space="preserve"> </w:t>
            </w:r>
            <w:r w:rsidRPr="00C337A5">
              <w:rPr>
                <w:b/>
                <w:bCs/>
                <w:sz w:val="22"/>
                <w:szCs w:val="24"/>
                <w:lang w:val="fr-FR"/>
              </w:rPr>
              <w:t>h</w:t>
            </w:r>
            <w:r w:rsidR="008113D8" w:rsidRPr="00C337A5">
              <w:rPr>
                <w:b/>
                <w:bCs/>
                <w:sz w:val="22"/>
                <w:szCs w:val="24"/>
                <w:lang w:val="fr-FR"/>
              </w:rPr>
              <w:t xml:space="preserve"> 00</w:t>
            </w:r>
            <w:r w:rsidRPr="00C337A5">
              <w:rPr>
                <w:b/>
                <w:bCs/>
                <w:sz w:val="22"/>
                <w:szCs w:val="24"/>
                <w:lang w:val="fr-FR"/>
              </w:rPr>
              <w:t>-18</w:t>
            </w:r>
            <w:r w:rsidR="008113D8" w:rsidRPr="00C337A5">
              <w:rPr>
                <w:b/>
                <w:bCs/>
                <w:sz w:val="22"/>
                <w:szCs w:val="24"/>
                <w:lang w:val="fr-FR"/>
              </w:rPr>
              <w:t xml:space="preserve"> </w:t>
            </w:r>
            <w:r w:rsidRPr="00C337A5">
              <w:rPr>
                <w:b/>
                <w:bCs/>
                <w:sz w:val="22"/>
                <w:szCs w:val="24"/>
                <w:lang w:val="fr-FR"/>
              </w:rPr>
              <w:t>h</w:t>
            </w:r>
            <w:r w:rsidR="008113D8" w:rsidRPr="00C337A5">
              <w:rPr>
                <w:b/>
                <w:bCs/>
                <w:sz w:val="22"/>
                <w:szCs w:val="24"/>
                <w:lang w:val="fr-FR"/>
              </w:rPr>
              <w:t xml:space="preserve"> 00</w:t>
            </w:r>
          </w:p>
        </w:tc>
        <w:tc>
          <w:tcPr>
            <w:tcW w:w="2977" w:type="dxa"/>
          </w:tcPr>
          <w:p w14:paraId="2FC95286" w14:textId="79047C7B" w:rsidR="007B0086" w:rsidRPr="00C337A5" w:rsidRDefault="007B0086" w:rsidP="007B0086">
            <w:pPr>
              <w:pStyle w:val="Tabletext"/>
              <w:rPr>
                <w:sz w:val="22"/>
                <w:szCs w:val="24"/>
                <w:lang w:val="fr-FR"/>
              </w:rPr>
            </w:pPr>
            <w:r w:rsidRPr="00C337A5">
              <w:rPr>
                <w:sz w:val="22"/>
                <w:szCs w:val="24"/>
                <w:lang w:val="fr-FR"/>
              </w:rPr>
              <w:t>Valeur économique de l'observation de la Terre, avantages pour la société et facilitation de la prise de décisions</w:t>
            </w:r>
          </w:p>
        </w:tc>
        <w:tc>
          <w:tcPr>
            <w:tcW w:w="1701" w:type="dxa"/>
          </w:tcPr>
          <w:p w14:paraId="596F9FA4" w14:textId="25345A79" w:rsidR="007B0086" w:rsidRPr="00C337A5" w:rsidRDefault="007B0086" w:rsidP="007B0086">
            <w:pPr>
              <w:pStyle w:val="Tabletext"/>
              <w:jc w:val="center"/>
              <w:rPr>
                <w:b/>
                <w:bCs/>
                <w:sz w:val="22"/>
                <w:szCs w:val="24"/>
                <w:lang w:val="fr-FR"/>
              </w:rPr>
            </w:pPr>
            <w:r w:rsidRPr="00C337A5">
              <w:rPr>
                <w:b/>
                <w:bCs/>
                <w:sz w:val="22"/>
                <w:szCs w:val="24"/>
                <w:lang w:val="fr-FR"/>
              </w:rPr>
              <w:t>16</w:t>
            </w:r>
            <w:r w:rsidR="008113D8" w:rsidRPr="00C337A5">
              <w:rPr>
                <w:b/>
                <w:bCs/>
                <w:sz w:val="22"/>
                <w:szCs w:val="24"/>
                <w:lang w:val="fr-FR"/>
              </w:rPr>
              <w:t xml:space="preserve"> </w:t>
            </w:r>
            <w:r w:rsidRPr="00C337A5">
              <w:rPr>
                <w:b/>
                <w:bCs/>
                <w:sz w:val="22"/>
                <w:szCs w:val="24"/>
                <w:lang w:val="fr-FR"/>
              </w:rPr>
              <w:t>h</w:t>
            </w:r>
            <w:r w:rsidR="008113D8" w:rsidRPr="00C337A5">
              <w:rPr>
                <w:b/>
                <w:bCs/>
                <w:sz w:val="22"/>
                <w:szCs w:val="24"/>
                <w:lang w:val="fr-FR"/>
              </w:rPr>
              <w:t xml:space="preserve"> 00</w:t>
            </w:r>
            <w:r w:rsidRPr="00C337A5">
              <w:rPr>
                <w:b/>
                <w:bCs/>
                <w:sz w:val="22"/>
                <w:szCs w:val="24"/>
                <w:lang w:val="fr-FR"/>
              </w:rPr>
              <w:t>-17 h 30</w:t>
            </w:r>
          </w:p>
        </w:tc>
        <w:tc>
          <w:tcPr>
            <w:tcW w:w="3255" w:type="dxa"/>
          </w:tcPr>
          <w:p w14:paraId="2A4C42ED" w14:textId="1C160679" w:rsidR="007B0086" w:rsidRPr="00C337A5" w:rsidRDefault="007B0086" w:rsidP="007B0086">
            <w:pPr>
              <w:pStyle w:val="Tabletext"/>
              <w:rPr>
                <w:sz w:val="22"/>
                <w:szCs w:val="24"/>
                <w:lang w:val="fr-FR"/>
              </w:rPr>
            </w:pPr>
            <w:r w:rsidRPr="00C337A5">
              <w:rPr>
                <w:sz w:val="22"/>
                <w:szCs w:val="24"/>
                <w:lang w:val="fr-FR"/>
              </w:rPr>
              <w:t>Questions relatives aux Conférences mondiales des radiocommunications</w:t>
            </w:r>
          </w:p>
        </w:tc>
      </w:tr>
    </w:tbl>
    <w:p w14:paraId="5EA4DD27" w14:textId="74E6BCB2" w:rsidR="008113D8" w:rsidRPr="00C337A5" w:rsidRDefault="008113D8" w:rsidP="007B0086">
      <w:pPr>
        <w:jc w:val="left"/>
        <w:rPr>
          <w:lang w:val="fr-FR"/>
        </w:rPr>
      </w:pPr>
      <w:r w:rsidRPr="00C337A5">
        <w:rPr>
          <w:lang w:val="fr-FR"/>
        </w:rPr>
        <w:br w:type="page"/>
      </w:r>
    </w:p>
    <w:p w14:paraId="25718241" w14:textId="7E9C531B" w:rsidR="00F843E8" w:rsidRPr="00C337A5" w:rsidRDefault="00F843E8" w:rsidP="002D60C4">
      <w:pPr>
        <w:pStyle w:val="AnnexNoTitle"/>
        <w:rPr>
          <w:lang w:val="fr-FR"/>
        </w:rPr>
      </w:pPr>
      <w:r w:rsidRPr="00C337A5">
        <w:rPr>
          <w:lang w:val="fr-FR"/>
        </w:rPr>
        <w:lastRenderedPageBreak/>
        <w:t>Annexe 2</w:t>
      </w:r>
      <w:r w:rsidRPr="00C337A5">
        <w:rPr>
          <w:lang w:val="fr-FR"/>
        </w:rPr>
        <w:br/>
      </w:r>
      <w:r w:rsidRPr="00C337A5">
        <w:rPr>
          <w:lang w:val="fr-FR"/>
        </w:rPr>
        <w:br/>
        <w:t>Informations pratiques pour les participants</w:t>
      </w:r>
    </w:p>
    <w:p w14:paraId="0E9EC265" w14:textId="77777777" w:rsidR="00F843E8" w:rsidRPr="00C337A5" w:rsidRDefault="00F843E8" w:rsidP="00741378">
      <w:pPr>
        <w:pStyle w:val="Normalaftertitle"/>
        <w:spacing w:before="360"/>
        <w:rPr>
          <w:lang w:val="fr-FR"/>
        </w:rPr>
      </w:pPr>
      <w:r w:rsidRPr="00C337A5">
        <w:rPr>
          <w:lang w:val="fr-FR"/>
        </w:rPr>
        <w:t>La présente annexe contient des informations sur le séminaire et des indications à l'intention des délégués pour leur voyage et leur séjour à Almaty, République du Kazakhstan.</w:t>
      </w:r>
    </w:p>
    <w:p w14:paraId="7B945ACE" w14:textId="77777777" w:rsidR="00F843E8" w:rsidRPr="00C337A5" w:rsidRDefault="00F843E8" w:rsidP="002D60C4">
      <w:pPr>
        <w:pStyle w:val="Heading1"/>
        <w:rPr>
          <w:lang w:val="fr-FR"/>
        </w:rPr>
      </w:pPr>
      <w:r w:rsidRPr="00C337A5">
        <w:rPr>
          <w:lang w:val="fr-FR"/>
        </w:rPr>
        <w:t>1</w:t>
      </w:r>
      <w:r w:rsidRPr="00C337A5">
        <w:rPr>
          <w:lang w:val="fr-FR"/>
        </w:rPr>
        <w:tab/>
        <w:t>Lieu du séminaire</w:t>
      </w:r>
    </w:p>
    <w:p w14:paraId="056C80EF" w14:textId="531C04A1" w:rsidR="00F843E8" w:rsidRPr="00C337A5" w:rsidRDefault="00F843E8" w:rsidP="00741378">
      <w:pPr>
        <w:rPr>
          <w:lang w:val="fr-FR"/>
        </w:rPr>
      </w:pPr>
      <w:r w:rsidRPr="00C337A5">
        <w:rPr>
          <w:lang w:val="fr-FR"/>
        </w:rPr>
        <w:t>Le séminaire aura lieu à l'Hôtel Novotel Almaty City Center:</w:t>
      </w:r>
    </w:p>
    <w:p w14:paraId="2E9AFA1C" w14:textId="0066892D" w:rsidR="00F843E8" w:rsidRPr="00C337A5" w:rsidRDefault="007B749C" w:rsidP="00741378">
      <w:pPr>
        <w:pStyle w:val="enumlev1"/>
        <w:rPr>
          <w:lang w:val="fr-FR"/>
        </w:rPr>
      </w:pPr>
      <w:r w:rsidRPr="00C337A5">
        <w:rPr>
          <w:lang w:val="fr-FR"/>
        </w:rPr>
        <w:tab/>
      </w:r>
      <w:r w:rsidR="00F843E8" w:rsidRPr="00C337A5">
        <w:rPr>
          <w:lang w:val="fr-FR"/>
        </w:rPr>
        <w:t>Adresse:</w:t>
      </w:r>
      <w:r w:rsidR="00F843E8" w:rsidRPr="00C337A5">
        <w:rPr>
          <w:lang w:val="fr-FR"/>
        </w:rPr>
        <w:tab/>
        <w:t>Dostyk Avenue 104 A, Almaty, Kazakhstan</w:t>
      </w:r>
    </w:p>
    <w:p w14:paraId="0A79E13D" w14:textId="74CD3B3D" w:rsidR="00F843E8" w:rsidRPr="00C337A5" w:rsidRDefault="007B749C" w:rsidP="00741378">
      <w:pPr>
        <w:pStyle w:val="enumlev1"/>
        <w:rPr>
          <w:lang w:val="fr-FR"/>
        </w:rPr>
      </w:pPr>
      <w:r w:rsidRPr="00C337A5">
        <w:rPr>
          <w:lang w:val="fr-FR"/>
        </w:rPr>
        <w:tab/>
      </w:r>
      <w:r w:rsidR="00F843E8" w:rsidRPr="00C337A5">
        <w:rPr>
          <w:lang w:val="fr-FR"/>
        </w:rPr>
        <w:t>Site web:</w:t>
      </w:r>
      <w:r w:rsidR="00F843E8" w:rsidRPr="00C337A5">
        <w:rPr>
          <w:lang w:val="fr-FR"/>
        </w:rPr>
        <w:tab/>
      </w:r>
      <w:hyperlink r:id="rId17" w:history="1">
        <w:r w:rsidR="00F843E8" w:rsidRPr="00C337A5">
          <w:rPr>
            <w:rStyle w:val="Hyperlink"/>
            <w:lang w:val="fr-FR"/>
          </w:rPr>
          <w:t>https://novotel-almaty-city-center.almaty-hotel.com/en/</w:t>
        </w:r>
      </w:hyperlink>
    </w:p>
    <w:p w14:paraId="00C28534" w14:textId="77777777" w:rsidR="00F843E8" w:rsidRPr="00C337A5" w:rsidRDefault="00F843E8" w:rsidP="002D60C4">
      <w:pPr>
        <w:pStyle w:val="Heading1"/>
        <w:rPr>
          <w:lang w:val="fr-FR"/>
        </w:rPr>
      </w:pPr>
      <w:r w:rsidRPr="00C337A5">
        <w:rPr>
          <w:lang w:val="fr-FR"/>
        </w:rPr>
        <w:t>2</w:t>
      </w:r>
      <w:r w:rsidRPr="00C337A5">
        <w:rPr>
          <w:lang w:val="fr-FR"/>
        </w:rPr>
        <w:tab/>
        <w:t>Voyage</w:t>
      </w:r>
    </w:p>
    <w:p w14:paraId="417CDD87" w14:textId="246CCE2C" w:rsidR="00F843E8" w:rsidRPr="00C337A5" w:rsidRDefault="00F843E8" w:rsidP="00741378">
      <w:pPr>
        <w:rPr>
          <w:lang w:val="fr-FR"/>
        </w:rPr>
      </w:pPr>
      <w:r w:rsidRPr="00C337A5">
        <w:rPr>
          <w:lang w:val="fr-FR"/>
        </w:rPr>
        <w:t xml:space="preserve">L'aéroport international d'Almaty est relié à de nombreuses plates-formes internationales par les compagnies aériennes Lufthansa, Turkish Airlines, Qatar Airlines, AirAstana et Pegasus. Pour plus d'informations, veuillez consulter la page suivante: </w:t>
      </w:r>
      <w:hyperlink r:id="rId18" w:history="1">
        <w:r w:rsidRPr="00C337A5">
          <w:rPr>
            <w:rStyle w:val="Hyperlink"/>
            <w:lang w:val="fr-FR"/>
          </w:rPr>
          <w:t>https://alaport.com/en-EN/</w:t>
        </w:r>
      </w:hyperlink>
      <w:r w:rsidRPr="00C337A5">
        <w:rPr>
          <w:lang w:val="fr-FR"/>
        </w:rPr>
        <w:t>.</w:t>
      </w:r>
    </w:p>
    <w:p w14:paraId="6E4B6260" w14:textId="3FBE3211" w:rsidR="00F843E8" w:rsidRPr="00C337A5" w:rsidRDefault="00F843E8" w:rsidP="00741378">
      <w:pPr>
        <w:rPr>
          <w:lang w:val="fr-FR"/>
        </w:rPr>
      </w:pPr>
      <w:r w:rsidRPr="00C337A5">
        <w:rPr>
          <w:lang w:val="fr-FR"/>
        </w:rPr>
        <w:t>Il est possible de rejoindre les hôtels depuis l'aéroport en recourant au service de taxi prépayé Novotel (recommandé) – pour réserver, veuillez remplir le formulaire disponible dans l'Annexe</w:t>
      </w:r>
      <w:r w:rsidR="002D60C4" w:rsidRPr="00C337A5">
        <w:rPr>
          <w:lang w:val="fr-FR"/>
        </w:rPr>
        <w:t> </w:t>
      </w:r>
      <w:r w:rsidRPr="00C337A5">
        <w:rPr>
          <w:lang w:val="fr-FR"/>
        </w:rPr>
        <w:t>3</w:t>
      </w:r>
      <w:r w:rsidR="002D60C4" w:rsidRPr="00C337A5">
        <w:rPr>
          <w:lang w:val="fr-FR"/>
        </w:rPr>
        <w:t> </w:t>
      </w:r>
      <w:r w:rsidRPr="00C337A5">
        <w:rPr>
          <w:lang w:val="fr-FR"/>
        </w:rPr>
        <w:t>–</w:t>
      </w:r>
      <w:r w:rsidR="002D60C4" w:rsidRPr="00C337A5">
        <w:rPr>
          <w:lang w:val="fr-FR"/>
        </w:rPr>
        <w:t> </w:t>
      </w:r>
      <w:r w:rsidRPr="00C337A5">
        <w:rPr>
          <w:lang w:val="fr-FR"/>
        </w:rPr>
        <w:t xml:space="preserve">ou en utilisant l'application de transport </w:t>
      </w:r>
      <w:hyperlink r:id="rId19" w:history="1">
        <w:r w:rsidRPr="00C337A5">
          <w:rPr>
            <w:rStyle w:val="Hyperlink"/>
            <w:lang w:val="fr-FR"/>
          </w:rPr>
          <w:t>YandexGo</w:t>
        </w:r>
      </w:hyperlink>
      <w:r w:rsidRPr="00C337A5">
        <w:rPr>
          <w:lang w:val="fr-FR"/>
        </w:rPr>
        <w:t>.</w:t>
      </w:r>
    </w:p>
    <w:p w14:paraId="5D09FC7A" w14:textId="58E93839" w:rsidR="00F843E8" w:rsidRPr="00C337A5" w:rsidRDefault="00F843E8" w:rsidP="00741378">
      <w:pPr>
        <w:rPr>
          <w:lang w:val="fr-FR"/>
        </w:rPr>
      </w:pPr>
      <w:r w:rsidRPr="00C337A5">
        <w:rPr>
          <w:lang w:val="fr-FR"/>
        </w:rPr>
        <w:t>Des bus publics et des taxis de l'aéroport sont également accessibles sur place, depuis le niveau des arrivées.</w:t>
      </w:r>
    </w:p>
    <w:p w14:paraId="6327BB0C" w14:textId="77777777" w:rsidR="00F843E8" w:rsidRPr="00C337A5" w:rsidRDefault="00F843E8" w:rsidP="002D60C4">
      <w:pPr>
        <w:pStyle w:val="Heading1"/>
        <w:rPr>
          <w:lang w:val="fr-FR"/>
        </w:rPr>
      </w:pPr>
      <w:r w:rsidRPr="00C337A5">
        <w:rPr>
          <w:lang w:val="fr-FR"/>
        </w:rPr>
        <w:t>3</w:t>
      </w:r>
      <w:r w:rsidRPr="00C337A5">
        <w:rPr>
          <w:lang w:val="fr-FR"/>
        </w:rPr>
        <w:tab/>
        <w:t>Visa</w:t>
      </w:r>
    </w:p>
    <w:p w14:paraId="063F9654" w14:textId="7658EB71" w:rsidR="00F843E8" w:rsidRPr="00C337A5" w:rsidRDefault="00F843E8" w:rsidP="00741378">
      <w:pPr>
        <w:rPr>
          <w:lang w:val="fr-FR"/>
        </w:rPr>
      </w:pPr>
      <w:r w:rsidRPr="00741378">
        <w:rPr>
          <w:spacing w:val="6"/>
          <w:lang w:val="fr-FR"/>
        </w:rPr>
        <w:t>Le Kazakhstan a rétabli le régime d'entrée sans visa de 30 jours pour les ressortissants de 57 pays.</w:t>
      </w:r>
      <w:r w:rsidRPr="00C337A5">
        <w:rPr>
          <w:lang w:val="fr-FR"/>
        </w:rPr>
        <w:t xml:space="preserve"> </w:t>
      </w:r>
      <w:r w:rsidRPr="00741378">
        <w:rPr>
          <w:spacing w:val="6"/>
          <w:lang w:val="fr-FR"/>
        </w:rPr>
        <w:t>Pour plus d'informations, veuillez consulter la page suivante:</w:t>
      </w:r>
      <w:r w:rsidRPr="00C337A5">
        <w:rPr>
          <w:lang w:val="fr-FR"/>
        </w:rPr>
        <w:t xml:space="preserve"> </w:t>
      </w:r>
      <w:hyperlink r:id="rId20" w:history="1">
        <w:r w:rsidRPr="00C337A5">
          <w:rPr>
            <w:rStyle w:val="Hyperlink"/>
            <w:lang w:val="fr-FR"/>
          </w:rPr>
          <w:t>https://egov.kz/cms/en/articles/for_foreigners/visa_regime_for_foreigners</w:t>
        </w:r>
      </w:hyperlink>
      <w:r w:rsidRPr="00C337A5">
        <w:rPr>
          <w:lang w:val="fr-FR"/>
        </w:rPr>
        <w:t>.</w:t>
      </w:r>
    </w:p>
    <w:p w14:paraId="5076B542" w14:textId="5DDCB5D5" w:rsidR="00F843E8" w:rsidRDefault="00F843E8" w:rsidP="00741378">
      <w:pPr>
        <w:rPr>
          <w:lang w:val="fr-FR"/>
        </w:rPr>
      </w:pPr>
      <w:r w:rsidRPr="00C337A5">
        <w:rPr>
          <w:lang w:val="fr-FR"/>
        </w:rPr>
        <w:t>Les ressortissants pour lesquels un visa d'entrée au Kazakhstan est requis doivent en faire la demande à l'avance auprès de l'ambassade ou du consulat de la République du Kazakhstan le plus proche. Pour obtenir une assistance et une lettre d'appui à l'obtention d'un visa, veuillez prendre contact avec:</w:t>
      </w:r>
    </w:p>
    <w:p w14:paraId="14203B35" w14:textId="77777777" w:rsidR="00FA6598" w:rsidRPr="00C337A5" w:rsidRDefault="00FA6598" w:rsidP="00FA6598">
      <w:pPr>
        <w:pStyle w:val="enumlev1"/>
        <w:rPr>
          <w:lang w:val="fr-FR"/>
        </w:rPr>
      </w:pPr>
      <w:r w:rsidRPr="00C337A5">
        <w:rPr>
          <w:lang w:val="fr-FR"/>
        </w:rPr>
        <w:tab/>
        <w:t>Ministère du développement du numérique, des innovations et de l'industrie aérospatiale de la République du Kazakhstan</w:t>
      </w:r>
    </w:p>
    <w:p w14:paraId="30973E1C" w14:textId="77777777" w:rsidR="007B749C" w:rsidRPr="00C337A5" w:rsidRDefault="007B749C" w:rsidP="00741378">
      <w:pPr>
        <w:pStyle w:val="enumlev1"/>
        <w:tabs>
          <w:tab w:val="clear" w:pos="1191"/>
          <w:tab w:val="clear" w:pos="1588"/>
        </w:tabs>
        <w:jc w:val="left"/>
        <w:rPr>
          <w:lang w:val="fr-FR"/>
        </w:rPr>
      </w:pPr>
      <w:r w:rsidRPr="00C337A5">
        <w:rPr>
          <w:lang w:val="fr-FR"/>
        </w:rPr>
        <w:tab/>
        <w:t>Mme Ali Salida</w:t>
      </w:r>
      <w:r w:rsidRPr="00C337A5">
        <w:rPr>
          <w:lang w:val="fr-FR"/>
        </w:rPr>
        <w:br/>
        <w:t>Tél.:</w:t>
      </w:r>
      <w:r w:rsidRPr="00C337A5">
        <w:rPr>
          <w:lang w:val="fr-FR"/>
        </w:rPr>
        <w:tab/>
        <w:t>+7 747 720 4181</w:t>
      </w:r>
      <w:r w:rsidRPr="00C337A5">
        <w:rPr>
          <w:lang w:val="fr-FR"/>
        </w:rPr>
        <w:br/>
        <w:t>Courriel:</w:t>
      </w:r>
      <w:r w:rsidRPr="00C337A5">
        <w:rPr>
          <w:lang w:val="fr-FR"/>
        </w:rPr>
        <w:tab/>
      </w:r>
      <w:hyperlink r:id="rId21" w:history="1">
        <w:r w:rsidRPr="00C337A5">
          <w:rPr>
            <w:rStyle w:val="Hyperlink"/>
            <w:b/>
            <w:bCs/>
            <w:lang w:val="fr-FR"/>
          </w:rPr>
          <w:t>comadmkaz@gmail.com</w:t>
        </w:r>
      </w:hyperlink>
    </w:p>
    <w:p w14:paraId="3D3EB66F" w14:textId="3F1040E8" w:rsidR="00F843E8" w:rsidRPr="00C337A5" w:rsidRDefault="00F843E8" w:rsidP="002D60C4">
      <w:pPr>
        <w:pStyle w:val="Heading1"/>
        <w:rPr>
          <w:lang w:val="fr-FR"/>
        </w:rPr>
      </w:pPr>
      <w:r w:rsidRPr="00C337A5">
        <w:rPr>
          <w:lang w:val="fr-FR"/>
        </w:rPr>
        <w:t>4</w:t>
      </w:r>
      <w:r w:rsidRPr="00C337A5">
        <w:rPr>
          <w:lang w:val="fr-FR"/>
        </w:rPr>
        <w:tab/>
        <w:t>Hébergement et restauration</w:t>
      </w:r>
    </w:p>
    <w:p w14:paraId="29E999B7" w14:textId="407ABC0A" w:rsidR="00F843E8" w:rsidRPr="00C337A5" w:rsidRDefault="00F843E8" w:rsidP="00741378">
      <w:pPr>
        <w:rPr>
          <w:lang w:val="fr-FR"/>
        </w:rPr>
      </w:pPr>
      <w:r w:rsidRPr="00C337A5">
        <w:rPr>
          <w:lang w:val="fr-FR"/>
        </w:rPr>
        <w:t xml:space="preserve">Un certain nombre de chambres ont été pré-réservées pour les délégués de l'UIT à un tarif préférentiel à l'hôtel Novotel Almaty City Center. Les réservations effectuées au moyen de la méthode désignée prévoient des tarifs de chambres d'hôtel réduits et l'accès à diverses installations (accès complémentaire à l'Internet et petit-déjeuner inclus, par exemple). Afin de faciliter la </w:t>
      </w:r>
      <w:r w:rsidRPr="00C337A5">
        <w:rPr>
          <w:lang w:val="fr-FR"/>
        </w:rPr>
        <w:lastRenderedPageBreak/>
        <w:t>logistique du séminaire, les entités hôtes ont garanti un certain nombre de nuitées à l'hôtel prévu à cet effet et les délégués sont encouragés à envisager cette offre.</w:t>
      </w:r>
    </w:p>
    <w:p w14:paraId="01BACFB6" w14:textId="02311946" w:rsidR="00F843E8" w:rsidRPr="00C337A5" w:rsidRDefault="00F843E8" w:rsidP="00741378">
      <w:pPr>
        <w:rPr>
          <w:lang w:val="fr-FR"/>
        </w:rPr>
      </w:pPr>
      <w:r w:rsidRPr="00C337A5">
        <w:rPr>
          <w:i/>
          <w:iCs/>
          <w:lang w:val="fr-FR"/>
        </w:rPr>
        <w:t>NOTE</w:t>
      </w:r>
      <w:r w:rsidRPr="00C337A5">
        <w:rPr>
          <w:lang w:val="fr-FR"/>
        </w:rPr>
        <w:t xml:space="preserve"> – Les réservations doivent être faites avant le </w:t>
      </w:r>
      <w:r w:rsidRPr="00C337A5">
        <w:rPr>
          <w:b/>
          <w:bCs/>
          <w:lang w:val="fr-FR"/>
        </w:rPr>
        <w:t>15 août 2024</w:t>
      </w:r>
      <w:r w:rsidRPr="00C337A5">
        <w:rPr>
          <w:lang w:val="fr-FR"/>
        </w:rPr>
        <w:t>. Nous vous saurions gré de réserver vos chambres le plus tôt possible. La pré-réservation des chambres est limitée et peut devenir caduque avant la date limite. Étant</w:t>
      </w:r>
      <w:r w:rsidR="006A4B4E" w:rsidRPr="00C337A5">
        <w:rPr>
          <w:lang w:val="fr-FR"/>
        </w:rPr>
        <w:t> </w:t>
      </w:r>
      <w:r w:rsidRPr="00C337A5">
        <w:rPr>
          <w:lang w:val="fr-FR"/>
        </w:rPr>
        <w:t>donné que d'autres conférences et congrès importants auront lieu pendant la durée du séminaire, les délégués sont encouragés à respecter cette date limite.</w:t>
      </w:r>
    </w:p>
    <w:p w14:paraId="76BF1E81" w14:textId="77777777" w:rsidR="00F843E8" w:rsidRPr="00C337A5" w:rsidRDefault="00F843E8" w:rsidP="00741378">
      <w:pPr>
        <w:rPr>
          <w:lang w:val="fr-FR"/>
        </w:rPr>
      </w:pPr>
      <w:r w:rsidRPr="00C337A5">
        <w:rPr>
          <w:lang w:val="fr-FR"/>
        </w:rPr>
        <w:t>Veuillez utiliser le formulaire de réservation d'hôtel fourni dans l'Annexe 3.</w:t>
      </w:r>
    </w:p>
    <w:p w14:paraId="1D022D35" w14:textId="53A0DF64" w:rsidR="00F843E8" w:rsidRPr="00C337A5" w:rsidRDefault="00F843E8" w:rsidP="00741378">
      <w:pPr>
        <w:rPr>
          <w:lang w:val="fr-FR"/>
        </w:rPr>
      </w:pPr>
      <w:r w:rsidRPr="00C337A5">
        <w:rPr>
          <w:lang w:val="fr-FR"/>
        </w:rPr>
        <w:t>Si vous rencontrez des difficultés lors de votre réservation, veuillez contacter le service d'assistance Novotel, disponible 24 heures sur 24 et 7 jours sur 7, au numéro suivant:</w:t>
      </w:r>
      <w:r w:rsidR="002D60C4" w:rsidRPr="00C337A5">
        <w:rPr>
          <w:lang w:val="fr-FR"/>
        </w:rPr>
        <w:t xml:space="preserve"> </w:t>
      </w:r>
      <w:r w:rsidRPr="00C337A5">
        <w:rPr>
          <w:lang w:val="fr-FR"/>
        </w:rPr>
        <w:t>+7</w:t>
      </w:r>
      <w:r w:rsidR="00636901" w:rsidRPr="00C337A5">
        <w:rPr>
          <w:lang w:val="fr-FR"/>
        </w:rPr>
        <w:t> </w:t>
      </w:r>
      <w:r w:rsidRPr="00C337A5">
        <w:rPr>
          <w:lang w:val="fr-FR"/>
        </w:rPr>
        <w:t>727</w:t>
      </w:r>
      <w:r w:rsidR="00636901" w:rsidRPr="00C337A5">
        <w:rPr>
          <w:lang w:val="fr-FR"/>
        </w:rPr>
        <w:t> </w:t>
      </w:r>
      <w:r w:rsidRPr="00C337A5">
        <w:rPr>
          <w:lang w:val="fr-FR"/>
        </w:rPr>
        <w:t>355</w:t>
      </w:r>
      <w:r w:rsidR="00636901" w:rsidRPr="00C337A5">
        <w:rPr>
          <w:lang w:val="fr-FR"/>
        </w:rPr>
        <w:t> </w:t>
      </w:r>
      <w:r w:rsidRPr="00C337A5">
        <w:rPr>
          <w:lang w:val="fr-FR"/>
        </w:rPr>
        <w:t>38</w:t>
      </w:r>
      <w:r w:rsidR="00636901" w:rsidRPr="00C337A5">
        <w:rPr>
          <w:lang w:val="fr-FR"/>
        </w:rPr>
        <w:t> </w:t>
      </w:r>
      <w:r w:rsidRPr="00C337A5">
        <w:rPr>
          <w:lang w:val="fr-FR"/>
        </w:rPr>
        <w:t>38.</w:t>
      </w:r>
    </w:p>
    <w:p w14:paraId="778D1BD9" w14:textId="02037E61" w:rsidR="00F843E8" w:rsidRPr="00C337A5" w:rsidRDefault="009E1ED6" w:rsidP="00F843E8">
      <w:pPr>
        <w:jc w:val="left"/>
        <w:rPr>
          <w:lang w:val="fr-FR"/>
        </w:rPr>
      </w:pPr>
      <w:hyperlink r:id="rId22" w:history="1">
        <w:r w:rsidR="00F843E8" w:rsidRPr="00C337A5">
          <w:rPr>
            <w:rStyle w:val="Hyperlink"/>
            <w:lang w:val="fr-FR"/>
          </w:rPr>
          <w:t>h8582-fo2@accor.com</w:t>
        </w:r>
      </w:hyperlink>
    </w:p>
    <w:p w14:paraId="7B724C9D" w14:textId="697420D5" w:rsidR="00F843E8" w:rsidRPr="00C337A5" w:rsidRDefault="009E1ED6" w:rsidP="002D60C4">
      <w:pPr>
        <w:jc w:val="left"/>
        <w:rPr>
          <w:lang w:val="fr-FR"/>
        </w:rPr>
      </w:pPr>
      <w:hyperlink r:id="rId23" w:history="1">
        <w:r w:rsidR="00F843E8" w:rsidRPr="00C337A5">
          <w:rPr>
            <w:rStyle w:val="Hyperlink"/>
            <w:lang w:val="fr-FR"/>
          </w:rPr>
          <w:t>h8582-re@accor.com</w:t>
        </w:r>
      </w:hyperlink>
    </w:p>
    <w:p w14:paraId="6AF21BBE" w14:textId="032790FA" w:rsidR="00F843E8" w:rsidRPr="00C337A5" w:rsidRDefault="009E1ED6" w:rsidP="002D60C4">
      <w:pPr>
        <w:jc w:val="left"/>
        <w:rPr>
          <w:lang w:val="fr-FR"/>
        </w:rPr>
      </w:pPr>
      <w:hyperlink r:id="rId24" w:history="1">
        <w:r w:rsidR="00F843E8" w:rsidRPr="00C337A5">
          <w:rPr>
            <w:rStyle w:val="Hyperlink"/>
            <w:lang w:val="fr-FR"/>
          </w:rPr>
          <w:t>h8582-re1@accor.com</w:t>
        </w:r>
      </w:hyperlink>
    </w:p>
    <w:p w14:paraId="651F39D6" w14:textId="77777777" w:rsidR="00F843E8" w:rsidRPr="00C337A5" w:rsidRDefault="00F843E8" w:rsidP="00741378">
      <w:pPr>
        <w:rPr>
          <w:lang w:val="fr-FR"/>
        </w:rPr>
      </w:pPr>
      <w:r w:rsidRPr="00C337A5">
        <w:rPr>
          <w:lang w:val="fr-FR"/>
        </w:rPr>
        <w:t>Le petit-déjeuner est inclus dans le tarif de la chambre.</w:t>
      </w:r>
    </w:p>
    <w:p w14:paraId="79FAC3A5" w14:textId="77777777" w:rsidR="00F843E8" w:rsidRPr="00C337A5" w:rsidRDefault="00F843E8" w:rsidP="00741378">
      <w:pPr>
        <w:rPr>
          <w:lang w:val="fr-FR"/>
        </w:rPr>
      </w:pPr>
      <w:r w:rsidRPr="00C337A5">
        <w:rPr>
          <w:lang w:val="fr-FR"/>
        </w:rPr>
        <w:t>Les clients pourront accéder, à leurs frais, à un service de déjeuner sur place au restaurant de l'Hôtel Novotel Almaty City Center. Les bons-repas doivent être réservés via le formulaire de réservation disponible dans l'Annexe 3.</w:t>
      </w:r>
    </w:p>
    <w:p w14:paraId="24308947" w14:textId="3AF6AD4C" w:rsidR="00F843E8" w:rsidRPr="00C337A5" w:rsidRDefault="00F843E8" w:rsidP="00741378">
      <w:pPr>
        <w:rPr>
          <w:lang w:val="fr-FR"/>
        </w:rPr>
      </w:pPr>
      <w:r w:rsidRPr="00C337A5">
        <w:rPr>
          <w:lang w:val="fr-FR"/>
        </w:rPr>
        <w:t>D'autres options d'hébergement à Almaty peuvent être organisées par des plates-formes connues de réservation de voyage en ligne.</w:t>
      </w:r>
    </w:p>
    <w:p w14:paraId="750F37D7" w14:textId="77777777" w:rsidR="00F843E8" w:rsidRPr="00C337A5" w:rsidRDefault="00F843E8" w:rsidP="00741378">
      <w:pPr>
        <w:rPr>
          <w:lang w:val="fr-FR"/>
        </w:rPr>
      </w:pPr>
      <w:r w:rsidRPr="00C337A5">
        <w:rPr>
          <w:lang w:val="fr-FR"/>
        </w:rPr>
        <w:t>Les délégués pourront découvrir un large éventail de restaurants et de cafés situés à proximité du lieu du séminaire.</w:t>
      </w:r>
    </w:p>
    <w:p w14:paraId="63DE2525" w14:textId="77777777" w:rsidR="00F843E8" w:rsidRPr="00C337A5" w:rsidRDefault="00F843E8" w:rsidP="00636901">
      <w:pPr>
        <w:pStyle w:val="Heading1"/>
        <w:jc w:val="left"/>
        <w:rPr>
          <w:bCs/>
          <w:lang w:val="fr-FR"/>
        </w:rPr>
      </w:pPr>
      <w:r w:rsidRPr="00C337A5">
        <w:rPr>
          <w:bCs/>
          <w:lang w:val="fr-FR"/>
        </w:rPr>
        <w:t>5</w:t>
      </w:r>
      <w:r w:rsidRPr="00C337A5">
        <w:rPr>
          <w:bCs/>
          <w:lang w:val="fr-FR"/>
        </w:rPr>
        <w:tab/>
        <w:t>Unité monétaire de la République du Kazakhstan et options de paiement</w:t>
      </w:r>
    </w:p>
    <w:p w14:paraId="5C43E7F6" w14:textId="2463078A" w:rsidR="00F843E8" w:rsidRPr="00C337A5" w:rsidRDefault="00F843E8" w:rsidP="00741378">
      <w:pPr>
        <w:rPr>
          <w:lang w:val="fr-FR"/>
        </w:rPr>
      </w:pPr>
      <w:r w:rsidRPr="00C337A5">
        <w:rPr>
          <w:lang w:val="fr-FR"/>
        </w:rPr>
        <w:t>L'unité monétaire du pays est le tengue.</w:t>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2733"/>
        <w:gridCol w:w="3210"/>
      </w:tblGrid>
      <w:tr w:rsidR="00636901" w:rsidRPr="00C337A5" w14:paraId="728C5FF5" w14:textId="77777777" w:rsidTr="00231B01">
        <w:tc>
          <w:tcPr>
            <w:tcW w:w="3828" w:type="dxa"/>
          </w:tcPr>
          <w:p w14:paraId="49837012" w14:textId="0B292FD1" w:rsidR="00636901" w:rsidRPr="00C337A5" w:rsidRDefault="00636901" w:rsidP="00231B01">
            <w:pPr>
              <w:ind w:left="38"/>
              <w:jc w:val="left"/>
              <w:rPr>
                <w:lang w:val="fr-FR"/>
              </w:rPr>
            </w:pPr>
            <w:r w:rsidRPr="00C337A5">
              <w:rPr>
                <w:lang w:val="fr-FR"/>
              </w:rPr>
              <w:t>Taux de change au 1er mai 2024:</w:t>
            </w:r>
          </w:p>
        </w:tc>
        <w:tc>
          <w:tcPr>
            <w:tcW w:w="2733" w:type="dxa"/>
          </w:tcPr>
          <w:p w14:paraId="526F4764" w14:textId="0AE60A03" w:rsidR="00636901" w:rsidRPr="00C337A5" w:rsidRDefault="00636901" w:rsidP="00F843E8">
            <w:pPr>
              <w:jc w:val="left"/>
              <w:rPr>
                <w:lang w:val="fr-FR"/>
              </w:rPr>
            </w:pPr>
            <w:r w:rsidRPr="00C337A5">
              <w:rPr>
                <w:lang w:val="fr-FR"/>
              </w:rPr>
              <w:t>1 dollar des États-Unis</w:t>
            </w:r>
          </w:p>
        </w:tc>
        <w:tc>
          <w:tcPr>
            <w:tcW w:w="3210" w:type="dxa"/>
          </w:tcPr>
          <w:p w14:paraId="1212B3E7" w14:textId="0B9AAC34" w:rsidR="00636901" w:rsidRPr="00C337A5" w:rsidRDefault="00636901" w:rsidP="00F843E8">
            <w:pPr>
              <w:jc w:val="left"/>
              <w:rPr>
                <w:lang w:val="fr-FR"/>
              </w:rPr>
            </w:pPr>
            <w:r w:rsidRPr="00C337A5">
              <w:rPr>
                <w:lang w:val="fr-FR"/>
              </w:rPr>
              <w:t>environ 448 tengues</w:t>
            </w:r>
          </w:p>
        </w:tc>
      </w:tr>
      <w:tr w:rsidR="00636901" w:rsidRPr="00C337A5" w14:paraId="5F547E50" w14:textId="77777777" w:rsidTr="00231B01">
        <w:tc>
          <w:tcPr>
            <w:tcW w:w="3828" w:type="dxa"/>
          </w:tcPr>
          <w:p w14:paraId="0E4A3F4E" w14:textId="77777777" w:rsidR="00636901" w:rsidRPr="00C337A5" w:rsidRDefault="00636901" w:rsidP="00F843E8">
            <w:pPr>
              <w:jc w:val="left"/>
              <w:rPr>
                <w:lang w:val="fr-FR"/>
              </w:rPr>
            </w:pPr>
          </w:p>
        </w:tc>
        <w:tc>
          <w:tcPr>
            <w:tcW w:w="2733" w:type="dxa"/>
          </w:tcPr>
          <w:p w14:paraId="516B4C35" w14:textId="0BD97894" w:rsidR="00636901" w:rsidRPr="00C337A5" w:rsidRDefault="00636901" w:rsidP="00F843E8">
            <w:pPr>
              <w:jc w:val="left"/>
              <w:rPr>
                <w:lang w:val="fr-FR"/>
              </w:rPr>
            </w:pPr>
            <w:r w:rsidRPr="00C337A5">
              <w:rPr>
                <w:lang w:val="fr-FR"/>
              </w:rPr>
              <w:t>1 euro</w:t>
            </w:r>
          </w:p>
        </w:tc>
        <w:tc>
          <w:tcPr>
            <w:tcW w:w="3210" w:type="dxa"/>
          </w:tcPr>
          <w:p w14:paraId="1C5761ED" w14:textId="6B48356E" w:rsidR="00636901" w:rsidRPr="00C337A5" w:rsidRDefault="00636901" w:rsidP="00F843E8">
            <w:pPr>
              <w:jc w:val="left"/>
              <w:rPr>
                <w:lang w:val="fr-FR"/>
              </w:rPr>
            </w:pPr>
            <w:r w:rsidRPr="00C337A5">
              <w:rPr>
                <w:lang w:val="fr-FR"/>
              </w:rPr>
              <w:t>environ 478 tengues</w:t>
            </w:r>
          </w:p>
        </w:tc>
      </w:tr>
    </w:tbl>
    <w:p w14:paraId="4CEC919A" w14:textId="77777777" w:rsidR="00F843E8" w:rsidRPr="00C337A5" w:rsidRDefault="00F843E8" w:rsidP="00741378">
      <w:pPr>
        <w:rPr>
          <w:lang w:val="fr-FR"/>
        </w:rPr>
      </w:pPr>
      <w:r w:rsidRPr="00C337A5">
        <w:rPr>
          <w:lang w:val="fr-FR"/>
        </w:rPr>
        <w:t>Les cartes de crédit reconnues dans le monde, telles que VISA et MasterCard, sont généralement acceptées dans la plupart des hôtels, des magasins et des restaurants.</w:t>
      </w:r>
    </w:p>
    <w:p w14:paraId="2A9A9ADC" w14:textId="77777777" w:rsidR="00F843E8" w:rsidRPr="00C337A5" w:rsidRDefault="00F843E8" w:rsidP="00636901">
      <w:pPr>
        <w:pStyle w:val="Heading1"/>
        <w:jc w:val="left"/>
        <w:rPr>
          <w:bCs/>
          <w:lang w:val="fr-FR"/>
        </w:rPr>
      </w:pPr>
      <w:r w:rsidRPr="00C337A5">
        <w:rPr>
          <w:bCs/>
          <w:lang w:val="fr-FR"/>
        </w:rPr>
        <w:t>6</w:t>
      </w:r>
      <w:r w:rsidRPr="00C337A5">
        <w:rPr>
          <w:bCs/>
          <w:lang w:val="fr-FR"/>
        </w:rPr>
        <w:tab/>
        <w:t xml:space="preserve">Fuseau horaire local </w:t>
      </w:r>
    </w:p>
    <w:p w14:paraId="0833C291" w14:textId="77777777" w:rsidR="00F843E8" w:rsidRPr="00C337A5" w:rsidRDefault="00F843E8" w:rsidP="00741378">
      <w:pPr>
        <w:rPr>
          <w:lang w:val="fr-FR"/>
        </w:rPr>
      </w:pPr>
      <w:r w:rsidRPr="00C337A5">
        <w:rPr>
          <w:lang w:val="fr-FR"/>
        </w:rPr>
        <w:t>Le fuseau horaire local est le suivant: GMT +5 heures (pas d'heure d'été).</w:t>
      </w:r>
    </w:p>
    <w:p w14:paraId="44BBE395" w14:textId="77777777" w:rsidR="00F843E8" w:rsidRPr="00C337A5" w:rsidRDefault="00F843E8" w:rsidP="00636901">
      <w:pPr>
        <w:pStyle w:val="Heading1"/>
        <w:jc w:val="left"/>
        <w:rPr>
          <w:bCs/>
          <w:lang w:val="fr-FR"/>
        </w:rPr>
      </w:pPr>
      <w:r w:rsidRPr="00C337A5">
        <w:rPr>
          <w:bCs/>
          <w:lang w:val="fr-FR"/>
        </w:rPr>
        <w:lastRenderedPageBreak/>
        <w:t>7</w:t>
      </w:r>
      <w:r w:rsidRPr="00C337A5">
        <w:rPr>
          <w:bCs/>
          <w:lang w:val="fr-FR"/>
        </w:rPr>
        <w:tab/>
        <w:t>Tension du réseau</w:t>
      </w:r>
    </w:p>
    <w:p w14:paraId="771699BA" w14:textId="63839EA7" w:rsidR="00F843E8" w:rsidRPr="00C337A5" w:rsidRDefault="00F843E8" w:rsidP="005649A0">
      <w:pPr>
        <w:keepNext/>
        <w:jc w:val="left"/>
        <w:rPr>
          <w:lang w:val="fr-FR"/>
        </w:rPr>
      </w:pPr>
      <w:r w:rsidRPr="00C337A5">
        <w:rPr>
          <w:lang w:val="fr-FR"/>
        </w:rPr>
        <w:t>La tension du réseau est la suivante: 220 V, prise de type C/F.</w:t>
      </w:r>
    </w:p>
    <w:p w14:paraId="00279C9B" w14:textId="77777777" w:rsidR="00636901" w:rsidRPr="00C337A5" w:rsidRDefault="00636901" w:rsidP="00636901">
      <w:pPr>
        <w:spacing w:before="120" w:line="240" w:lineRule="auto"/>
        <w:jc w:val="left"/>
        <w:rPr>
          <w:rFonts w:asciiTheme="minorHAnsi" w:hAnsiTheme="minorHAnsi" w:cstheme="minorHAnsi"/>
          <w:szCs w:val="20"/>
          <w:lang w:val="fr-FR"/>
        </w:rPr>
      </w:pPr>
      <w:r w:rsidRPr="00C337A5">
        <w:rPr>
          <w:rFonts w:asciiTheme="minorHAnsi" w:hAnsiTheme="minorHAnsi" w:cstheme="minorHAnsi"/>
          <w:noProof/>
          <w:szCs w:val="20"/>
          <w:lang w:val="fr-FR"/>
        </w:rPr>
        <w:drawing>
          <wp:inline distT="0" distB="0" distL="0" distR="0" wp14:anchorId="0AAF8AE1" wp14:editId="5E0B8EB9">
            <wp:extent cx="2133600" cy="1524000"/>
            <wp:effectExtent l="0" t="0" r="0" b="0"/>
            <wp:docPr id="2851977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133600" cy="1524000"/>
                    </a:xfrm>
                    <a:prstGeom prst="rect">
                      <a:avLst/>
                    </a:prstGeom>
                    <a:noFill/>
                  </pic:spPr>
                </pic:pic>
              </a:graphicData>
            </a:graphic>
          </wp:inline>
        </w:drawing>
      </w:r>
    </w:p>
    <w:p w14:paraId="5E2D1FFE" w14:textId="4816EFC7" w:rsidR="00F843E8" w:rsidRPr="00C337A5" w:rsidRDefault="00F843E8" w:rsidP="005649A0">
      <w:pPr>
        <w:pStyle w:val="Heading1"/>
        <w:jc w:val="left"/>
        <w:rPr>
          <w:bCs/>
          <w:lang w:val="fr-FR"/>
        </w:rPr>
      </w:pPr>
      <w:r w:rsidRPr="00C337A5">
        <w:rPr>
          <w:bCs/>
          <w:lang w:val="fr-FR"/>
        </w:rPr>
        <w:t>8</w:t>
      </w:r>
      <w:r w:rsidRPr="00C337A5">
        <w:rPr>
          <w:bCs/>
          <w:lang w:val="fr-FR"/>
        </w:rPr>
        <w:tab/>
        <w:t>Météo</w:t>
      </w:r>
    </w:p>
    <w:p w14:paraId="04313608" w14:textId="7747AE69" w:rsidR="00F843E8" w:rsidRPr="00C337A5" w:rsidRDefault="00F843E8" w:rsidP="00741378">
      <w:pPr>
        <w:rPr>
          <w:lang w:val="fr-FR"/>
        </w:rPr>
      </w:pPr>
      <w:r w:rsidRPr="00C337A5">
        <w:rPr>
          <w:lang w:val="fr-FR"/>
        </w:rPr>
        <w:t>La température moyenne à Almaty en septembre est comprise entre +18 et +22°</w:t>
      </w:r>
      <w:r w:rsidR="005649A0" w:rsidRPr="00C337A5">
        <w:rPr>
          <w:lang w:val="fr-FR"/>
        </w:rPr>
        <w:t xml:space="preserve"> </w:t>
      </w:r>
      <w:r w:rsidRPr="00C337A5">
        <w:rPr>
          <w:lang w:val="fr-FR"/>
        </w:rPr>
        <w:t>C. En septembre, le temps est généralement ensoleillé et chaud.</w:t>
      </w:r>
    </w:p>
    <w:p w14:paraId="6EF293D1" w14:textId="7D30214A" w:rsidR="00F843E8" w:rsidRPr="00C337A5" w:rsidRDefault="00F843E8" w:rsidP="005649A0">
      <w:pPr>
        <w:pStyle w:val="Heading1"/>
        <w:jc w:val="left"/>
        <w:rPr>
          <w:bCs/>
          <w:lang w:val="fr-FR"/>
        </w:rPr>
      </w:pPr>
      <w:r w:rsidRPr="00C337A5">
        <w:rPr>
          <w:bCs/>
          <w:lang w:val="fr-FR"/>
        </w:rPr>
        <w:t>9</w:t>
      </w:r>
      <w:r w:rsidRPr="00C337A5">
        <w:rPr>
          <w:bCs/>
          <w:lang w:val="fr-FR"/>
        </w:rPr>
        <w:tab/>
        <w:t>Langue</w:t>
      </w:r>
    </w:p>
    <w:p w14:paraId="52E1EAB4" w14:textId="518FEBD7" w:rsidR="007B0086" w:rsidRPr="00C337A5" w:rsidRDefault="00F843E8" w:rsidP="00741378">
      <w:pPr>
        <w:rPr>
          <w:lang w:val="fr-FR"/>
        </w:rPr>
      </w:pPr>
      <w:r w:rsidRPr="00C337A5">
        <w:rPr>
          <w:lang w:val="fr-FR"/>
        </w:rPr>
        <w:t>La langue officielle de la République du Kazakhstan est le kazakh, mais la majeure partie de la population parle le russe comme deuxième langue. Un peu d'anglais est également parlé.</w:t>
      </w:r>
    </w:p>
    <w:p w14:paraId="19577897" w14:textId="387B15BB" w:rsidR="005649A0" w:rsidRPr="00C337A5" w:rsidRDefault="005649A0" w:rsidP="00F843E8">
      <w:pPr>
        <w:jc w:val="left"/>
        <w:rPr>
          <w:lang w:val="fr-FR"/>
        </w:rPr>
      </w:pPr>
      <w:r w:rsidRPr="00C337A5">
        <w:rPr>
          <w:lang w:val="fr-FR"/>
        </w:rPr>
        <w:br w:type="page"/>
      </w:r>
    </w:p>
    <w:p w14:paraId="030A23BD" w14:textId="77777777" w:rsidR="005649A0" w:rsidRPr="00C337A5" w:rsidRDefault="005649A0" w:rsidP="005649A0">
      <w:pPr>
        <w:pStyle w:val="AnnexNoTitle"/>
        <w:rPr>
          <w:sz w:val="28"/>
          <w:szCs w:val="24"/>
          <w:lang w:val="fr-FR"/>
        </w:rPr>
      </w:pPr>
      <w:r w:rsidRPr="00C337A5">
        <w:rPr>
          <w:sz w:val="28"/>
          <w:szCs w:val="24"/>
          <w:lang w:val="fr-FR"/>
        </w:rPr>
        <w:lastRenderedPageBreak/>
        <w:t>Annex 3</w:t>
      </w:r>
      <w:r w:rsidRPr="00C337A5">
        <w:rPr>
          <w:sz w:val="28"/>
          <w:szCs w:val="24"/>
          <w:lang w:val="fr-FR"/>
        </w:rPr>
        <w:br/>
      </w:r>
      <w:r w:rsidRPr="00C337A5">
        <w:rPr>
          <w:sz w:val="28"/>
          <w:szCs w:val="24"/>
          <w:lang w:val="fr-FR"/>
        </w:rPr>
        <w:br/>
        <w:t>Reservation request form for the event member 15-27 September 2024</w:t>
      </w:r>
    </w:p>
    <w:p w14:paraId="3709B472" w14:textId="77777777" w:rsidR="005649A0" w:rsidRPr="00C337A5" w:rsidRDefault="005649A0" w:rsidP="005649A0">
      <w:pPr>
        <w:rPr>
          <w:lang w:val="fr-FR"/>
        </w:rPr>
      </w:pPr>
    </w:p>
    <w:p w14:paraId="0A5C4865" w14:textId="77777777" w:rsidR="005649A0" w:rsidRPr="00C337A5" w:rsidRDefault="005649A0" w:rsidP="005649A0">
      <w:pPr>
        <w:tabs>
          <w:tab w:val="clear" w:pos="794"/>
          <w:tab w:val="clear" w:pos="1191"/>
          <w:tab w:val="clear" w:pos="1588"/>
          <w:tab w:val="clear" w:pos="1985"/>
        </w:tabs>
        <w:overflowPunct/>
        <w:autoSpaceDE/>
        <w:autoSpaceDN/>
        <w:adjustRightInd/>
        <w:spacing w:before="0" w:after="160" w:line="259" w:lineRule="auto"/>
        <w:jc w:val="left"/>
        <w:textAlignment w:val="auto"/>
        <w:rPr>
          <w:rFonts w:eastAsia="Calibri" w:cs="Arial"/>
          <w:kern w:val="2"/>
          <w:sz w:val="22"/>
          <w:lang w:val="fr-FR"/>
          <w14:ligatures w14:val="standardContextual"/>
        </w:rPr>
      </w:pPr>
    </w:p>
    <w:p w14:paraId="1152000B" w14:textId="12B51B04" w:rsidR="005649A0" w:rsidRPr="00C337A5" w:rsidRDefault="005649A0" w:rsidP="005649A0">
      <w:pPr>
        <w:tabs>
          <w:tab w:val="clear" w:pos="794"/>
          <w:tab w:val="clear" w:pos="1191"/>
          <w:tab w:val="clear" w:pos="1588"/>
          <w:tab w:val="clear" w:pos="1985"/>
        </w:tabs>
        <w:overflowPunct/>
        <w:autoSpaceDE/>
        <w:autoSpaceDN/>
        <w:adjustRightInd/>
        <w:spacing w:before="0" w:after="160" w:line="259" w:lineRule="auto"/>
        <w:jc w:val="center"/>
        <w:textAlignment w:val="auto"/>
        <w:rPr>
          <w:rFonts w:eastAsia="Calibri" w:cs="Arial"/>
          <w:kern w:val="2"/>
          <w:sz w:val="22"/>
          <w:lang w:val="fr-FR"/>
          <w14:ligatures w14:val="standardContextual"/>
        </w:rPr>
      </w:pPr>
      <w:r w:rsidRPr="00C337A5">
        <w:rPr>
          <w:rFonts w:eastAsia="Calibri" w:cs="Arial"/>
          <w:kern w:val="2"/>
          <w:sz w:val="22"/>
          <w:lang w:val="fr-FR"/>
          <w14:ligatures w14:val="standardContextual"/>
        </w:rPr>
        <w:object w:dxaOrig="1532" w:dyaOrig="991" w14:anchorId="6951D2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75pt;height:50.25pt" o:ole="">
            <v:imagedata r:id="rId26" o:title=""/>
          </v:shape>
          <o:OLEObject Type="Embed" ProgID="AcroExch.Document.DC" ShapeID="_x0000_i1025" DrawAspect="Icon" ObjectID="_1778575454" r:id="rId27"/>
        </w:object>
      </w:r>
    </w:p>
    <w:p w14:paraId="48DA2D9D" w14:textId="77777777" w:rsidR="00231B01" w:rsidRPr="00C337A5" w:rsidRDefault="00231B01" w:rsidP="00231B01">
      <w:pPr>
        <w:jc w:val="left"/>
        <w:rPr>
          <w:rFonts w:eastAsia="Calibri"/>
          <w:lang w:val="fr-FR"/>
        </w:rPr>
      </w:pPr>
    </w:p>
    <w:p w14:paraId="6D28D135" w14:textId="77777777" w:rsidR="005649A0" w:rsidRPr="00C337A5" w:rsidRDefault="005649A0">
      <w:pPr>
        <w:jc w:val="center"/>
        <w:rPr>
          <w:lang w:val="fr-FR"/>
        </w:rPr>
      </w:pPr>
      <w:r w:rsidRPr="00C337A5">
        <w:rPr>
          <w:lang w:val="fr-FR"/>
        </w:rPr>
        <w:t>______________</w:t>
      </w:r>
    </w:p>
    <w:sectPr w:rsidR="005649A0" w:rsidRPr="00C337A5" w:rsidSect="003F2F34">
      <w:headerReference w:type="even" r:id="rId28"/>
      <w:headerReference w:type="default" r:id="rId29"/>
      <w:headerReference w:type="first" r:id="rId30"/>
      <w:footerReference w:type="first" r:id="rId31"/>
      <w:pgSz w:w="11907" w:h="16834" w:code="9"/>
      <w:pgMar w:top="1134" w:right="1134" w:bottom="993" w:left="1134" w:header="567" w:footer="39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48CE98" w14:textId="77777777" w:rsidR="00304636" w:rsidRDefault="00304636">
      <w:r>
        <w:separator/>
      </w:r>
    </w:p>
  </w:endnote>
  <w:endnote w:type="continuationSeparator" w:id="0">
    <w:p w14:paraId="1BDF746B" w14:textId="77777777" w:rsidR="00304636" w:rsidRDefault="003046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plified Arabic">
    <w:charset w:val="B2"/>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554B3" w14:textId="72EC829A" w:rsidR="005E42F8" w:rsidRPr="00C52FBB" w:rsidRDefault="00305156" w:rsidP="00C52FBB">
    <w:pPr>
      <w:pStyle w:val="FirstFooter"/>
      <w:spacing w:line="240" w:lineRule="auto"/>
      <w:ind w:left="-397" w:right="-397"/>
      <w:jc w:val="center"/>
      <w:rPr>
        <w:color w:val="4F81BD"/>
        <w:sz w:val="19"/>
        <w:szCs w:val="19"/>
        <w:lang w:val="fr-CH"/>
      </w:rPr>
    </w:pPr>
    <w:r w:rsidRPr="004C1B88">
      <w:rPr>
        <w:rFonts w:asciiTheme="minorHAnsi" w:hAnsiTheme="minorHAnsi"/>
        <w:color w:val="4F81BD"/>
        <w:sz w:val="19"/>
        <w:szCs w:val="19"/>
        <w:lang w:val="fr-CH"/>
      </w:rPr>
      <w:t>Union internationale des télécommunications • Place des Nations, CH</w:t>
    </w:r>
    <w:r w:rsidRPr="004C1B88">
      <w:rPr>
        <w:rFonts w:asciiTheme="minorHAnsi" w:hAnsiTheme="minorHAnsi"/>
        <w:color w:val="4F81BD"/>
        <w:sz w:val="19"/>
        <w:szCs w:val="19"/>
        <w:lang w:val="fr-CH"/>
      </w:rPr>
      <w:noBreakHyphen/>
      <w:t>1211 Genève 20, Suisse</w:t>
    </w:r>
    <w:r w:rsidRPr="004C1B88">
      <w:rPr>
        <w:rFonts w:asciiTheme="minorHAnsi" w:hAnsiTheme="minorHAnsi"/>
        <w:color w:val="4F81BD"/>
        <w:sz w:val="19"/>
        <w:szCs w:val="19"/>
        <w:lang w:val="fr-CH"/>
      </w:rPr>
      <w:br/>
      <w:t xml:space="preserve">Tél.: +41 22 730 5111 • Courriel: </w:t>
    </w:r>
    <w:hyperlink r:id="rId1" w:history="1">
      <w:r w:rsidR="004C1B88" w:rsidRPr="00C0311F">
        <w:rPr>
          <w:rStyle w:val="Hyperlink"/>
          <w:rFonts w:asciiTheme="minorHAnsi" w:hAnsiTheme="minorHAnsi"/>
          <w:sz w:val="19"/>
          <w:szCs w:val="19"/>
          <w:lang w:val="fr-CH"/>
        </w:rPr>
        <w:t>brmail@itu.int</w:t>
      </w:r>
    </w:hyperlink>
    <w:r w:rsidRPr="004C1B88">
      <w:rPr>
        <w:rFonts w:asciiTheme="minorHAnsi" w:hAnsiTheme="minorHAnsi"/>
        <w:sz w:val="19"/>
        <w:szCs w:val="19"/>
        <w:lang w:val="fr-CH"/>
      </w:rPr>
      <w:t xml:space="preserve"> </w:t>
    </w:r>
    <w:r w:rsidRPr="004C1B88">
      <w:rPr>
        <w:rFonts w:asciiTheme="minorHAnsi" w:hAnsiTheme="minorHAnsi"/>
        <w:color w:val="4F81BD"/>
        <w:sz w:val="19"/>
        <w:szCs w:val="19"/>
        <w:lang w:val="fr-CH"/>
      </w:rPr>
      <w:t xml:space="preserve">• Fax: +41 22 733 7256 • </w:t>
    </w:r>
    <w:hyperlink r:id="rId2" w:history="1">
      <w:r w:rsidRPr="004C1B88">
        <w:rPr>
          <w:rStyle w:val="Hyperlink"/>
          <w:sz w:val="19"/>
          <w:szCs w:val="19"/>
          <w:lang w:val="fr-CH"/>
        </w:rPr>
        <w:t>www.itu.int</w:t>
      </w:r>
    </w:hyperlink>
    <w:r w:rsidRPr="004C1B88">
      <w:rPr>
        <w:color w:val="4F81BD"/>
        <w:sz w:val="19"/>
        <w:szCs w:val="19"/>
        <w:lang w:val="fr-CH"/>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D2DEBC" w14:textId="77777777" w:rsidR="00304636" w:rsidRDefault="00304636">
      <w:r>
        <w:t>____________________</w:t>
      </w:r>
    </w:p>
  </w:footnote>
  <w:footnote w:type="continuationSeparator" w:id="0">
    <w:p w14:paraId="4B1D7160" w14:textId="77777777" w:rsidR="00304636" w:rsidRDefault="00304636">
      <w:r>
        <w:continuationSeparator/>
      </w:r>
    </w:p>
  </w:footnote>
  <w:footnote w:id="1">
    <w:p w14:paraId="474A3686" w14:textId="11E4128F" w:rsidR="00A72099" w:rsidRPr="00A72099" w:rsidRDefault="00A72099" w:rsidP="00741378">
      <w:pPr>
        <w:pStyle w:val="FootnoteText"/>
        <w:spacing w:after="120"/>
        <w:rPr>
          <w:lang w:val="fr-FR"/>
        </w:rPr>
      </w:pPr>
      <w:r w:rsidRPr="00A72099">
        <w:rPr>
          <w:rStyle w:val="FootnoteReference"/>
          <w:lang w:val="fr-FR"/>
        </w:rPr>
        <w:t>*</w:t>
      </w:r>
      <w:r w:rsidRPr="00A72099">
        <w:rPr>
          <w:lang w:val="fr-FR"/>
        </w:rPr>
        <w:tab/>
        <w:t>La participation au séminaire est ouverte également aux participants au bloc de réunions des Groupes de travail</w:t>
      </w:r>
      <w:r w:rsidR="007B0086">
        <w:rPr>
          <w:lang w:val="fr-FR"/>
        </w:rPr>
        <w:t> </w:t>
      </w:r>
      <w:r w:rsidRPr="00A72099">
        <w:rPr>
          <w:lang w:val="fr-FR"/>
        </w:rPr>
        <w:t>7A, 7B, 7C et 7D de l'UIT-R, qui se tiendront après le séminaire.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F258D" w14:textId="77777777" w:rsidR="00E915AF" w:rsidRPr="002569F7" w:rsidRDefault="00E915AF" w:rsidP="003F2F34">
    <w:pPr>
      <w:pStyle w:val="Header"/>
      <w:rPr>
        <w:sz w:val="18"/>
        <w:szCs w:val="16"/>
      </w:rPr>
    </w:pPr>
    <w:r w:rsidRPr="002569F7">
      <w:rPr>
        <w:sz w:val="18"/>
        <w:szCs w:val="16"/>
      </w:rPr>
      <w:tab/>
    </w:r>
    <w:r w:rsidRPr="002569F7">
      <w:rPr>
        <w:sz w:val="18"/>
        <w:szCs w:val="16"/>
      </w:rPr>
      <w:tab/>
    </w:r>
    <w:r w:rsidR="001B42C9" w:rsidRPr="002569F7">
      <w:rPr>
        <w:rStyle w:val="PageNumber"/>
        <w:sz w:val="18"/>
        <w:szCs w:val="16"/>
      </w:rPr>
      <w:fldChar w:fldCharType="begin"/>
    </w:r>
    <w:r w:rsidRPr="002569F7">
      <w:rPr>
        <w:rStyle w:val="PageNumber"/>
        <w:sz w:val="18"/>
        <w:szCs w:val="16"/>
      </w:rPr>
      <w:instrText xml:space="preserve"> PAGE </w:instrText>
    </w:r>
    <w:r w:rsidR="001B42C9" w:rsidRPr="002569F7">
      <w:rPr>
        <w:rStyle w:val="PageNumber"/>
        <w:sz w:val="18"/>
        <w:szCs w:val="16"/>
      </w:rPr>
      <w:fldChar w:fldCharType="separate"/>
    </w:r>
    <w:r w:rsidR="003F2F34">
      <w:rPr>
        <w:rStyle w:val="PageNumber"/>
        <w:noProof/>
        <w:sz w:val="18"/>
        <w:szCs w:val="16"/>
      </w:rPr>
      <w:t>2</w:t>
    </w:r>
    <w:r w:rsidR="001B42C9" w:rsidRPr="002569F7">
      <w:rPr>
        <w:rStyle w:val="PageNumber"/>
        <w:sz w:val="18"/>
        <w:szCs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11931" w14:textId="77777777" w:rsidR="003F2F34" w:rsidRPr="003F2F34" w:rsidRDefault="003F2F34" w:rsidP="003F2F34">
    <w:pPr>
      <w:pStyle w:val="Header"/>
      <w:jc w:val="center"/>
      <w:rPr>
        <w:sz w:val="18"/>
        <w:szCs w:val="16"/>
      </w:rPr>
    </w:pPr>
    <w:r w:rsidRPr="003F2F34">
      <w:rPr>
        <w:sz w:val="18"/>
        <w:szCs w:val="16"/>
      </w:rPr>
      <w:fldChar w:fldCharType="begin"/>
    </w:r>
    <w:r w:rsidRPr="003F2F34">
      <w:rPr>
        <w:sz w:val="18"/>
        <w:szCs w:val="16"/>
      </w:rPr>
      <w:instrText xml:space="preserve"> PAGE </w:instrText>
    </w:r>
    <w:r w:rsidRPr="003F2F34">
      <w:rPr>
        <w:sz w:val="18"/>
        <w:szCs w:val="16"/>
      </w:rPr>
      <w:fldChar w:fldCharType="separate"/>
    </w:r>
    <w:r>
      <w:rPr>
        <w:noProof/>
        <w:sz w:val="18"/>
        <w:szCs w:val="16"/>
      </w:rPr>
      <w:t>2</w:t>
    </w:r>
    <w:r w:rsidRPr="003F2F34">
      <w:rPr>
        <w:sz w:val="18"/>
        <w:szCs w:val="16"/>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517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42"/>
      <w:gridCol w:w="5131"/>
    </w:tblGrid>
    <w:tr w:rsidR="004F47EA" w14:paraId="481783A9" w14:textId="77777777" w:rsidTr="00304636">
      <w:tc>
        <w:tcPr>
          <w:tcW w:w="10042" w:type="dxa"/>
          <w:tcMar>
            <w:left w:w="0" w:type="dxa"/>
          </w:tcMar>
        </w:tcPr>
        <w:p w14:paraId="2C832B73" w14:textId="77777777" w:rsidR="004F47EA" w:rsidRDefault="00304636" w:rsidP="00304636">
          <w:pPr>
            <w:pStyle w:val="Header"/>
            <w:tabs>
              <w:tab w:val="clear" w:pos="794"/>
              <w:tab w:val="clear" w:pos="4820"/>
              <w:tab w:val="clear" w:pos="9639"/>
              <w:tab w:val="left" w:pos="3960"/>
              <w:tab w:val="left" w:pos="9750"/>
            </w:tabs>
            <w:spacing w:before="120" w:line="360" w:lineRule="auto"/>
            <w:ind w:right="-342"/>
            <w:jc w:val="center"/>
          </w:pPr>
          <w:r>
            <w:rPr>
              <w:noProof/>
              <w:lang w:val="en-GB" w:eastAsia="en-GB"/>
            </w:rPr>
            <w:drawing>
              <wp:inline distT="0" distB="0" distL="0" distR="0" wp14:anchorId="3371477D" wp14:editId="1BD04A86">
                <wp:extent cx="765175" cy="765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c>
        <w:tcPr>
          <w:tcW w:w="5131" w:type="dxa"/>
        </w:tcPr>
        <w:p w14:paraId="3F26A1BC" w14:textId="77777777" w:rsidR="004F47EA" w:rsidRDefault="004F47EA" w:rsidP="00304636">
          <w:pPr>
            <w:pStyle w:val="Header"/>
            <w:spacing w:before="240" w:line="360" w:lineRule="auto"/>
            <w:ind w:left="4065" w:hanging="4065"/>
            <w:jc w:val="right"/>
          </w:pPr>
        </w:p>
      </w:tc>
    </w:tr>
  </w:tbl>
  <w:p w14:paraId="4922C67B" w14:textId="77777777" w:rsidR="00E915AF" w:rsidRPr="004F47EA" w:rsidRDefault="00E915AF" w:rsidP="004F47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abstractNum w:abstractNumId="5" w15:restartNumberingAfterBreak="0">
    <w:nsid w:val="4BCB6B0F"/>
    <w:multiLevelType w:val="hybridMultilevel"/>
    <w:tmpl w:val="22323FD2"/>
    <w:lvl w:ilvl="0" w:tplc="BA640A30">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num w:numId="1" w16cid:durableId="114238290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621971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uildingBlockITU" w:val="Building Blocks ITU.dotx"/>
  </w:docVars>
  <w:rsids>
    <w:rsidRoot w:val="00304636"/>
    <w:rsid w:val="00006A31"/>
    <w:rsid w:val="00006C82"/>
    <w:rsid w:val="00010E30"/>
    <w:rsid w:val="00015C76"/>
    <w:rsid w:val="00026CF8"/>
    <w:rsid w:val="00030BD7"/>
    <w:rsid w:val="00031E64"/>
    <w:rsid w:val="00034340"/>
    <w:rsid w:val="00035CB3"/>
    <w:rsid w:val="00045A8D"/>
    <w:rsid w:val="0005167A"/>
    <w:rsid w:val="00054E5D"/>
    <w:rsid w:val="00070258"/>
    <w:rsid w:val="0007323C"/>
    <w:rsid w:val="00086D03"/>
    <w:rsid w:val="000A096A"/>
    <w:rsid w:val="000A375E"/>
    <w:rsid w:val="000A7051"/>
    <w:rsid w:val="000B0AF6"/>
    <w:rsid w:val="000B0E9B"/>
    <w:rsid w:val="000B2CAE"/>
    <w:rsid w:val="000C03C7"/>
    <w:rsid w:val="000C2AD0"/>
    <w:rsid w:val="000E3DEE"/>
    <w:rsid w:val="000E443D"/>
    <w:rsid w:val="00100B72"/>
    <w:rsid w:val="00101F7D"/>
    <w:rsid w:val="00103C76"/>
    <w:rsid w:val="0011265F"/>
    <w:rsid w:val="00117282"/>
    <w:rsid w:val="00117389"/>
    <w:rsid w:val="00121C2D"/>
    <w:rsid w:val="00134404"/>
    <w:rsid w:val="00144DFB"/>
    <w:rsid w:val="00187CA3"/>
    <w:rsid w:val="00196710"/>
    <w:rsid w:val="00196770"/>
    <w:rsid w:val="00197324"/>
    <w:rsid w:val="001B351B"/>
    <w:rsid w:val="001B42C9"/>
    <w:rsid w:val="001C06DB"/>
    <w:rsid w:val="001C6971"/>
    <w:rsid w:val="001D2785"/>
    <w:rsid w:val="001D7070"/>
    <w:rsid w:val="001F2170"/>
    <w:rsid w:val="001F3948"/>
    <w:rsid w:val="001F5A49"/>
    <w:rsid w:val="00201097"/>
    <w:rsid w:val="00201B6E"/>
    <w:rsid w:val="002302B3"/>
    <w:rsid w:val="00230C66"/>
    <w:rsid w:val="00231B01"/>
    <w:rsid w:val="00235A29"/>
    <w:rsid w:val="00241526"/>
    <w:rsid w:val="002443A2"/>
    <w:rsid w:val="002569F7"/>
    <w:rsid w:val="00266E74"/>
    <w:rsid w:val="00283C3B"/>
    <w:rsid w:val="002861E6"/>
    <w:rsid w:val="00287D18"/>
    <w:rsid w:val="002A2618"/>
    <w:rsid w:val="002A5DD7"/>
    <w:rsid w:val="002B0CAC"/>
    <w:rsid w:val="002D5A15"/>
    <w:rsid w:val="002D5BDD"/>
    <w:rsid w:val="002D60C4"/>
    <w:rsid w:val="002E3D27"/>
    <w:rsid w:val="002F0890"/>
    <w:rsid w:val="002F2531"/>
    <w:rsid w:val="002F4967"/>
    <w:rsid w:val="002F5AA5"/>
    <w:rsid w:val="00304636"/>
    <w:rsid w:val="00305156"/>
    <w:rsid w:val="00316935"/>
    <w:rsid w:val="003266ED"/>
    <w:rsid w:val="00326C68"/>
    <w:rsid w:val="003370B8"/>
    <w:rsid w:val="00345D38"/>
    <w:rsid w:val="003471C9"/>
    <w:rsid w:val="00352097"/>
    <w:rsid w:val="003666FF"/>
    <w:rsid w:val="0037309C"/>
    <w:rsid w:val="00380A6E"/>
    <w:rsid w:val="003836D4"/>
    <w:rsid w:val="00387AE4"/>
    <w:rsid w:val="003A1F49"/>
    <w:rsid w:val="003A55ED"/>
    <w:rsid w:val="003A5D52"/>
    <w:rsid w:val="003B2BDA"/>
    <w:rsid w:val="003B55EC"/>
    <w:rsid w:val="003C2EA7"/>
    <w:rsid w:val="003C4471"/>
    <w:rsid w:val="003C7D41"/>
    <w:rsid w:val="003D4418"/>
    <w:rsid w:val="003D4A69"/>
    <w:rsid w:val="003E504F"/>
    <w:rsid w:val="003E78D6"/>
    <w:rsid w:val="003F2F34"/>
    <w:rsid w:val="00400573"/>
    <w:rsid w:val="004007A3"/>
    <w:rsid w:val="00406D71"/>
    <w:rsid w:val="00411CB3"/>
    <w:rsid w:val="004228FA"/>
    <w:rsid w:val="004326DB"/>
    <w:rsid w:val="0043682E"/>
    <w:rsid w:val="00447ECB"/>
    <w:rsid w:val="004623F7"/>
    <w:rsid w:val="00480F51"/>
    <w:rsid w:val="00481124"/>
    <w:rsid w:val="004815EB"/>
    <w:rsid w:val="00487569"/>
    <w:rsid w:val="00496864"/>
    <w:rsid w:val="00496920"/>
    <w:rsid w:val="004A4496"/>
    <w:rsid w:val="004B11AB"/>
    <w:rsid w:val="004B7C9A"/>
    <w:rsid w:val="004C1B88"/>
    <w:rsid w:val="004C6779"/>
    <w:rsid w:val="004D733B"/>
    <w:rsid w:val="004E0DC4"/>
    <w:rsid w:val="004E0FB5"/>
    <w:rsid w:val="004E4398"/>
    <w:rsid w:val="004E43BB"/>
    <w:rsid w:val="004E460D"/>
    <w:rsid w:val="004F178E"/>
    <w:rsid w:val="004F4543"/>
    <w:rsid w:val="004F47EA"/>
    <w:rsid w:val="004F57BB"/>
    <w:rsid w:val="00504AB2"/>
    <w:rsid w:val="00505309"/>
    <w:rsid w:val="0050789B"/>
    <w:rsid w:val="005224A1"/>
    <w:rsid w:val="00534372"/>
    <w:rsid w:val="00543DF8"/>
    <w:rsid w:val="00546101"/>
    <w:rsid w:val="00553DD7"/>
    <w:rsid w:val="005638CF"/>
    <w:rsid w:val="005649A0"/>
    <w:rsid w:val="0056741E"/>
    <w:rsid w:val="0057325A"/>
    <w:rsid w:val="0057469A"/>
    <w:rsid w:val="00580814"/>
    <w:rsid w:val="00583A0B"/>
    <w:rsid w:val="005A03A3"/>
    <w:rsid w:val="005A2B92"/>
    <w:rsid w:val="005A3F66"/>
    <w:rsid w:val="005A79E9"/>
    <w:rsid w:val="005B214C"/>
    <w:rsid w:val="005B3AD3"/>
    <w:rsid w:val="005B4CDA"/>
    <w:rsid w:val="005B62F0"/>
    <w:rsid w:val="005D3669"/>
    <w:rsid w:val="005E42F8"/>
    <w:rsid w:val="005E5EB3"/>
    <w:rsid w:val="005F3CB6"/>
    <w:rsid w:val="005F657C"/>
    <w:rsid w:val="00602D53"/>
    <w:rsid w:val="006047E5"/>
    <w:rsid w:val="00636901"/>
    <w:rsid w:val="00642050"/>
    <w:rsid w:val="0064371D"/>
    <w:rsid w:val="00650543"/>
    <w:rsid w:val="00650B2A"/>
    <w:rsid w:val="00651777"/>
    <w:rsid w:val="006550F8"/>
    <w:rsid w:val="006829F3"/>
    <w:rsid w:val="006A4B4E"/>
    <w:rsid w:val="006A518B"/>
    <w:rsid w:val="006B0590"/>
    <w:rsid w:val="006B49DA"/>
    <w:rsid w:val="006B5B44"/>
    <w:rsid w:val="006C53F8"/>
    <w:rsid w:val="006C7CDE"/>
    <w:rsid w:val="007234B1"/>
    <w:rsid w:val="00723D08"/>
    <w:rsid w:val="00725FDA"/>
    <w:rsid w:val="00727816"/>
    <w:rsid w:val="00730B9A"/>
    <w:rsid w:val="00741378"/>
    <w:rsid w:val="00750CFA"/>
    <w:rsid w:val="007553DA"/>
    <w:rsid w:val="00773F7E"/>
    <w:rsid w:val="00775DB8"/>
    <w:rsid w:val="00782354"/>
    <w:rsid w:val="007921A7"/>
    <w:rsid w:val="007B0086"/>
    <w:rsid w:val="007B3DB1"/>
    <w:rsid w:val="007B749C"/>
    <w:rsid w:val="007C2E1E"/>
    <w:rsid w:val="007D183E"/>
    <w:rsid w:val="007D43D0"/>
    <w:rsid w:val="007E1833"/>
    <w:rsid w:val="007E3F13"/>
    <w:rsid w:val="007F751A"/>
    <w:rsid w:val="00800012"/>
    <w:rsid w:val="0080261F"/>
    <w:rsid w:val="00806160"/>
    <w:rsid w:val="008113D8"/>
    <w:rsid w:val="008143A4"/>
    <w:rsid w:val="0081513E"/>
    <w:rsid w:val="00854131"/>
    <w:rsid w:val="0085652D"/>
    <w:rsid w:val="0087694B"/>
    <w:rsid w:val="00880F4D"/>
    <w:rsid w:val="0088443B"/>
    <w:rsid w:val="008B35A3"/>
    <w:rsid w:val="008B37E1"/>
    <w:rsid w:val="008B45F8"/>
    <w:rsid w:val="008C2E74"/>
    <w:rsid w:val="008D5409"/>
    <w:rsid w:val="008E006D"/>
    <w:rsid w:val="008E38B4"/>
    <w:rsid w:val="008F4F21"/>
    <w:rsid w:val="00904D4A"/>
    <w:rsid w:val="009076D7"/>
    <w:rsid w:val="009151BA"/>
    <w:rsid w:val="00925023"/>
    <w:rsid w:val="009277BC"/>
    <w:rsid w:val="00927D57"/>
    <w:rsid w:val="00931A51"/>
    <w:rsid w:val="00947185"/>
    <w:rsid w:val="009518B3"/>
    <w:rsid w:val="0095297D"/>
    <w:rsid w:val="00963D9D"/>
    <w:rsid w:val="0098013E"/>
    <w:rsid w:val="00981B54"/>
    <w:rsid w:val="009842C3"/>
    <w:rsid w:val="009A009A"/>
    <w:rsid w:val="009A6BB6"/>
    <w:rsid w:val="009B3F43"/>
    <w:rsid w:val="009B5CFA"/>
    <w:rsid w:val="009C161F"/>
    <w:rsid w:val="009C56B4"/>
    <w:rsid w:val="009D51A2"/>
    <w:rsid w:val="009E04A8"/>
    <w:rsid w:val="009E1ED6"/>
    <w:rsid w:val="009E4AEC"/>
    <w:rsid w:val="009E5BD8"/>
    <w:rsid w:val="009E681E"/>
    <w:rsid w:val="009F5CC2"/>
    <w:rsid w:val="00A119E6"/>
    <w:rsid w:val="00A20FBC"/>
    <w:rsid w:val="00A231BC"/>
    <w:rsid w:val="00A31370"/>
    <w:rsid w:val="00A34D6F"/>
    <w:rsid w:val="00A41F91"/>
    <w:rsid w:val="00A63355"/>
    <w:rsid w:val="00A72099"/>
    <w:rsid w:val="00A7596D"/>
    <w:rsid w:val="00A963DF"/>
    <w:rsid w:val="00AA211B"/>
    <w:rsid w:val="00AA781A"/>
    <w:rsid w:val="00AC0C22"/>
    <w:rsid w:val="00AC3896"/>
    <w:rsid w:val="00AD2CF2"/>
    <w:rsid w:val="00AE2D88"/>
    <w:rsid w:val="00AE6F6F"/>
    <w:rsid w:val="00AF3325"/>
    <w:rsid w:val="00AF34D9"/>
    <w:rsid w:val="00AF70DA"/>
    <w:rsid w:val="00B019D3"/>
    <w:rsid w:val="00B34CF9"/>
    <w:rsid w:val="00B37559"/>
    <w:rsid w:val="00B4054B"/>
    <w:rsid w:val="00B579B0"/>
    <w:rsid w:val="00B57D11"/>
    <w:rsid w:val="00B649D7"/>
    <w:rsid w:val="00B81C2F"/>
    <w:rsid w:val="00B90743"/>
    <w:rsid w:val="00B90C45"/>
    <w:rsid w:val="00B933BE"/>
    <w:rsid w:val="00BD6738"/>
    <w:rsid w:val="00BD7E5E"/>
    <w:rsid w:val="00BE63DB"/>
    <w:rsid w:val="00BE6574"/>
    <w:rsid w:val="00C07319"/>
    <w:rsid w:val="00C07F2D"/>
    <w:rsid w:val="00C16FD2"/>
    <w:rsid w:val="00C236AF"/>
    <w:rsid w:val="00C337A5"/>
    <w:rsid w:val="00C3556B"/>
    <w:rsid w:val="00C4395E"/>
    <w:rsid w:val="00C47FFD"/>
    <w:rsid w:val="00C51E92"/>
    <w:rsid w:val="00C52FBB"/>
    <w:rsid w:val="00C57E2C"/>
    <w:rsid w:val="00C608B7"/>
    <w:rsid w:val="00C66F24"/>
    <w:rsid w:val="00C76D7F"/>
    <w:rsid w:val="00C813AA"/>
    <w:rsid w:val="00C9291E"/>
    <w:rsid w:val="00CA3F44"/>
    <w:rsid w:val="00CA4E58"/>
    <w:rsid w:val="00CB3771"/>
    <w:rsid w:val="00CB44BF"/>
    <w:rsid w:val="00CB5153"/>
    <w:rsid w:val="00CE076A"/>
    <w:rsid w:val="00CE463D"/>
    <w:rsid w:val="00D10BA0"/>
    <w:rsid w:val="00D21694"/>
    <w:rsid w:val="00D24EB5"/>
    <w:rsid w:val="00D35AB9"/>
    <w:rsid w:val="00D41571"/>
    <w:rsid w:val="00D416A0"/>
    <w:rsid w:val="00D47672"/>
    <w:rsid w:val="00D5123C"/>
    <w:rsid w:val="00D55560"/>
    <w:rsid w:val="00D61C5A"/>
    <w:rsid w:val="00D62111"/>
    <w:rsid w:val="00D6287C"/>
    <w:rsid w:val="00D6790C"/>
    <w:rsid w:val="00D73277"/>
    <w:rsid w:val="00D76586"/>
    <w:rsid w:val="00D82657"/>
    <w:rsid w:val="00D87E20"/>
    <w:rsid w:val="00DA4037"/>
    <w:rsid w:val="00DE66A5"/>
    <w:rsid w:val="00DF2B50"/>
    <w:rsid w:val="00DF6ACB"/>
    <w:rsid w:val="00E01059"/>
    <w:rsid w:val="00E04C86"/>
    <w:rsid w:val="00E17344"/>
    <w:rsid w:val="00E20F30"/>
    <w:rsid w:val="00E2189C"/>
    <w:rsid w:val="00E25BB1"/>
    <w:rsid w:val="00E27BBA"/>
    <w:rsid w:val="00E30E3F"/>
    <w:rsid w:val="00E35E8F"/>
    <w:rsid w:val="00E428AB"/>
    <w:rsid w:val="00E438E8"/>
    <w:rsid w:val="00E453A3"/>
    <w:rsid w:val="00E520E2"/>
    <w:rsid w:val="00E530C4"/>
    <w:rsid w:val="00E53DCE"/>
    <w:rsid w:val="00E55996"/>
    <w:rsid w:val="00E64254"/>
    <w:rsid w:val="00E67928"/>
    <w:rsid w:val="00E70FB5"/>
    <w:rsid w:val="00E915AF"/>
    <w:rsid w:val="00E96415"/>
    <w:rsid w:val="00EA15B3"/>
    <w:rsid w:val="00EA2C83"/>
    <w:rsid w:val="00EB2358"/>
    <w:rsid w:val="00EB3EB8"/>
    <w:rsid w:val="00EC00EF"/>
    <w:rsid w:val="00EC02FE"/>
    <w:rsid w:val="00EC3DA4"/>
    <w:rsid w:val="00EC4A96"/>
    <w:rsid w:val="00EE03A0"/>
    <w:rsid w:val="00EE1A57"/>
    <w:rsid w:val="00F424BF"/>
    <w:rsid w:val="00F44FC3"/>
    <w:rsid w:val="00F46107"/>
    <w:rsid w:val="00F468C5"/>
    <w:rsid w:val="00F52F39"/>
    <w:rsid w:val="00F6184F"/>
    <w:rsid w:val="00F73DBD"/>
    <w:rsid w:val="00F8310E"/>
    <w:rsid w:val="00F843E8"/>
    <w:rsid w:val="00F914DD"/>
    <w:rsid w:val="00FA2358"/>
    <w:rsid w:val="00FA6598"/>
    <w:rsid w:val="00FB2592"/>
    <w:rsid w:val="00FB2810"/>
    <w:rsid w:val="00FB7A2C"/>
    <w:rsid w:val="00FC2947"/>
    <w:rsid w:val="00FE0818"/>
    <w:rsid w:val="00FE6FB1"/>
    <w:rsid w:val="00FF33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277B6AD5"/>
  <w15:docId w15:val="{F99C1041-B9CA-419B-A44C-70D5D0440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fr-CH"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B62F0"/>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4"/>
      <w:szCs w:val="22"/>
      <w:lang w:val="en-US" w:eastAsia="en-US"/>
    </w:rPr>
  </w:style>
  <w:style w:type="paragraph" w:styleId="Heading1">
    <w:name w:val="heading 1"/>
    <w:basedOn w:val="Normal"/>
    <w:next w:val="Normal"/>
    <w:qFormat/>
    <w:rsid w:val="004326DB"/>
    <w:pPr>
      <w:keepNext/>
      <w:keepLines/>
      <w:spacing w:before="600" w:line="320" w:lineRule="exact"/>
      <w:ind w:left="794" w:hanging="794"/>
      <w:outlineLvl w:val="0"/>
    </w:pPr>
    <w:rPr>
      <w:b/>
    </w:rPr>
  </w:style>
  <w:style w:type="paragraph" w:styleId="Heading2">
    <w:name w:val="heading 2"/>
    <w:basedOn w:val="Heading1"/>
    <w:next w:val="Normal"/>
    <w:qFormat/>
    <w:rsid w:val="004326DB"/>
    <w:pPr>
      <w:spacing w:before="360"/>
      <w:outlineLvl w:val="1"/>
    </w:pPr>
  </w:style>
  <w:style w:type="paragraph" w:styleId="Heading3">
    <w:name w:val="heading 3"/>
    <w:basedOn w:val="Heading1"/>
    <w:next w:val="Normal"/>
    <w:qFormat/>
    <w:rsid w:val="004326DB"/>
    <w:pPr>
      <w:spacing w:before="240"/>
      <w:outlineLvl w:val="2"/>
    </w:pPr>
  </w:style>
  <w:style w:type="paragraph" w:styleId="Heading4">
    <w:name w:val="heading 4"/>
    <w:basedOn w:val="Heading3"/>
    <w:next w:val="Normal"/>
    <w:qFormat/>
    <w:rsid w:val="004326DB"/>
    <w:pPr>
      <w:tabs>
        <w:tab w:val="clear" w:pos="794"/>
        <w:tab w:val="left" w:pos="1021"/>
      </w:tabs>
      <w:ind w:left="1021" w:hanging="1021"/>
      <w:outlineLvl w:val="3"/>
    </w:pPr>
  </w:style>
  <w:style w:type="paragraph" w:styleId="Heading5">
    <w:name w:val="heading 5"/>
    <w:basedOn w:val="Heading4"/>
    <w:next w:val="Normal"/>
    <w:qFormat/>
    <w:rsid w:val="004326DB"/>
    <w:pPr>
      <w:outlineLvl w:val="4"/>
    </w:pPr>
  </w:style>
  <w:style w:type="paragraph" w:styleId="Heading6">
    <w:name w:val="heading 6"/>
    <w:basedOn w:val="Heading4"/>
    <w:next w:val="Normal"/>
    <w:qFormat/>
    <w:rsid w:val="004326DB"/>
    <w:pPr>
      <w:tabs>
        <w:tab w:val="clear" w:pos="1021"/>
        <w:tab w:val="clear" w:pos="1191"/>
      </w:tabs>
      <w:ind w:left="1588" w:hanging="1588"/>
      <w:outlineLvl w:val="5"/>
    </w:pPr>
  </w:style>
  <w:style w:type="paragraph" w:styleId="Heading7">
    <w:name w:val="heading 7"/>
    <w:basedOn w:val="Heading6"/>
    <w:next w:val="Normal"/>
    <w:qFormat/>
    <w:rsid w:val="004326DB"/>
    <w:pPr>
      <w:outlineLvl w:val="6"/>
    </w:pPr>
  </w:style>
  <w:style w:type="paragraph" w:styleId="Heading8">
    <w:name w:val="heading 8"/>
    <w:basedOn w:val="Heading6"/>
    <w:next w:val="Normal"/>
    <w:qFormat/>
    <w:rsid w:val="004326DB"/>
    <w:pPr>
      <w:outlineLvl w:val="7"/>
    </w:pPr>
  </w:style>
  <w:style w:type="paragraph" w:styleId="Heading9">
    <w:name w:val="heading 9"/>
    <w:basedOn w:val="Heading6"/>
    <w:next w:val="Normal"/>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4326DB"/>
  </w:style>
  <w:style w:type="paragraph" w:styleId="TOC4">
    <w:name w:val="toc 4"/>
    <w:basedOn w:val="TOC3"/>
    <w:semiHidden/>
    <w:rsid w:val="004326DB"/>
  </w:style>
  <w:style w:type="paragraph" w:styleId="TOC3">
    <w:name w:val="toc 3"/>
    <w:basedOn w:val="TOC2"/>
    <w:semiHidden/>
    <w:rsid w:val="004326DB"/>
  </w:style>
  <w:style w:type="paragraph" w:styleId="TOC2">
    <w:name w:val="toc 2"/>
    <w:basedOn w:val="TOC1"/>
    <w:semiHidden/>
    <w:rsid w:val="004326DB"/>
    <w:pPr>
      <w:spacing w:before="80"/>
      <w:ind w:left="1531" w:hanging="851"/>
    </w:pPr>
  </w:style>
  <w:style w:type="paragraph" w:styleId="TOC1">
    <w:name w:val="toc 1"/>
    <w:basedOn w:val="Normal"/>
    <w:semiHidden/>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4326DB"/>
  </w:style>
  <w:style w:type="paragraph" w:styleId="TOC6">
    <w:name w:val="toc 6"/>
    <w:basedOn w:val="TOC4"/>
    <w:semiHidden/>
    <w:rsid w:val="004326DB"/>
  </w:style>
  <w:style w:type="paragraph" w:styleId="TOC5">
    <w:name w:val="toc 5"/>
    <w:basedOn w:val="TOC4"/>
    <w:semiHidden/>
    <w:rsid w:val="004326DB"/>
  </w:style>
  <w:style w:type="paragraph" w:styleId="Footer">
    <w:name w:val="footer"/>
    <w:basedOn w:val="Normal"/>
    <w:rsid w:val="004326DB"/>
    <w:pPr>
      <w:tabs>
        <w:tab w:val="clear" w:pos="794"/>
        <w:tab w:val="clear" w:pos="1191"/>
        <w:tab w:val="clear" w:pos="1588"/>
        <w:tab w:val="clear" w:pos="1985"/>
        <w:tab w:val="center" w:pos="4320"/>
        <w:tab w:val="right" w:pos="8640"/>
      </w:tabs>
    </w:pPr>
  </w:style>
  <w:style w:type="paragraph" w:styleId="Header">
    <w:name w:val="header"/>
    <w:basedOn w:val="Normal"/>
    <w:link w:val="HeaderChar"/>
    <w:rsid w:val="00235A29"/>
    <w:pPr>
      <w:tabs>
        <w:tab w:val="clear" w:pos="1191"/>
        <w:tab w:val="clear" w:pos="1588"/>
        <w:tab w:val="clear" w:pos="1985"/>
        <w:tab w:val="center" w:pos="4820"/>
        <w:tab w:val="center" w:pos="9639"/>
      </w:tabs>
      <w:spacing w:before="0"/>
      <w:jc w:val="left"/>
    </w:pPr>
  </w:style>
  <w:style w:type="character" w:styleId="FootnoteReference">
    <w:name w:val="footnote reference"/>
    <w:basedOn w:val="DefaultParagraphFont"/>
    <w:semiHidden/>
    <w:rsid w:val="004326DB"/>
    <w:rPr>
      <w:position w:val="6"/>
      <w:sz w:val="18"/>
    </w:rPr>
  </w:style>
  <w:style w:type="paragraph" w:styleId="FootnoteText">
    <w:name w:val="footnote text"/>
    <w:basedOn w:val="Note"/>
    <w:semiHidden/>
    <w:rsid w:val="004326DB"/>
    <w:pPr>
      <w:keepLines/>
      <w:tabs>
        <w:tab w:val="left" w:pos="255"/>
      </w:tabs>
      <w:ind w:left="255" w:hanging="255"/>
    </w:pPr>
  </w:style>
  <w:style w:type="paragraph" w:customStyle="1" w:styleId="Note">
    <w:name w:val="Note"/>
    <w:basedOn w:val="Normal"/>
    <w:rsid w:val="004326DB"/>
    <w:pPr>
      <w:spacing w:before="80" w:line="240" w:lineRule="exact"/>
    </w:pPr>
    <w:rPr>
      <w:sz w:val="20"/>
    </w:rPr>
  </w:style>
  <w:style w:type="paragraph" w:customStyle="1" w:styleId="enumlev1">
    <w:name w:val="enumlev1"/>
    <w:basedOn w:val="Normal"/>
    <w:rsid w:val="004326DB"/>
    <w:pPr>
      <w:spacing w:before="80"/>
      <w:ind w:left="794" w:hanging="794"/>
    </w:pPr>
  </w:style>
  <w:style w:type="paragraph" w:customStyle="1" w:styleId="enumlev2">
    <w:name w:val="enumlev2"/>
    <w:basedOn w:val="enumlev1"/>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jc w:val="left"/>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jc w:val="left"/>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rPr>
  </w:style>
  <w:style w:type="paragraph" w:customStyle="1" w:styleId="Normalaftertitle">
    <w:name w:val="Normal_after_title"/>
    <w:basedOn w:val="Normal"/>
    <w:next w:val="Normal"/>
    <w:rsid w:val="004326DB"/>
    <w:pPr>
      <w:spacing w:before="400"/>
    </w:p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jc w:val="left"/>
    </w:pPr>
  </w:style>
  <w:style w:type="paragraph" w:styleId="Index1">
    <w:name w:val="index 1"/>
    <w:basedOn w:val="Normal"/>
    <w:next w:val="Normal"/>
    <w:semiHidden/>
    <w:rsid w:val="004326DB"/>
    <w:pPr>
      <w:jc w:val="left"/>
    </w:pPr>
  </w:style>
  <w:style w:type="paragraph" w:customStyle="1" w:styleId="Formal">
    <w:name w:val="Formal"/>
    <w:basedOn w:val="ASN1"/>
    <w:rsid w:val="004326DB"/>
    <w:rPr>
      <w:b w:val="0"/>
    </w:rPr>
  </w:style>
  <w:style w:type="paragraph" w:customStyle="1" w:styleId="AnnexNoTitle">
    <w:name w:val="Annex_NoTitle"/>
    <w:basedOn w:val="Normal"/>
    <w:next w:val="Normalaftertitle"/>
    <w:rsid w:val="004326DB"/>
    <w:pPr>
      <w:keepNext/>
      <w:keepLines/>
      <w:spacing w:before="720" w:after="120"/>
      <w:jc w:val="center"/>
    </w:pPr>
    <w:rPr>
      <w:b/>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rsid w:val="004326DB"/>
    <w:pPr>
      <w:keepNext/>
      <w:keepLines/>
      <w:spacing w:before="240"/>
      <w:ind w:left="794"/>
      <w:jc w:val="left"/>
    </w:pPr>
    <w:rPr>
      <w: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4326DB"/>
    <w:pPr>
      <w:keepNext/>
      <w:keepLines/>
      <w:spacing w:before="240" w:after="120" w:line="240" w:lineRule="auto"/>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4326DB"/>
    <w:pPr>
      <w:keepNext/>
      <w:spacing w:before="240"/>
      <w:ind w:left="794" w:hanging="794"/>
    </w:pPr>
    <w:rPr>
      <w:b/>
    </w:rPr>
  </w:style>
  <w:style w:type="paragraph" w:customStyle="1" w:styleId="Headingi">
    <w:name w:val="Heading_i"/>
    <w:basedOn w:val="Normal"/>
    <w:next w:val="Normal"/>
    <w:rsid w:val="004326DB"/>
    <w:pPr>
      <w:keepNext/>
      <w:spacing w:before="240"/>
      <w:jc w:val="left"/>
    </w:pPr>
    <w:rPr>
      <w:i/>
    </w:rPr>
  </w:style>
  <w:style w:type="paragraph" w:styleId="Index2">
    <w:name w:val="index 2"/>
    <w:basedOn w:val="Normal"/>
    <w:next w:val="Normal"/>
    <w:semiHidden/>
    <w:rsid w:val="004326DB"/>
    <w:pPr>
      <w:ind w:left="284"/>
      <w:jc w:val="left"/>
    </w:pPr>
  </w:style>
  <w:style w:type="paragraph" w:styleId="Index3">
    <w:name w:val="index 3"/>
    <w:basedOn w:val="Normal"/>
    <w:next w:val="Normal"/>
    <w:semiHidden/>
    <w:rsid w:val="004326DB"/>
    <w:pPr>
      <w:ind w:left="567"/>
      <w:jc w:val="left"/>
    </w:pPr>
  </w:style>
  <w:style w:type="paragraph" w:customStyle="1" w:styleId="PartNo">
    <w:name w:val="Part_No"/>
    <w:basedOn w:val="Normal"/>
    <w:next w:val="Partref"/>
    <w:rsid w:val="004326DB"/>
    <w:pPr>
      <w:keepNext/>
      <w:keepLines/>
      <w:spacing w:before="480" w:after="80"/>
    </w:pPr>
    <w:rPr>
      <w:caps/>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rsid w:val="004326DB"/>
    <w:pPr>
      <w:keepNext/>
      <w:keepLines/>
      <w:spacing w:before="0"/>
      <w:jc w:val="left"/>
    </w:pPr>
    <w:rPr>
      <w:b/>
      <w:sz w:val="28"/>
    </w:rPr>
  </w:style>
  <w:style w:type="paragraph" w:customStyle="1" w:styleId="Rectitle">
    <w:name w:val="Rec_title"/>
    <w:basedOn w:val="Normal"/>
    <w:next w:val="Normalaftertitle"/>
    <w:rsid w:val="004326DB"/>
    <w:pPr>
      <w:keepNext/>
      <w:keepLines/>
      <w:spacing w:before="360" w:line="240" w:lineRule="auto"/>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Hyperlink">
    <w:name w:val="Hyperlink"/>
    <w:basedOn w:val="DefaultParagraphFont"/>
    <w:uiPriority w:val="99"/>
    <w:rsid w:val="004326DB"/>
    <w:rPr>
      <w:color w:val="0000FF"/>
      <w:u w:val="single"/>
    </w:rPr>
  </w:style>
  <w:style w:type="character" w:styleId="CommentReference">
    <w:name w:val="annotation reference"/>
    <w:basedOn w:val="DefaultParagraphFont"/>
    <w:semiHidden/>
    <w:rsid w:val="004326DB"/>
    <w:rPr>
      <w:sz w:val="16"/>
      <w:szCs w:val="16"/>
    </w:rPr>
  </w:style>
  <w:style w:type="paragraph" w:styleId="CommentText">
    <w:name w:val="annotation text"/>
    <w:basedOn w:val="Normal"/>
    <w:semiHidden/>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EA15B3"/>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80001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800012"/>
    <w:rPr>
      <w:rFonts w:ascii="Tahoma" w:hAnsi="Tahoma" w:cs="Tahoma"/>
      <w:sz w:val="16"/>
      <w:szCs w:val="16"/>
      <w:lang w:val="en-US" w:eastAsia="en-US"/>
    </w:rPr>
  </w:style>
  <w:style w:type="paragraph" w:styleId="PlainText">
    <w:name w:val="Plain Text"/>
    <w:basedOn w:val="Normal"/>
    <w:link w:val="PlainTextChar"/>
    <w:uiPriority w:val="99"/>
    <w:unhideWhenUsed/>
    <w:rsid w:val="00031E64"/>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uiPriority w:val="99"/>
    <w:rsid w:val="00031E64"/>
    <w:rPr>
      <w:rFonts w:eastAsia="SimSun"/>
      <w:sz w:val="22"/>
      <w:szCs w:val="22"/>
      <w:lang w:val="en-US"/>
    </w:rPr>
  </w:style>
  <w:style w:type="paragraph" w:customStyle="1" w:styleId="FromRef">
    <w:name w:val="FromRef"/>
    <w:basedOn w:val="Normal"/>
    <w:uiPriority w:val="99"/>
    <w:rsid w:val="009B3F43"/>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9B3F43"/>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uiPriority w:val="22"/>
    <w:qFormat/>
    <w:rsid w:val="009518B3"/>
    <w:rPr>
      <w:b/>
      <w:bCs/>
    </w:rPr>
  </w:style>
  <w:style w:type="table" w:styleId="TableGrid">
    <w:name w:val="Table Grid"/>
    <w:basedOn w:val="TableNormal"/>
    <w:rsid w:val="006420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42F8"/>
    <w:pPr>
      <w:tabs>
        <w:tab w:val="clear" w:pos="794"/>
        <w:tab w:val="clear" w:pos="1191"/>
        <w:tab w:val="clear" w:pos="1588"/>
        <w:tab w:val="clear" w:pos="1985"/>
      </w:tabs>
      <w:overflowPunct/>
      <w:autoSpaceDE/>
      <w:autoSpaceDN/>
      <w:adjustRightInd/>
      <w:spacing w:before="0" w:line="240" w:lineRule="auto"/>
      <w:ind w:left="720"/>
      <w:contextualSpacing/>
      <w:jc w:val="left"/>
      <w:textAlignment w:val="auto"/>
    </w:pPr>
    <w:rPr>
      <w:rFonts w:eastAsia="SimSun" w:cs="Times New Roman"/>
      <w:sz w:val="22"/>
      <w:lang w:eastAsia="zh-CN"/>
    </w:rPr>
  </w:style>
  <w:style w:type="character" w:customStyle="1" w:styleId="HeaderChar">
    <w:name w:val="Header Char"/>
    <w:basedOn w:val="DefaultParagraphFont"/>
    <w:link w:val="Header"/>
    <w:rsid w:val="003F2F34"/>
    <w:rPr>
      <w:sz w:val="24"/>
      <w:szCs w:val="22"/>
      <w:lang w:val="en-US" w:eastAsia="en-US"/>
    </w:rPr>
  </w:style>
  <w:style w:type="character" w:styleId="UnresolvedMention">
    <w:name w:val="Unresolved Mention"/>
    <w:basedOn w:val="DefaultParagraphFont"/>
    <w:uiPriority w:val="99"/>
    <w:semiHidden/>
    <w:unhideWhenUsed/>
    <w:rsid w:val="004C1B88"/>
    <w:rPr>
      <w:color w:val="605E5C"/>
      <w:shd w:val="clear" w:color="auto" w:fill="E1DFDD"/>
    </w:rPr>
  </w:style>
  <w:style w:type="character" w:styleId="FollowedHyperlink">
    <w:name w:val="FollowedHyperlink"/>
    <w:basedOn w:val="DefaultParagraphFont"/>
    <w:semiHidden/>
    <w:unhideWhenUsed/>
    <w:rsid w:val="00F843E8"/>
    <w:rPr>
      <w:color w:val="800080" w:themeColor="followedHyperlink"/>
      <w:u w:val="single"/>
    </w:rPr>
  </w:style>
  <w:style w:type="paragraph" w:customStyle="1" w:styleId="Reasons">
    <w:name w:val="Reasons"/>
    <w:basedOn w:val="Normal"/>
    <w:qFormat/>
    <w:rsid w:val="005649A0"/>
    <w:pPr>
      <w:tabs>
        <w:tab w:val="clear" w:pos="794"/>
        <w:tab w:val="clear" w:pos="1191"/>
        <w:tab w:val="clear" w:pos="1588"/>
        <w:tab w:val="clear" w:pos="1985"/>
      </w:tabs>
      <w:overflowPunct/>
      <w:autoSpaceDE/>
      <w:autoSpaceDN/>
      <w:adjustRightInd/>
      <w:spacing w:before="0" w:line="240" w:lineRule="auto"/>
      <w:jc w:val="left"/>
      <w:textAlignment w:val="auto"/>
    </w:pPr>
    <w:rPr>
      <w:rFonts w:ascii="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vadim.nozdrin@itu.int" TargetMode="External"/><Relationship Id="rId18" Type="http://schemas.openxmlformats.org/officeDocument/2006/relationships/hyperlink" Target="https://alaport.com/en-EN/" TargetMode="External"/><Relationship Id="rId26" Type="http://schemas.openxmlformats.org/officeDocument/2006/relationships/image" Target="media/image2.emf"/><Relationship Id="rId3" Type="http://schemas.openxmlformats.org/officeDocument/2006/relationships/styles" Target="styles.xml"/><Relationship Id="rId21" Type="http://schemas.openxmlformats.org/officeDocument/2006/relationships/hyperlink" Target="mailto:comadmkaz@gmail.com" TargetMode="External"/><Relationship Id="rId7" Type="http://schemas.openxmlformats.org/officeDocument/2006/relationships/endnotes" Target="endnotes.xml"/><Relationship Id="rId12" Type="http://schemas.openxmlformats.org/officeDocument/2006/relationships/hyperlink" Target="https://www.itu.int/Global-ITU-WMO/" TargetMode="External"/><Relationship Id="rId17" Type="http://schemas.openxmlformats.org/officeDocument/2006/relationships/hyperlink" Target="https://novotel-almaty-city-center.almaty-hotel.com/en/" TargetMode="External"/><Relationship Id="rId25" Type="http://schemas.openxmlformats.org/officeDocument/2006/relationships/image" Target="media/image1.pn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itu.int/fr/ITU-R/information/events/Pages/eventregistration.aspx" TargetMode="External"/><Relationship Id="rId20" Type="http://schemas.openxmlformats.org/officeDocument/2006/relationships/hyperlink" Target="https://egov.kz/cms/en/articles/for_foreigners/visa_regime_for_foreigners"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rcc.org.ru/" TargetMode="External"/><Relationship Id="rId24" Type="http://schemas.openxmlformats.org/officeDocument/2006/relationships/hyperlink" Target="mailto:h8582-re1@accor.com"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novotel-almaty-city-center.almaty-hotel.com/en/" TargetMode="External"/><Relationship Id="rId23" Type="http://schemas.openxmlformats.org/officeDocument/2006/relationships/hyperlink" Target="mailto:h8582-re@accor.com" TargetMode="External"/><Relationship Id="rId28" Type="http://schemas.openxmlformats.org/officeDocument/2006/relationships/header" Target="header1.xml"/><Relationship Id="rId10" Type="http://schemas.openxmlformats.org/officeDocument/2006/relationships/hyperlink" Target="https://www.gov.kz/memleket/entities/mdai?lang=en" TargetMode="External"/><Relationship Id="rId19" Type="http://schemas.openxmlformats.org/officeDocument/2006/relationships/hyperlink" Target="https://taxi.yandex.kz/en_kz/almaty/tariff/"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itu.int/fr/Pages/default.aspx" TargetMode="External"/><Relationship Id="rId14" Type="http://schemas.openxmlformats.org/officeDocument/2006/relationships/hyperlink" Target="mailto:ndonoho@wmo.int" TargetMode="External"/><Relationship Id="rId22" Type="http://schemas.openxmlformats.org/officeDocument/2006/relationships/hyperlink" Target="mailto:h8582-fo2@accor.com" TargetMode="External"/><Relationship Id="rId27" Type="http://schemas.openxmlformats.org/officeDocument/2006/relationships/oleObject" Target="embeddings/oleObject1.bin"/><Relationship Id="rId30" Type="http://schemas.openxmlformats.org/officeDocument/2006/relationships/header" Target="header3.xml"/><Relationship Id="rId8" Type="http://schemas.openxmlformats.org/officeDocument/2006/relationships/hyperlink" Target="https://wmo.int/fr"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brmail@itu.in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58754E-7621-4B8E-A469-3744FFE0D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10</Pages>
  <Words>2555</Words>
  <Characters>16182</Characters>
  <Application>Microsoft Office Word</Application>
  <DocSecurity>0</DocSecurity>
  <Lines>134</Lines>
  <Paragraphs>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(English)</vt:lpstr>
      <vt:lpstr>ITU-T Rec. Book 1 Resolutions ITU-T Series A Recommendations:</vt:lpstr>
    </vt:vector>
  </TitlesOfParts>
  <Company>ITU</Company>
  <LinksUpToDate>false</LinksUpToDate>
  <CharactersWithSpaces>18700</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creator>Panoussopoulos, Sonia</dc:creator>
  <cp:lastModifiedBy>Chamova, Alisa</cp:lastModifiedBy>
  <cp:revision>12</cp:revision>
  <cp:lastPrinted>2013-03-08T10:15:00Z</cp:lastPrinted>
  <dcterms:created xsi:type="dcterms:W3CDTF">2024-05-27T13:46:00Z</dcterms:created>
  <dcterms:modified xsi:type="dcterms:W3CDTF">2024-05-30T09:52:00Z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