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7D663A2" w14:textId="77777777" w:rsidR="00E53DCE" w:rsidRDefault="00E53DCE" w:rsidP="006160CB">
            <w:pPr>
              <w:spacing w:before="0"/>
              <w:jc w:val="left"/>
              <w:rPr>
                <w:rFonts w:cstheme="minorHAnsi"/>
                <w:b/>
                <w:bCs/>
                <w:color w:val="808080"/>
                <w:sz w:val="28"/>
                <w:szCs w:val="28"/>
                <w:lang w:val="en-GB"/>
              </w:rPr>
            </w:pP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7336819E" w:rsidR="00E53DCE" w:rsidRPr="001B3D4D" w:rsidRDefault="001B3D4D" w:rsidP="006160CB">
            <w:pPr>
              <w:spacing w:before="0"/>
              <w:jc w:val="left"/>
              <w:rPr>
                <w:szCs w:val="24"/>
                <w:lang w:val="es-ES"/>
              </w:rPr>
            </w:pPr>
            <w:r w:rsidRPr="0075124D">
              <w:rPr>
                <w:lang w:val="es-ES_tradnl"/>
              </w:rPr>
              <w:t>Carta Circular</w:t>
            </w:r>
          </w:p>
          <w:p w14:paraId="69D58805" w14:textId="712CE761" w:rsidR="00E53DCE" w:rsidRPr="001B3D4D" w:rsidRDefault="001B3D4D" w:rsidP="006160CB">
            <w:pPr>
              <w:spacing w:before="0"/>
              <w:jc w:val="left"/>
              <w:rPr>
                <w:b/>
                <w:bCs/>
                <w:szCs w:val="24"/>
                <w:lang w:val="es-ES"/>
              </w:rPr>
            </w:pPr>
            <w:r w:rsidRPr="006C535E">
              <w:rPr>
                <w:b/>
                <w:bCs/>
                <w:szCs w:val="24"/>
                <w:lang w:val="es-ES"/>
              </w:rPr>
              <w:t>C</w:t>
            </w:r>
            <w:r w:rsidR="00AD33AD" w:rsidRPr="006C535E">
              <w:rPr>
                <w:b/>
                <w:bCs/>
                <w:szCs w:val="24"/>
                <w:lang w:val="es-ES"/>
              </w:rPr>
              <w:t>A</w:t>
            </w:r>
            <w:r w:rsidR="006D2A99" w:rsidRPr="006C535E">
              <w:rPr>
                <w:b/>
                <w:bCs/>
                <w:szCs w:val="24"/>
                <w:lang w:val="es-ES"/>
              </w:rPr>
              <w:t>/</w:t>
            </w:r>
            <w:r w:rsidR="006C535E">
              <w:rPr>
                <w:b/>
                <w:bCs/>
                <w:szCs w:val="24"/>
                <w:lang w:val="es-ES"/>
              </w:rPr>
              <w:t>272</w:t>
            </w:r>
          </w:p>
        </w:tc>
        <w:tc>
          <w:tcPr>
            <w:tcW w:w="2835" w:type="dxa"/>
            <w:shd w:val="clear" w:color="auto" w:fill="auto"/>
          </w:tcPr>
          <w:p w14:paraId="3FD01BE1" w14:textId="1B3FBE02" w:rsidR="00E53DCE" w:rsidRPr="002B7EE0" w:rsidRDefault="00AD33AD" w:rsidP="006160CB">
            <w:pPr>
              <w:spacing w:before="0"/>
              <w:jc w:val="right"/>
              <w:rPr>
                <w:szCs w:val="24"/>
                <w:lang w:val="fr-FR"/>
              </w:rPr>
            </w:pPr>
            <w:r w:rsidRPr="00AD33AD">
              <w:rPr>
                <w:bCs/>
                <w:szCs w:val="24"/>
                <w:lang w:val="fr-FR"/>
              </w:rPr>
              <w:t>1</w:t>
            </w:r>
            <w:r w:rsidR="006D2A99" w:rsidRPr="00AD33AD">
              <w:rPr>
                <w:bCs/>
                <w:szCs w:val="24"/>
                <w:lang w:val="fr-FR"/>
              </w:rPr>
              <w:t xml:space="preserve"> de </w:t>
            </w:r>
            <w:proofErr w:type="spellStart"/>
            <w:r w:rsidRPr="00AD33AD">
              <w:rPr>
                <w:bCs/>
                <w:szCs w:val="24"/>
                <w:lang w:val="fr-FR"/>
              </w:rPr>
              <w:t>marz</w:t>
            </w:r>
            <w:r w:rsidR="006D2A99" w:rsidRPr="00AD33AD">
              <w:rPr>
                <w:bCs/>
                <w:szCs w:val="24"/>
                <w:lang w:val="fr-FR"/>
              </w:rPr>
              <w:t>o</w:t>
            </w:r>
            <w:proofErr w:type="spellEnd"/>
            <w:r w:rsidR="006D2A99" w:rsidRPr="00AD33AD">
              <w:rPr>
                <w:bCs/>
                <w:szCs w:val="24"/>
                <w:lang w:val="fr-FR"/>
              </w:rPr>
              <w:t xml:space="preserve"> de 2024</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3029C" w:rsidRDefault="00E53DCE" w:rsidP="006160CB">
            <w:pPr>
              <w:spacing w:before="0"/>
              <w:jc w:val="left"/>
              <w:rPr>
                <w:rFonts w:cs="Arial"/>
                <w:szCs w:val="24"/>
                <w:lang w:val="en-GB"/>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3029C" w:rsidRDefault="00E53DCE" w:rsidP="006160CB">
            <w:pPr>
              <w:spacing w:before="0"/>
              <w:jc w:val="left"/>
              <w:rPr>
                <w:szCs w:val="24"/>
              </w:rPr>
            </w:pPr>
          </w:p>
        </w:tc>
      </w:tr>
      <w:tr w:rsidR="00E53DCE" w:rsidRPr="00254270" w14:paraId="4BAE9C44" w14:textId="77777777" w:rsidTr="00306452">
        <w:trPr>
          <w:jc w:val="center"/>
        </w:trPr>
        <w:tc>
          <w:tcPr>
            <w:tcW w:w="9889" w:type="dxa"/>
            <w:gridSpan w:val="3"/>
            <w:shd w:val="clear" w:color="auto" w:fill="auto"/>
          </w:tcPr>
          <w:p w14:paraId="6B2267B6" w14:textId="170B7B87" w:rsidR="00E53DCE" w:rsidRPr="0033029C" w:rsidRDefault="00FE4822" w:rsidP="006160CB">
            <w:pPr>
              <w:spacing w:before="0"/>
              <w:jc w:val="left"/>
              <w:rPr>
                <w:b/>
                <w:bCs/>
                <w:szCs w:val="24"/>
                <w:lang w:val="es-ES"/>
              </w:rPr>
            </w:pPr>
            <w:r w:rsidRPr="0033029C">
              <w:rPr>
                <w:b/>
                <w:szCs w:val="24"/>
                <w:lang w:val="es-ES"/>
              </w:rPr>
              <w:t xml:space="preserve">A las Administraciones de los Estados Miembros </w:t>
            </w:r>
            <w:r w:rsidR="006D2A99" w:rsidRPr="00EE189F">
              <w:rPr>
                <w:rFonts w:asciiTheme="minorHAnsi" w:hAnsiTheme="minorHAnsi"/>
                <w:b/>
                <w:bCs/>
                <w:szCs w:val="24"/>
                <w:lang w:val="es-ES_tradnl"/>
              </w:rPr>
              <w:t>y a los Miembros de Sector de la UIT</w:t>
            </w:r>
          </w:p>
          <w:p w14:paraId="21F1935A" w14:textId="77777777" w:rsidR="00E53DCE" w:rsidRPr="0033029C" w:rsidRDefault="00E53DCE" w:rsidP="006160CB">
            <w:pPr>
              <w:spacing w:before="0"/>
              <w:jc w:val="left"/>
              <w:rPr>
                <w:b/>
                <w:bCs/>
                <w:szCs w:val="24"/>
                <w:lang w:val="es-ES"/>
              </w:rPr>
            </w:pPr>
          </w:p>
        </w:tc>
      </w:tr>
      <w:tr w:rsidR="00E53DCE" w:rsidRPr="00254270" w14:paraId="180CDAFD" w14:textId="77777777" w:rsidTr="00306452">
        <w:trPr>
          <w:jc w:val="center"/>
        </w:trPr>
        <w:tc>
          <w:tcPr>
            <w:tcW w:w="9889" w:type="dxa"/>
            <w:gridSpan w:val="3"/>
            <w:shd w:val="clear" w:color="auto" w:fill="auto"/>
          </w:tcPr>
          <w:p w14:paraId="04ADBBDE" w14:textId="77777777" w:rsidR="00E53DCE" w:rsidRPr="0033029C" w:rsidRDefault="00E53DCE" w:rsidP="006160CB">
            <w:pPr>
              <w:spacing w:before="0"/>
              <w:jc w:val="left"/>
              <w:rPr>
                <w:szCs w:val="24"/>
                <w:lang w:val="es-ES"/>
              </w:rPr>
            </w:pPr>
          </w:p>
        </w:tc>
      </w:tr>
      <w:tr w:rsidR="00E53DCE" w:rsidRPr="00254270" w14:paraId="06E9A2B7" w14:textId="77777777" w:rsidTr="00306452">
        <w:trPr>
          <w:jc w:val="center"/>
        </w:trPr>
        <w:tc>
          <w:tcPr>
            <w:tcW w:w="9889" w:type="dxa"/>
            <w:gridSpan w:val="3"/>
            <w:shd w:val="clear" w:color="auto" w:fill="auto"/>
          </w:tcPr>
          <w:p w14:paraId="4039DD3F" w14:textId="77777777" w:rsidR="00E53DCE" w:rsidRPr="0033029C" w:rsidRDefault="00E53DCE" w:rsidP="006160CB">
            <w:pPr>
              <w:spacing w:before="0"/>
              <w:jc w:val="left"/>
              <w:rPr>
                <w:szCs w:val="24"/>
                <w:lang w:val="es-ES"/>
              </w:rPr>
            </w:pPr>
          </w:p>
        </w:tc>
      </w:tr>
      <w:tr w:rsidR="00E53DCE" w:rsidRPr="00254270" w14:paraId="021316CA" w14:textId="77777777" w:rsidTr="00306452">
        <w:trPr>
          <w:jc w:val="center"/>
        </w:trPr>
        <w:tc>
          <w:tcPr>
            <w:tcW w:w="1526" w:type="dxa"/>
            <w:shd w:val="clear" w:color="auto" w:fill="auto"/>
          </w:tcPr>
          <w:p w14:paraId="4C13FE60"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612960C" w14:textId="35DE56FF" w:rsidR="00E53DCE" w:rsidRPr="006D2A99" w:rsidRDefault="006D2A99" w:rsidP="00254270">
            <w:pPr>
              <w:tabs>
                <w:tab w:val="clear" w:pos="1588"/>
                <w:tab w:val="left" w:pos="1560"/>
              </w:tabs>
              <w:spacing w:before="0"/>
              <w:jc w:val="left"/>
              <w:rPr>
                <w:b/>
                <w:bCs/>
                <w:szCs w:val="24"/>
                <w:lang w:val="es-ES"/>
              </w:rPr>
            </w:pPr>
            <w:r w:rsidRPr="00EE189F">
              <w:rPr>
                <w:rFonts w:asciiTheme="minorHAnsi" w:hAnsiTheme="minorHAnsi" w:cstheme="minorHAnsi"/>
                <w:b/>
                <w:bCs/>
                <w:szCs w:val="24"/>
                <w:lang w:val="es-ES_tradnl"/>
              </w:rPr>
              <w:t>Estrategias de desorbitación y/o eliminación de estaciones espaciales no OSG que utilizan asignaciones de frecuencias inscritas en el Registro de la UIT o que se hallan en fase de coordinación o notificación</w:t>
            </w:r>
          </w:p>
        </w:tc>
      </w:tr>
      <w:tr w:rsidR="00E53DCE" w:rsidRPr="00254270" w14:paraId="4081CB4E" w14:textId="77777777" w:rsidTr="00306452">
        <w:trPr>
          <w:jc w:val="center"/>
        </w:trPr>
        <w:tc>
          <w:tcPr>
            <w:tcW w:w="1526" w:type="dxa"/>
            <w:shd w:val="clear" w:color="auto" w:fill="auto"/>
          </w:tcPr>
          <w:p w14:paraId="315E015A" w14:textId="77777777" w:rsidR="00E53DCE" w:rsidRPr="006D2A99"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E66957D" w14:textId="77777777" w:rsidR="00E53DCE" w:rsidRPr="006D2A99" w:rsidRDefault="00E53DCE" w:rsidP="006160CB">
            <w:pPr>
              <w:tabs>
                <w:tab w:val="clear" w:pos="1588"/>
                <w:tab w:val="left" w:pos="1560"/>
              </w:tabs>
              <w:spacing w:before="0"/>
              <w:rPr>
                <w:b/>
                <w:bCs/>
                <w:szCs w:val="24"/>
                <w:lang w:val="es-ES"/>
              </w:rPr>
            </w:pPr>
          </w:p>
        </w:tc>
      </w:tr>
      <w:tr w:rsidR="00E53DCE" w:rsidRPr="00254270" w14:paraId="449BD3D4" w14:textId="77777777" w:rsidTr="00306452">
        <w:trPr>
          <w:jc w:val="center"/>
        </w:trPr>
        <w:tc>
          <w:tcPr>
            <w:tcW w:w="1526" w:type="dxa"/>
            <w:shd w:val="clear" w:color="auto" w:fill="auto"/>
          </w:tcPr>
          <w:p w14:paraId="4E614295" w14:textId="77777777" w:rsidR="00E53DCE" w:rsidRPr="006D2A99"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4442067" w14:textId="77777777" w:rsidR="00E53DCE" w:rsidRPr="006D2A99" w:rsidRDefault="00E53DCE" w:rsidP="006160CB">
            <w:pPr>
              <w:tabs>
                <w:tab w:val="clear" w:pos="1588"/>
                <w:tab w:val="left" w:pos="1560"/>
              </w:tabs>
              <w:spacing w:before="0"/>
              <w:rPr>
                <w:b/>
                <w:bCs/>
                <w:szCs w:val="24"/>
                <w:lang w:val="es-ES"/>
              </w:rPr>
            </w:pPr>
          </w:p>
        </w:tc>
      </w:tr>
      <w:tr w:rsidR="00E53DCE" w:rsidRPr="00254270" w14:paraId="6F081EF6" w14:textId="77777777" w:rsidTr="00306452">
        <w:trPr>
          <w:jc w:val="center"/>
        </w:trPr>
        <w:tc>
          <w:tcPr>
            <w:tcW w:w="9889" w:type="dxa"/>
            <w:gridSpan w:val="3"/>
            <w:shd w:val="clear" w:color="auto" w:fill="auto"/>
          </w:tcPr>
          <w:p w14:paraId="291A3FA3" w14:textId="77777777" w:rsidR="00E53DCE" w:rsidRPr="006D2A99" w:rsidRDefault="00E53DCE" w:rsidP="00E53DCE">
            <w:pPr>
              <w:tabs>
                <w:tab w:val="clear" w:pos="1588"/>
                <w:tab w:val="left" w:pos="1560"/>
              </w:tabs>
              <w:spacing w:before="0"/>
              <w:jc w:val="left"/>
              <w:rPr>
                <w:szCs w:val="24"/>
                <w:lang w:val="es-ES"/>
              </w:rPr>
            </w:pPr>
          </w:p>
        </w:tc>
      </w:tr>
      <w:tr w:rsidR="00E53DCE" w:rsidRPr="00254270" w14:paraId="7006B032" w14:textId="77777777" w:rsidTr="00306452">
        <w:trPr>
          <w:jc w:val="center"/>
        </w:trPr>
        <w:tc>
          <w:tcPr>
            <w:tcW w:w="9889" w:type="dxa"/>
            <w:gridSpan w:val="3"/>
            <w:shd w:val="clear" w:color="auto" w:fill="auto"/>
          </w:tcPr>
          <w:p w14:paraId="2598BFE6" w14:textId="77777777" w:rsidR="00E53DCE" w:rsidRPr="006D2A99" w:rsidRDefault="00E53DCE" w:rsidP="006160CB">
            <w:pPr>
              <w:spacing w:before="0"/>
              <w:jc w:val="left"/>
              <w:rPr>
                <w:b/>
                <w:bCs/>
                <w:szCs w:val="24"/>
                <w:lang w:val="es-ES"/>
              </w:rPr>
            </w:pPr>
          </w:p>
        </w:tc>
      </w:tr>
    </w:tbl>
    <w:p w14:paraId="4BA25F9B" w14:textId="0F527E31" w:rsidR="00E53DCE" w:rsidRPr="006D2A99" w:rsidRDefault="006D2A99" w:rsidP="00E53DCE">
      <w:pPr>
        <w:rPr>
          <w:szCs w:val="24"/>
          <w:lang w:val="es-ES"/>
        </w:rPr>
      </w:pPr>
      <w:r>
        <w:rPr>
          <w:rFonts w:asciiTheme="minorHAnsi" w:hAnsiTheme="minorHAnsi" w:cstheme="minorHAnsi"/>
          <w:szCs w:val="24"/>
          <w:lang w:val="es-ES_tradnl"/>
        </w:rPr>
        <w:t>L</w:t>
      </w:r>
      <w:r w:rsidRPr="00EE189F">
        <w:rPr>
          <w:rFonts w:asciiTheme="minorHAnsi" w:hAnsiTheme="minorHAnsi" w:cstheme="minorHAnsi"/>
          <w:szCs w:val="24"/>
          <w:lang w:val="es-ES_tradnl"/>
        </w:rPr>
        <w:t>a reciente Asamblea de Radiocomunicaciones de la UIT, que se celebró en Dubái en noviembre de</w:t>
      </w:r>
      <w:r>
        <w:rPr>
          <w:rFonts w:asciiTheme="minorHAnsi" w:hAnsiTheme="minorHAnsi" w:cstheme="minorHAnsi"/>
          <w:szCs w:val="24"/>
          <w:lang w:val="es-ES_tradnl"/>
        </w:rPr>
        <w:t> </w:t>
      </w:r>
      <w:r w:rsidRPr="00EE189F">
        <w:rPr>
          <w:rFonts w:asciiTheme="minorHAnsi" w:hAnsiTheme="minorHAnsi" w:cstheme="minorHAnsi"/>
          <w:szCs w:val="24"/>
          <w:lang w:val="es-ES_tradnl"/>
        </w:rPr>
        <w:t xml:space="preserve">2023, adoptó la </w:t>
      </w:r>
      <w:r w:rsidRPr="00EE189F">
        <w:rPr>
          <w:rFonts w:asciiTheme="minorHAnsi" w:hAnsiTheme="minorHAnsi" w:cstheme="minorHAnsi"/>
          <w:b/>
          <w:bCs/>
          <w:szCs w:val="24"/>
          <w:lang w:val="es-ES_tradnl"/>
        </w:rPr>
        <w:t>Resolución UIT-R 74</w:t>
      </w:r>
      <w:r w:rsidRPr="00EE189F">
        <w:rPr>
          <w:rFonts w:asciiTheme="minorHAnsi" w:hAnsiTheme="minorHAnsi" w:cstheme="minorHAnsi"/>
          <w:szCs w:val="24"/>
          <w:lang w:val="es-ES_tradnl"/>
        </w:rPr>
        <w:t xml:space="preserve"> sobre las actividades relacionadas con la utilización sostenible del espectro de frecuencias radioeléctricas y los recursos de órbita de satélite conexos utilizados por los servicios espaciales.</w:t>
      </w:r>
    </w:p>
    <w:p w14:paraId="2F3A9773" w14:textId="62288F57" w:rsidR="00D21694" w:rsidRPr="006D2A99" w:rsidRDefault="006D2A99" w:rsidP="00031E64">
      <w:pPr>
        <w:rPr>
          <w:rFonts w:asciiTheme="minorHAnsi" w:hAnsiTheme="minorHAnsi" w:cstheme="minorHAnsi"/>
          <w:szCs w:val="24"/>
          <w:lang w:val="es-ES"/>
        </w:rPr>
      </w:pPr>
      <w:r w:rsidRPr="00EE189F">
        <w:rPr>
          <w:rFonts w:asciiTheme="minorHAnsi" w:hAnsiTheme="minorHAnsi" w:cstheme="minorHAnsi"/>
          <w:szCs w:val="24"/>
          <w:lang w:val="es-ES_tradnl"/>
        </w:rPr>
        <w:t>Teniendo presente</w:t>
      </w:r>
      <w:r>
        <w:rPr>
          <w:rFonts w:asciiTheme="minorHAnsi" w:hAnsiTheme="minorHAnsi" w:cstheme="minorHAnsi"/>
          <w:szCs w:val="24"/>
          <w:lang w:val="es-ES_tradnl"/>
        </w:rPr>
        <w:t>s</w:t>
      </w:r>
      <w:r w:rsidRPr="00EE189F">
        <w:rPr>
          <w:rFonts w:asciiTheme="minorHAnsi" w:hAnsiTheme="minorHAnsi" w:cstheme="minorHAnsi"/>
          <w:szCs w:val="24"/>
          <w:lang w:val="es-ES_tradnl"/>
        </w:rPr>
        <w:t xml:space="preserve"> la </w:t>
      </w:r>
      <w:r w:rsidRPr="00EE189F">
        <w:rPr>
          <w:rFonts w:asciiTheme="minorHAnsi" w:hAnsiTheme="minorHAnsi" w:cstheme="minorHAnsi"/>
          <w:b/>
          <w:bCs/>
          <w:szCs w:val="24"/>
          <w:lang w:val="es-ES_tradnl"/>
        </w:rPr>
        <w:t>Resolución 219 (Bucarest, 2022)</w:t>
      </w:r>
      <w:r w:rsidRPr="00EE189F">
        <w:rPr>
          <w:rFonts w:asciiTheme="minorHAnsi" w:hAnsiTheme="minorHAnsi" w:cstheme="minorHAnsi"/>
          <w:szCs w:val="24"/>
          <w:lang w:val="es-ES_tradnl"/>
        </w:rPr>
        <w:t xml:space="preserve"> de la Conferencia de Plenipotenciarios, relativa a la sostenibilidad del espectro de frecuencias radioeléctricas y los recursos asociados de las órbitas de satélites utilizados por los servicios espaciales, y la </w:t>
      </w:r>
      <w:r w:rsidRPr="00EE189F">
        <w:rPr>
          <w:rFonts w:asciiTheme="minorHAnsi" w:hAnsiTheme="minorHAnsi" w:cstheme="minorHAnsi"/>
          <w:b/>
          <w:bCs/>
          <w:szCs w:val="24"/>
          <w:lang w:val="es-ES_tradnl"/>
        </w:rPr>
        <w:t>Resolución 218 (Bucarest, 2022)</w:t>
      </w:r>
      <w:r w:rsidRPr="00EE189F">
        <w:rPr>
          <w:rFonts w:asciiTheme="minorHAnsi" w:hAnsiTheme="minorHAnsi" w:cstheme="minorHAnsi"/>
          <w:szCs w:val="24"/>
          <w:lang w:val="es-ES_tradnl"/>
        </w:rPr>
        <w:t xml:space="preserve"> de la misma Conferencia, sobre la </w:t>
      </w:r>
      <w:r>
        <w:rPr>
          <w:rFonts w:asciiTheme="minorHAnsi" w:hAnsiTheme="minorHAnsi" w:cstheme="minorHAnsi"/>
          <w:szCs w:val="24"/>
          <w:lang w:val="es-ES_tradnl"/>
        </w:rPr>
        <w:t>f</w:t>
      </w:r>
      <w:r w:rsidRPr="00EE189F">
        <w:rPr>
          <w:rFonts w:asciiTheme="minorHAnsi" w:hAnsiTheme="minorHAnsi" w:cstheme="minorHAnsi"/>
          <w:szCs w:val="24"/>
          <w:lang w:val="es-ES_tradnl"/>
        </w:rPr>
        <w:t xml:space="preserve">unción de la UIT en la aplicación de la Agenda </w:t>
      </w:r>
      <w:r>
        <w:rPr>
          <w:rFonts w:asciiTheme="minorHAnsi" w:hAnsiTheme="minorHAnsi" w:cstheme="minorHAnsi"/>
          <w:szCs w:val="24"/>
          <w:lang w:val="es-ES_tradnl"/>
        </w:rPr>
        <w:t>«</w:t>
      </w:r>
      <w:r w:rsidRPr="00EE189F">
        <w:rPr>
          <w:rFonts w:asciiTheme="minorHAnsi" w:hAnsiTheme="minorHAnsi" w:cstheme="minorHAnsi"/>
          <w:szCs w:val="24"/>
          <w:lang w:val="es-ES_tradnl"/>
        </w:rPr>
        <w:t>Espacio2030</w:t>
      </w:r>
      <w:r>
        <w:rPr>
          <w:rFonts w:asciiTheme="minorHAnsi" w:hAnsiTheme="minorHAnsi" w:cstheme="minorHAnsi"/>
          <w:szCs w:val="24"/>
          <w:lang w:val="es-ES_tradnl"/>
        </w:rPr>
        <w:t>»</w:t>
      </w:r>
      <w:r w:rsidRPr="00EE189F">
        <w:rPr>
          <w:rFonts w:asciiTheme="minorHAnsi" w:hAnsiTheme="minorHAnsi" w:cstheme="minorHAnsi"/>
          <w:szCs w:val="24"/>
          <w:lang w:val="es-ES_tradnl"/>
        </w:rPr>
        <w:t>: el espacio como motor del desarrollo sostenible, así como de sus procesos de seguimiento y examen, la Asamblea de Radiocomunicaciones de 2023 (AR-23) de la UIT reconoci</w:t>
      </w:r>
      <w:r>
        <w:rPr>
          <w:rFonts w:asciiTheme="minorHAnsi" w:hAnsiTheme="minorHAnsi" w:cstheme="minorHAnsi"/>
          <w:szCs w:val="24"/>
          <w:lang w:val="es-ES_tradnl"/>
        </w:rPr>
        <w:t>ó</w:t>
      </w:r>
      <w:r w:rsidRPr="00EE189F">
        <w:rPr>
          <w:rFonts w:asciiTheme="minorHAnsi" w:hAnsiTheme="minorHAnsi" w:cstheme="minorHAnsi"/>
          <w:szCs w:val="24"/>
          <w:lang w:val="es-ES_tradnl"/>
        </w:rPr>
        <w:t xml:space="preserve"> que la Oficina de Radiocomunicaciones había registrado un número cada vez mayor de notificaciones de sistemas no</w:t>
      </w:r>
      <w:r>
        <w:rPr>
          <w:rFonts w:asciiTheme="minorHAnsi" w:hAnsiTheme="minorHAnsi" w:cstheme="minorHAnsi"/>
          <w:szCs w:val="24"/>
          <w:lang w:val="es-ES_tradnl"/>
        </w:rPr>
        <w:t> </w:t>
      </w:r>
      <w:r w:rsidRPr="00EE189F">
        <w:rPr>
          <w:rFonts w:asciiTheme="minorHAnsi" w:hAnsiTheme="minorHAnsi" w:cstheme="minorHAnsi"/>
          <w:szCs w:val="24"/>
          <w:lang w:val="es-ES_tradnl"/>
        </w:rPr>
        <w:t>OSG, incluso de sistemas compuestos por cientos o miles de estaciones espaciales y múltiples configuraciones, y había observado el lanzamiento y funcionamiento constantes y ampliados de satélites no geoestacionarios en el espacio ultraterrestre.</w:t>
      </w:r>
    </w:p>
    <w:p w14:paraId="75D0DDF5" w14:textId="73858B2B" w:rsidR="002A5DD7" w:rsidRPr="006D2A99" w:rsidRDefault="006D2A99" w:rsidP="00031E64">
      <w:pPr>
        <w:rPr>
          <w:rFonts w:asciiTheme="minorHAnsi" w:hAnsiTheme="minorHAnsi" w:cstheme="minorHAnsi"/>
          <w:szCs w:val="24"/>
          <w:lang w:val="es-ES"/>
        </w:rPr>
      </w:pPr>
      <w:r w:rsidRPr="00EE189F">
        <w:rPr>
          <w:rFonts w:asciiTheme="minorHAnsi" w:hAnsiTheme="minorHAnsi" w:cstheme="minorHAnsi"/>
          <w:szCs w:val="24"/>
          <w:lang w:val="es-ES_tradnl"/>
        </w:rPr>
        <w:t>Además, la AR-23 de la UIT encargó la elaboración de una Recomendación en la materia, así como, entre otras cosas, el intercambio y la difusión de la información disponible y fiable a ese respecto.</w:t>
      </w:r>
    </w:p>
    <w:p w14:paraId="68DFEF45" w14:textId="7AD51542" w:rsidR="00FE4822" w:rsidRDefault="006D2A99" w:rsidP="00031E64">
      <w:pPr>
        <w:rPr>
          <w:rFonts w:asciiTheme="minorHAnsi" w:hAnsiTheme="minorHAnsi" w:cstheme="minorHAnsi"/>
          <w:szCs w:val="24"/>
          <w:lang w:val="es-ES_tradnl"/>
        </w:rPr>
      </w:pPr>
      <w:r w:rsidRPr="00EE189F">
        <w:rPr>
          <w:rFonts w:asciiTheme="minorHAnsi" w:hAnsiTheme="minorHAnsi" w:cstheme="minorHAnsi"/>
          <w:szCs w:val="24"/>
          <w:lang w:val="es-ES_tradnl"/>
        </w:rPr>
        <w:t xml:space="preserve">En este contexto, invito a todas las partes interesadas en el espacio, entre ellas </w:t>
      </w:r>
      <w:r w:rsidR="00254270">
        <w:rPr>
          <w:rFonts w:asciiTheme="minorHAnsi" w:hAnsiTheme="minorHAnsi" w:cstheme="minorHAnsi"/>
          <w:szCs w:val="24"/>
          <w:lang w:val="es-ES_tradnl"/>
        </w:rPr>
        <w:t>a</w:t>
      </w:r>
      <w:r w:rsidRPr="00EE189F">
        <w:rPr>
          <w:rFonts w:asciiTheme="minorHAnsi" w:hAnsiTheme="minorHAnsi" w:cstheme="minorHAnsi"/>
          <w:szCs w:val="24"/>
          <w:lang w:val="es-ES_tradnl"/>
        </w:rPr>
        <w:t xml:space="preserve">dministraciones, operadores de satélites, fabricantes, proveedores de servicios de lanzamiento y agencias espaciales, a poner en conocimiento de la Oficina de Radiocomunicaciones las estrategias que se están utilizando, o que se </w:t>
      </w:r>
      <w:r>
        <w:rPr>
          <w:rFonts w:asciiTheme="minorHAnsi" w:hAnsiTheme="minorHAnsi" w:cstheme="minorHAnsi"/>
          <w:szCs w:val="24"/>
          <w:lang w:val="es-ES_tradnl"/>
        </w:rPr>
        <w:t>ha previsto utilizar</w:t>
      </w:r>
      <w:r w:rsidRPr="00EE189F">
        <w:rPr>
          <w:rFonts w:asciiTheme="minorHAnsi" w:hAnsiTheme="minorHAnsi" w:cstheme="minorHAnsi"/>
          <w:szCs w:val="24"/>
          <w:lang w:val="es-ES_tradnl"/>
        </w:rPr>
        <w:t>, a efectos de la desorbitación y/o eliminación de las estaciones espaciales no OSG que hayan concluido sus misiones. En concreto, la Oficina de Radiocomunicaciones agradecería recibir información relacionada con a) la elaboración de la estrategia de actuación con posterioridad a la misión; b) los calendarios de desorbitación; c) las tecnologías de apoyo, incluidas las capacidades de maniobrabilidad; y d) los datos de las personas de contacto (nombre, cargo, dirección de correo electrónico y número de teléfono).</w:t>
      </w:r>
    </w:p>
    <w:p w14:paraId="41847011" w14:textId="77777777" w:rsidR="00254270" w:rsidRPr="006D2A99" w:rsidRDefault="00254270" w:rsidP="00031E64">
      <w:pPr>
        <w:rPr>
          <w:rFonts w:asciiTheme="minorHAnsi" w:hAnsiTheme="minorHAnsi" w:cstheme="minorHAnsi"/>
          <w:szCs w:val="24"/>
          <w:lang w:val="es-ES"/>
        </w:rPr>
      </w:pPr>
    </w:p>
    <w:p w14:paraId="78618666" w14:textId="775B1AFA" w:rsidR="000821A2" w:rsidRDefault="006D2A99" w:rsidP="00031E64">
      <w:pPr>
        <w:rPr>
          <w:rFonts w:asciiTheme="minorHAnsi" w:hAnsiTheme="minorHAnsi" w:cstheme="minorHAnsi"/>
          <w:szCs w:val="24"/>
          <w:lang w:val="es-AR"/>
        </w:rPr>
      </w:pPr>
      <w:r w:rsidRPr="00EE189F">
        <w:rPr>
          <w:rFonts w:asciiTheme="minorHAnsi" w:hAnsiTheme="minorHAnsi" w:cstheme="minorHAnsi"/>
          <w:szCs w:val="24"/>
          <w:lang w:val="es-ES_tradnl"/>
        </w:rPr>
        <w:lastRenderedPageBreak/>
        <w:t xml:space="preserve">En virtud del </w:t>
      </w:r>
      <w:r w:rsidRPr="00EE189F">
        <w:rPr>
          <w:rFonts w:asciiTheme="minorHAnsi" w:hAnsiTheme="minorHAnsi" w:cstheme="minorHAnsi"/>
          <w:i/>
          <w:szCs w:val="24"/>
          <w:lang w:val="es-ES_tradnl"/>
        </w:rPr>
        <w:t xml:space="preserve">encarga al </w:t>
      </w:r>
      <w:proofErr w:type="gramStart"/>
      <w:r w:rsidRPr="00EE189F">
        <w:rPr>
          <w:rFonts w:asciiTheme="minorHAnsi" w:hAnsiTheme="minorHAnsi" w:cstheme="minorHAnsi"/>
          <w:i/>
          <w:szCs w:val="24"/>
          <w:lang w:val="es-ES_tradnl"/>
        </w:rPr>
        <w:t>Director</w:t>
      </w:r>
      <w:proofErr w:type="gramEnd"/>
      <w:r w:rsidRPr="00EE189F">
        <w:rPr>
          <w:rFonts w:asciiTheme="minorHAnsi" w:hAnsiTheme="minorHAnsi" w:cstheme="minorHAnsi"/>
          <w:i/>
          <w:szCs w:val="24"/>
          <w:lang w:val="es-ES_tradnl"/>
        </w:rPr>
        <w:t xml:space="preserve"> de la Oficina de Radiocomunicaciones</w:t>
      </w:r>
      <w:r w:rsidRPr="00EE189F">
        <w:rPr>
          <w:rFonts w:asciiTheme="minorHAnsi" w:hAnsiTheme="minorHAnsi" w:cstheme="minorHAnsi"/>
          <w:szCs w:val="24"/>
          <w:lang w:val="es-ES_tradnl"/>
        </w:rPr>
        <w:t xml:space="preserve"> 2) de la Resolución UIT</w:t>
      </w:r>
      <w:r>
        <w:rPr>
          <w:rFonts w:asciiTheme="minorHAnsi" w:hAnsiTheme="minorHAnsi" w:cstheme="minorHAnsi"/>
          <w:szCs w:val="24"/>
          <w:lang w:val="es-ES_tradnl"/>
        </w:rPr>
        <w:noBreakHyphen/>
      </w:r>
      <w:r w:rsidRPr="00EE189F">
        <w:rPr>
          <w:rFonts w:asciiTheme="minorHAnsi" w:hAnsiTheme="minorHAnsi" w:cstheme="minorHAnsi"/>
          <w:szCs w:val="24"/>
          <w:lang w:val="es-ES_tradnl"/>
        </w:rPr>
        <w:t>R</w:t>
      </w:r>
      <w:r>
        <w:rPr>
          <w:rFonts w:asciiTheme="minorHAnsi" w:hAnsiTheme="minorHAnsi" w:cstheme="minorHAnsi"/>
          <w:szCs w:val="24"/>
          <w:lang w:val="es-ES_tradnl"/>
        </w:rPr>
        <w:t> </w:t>
      </w:r>
      <w:r w:rsidRPr="00EE189F">
        <w:rPr>
          <w:rFonts w:asciiTheme="minorHAnsi" w:hAnsiTheme="minorHAnsi" w:cstheme="minorHAnsi"/>
          <w:szCs w:val="24"/>
          <w:lang w:val="es-ES_tradnl"/>
        </w:rPr>
        <w:t>74, la Oficina incluirá la información recibida en un sitio web específico, que se irá actualizando a medida que se disponga de información complementaria.</w:t>
      </w:r>
      <w:r w:rsidR="000821A2" w:rsidRPr="000821A2">
        <w:rPr>
          <w:rFonts w:asciiTheme="minorHAnsi" w:hAnsiTheme="minorHAnsi" w:cstheme="minorHAnsi"/>
          <w:szCs w:val="24"/>
          <w:lang w:val="es-AR"/>
        </w:rPr>
        <w:t xml:space="preserve"> (</w:t>
      </w:r>
      <w:hyperlink r:id="rId8" w:history="1">
        <w:r w:rsidR="00254270" w:rsidRPr="00744448">
          <w:rPr>
            <w:rStyle w:val="Hyperlink"/>
            <w:rFonts w:asciiTheme="minorHAnsi" w:hAnsiTheme="minorHAnsi" w:cstheme="minorHAnsi"/>
            <w:szCs w:val="24"/>
            <w:lang w:val="es-AR"/>
          </w:rPr>
          <w:t>https://www.itu.int/space-sustainability/</w:t>
        </w:r>
      </w:hyperlink>
      <w:r w:rsidR="000821A2" w:rsidRPr="000821A2">
        <w:rPr>
          <w:rFonts w:asciiTheme="minorHAnsi" w:hAnsiTheme="minorHAnsi" w:cstheme="minorHAnsi"/>
          <w:szCs w:val="24"/>
          <w:lang w:val="es-AR"/>
        </w:rPr>
        <w:t>)</w:t>
      </w:r>
    </w:p>
    <w:p w14:paraId="71EB203A" w14:textId="506DF2D6" w:rsidR="00FE4822" w:rsidRPr="006D2A99" w:rsidRDefault="006D2A99" w:rsidP="00031E64">
      <w:pPr>
        <w:rPr>
          <w:rFonts w:asciiTheme="minorHAnsi" w:hAnsiTheme="minorHAnsi" w:cstheme="minorHAnsi"/>
          <w:szCs w:val="24"/>
          <w:lang w:val="es-ES"/>
        </w:rPr>
      </w:pPr>
      <w:r w:rsidRPr="00EE189F">
        <w:rPr>
          <w:rFonts w:asciiTheme="minorHAnsi" w:hAnsiTheme="minorHAnsi" w:cstheme="minorHAnsi"/>
          <w:szCs w:val="24"/>
          <w:lang w:val="es-ES_tradnl"/>
        </w:rPr>
        <w:t>Estos documentos también podrían utilizarse posteriormente como contribuciones a las Comisiones de Estudio del UIT</w:t>
      </w:r>
      <w:r>
        <w:rPr>
          <w:rFonts w:asciiTheme="minorHAnsi" w:hAnsiTheme="minorHAnsi" w:cstheme="minorHAnsi"/>
          <w:szCs w:val="24"/>
          <w:lang w:val="es-ES_tradnl"/>
        </w:rPr>
        <w:noBreakHyphen/>
      </w:r>
      <w:r w:rsidRPr="00EE189F">
        <w:rPr>
          <w:rFonts w:asciiTheme="minorHAnsi" w:hAnsiTheme="minorHAnsi" w:cstheme="minorHAnsi"/>
          <w:szCs w:val="24"/>
          <w:lang w:val="es-ES_tradnl"/>
        </w:rPr>
        <w:t>R competentes.</w:t>
      </w:r>
    </w:p>
    <w:p w14:paraId="64403C11" w14:textId="73B66FE8" w:rsidR="00FE4822" w:rsidRPr="006D2A99" w:rsidRDefault="006D2A99" w:rsidP="00031E64">
      <w:pPr>
        <w:rPr>
          <w:rFonts w:asciiTheme="minorHAnsi" w:hAnsiTheme="minorHAnsi" w:cstheme="minorHAnsi"/>
          <w:szCs w:val="24"/>
          <w:lang w:val="es-ES"/>
        </w:rPr>
      </w:pPr>
      <w:r w:rsidRPr="00EE189F">
        <w:rPr>
          <w:rFonts w:asciiTheme="minorHAnsi" w:hAnsiTheme="minorHAnsi" w:cstheme="minorHAnsi"/>
          <w:szCs w:val="24"/>
          <w:lang w:val="es-ES_tradnl"/>
        </w:rPr>
        <w:t xml:space="preserve">La Oficina agradecería a las </w:t>
      </w:r>
      <w:r w:rsidR="00254270">
        <w:rPr>
          <w:rFonts w:asciiTheme="minorHAnsi" w:hAnsiTheme="minorHAnsi" w:cstheme="minorHAnsi"/>
          <w:szCs w:val="24"/>
          <w:lang w:val="es-ES_tradnl"/>
        </w:rPr>
        <w:t>a</w:t>
      </w:r>
      <w:r w:rsidRPr="00EE189F">
        <w:rPr>
          <w:rFonts w:asciiTheme="minorHAnsi" w:hAnsiTheme="minorHAnsi" w:cstheme="minorHAnsi"/>
          <w:szCs w:val="24"/>
          <w:lang w:val="es-ES_tradnl"/>
        </w:rPr>
        <w:t xml:space="preserve">dministraciones que ya han presentado notificaciones no OSG para su coordinación y notificación, así como a las correspondientes empresas de explotación, que enviasen y compartiesen esta valiosa información </w:t>
      </w:r>
      <w:r w:rsidRPr="00EE189F">
        <w:rPr>
          <w:rFonts w:asciiTheme="minorHAnsi" w:hAnsiTheme="minorHAnsi" w:cstheme="minorHAnsi"/>
          <w:b/>
          <w:bCs/>
          <w:szCs w:val="24"/>
          <w:lang w:val="es-ES_tradnl"/>
        </w:rPr>
        <w:t>de aquí al 30 de marzo de 2024</w:t>
      </w:r>
      <w:r w:rsidRPr="00EE189F">
        <w:rPr>
          <w:rFonts w:asciiTheme="minorHAnsi" w:hAnsiTheme="minorHAnsi" w:cstheme="minorHAnsi"/>
          <w:szCs w:val="24"/>
          <w:lang w:val="es-ES_tradnl"/>
        </w:rPr>
        <w:t xml:space="preserve"> valiéndose de la dirección de correo electrónico </w:t>
      </w:r>
      <w:hyperlink r:id="rId9" w:history="1">
        <w:r w:rsidRPr="00EE189F">
          <w:rPr>
            <w:rStyle w:val="Hyperlink"/>
            <w:rFonts w:asciiTheme="minorHAnsi" w:hAnsiTheme="minorHAnsi" w:cstheme="minorHAnsi"/>
            <w:szCs w:val="24"/>
            <w:lang w:val="es-ES_tradnl"/>
          </w:rPr>
          <w:t>BRmail@itu.int</w:t>
        </w:r>
      </w:hyperlink>
      <w:r w:rsidRPr="00EE189F">
        <w:rPr>
          <w:rFonts w:asciiTheme="minorHAnsi" w:hAnsiTheme="minorHAnsi" w:cstheme="minorHAnsi"/>
          <w:szCs w:val="24"/>
          <w:lang w:val="es-ES_tradnl"/>
        </w:rPr>
        <w:t>.</w:t>
      </w:r>
    </w:p>
    <w:p w14:paraId="0F4D40B4" w14:textId="34F56EC8" w:rsidR="00FE4822" w:rsidRPr="006D2A99" w:rsidRDefault="006D2A99" w:rsidP="00031E64">
      <w:pPr>
        <w:rPr>
          <w:rFonts w:asciiTheme="minorHAnsi" w:hAnsiTheme="minorHAnsi" w:cstheme="minorHAnsi"/>
          <w:szCs w:val="24"/>
          <w:lang w:val="es-ES"/>
        </w:rPr>
      </w:pPr>
      <w:r w:rsidRPr="00EE189F">
        <w:rPr>
          <w:rFonts w:asciiTheme="minorHAnsi" w:hAnsiTheme="minorHAnsi" w:cstheme="minorHAnsi"/>
          <w:szCs w:val="24"/>
          <w:lang w:val="es-ES_tradnl"/>
        </w:rPr>
        <w:t xml:space="preserve">Para futuras notificaciones de satélites no OSG, la información solicitada podrá presentarse </w:t>
      </w:r>
      <w:r>
        <w:rPr>
          <w:rFonts w:asciiTheme="minorHAnsi" w:hAnsiTheme="minorHAnsi" w:cstheme="minorHAnsi"/>
          <w:szCs w:val="24"/>
          <w:lang w:val="es-ES_tradnl"/>
        </w:rPr>
        <w:t>en el marco de</w:t>
      </w:r>
      <w:r w:rsidRPr="00EE189F">
        <w:rPr>
          <w:rFonts w:asciiTheme="minorHAnsi" w:hAnsiTheme="minorHAnsi" w:cstheme="minorHAnsi"/>
          <w:szCs w:val="24"/>
          <w:lang w:val="es-ES_tradnl"/>
        </w:rPr>
        <w:t xml:space="preserve"> documento</w:t>
      </w:r>
      <w:r>
        <w:rPr>
          <w:rFonts w:asciiTheme="minorHAnsi" w:hAnsiTheme="minorHAnsi" w:cstheme="minorHAnsi"/>
          <w:szCs w:val="24"/>
          <w:lang w:val="es-ES_tradnl"/>
        </w:rPr>
        <w:t>s</w:t>
      </w:r>
      <w:r w:rsidRPr="00EE189F">
        <w:rPr>
          <w:rFonts w:asciiTheme="minorHAnsi" w:hAnsiTheme="minorHAnsi" w:cstheme="minorHAnsi"/>
          <w:szCs w:val="24"/>
          <w:lang w:val="es-ES_tradnl"/>
        </w:rPr>
        <w:t xml:space="preserve"> adicional</w:t>
      </w:r>
      <w:r>
        <w:rPr>
          <w:rFonts w:asciiTheme="minorHAnsi" w:hAnsiTheme="minorHAnsi" w:cstheme="minorHAnsi"/>
          <w:szCs w:val="24"/>
          <w:lang w:val="es-ES_tradnl"/>
        </w:rPr>
        <w:t>es</w:t>
      </w:r>
      <w:r w:rsidRPr="00EE189F">
        <w:rPr>
          <w:rFonts w:asciiTheme="minorHAnsi" w:hAnsiTheme="minorHAnsi" w:cstheme="minorHAnsi"/>
          <w:szCs w:val="24"/>
          <w:lang w:val="es-ES_tradnl"/>
        </w:rPr>
        <w:t xml:space="preserve"> junto con las solicitudes de coordinación o notificación.</w:t>
      </w:r>
    </w:p>
    <w:p w14:paraId="21B7FBC7" w14:textId="2E670114" w:rsidR="00FE4822" w:rsidRPr="006D2A99" w:rsidRDefault="008561EA" w:rsidP="00031E64">
      <w:pPr>
        <w:rPr>
          <w:rFonts w:asciiTheme="minorHAnsi" w:hAnsiTheme="minorHAnsi" w:cstheme="minorHAnsi"/>
          <w:szCs w:val="24"/>
          <w:lang w:val="es-ES"/>
        </w:rPr>
      </w:pPr>
      <w:r w:rsidRPr="00EE189F">
        <w:rPr>
          <w:rFonts w:asciiTheme="minorHAnsi" w:hAnsiTheme="minorHAnsi" w:cstheme="minorHAnsi"/>
          <w:szCs w:val="24"/>
          <w:lang w:val="es-ES_tradnl"/>
        </w:rPr>
        <w:t>Confío en que la información que se recopilará respecto de los vehículos espaciales actualmente operativos, así como de los que se ha previsto desplegar en un futuro, resulte de suma utilidad para todos los agentes espaciales, tanto avezados como principiantes, a fin de prevenir la proliferación de los residuos espaciales y garantizar la consiguiente sostenibilidad a largo plazo de los recursos de espectro y órbita conexos.</w:t>
      </w:r>
    </w:p>
    <w:p w14:paraId="5D717F84" w14:textId="77777777" w:rsidR="00031E64" w:rsidRDefault="001B3D4D" w:rsidP="00254270">
      <w:pPr>
        <w:spacing w:before="1200" w:line="240" w:lineRule="auto"/>
        <w:jc w:val="left"/>
        <w:rPr>
          <w:szCs w:val="24"/>
          <w:lang w:val="es-ES"/>
        </w:rPr>
      </w:pPr>
      <w:r w:rsidRPr="008561EA">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7A2B846B" w14:textId="77777777" w:rsidR="008561EA" w:rsidRPr="008561EA" w:rsidRDefault="008561EA" w:rsidP="00254270">
      <w:pPr>
        <w:pStyle w:val="Headingb"/>
        <w:spacing w:before="3720"/>
        <w:rPr>
          <w:rFonts w:eastAsiaTheme="majorEastAsia"/>
          <w:sz w:val="18"/>
          <w:szCs w:val="18"/>
          <w:lang w:val="es-ES_tradnl"/>
        </w:rPr>
      </w:pPr>
      <w:r w:rsidRPr="008561EA">
        <w:rPr>
          <w:rFonts w:eastAsiaTheme="majorEastAsia"/>
          <w:sz w:val="18"/>
          <w:szCs w:val="18"/>
          <w:u w:val="single"/>
          <w:lang w:val="es-ES_tradnl"/>
        </w:rPr>
        <w:t>Distribución</w:t>
      </w:r>
      <w:r w:rsidRPr="008561EA">
        <w:rPr>
          <w:rFonts w:eastAsiaTheme="majorEastAsia"/>
          <w:sz w:val="18"/>
          <w:szCs w:val="18"/>
          <w:lang w:val="es-ES_tradnl"/>
        </w:rPr>
        <w:t>:</w:t>
      </w:r>
    </w:p>
    <w:p w14:paraId="2FE441ED" w14:textId="77777777" w:rsidR="008561EA" w:rsidRPr="008561EA" w:rsidRDefault="008561EA" w:rsidP="008561EA">
      <w:pPr>
        <w:pStyle w:val="enumlev1"/>
        <w:spacing w:before="0" w:line="240" w:lineRule="auto"/>
        <w:ind w:left="0" w:firstLine="0"/>
        <w:jc w:val="lowKashida"/>
        <w:rPr>
          <w:rFonts w:asciiTheme="minorHAnsi" w:eastAsiaTheme="majorEastAsia" w:hAnsiTheme="minorHAnsi" w:cstheme="minorHAnsi"/>
          <w:sz w:val="18"/>
          <w:szCs w:val="18"/>
          <w:lang w:val="es-ES_tradnl"/>
        </w:rPr>
      </w:pPr>
      <w:r w:rsidRPr="008561EA">
        <w:rPr>
          <w:rFonts w:asciiTheme="minorHAnsi" w:eastAsiaTheme="majorEastAsia" w:hAnsiTheme="minorHAnsi" w:cstheme="minorHAnsi"/>
          <w:sz w:val="18"/>
          <w:szCs w:val="18"/>
          <w:lang w:val="es-ES_tradnl"/>
        </w:rPr>
        <w:t>–</w:t>
      </w:r>
      <w:r w:rsidRPr="008561EA">
        <w:rPr>
          <w:rFonts w:asciiTheme="minorHAnsi" w:eastAsiaTheme="majorEastAsia" w:hAnsiTheme="minorHAnsi" w:cstheme="minorHAnsi"/>
          <w:sz w:val="18"/>
          <w:szCs w:val="18"/>
          <w:lang w:val="es-ES_tradnl"/>
        </w:rPr>
        <w:tab/>
        <w:t>Administraciones de los Estados Miembros de la UIT</w:t>
      </w:r>
    </w:p>
    <w:p w14:paraId="6635E23D" w14:textId="370E050B" w:rsidR="00D239B4" w:rsidRDefault="008561EA" w:rsidP="008561EA">
      <w:pPr>
        <w:pStyle w:val="enumlev1"/>
        <w:spacing w:before="0" w:line="240" w:lineRule="auto"/>
        <w:ind w:left="0" w:firstLine="0"/>
        <w:jc w:val="lowKashida"/>
        <w:rPr>
          <w:rFonts w:asciiTheme="minorHAnsi" w:eastAsiaTheme="majorEastAsia" w:hAnsiTheme="minorHAnsi" w:cstheme="minorHAnsi"/>
          <w:sz w:val="18"/>
          <w:szCs w:val="18"/>
          <w:lang w:val="es-ES_tradnl"/>
        </w:rPr>
      </w:pPr>
      <w:r w:rsidRPr="008561EA">
        <w:rPr>
          <w:rFonts w:asciiTheme="minorHAnsi" w:eastAsiaTheme="majorEastAsia" w:hAnsiTheme="minorHAnsi" w:cstheme="minorHAnsi"/>
          <w:sz w:val="18"/>
          <w:szCs w:val="18"/>
          <w:lang w:val="es-ES_tradnl"/>
        </w:rPr>
        <w:t>–</w:t>
      </w:r>
      <w:r w:rsidRPr="008561EA">
        <w:rPr>
          <w:rFonts w:asciiTheme="minorHAnsi" w:eastAsiaTheme="majorEastAsia" w:hAnsiTheme="minorHAnsi" w:cstheme="minorHAnsi"/>
          <w:sz w:val="18"/>
          <w:szCs w:val="18"/>
          <w:lang w:val="es-ES_tradnl"/>
        </w:rPr>
        <w:tab/>
        <w:t>Miembros de Sector de la UIT</w:t>
      </w:r>
    </w:p>
    <w:sectPr w:rsidR="00D239B4" w:rsidSect="00186629">
      <w:headerReference w:type="even" r:id="rId10"/>
      <w:headerReference w:type="default" r:id="rId11"/>
      <w:headerReference w:type="first" r:id="rId12"/>
      <w:footerReference w:type="first" r:id="rId13"/>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0402" w14:textId="77777777" w:rsidR="00186629" w:rsidRDefault="00186629">
      <w:r>
        <w:separator/>
      </w:r>
    </w:p>
  </w:endnote>
  <w:endnote w:type="continuationSeparator" w:id="0">
    <w:p w14:paraId="2F835E38" w14:textId="77777777" w:rsidR="00186629" w:rsidRDefault="001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B5DD" w14:textId="0B9C89CE" w:rsidR="005370F0" w:rsidRPr="006D2A99"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05BF" w14:textId="77777777" w:rsidR="00186629" w:rsidRDefault="00186629">
      <w:r>
        <w:t>____________________</w:t>
      </w:r>
    </w:p>
  </w:footnote>
  <w:footnote w:type="continuationSeparator" w:id="0">
    <w:p w14:paraId="0DB8DB20" w14:textId="77777777" w:rsidR="00186629" w:rsidRDefault="0018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E91"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DC5"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17DCC20F" w14:textId="77777777" w:rsidTr="002B7EE0">
      <w:tc>
        <w:tcPr>
          <w:tcW w:w="9862" w:type="dxa"/>
          <w:tcMar>
            <w:left w:w="0" w:type="dxa"/>
          </w:tcMar>
        </w:tcPr>
        <w:p w14:paraId="0EDA5A65"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9CA7AFA" w14:textId="77777777" w:rsidR="001B3D4D" w:rsidRDefault="001B3D4D" w:rsidP="001B3D4D">
          <w:pPr>
            <w:pStyle w:val="Header"/>
            <w:spacing w:before="240" w:line="360" w:lineRule="auto"/>
            <w:jc w:val="right"/>
          </w:pP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6"/>
  </w:num>
  <w:num w:numId="3" w16cid:durableId="423496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21A2"/>
    <w:rsid w:val="00086D03"/>
    <w:rsid w:val="00087057"/>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6629"/>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4270"/>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13B9"/>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5E"/>
    <w:rsid w:val="006C53F8"/>
    <w:rsid w:val="006C7CDE"/>
    <w:rsid w:val="006D2A99"/>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1EA"/>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3AD"/>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2EE5"/>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space-sustainabi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2024-02-29T08:29:00Z</dcterms:created>
  <dcterms:modified xsi:type="dcterms:W3CDTF">2024-02-29T08:29:00Z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