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D567FE" w14:paraId="3373B1DA" w14:textId="77777777" w:rsidTr="004228FA">
        <w:trPr>
          <w:jc w:val="center"/>
        </w:trPr>
        <w:tc>
          <w:tcPr>
            <w:tcW w:w="9889" w:type="dxa"/>
            <w:gridSpan w:val="3"/>
            <w:shd w:val="clear" w:color="auto" w:fill="auto"/>
          </w:tcPr>
          <w:p w14:paraId="131D11D0" w14:textId="77777777" w:rsidR="00E53DCE" w:rsidRPr="00D567FE" w:rsidRDefault="00E53DCE" w:rsidP="006160CB">
            <w:pPr>
              <w:spacing w:before="0"/>
              <w:jc w:val="left"/>
              <w:rPr>
                <w:rFonts w:cstheme="minorHAnsi"/>
                <w:b/>
                <w:bCs/>
                <w:color w:val="808080"/>
                <w:sz w:val="28"/>
                <w:szCs w:val="28"/>
                <w:lang w:val="fr-FR"/>
              </w:rPr>
            </w:pPr>
            <w:r w:rsidRPr="00D567FE">
              <w:rPr>
                <w:rFonts w:cstheme="minorHAnsi"/>
                <w:b/>
                <w:bCs/>
                <w:color w:val="808080"/>
                <w:sz w:val="28"/>
                <w:szCs w:val="28"/>
                <w:lang w:val="fr-FR"/>
              </w:rPr>
              <w:t>Bureau des radiocommunications (BR)</w:t>
            </w:r>
          </w:p>
          <w:p w14:paraId="5D410CA3" w14:textId="77777777" w:rsidR="00E53DCE" w:rsidRPr="00D567FE" w:rsidRDefault="00E53DCE" w:rsidP="006160CB">
            <w:pPr>
              <w:spacing w:before="0"/>
              <w:jc w:val="left"/>
              <w:rPr>
                <w:rFonts w:cstheme="minorHAnsi"/>
                <w:b/>
                <w:bCs/>
                <w:color w:val="808080"/>
                <w:sz w:val="28"/>
                <w:szCs w:val="28"/>
                <w:lang w:val="fr-FR"/>
              </w:rPr>
            </w:pPr>
          </w:p>
          <w:p w14:paraId="238EAC46" w14:textId="77777777" w:rsidR="00E53DCE" w:rsidRPr="00D567FE" w:rsidRDefault="00E53DCE" w:rsidP="006160CB">
            <w:pPr>
              <w:spacing w:before="0"/>
              <w:jc w:val="left"/>
              <w:rPr>
                <w:rFonts w:cs="Times New Roman Bold"/>
                <w:b/>
                <w:bCs/>
                <w:color w:val="808080"/>
                <w:sz w:val="28"/>
                <w:szCs w:val="28"/>
                <w:lang w:val="fr-FR"/>
              </w:rPr>
            </w:pPr>
          </w:p>
        </w:tc>
      </w:tr>
      <w:tr w:rsidR="00E53DCE" w:rsidRPr="00D567FE" w14:paraId="32D03654" w14:textId="77777777" w:rsidTr="004228FA">
        <w:trPr>
          <w:jc w:val="center"/>
        </w:trPr>
        <w:tc>
          <w:tcPr>
            <w:tcW w:w="7054" w:type="dxa"/>
            <w:gridSpan w:val="2"/>
            <w:shd w:val="clear" w:color="auto" w:fill="auto"/>
          </w:tcPr>
          <w:p w14:paraId="787AC96A" w14:textId="37F835B8" w:rsidR="00E53DCE" w:rsidRPr="00D567FE" w:rsidRDefault="00AA781A" w:rsidP="006160CB">
            <w:pPr>
              <w:spacing w:before="0"/>
              <w:jc w:val="left"/>
              <w:rPr>
                <w:sz w:val="28"/>
                <w:szCs w:val="28"/>
                <w:lang w:val="fr-FR"/>
              </w:rPr>
            </w:pPr>
            <w:r w:rsidRPr="00D567FE">
              <w:rPr>
                <w:szCs w:val="24"/>
                <w:lang w:val="fr-FR"/>
              </w:rPr>
              <w:t>Lettre circulaire</w:t>
            </w:r>
          </w:p>
          <w:p w14:paraId="198DE3D1" w14:textId="7DBDB547" w:rsidR="00E53DCE" w:rsidRPr="00D567FE" w:rsidRDefault="00AA781A" w:rsidP="006160CB">
            <w:pPr>
              <w:spacing w:before="0"/>
              <w:jc w:val="left"/>
              <w:rPr>
                <w:b/>
                <w:bCs/>
                <w:sz w:val="28"/>
                <w:szCs w:val="28"/>
                <w:lang w:val="fr-FR"/>
              </w:rPr>
            </w:pPr>
            <w:r w:rsidRPr="00226645">
              <w:rPr>
                <w:b/>
                <w:bCs/>
                <w:szCs w:val="24"/>
                <w:lang w:val="fr-FR"/>
              </w:rPr>
              <w:t>C</w:t>
            </w:r>
            <w:r w:rsidR="00247096" w:rsidRPr="00226645">
              <w:rPr>
                <w:b/>
                <w:bCs/>
                <w:szCs w:val="24"/>
                <w:lang w:val="fr-FR"/>
              </w:rPr>
              <w:t>A</w:t>
            </w:r>
            <w:r w:rsidR="00D567FE" w:rsidRPr="00226645">
              <w:rPr>
                <w:b/>
                <w:bCs/>
                <w:szCs w:val="24"/>
                <w:lang w:val="fr-FR"/>
              </w:rPr>
              <w:t>/</w:t>
            </w:r>
            <w:r w:rsidR="00226645">
              <w:rPr>
                <w:b/>
                <w:bCs/>
                <w:szCs w:val="24"/>
                <w:lang w:val="fr-FR"/>
              </w:rPr>
              <w:t>272</w:t>
            </w:r>
          </w:p>
        </w:tc>
        <w:tc>
          <w:tcPr>
            <w:tcW w:w="2835" w:type="dxa"/>
            <w:shd w:val="clear" w:color="auto" w:fill="auto"/>
          </w:tcPr>
          <w:p w14:paraId="73698996" w14:textId="53225BED" w:rsidR="00E53DCE" w:rsidRPr="00D567FE" w:rsidRDefault="00AA781A" w:rsidP="00304636">
            <w:pPr>
              <w:spacing w:before="0"/>
              <w:jc w:val="right"/>
              <w:rPr>
                <w:sz w:val="28"/>
                <w:szCs w:val="28"/>
                <w:lang w:val="fr-FR"/>
              </w:rPr>
            </w:pPr>
            <w:r w:rsidRPr="00226645">
              <w:rPr>
                <w:szCs w:val="24"/>
                <w:lang w:val="fr-FR"/>
              </w:rPr>
              <w:t>Le</w:t>
            </w:r>
            <w:r w:rsidR="00247096" w:rsidRPr="00226645">
              <w:rPr>
                <w:szCs w:val="24"/>
                <w:lang w:val="fr-FR"/>
              </w:rPr>
              <w:t xml:space="preserve"> 1</w:t>
            </w:r>
            <w:r w:rsidR="00247096" w:rsidRPr="00226645">
              <w:rPr>
                <w:szCs w:val="24"/>
                <w:vertAlign w:val="superscript"/>
                <w:lang w:val="fr-FR"/>
              </w:rPr>
              <w:t>er</w:t>
            </w:r>
            <w:r w:rsidR="00247096" w:rsidRPr="00226645">
              <w:rPr>
                <w:szCs w:val="24"/>
                <w:lang w:val="fr-FR"/>
              </w:rPr>
              <w:t xml:space="preserve"> </w:t>
            </w:r>
            <w:sdt>
              <w:sdtPr>
                <w:rPr>
                  <w:rFonts w:cs="Arial"/>
                  <w:szCs w:val="24"/>
                  <w:lang w:val="fr-FR"/>
                </w:rPr>
                <w:alias w:val="Date"/>
                <w:tag w:val="Date"/>
                <w:id w:val="444659277"/>
                <w:placeholder>
                  <w:docPart w:val="0058E8D953B84389ACF9349EDACA5E7D"/>
                </w:placeholder>
                <w:date>
                  <w:dateFormat w:val="d MMMM yyyy"/>
                  <w:lid w:val="fr-FR"/>
                  <w:storeMappedDataAs w:val="date"/>
                  <w:calendar w:val="gregorian"/>
                </w:date>
              </w:sdtPr>
              <w:sdtEndPr/>
              <w:sdtContent>
                <w:r w:rsidR="00247096" w:rsidRPr="00226645">
                  <w:rPr>
                    <w:rFonts w:cs="Arial"/>
                    <w:szCs w:val="24"/>
                    <w:lang w:val="fr-FR"/>
                  </w:rPr>
                  <w:t>mars 2024</w:t>
                </w:r>
              </w:sdtContent>
            </w:sdt>
          </w:p>
        </w:tc>
      </w:tr>
      <w:tr w:rsidR="00E53DCE" w:rsidRPr="00D567FE" w14:paraId="21CF050B" w14:textId="77777777" w:rsidTr="004228FA">
        <w:trPr>
          <w:jc w:val="center"/>
        </w:trPr>
        <w:tc>
          <w:tcPr>
            <w:tcW w:w="9889" w:type="dxa"/>
            <w:gridSpan w:val="3"/>
            <w:shd w:val="clear" w:color="auto" w:fill="auto"/>
          </w:tcPr>
          <w:p w14:paraId="78C111A6" w14:textId="77777777" w:rsidR="00E53DCE" w:rsidRPr="00D567FE" w:rsidRDefault="00E53DCE" w:rsidP="006160CB">
            <w:pPr>
              <w:spacing w:before="0"/>
              <w:jc w:val="left"/>
              <w:rPr>
                <w:rFonts w:cs="Arial"/>
                <w:szCs w:val="24"/>
                <w:lang w:val="fr-FR"/>
              </w:rPr>
            </w:pPr>
          </w:p>
        </w:tc>
      </w:tr>
      <w:tr w:rsidR="00E53DCE" w:rsidRPr="00D567FE" w14:paraId="2F4E240B" w14:textId="77777777" w:rsidTr="004228FA">
        <w:trPr>
          <w:jc w:val="center"/>
        </w:trPr>
        <w:tc>
          <w:tcPr>
            <w:tcW w:w="9889" w:type="dxa"/>
            <w:gridSpan w:val="3"/>
            <w:shd w:val="clear" w:color="auto" w:fill="auto"/>
          </w:tcPr>
          <w:p w14:paraId="1E0134AA" w14:textId="77777777" w:rsidR="00E53DCE" w:rsidRPr="00D567FE" w:rsidRDefault="00E53DCE" w:rsidP="006160CB">
            <w:pPr>
              <w:spacing w:before="0"/>
              <w:jc w:val="left"/>
              <w:rPr>
                <w:szCs w:val="24"/>
                <w:lang w:val="fr-FR"/>
              </w:rPr>
            </w:pPr>
          </w:p>
        </w:tc>
      </w:tr>
      <w:tr w:rsidR="00E53DCE" w:rsidRPr="00341DCD" w14:paraId="007114AC" w14:textId="77777777" w:rsidTr="004228FA">
        <w:trPr>
          <w:jc w:val="center"/>
        </w:trPr>
        <w:tc>
          <w:tcPr>
            <w:tcW w:w="9889" w:type="dxa"/>
            <w:gridSpan w:val="3"/>
            <w:shd w:val="clear" w:color="auto" w:fill="auto"/>
          </w:tcPr>
          <w:p w14:paraId="63C97C02" w14:textId="525CE2A2" w:rsidR="00E53DCE" w:rsidRPr="00D567FE" w:rsidRDefault="00D567FE" w:rsidP="006160CB">
            <w:pPr>
              <w:spacing w:before="0"/>
              <w:jc w:val="left"/>
              <w:rPr>
                <w:b/>
                <w:bCs/>
                <w:szCs w:val="24"/>
                <w:lang w:val="fr-FR"/>
              </w:rPr>
            </w:pPr>
            <w:r w:rsidRPr="00D567FE">
              <w:rPr>
                <w:b/>
                <w:bCs/>
                <w:szCs w:val="24"/>
                <w:lang w:val="fr-FR"/>
              </w:rPr>
              <w:t>Aux Administrations des États Membres et des Membres des Secteurs de l'UIT</w:t>
            </w:r>
          </w:p>
          <w:p w14:paraId="43A7338A" w14:textId="77777777" w:rsidR="00E53DCE" w:rsidRPr="00D567FE" w:rsidRDefault="00E53DCE" w:rsidP="006160CB">
            <w:pPr>
              <w:spacing w:before="0"/>
              <w:jc w:val="left"/>
              <w:rPr>
                <w:b/>
                <w:bCs/>
                <w:szCs w:val="24"/>
                <w:lang w:val="fr-FR"/>
              </w:rPr>
            </w:pPr>
          </w:p>
        </w:tc>
      </w:tr>
      <w:tr w:rsidR="00E53DCE" w:rsidRPr="00341DCD" w14:paraId="6C559311" w14:textId="77777777" w:rsidTr="004228FA">
        <w:trPr>
          <w:jc w:val="center"/>
        </w:trPr>
        <w:tc>
          <w:tcPr>
            <w:tcW w:w="9889" w:type="dxa"/>
            <w:gridSpan w:val="3"/>
            <w:shd w:val="clear" w:color="auto" w:fill="auto"/>
          </w:tcPr>
          <w:p w14:paraId="0D32AE4E" w14:textId="77777777" w:rsidR="00E53DCE" w:rsidRPr="00D567FE" w:rsidRDefault="00E53DCE" w:rsidP="006160CB">
            <w:pPr>
              <w:spacing w:before="0"/>
              <w:jc w:val="left"/>
              <w:rPr>
                <w:szCs w:val="24"/>
                <w:lang w:val="fr-FR"/>
              </w:rPr>
            </w:pPr>
          </w:p>
        </w:tc>
      </w:tr>
      <w:tr w:rsidR="00E53DCE" w:rsidRPr="00341DCD" w14:paraId="26C0E337" w14:textId="77777777" w:rsidTr="004228FA">
        <w:trPr>
          <w:jc w:val="center"/>
        </w:trPr>
        <w:tc>
          <w:tcPr>
            <w:tcW w:w="9889" w:type="dxa"/>
            <w:gridSpan w:val="3"/>
            <w:shd w:val="clear" w:color="auto" w:fill="auto"/>
          </w:tcPr>
          <w:p w14:paraId="29F7E960" w14:textId="77777777" w:rsidR="00E53DCE" w:rsidRPr="00D567FE" w:rsidRDefault="00E53DCE" w:rsidP="006160CB">
            <w:pPr>
              <w:spacing w:before="0"/>
              <w:jc w:val="left"/>
              <w:rPr>
                <w:szCs w:val="24"/>
                <w:lang w:val="fr-FR"/>
              </w:rPr>
            </w:pPr>
          </w:p>
        </w:tc>
      </w:tr>
      <w:tr w:rsidR="00E53DCE" w:rsidRPr="00341DCD" w14:paraId="2813E03B" w14:textId="77777777" w:rsidTr="004228FA">
        <w:trPr>
          <w:jc w:val="center"/>
        </w:trPr>
        <w:tc>
          <w:tcPr>
            <w:tcW w:w="1526" w:type="dxa"/>
            <w:shd w:val="clear" w:color="auto" w:fill="auto"/>
          </w:tcPr>
          <w:p w14:paraId="50D97891" w14:textId="77777777" w:rsidR="00E53DCE" w:rsidRPr="00D567FE" w:rsidRDefault="003471C9" w:rsidP="006160CB">
            <w:pPr>
              <w:tabs>
                <w:tab w:val="clear" w:pos="1588"/>
                <w:tab w:val="left" w:pos="1560"/>
              </w:tabs>
              <w:spacing w:before="0"/>
              <w:jc w:val="left"/>
              <w:rPr>
                <w:szCs w:val="24"/>
                <w:lang w:val="fr-FR"/>
              </w:rPr>
            </w:pPr>
            <w:proofErr w:type="gramStart"/>
            <w:r w:rsidRPr="00D567FE">
              <w:rPr>
                <w:lang w:val="fr-FR"/>
              </w:rPr>
              <w:t>Objet</w:t>
            </w:r>
            <w:r w:rsidR="00E53DCE" w:rsidRPr="00D567FE">
              <w:rPr>
                <w:szCs w:val="24"/>
                <w:lang w:val="fr-FR"/>
              </w:rPr>
              <w:t>:</w:t>
            </w:r>
            <w:proofErr w:type="gramEnd"/>
          </w:p>
        </w:tc>
        <w:tc>
          <w:tcPr>
            <w:tcW w:w="8363" w:type="dxa"/>
            <w:gridSpan w:val="2"/>
            <w:vMerge w:val="restart"/>
            <w:shd w:val="clear" w:color="auto" w:fill="auto"/>
          </w:tcPr>
          <w:p w14:paraId="41F3265F" w14:textId="5EC92DB4" w:rsidR="00E53DCE" w:rsidRPr="00D567FE" w:rsidRDefault="00D567FE" w:rsidP="00D567FE">
            <w:pPr>
              <w:tabs>
                <w:tab w:val="clear" w:pos="1588"/>
                <w:tab w:val="left" w:pos="1560"/>
              </w:tabs>
              <w:spacing w:before="0"/>
              <w:jc w:val="left"/>
              <w:rPr>
                <w:b/>
                <w:bCs/>
                <w:szCs w:val="24"/>
                <w:lang w:val="fr-FR"/>
              </w:rPr>
            </w:pPr>
            <w:r w:rsidRPr="00D567FE">
              <w:rPr>
                <w:b/>
                <w:bCs/>
                <w:szCs w:val="24"/>
                <w:lang w:val="fr-FR"/>
              </w:rPr>
              <w:t>Stratégies de désorbitation et/ou d'élimination des stations spatiales non OSG utilisant des assignations de fréquence actuellement inscrites dans le Fichier de référence international des fréquences de l'UIT ou en cours de coordination ou de notification</w:t>
            </w:r>
          </w:p>
        </w:tc>
      </w:tr>
      <w:tr w:rsidR="00E53DCE" w:rsidRPr="00341DCD" w14:paraId="61BFC634" w14:textId="77777777" w:rsidTr="004228FA">
        <w:trPr>
          <w:jc w:val="center"/>
        </w:trPr>
        <w:tc>
          <w:tcPr>
            <w:tcW w:w="1526" w:type="dxa"/>
            <w:shd w:val="clear" w:color="auto" w:fill="auto"/>
          </w:tcPr>
          <w:p w14:paraId="1D8E097C" w14:textId="77777777" w:rsidR="00E53DCE" w:rsidRPr="00D567FE"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6D0E898D" w14:textId="77777777" w:rsidR="00E53DCE" w:rsidRPr="00D567FE" w:rsidRDefault="00E53DCE" w:rsidP="006160CB">
            <w:pPr>
              <w:tabs>
                <w:tab w:val="clear" w:pos="1588"/>
                <w:tab w:val="left" w:pos="1560"/>
              </w:tabs>
              <w:spacing w:before="0"/>
              <w:rPr>
                <w:b/>
                <w:bCs/>
                <w:szCs w:val="24"/>
                <w:lang w:val="fr-FR"/>
              </w:rPr>
            </w:pPr>
          </w:p>
        </w:tc>
      </w:tr>
      <w:tr w:rsidR="00E53DCE" w:rsidRPr="00341DCD" w14:paraId="16E0966F" w14:textId="77777777" w:rsidTr="004228FA">
        <w:trPr>
          <w:jc w:val="center"/>
        </w:trPr>
        <w:tc>
          <w:tcPr>
            <w:tcW w:w="1526" w:type="dxa"/>
            <w:shd w:val="clear" w:color="auto" w:fill="auto"/>
          </w:tcPr>
          <w:p w14:paraId="1523ACF5" w14:textId="77777777" w:rsidR="00E53DCE" w:rsidRPr="00D567FE"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14AEF458" w14:textId="77777777" w:rsidR="00E53DCE" w:rsidRPr="00D567FE" w:rsidRDefault="00E53DCE" w:rsidP="006160CB">
            <w:pPr>
              <w:tabs>
                <w:tab w:val="clear" w:pos="1588"/>
                <w:tab w:val="left" w:pos="1560"/>
              </w:tabs>
              <w:spacing w:before="0"/>
              <w:rPr>
                <w:b/>
                <w:bCs/>
                <w:szCs w:val="24"/>
                <w:lang w:val="fr-FR"/>
              </w:rPr>
            </w:pPr>
          </w:p>
        </w:tc>
      </w:tr>
      <w:tr w:rsidR="00E53DCE" w:rsidRPr="00341DCD" w14:paraId="7F2EC983" w14:textId="77777777" w:rsidTr="004228FA">
        <w:trPr>
          <w:jc w:val="center"/>
        </w:trPr>
        <w:tc>
          <w:tcPr>
            <w:tcW w:w="9889" w:type="dxa"/>
            <w:gridSpan w:val="3"/>
            <w:shd w:val="clear" w:color="auto" w:fill="auto"/>
          </w:tcPr>
          <w:p w14:paraId="40F7D839" w14:textId="77777777" w:rsidR="00E53DCE" w:rsidRPr="00D567FE" w:rsidRDefault="00E53DCE" w:rsidP="00E53DCE">
            <w:pPr>
              <w:tabs>
                <w:tab w:val="clear" w:pos="1588"/>
                <w:tab w:val="left" w:pos="1560"/>
              </w:tabs>
              <w:spacing w:before="0"/>
              <w:jc w:val="left"/>
              <w:rPr>
                <w:szCs w:val="24"/>
                <w:lang w:val="fr-FR"/>
              </w:rPr>
            </w:pPr>
          </w:p>
        </w:tc>
      </w:tr>
    </w:tbl>
    <w:p w14:paraId="57829064" w14:textId="43D439DA" w:rsidR="00D567FE" w:rsidRPr="00D567FE" w:rsidRDefault="00D567FE" w:rsidP="00143D86">
      <w:pPr>
        <w:pStyle w:val="Normalaftertitle"/>
        <w:spacing w:line="240" w:lineRule="auto"/>
        <w:rPr>
          <w:lang w:val="fr-FR"/>
        </w:rPr>
      </w:pPr>
      <w:r w:rsidRPr="00D567FE">
        <w:rPr>
          <w:lang w:val="fr-FR"/>
        </w:rPr>
        <w:t xml:space="preserve">L'Assemblée des radiocommunications de l'UIT, récemment tenue à Dubaï en novembre dernier, a adopté la </w:t>
      </w:r>
      <w:r w:rsidRPr="00D567FE">
        <w:rPr>
          <w:b/>
          <w:bCs/>
          <w:lang w:val="fr-FR"/>
        </w:rPr>
        <w:t>Résolution</w:t>
      </w:r>
      <w:r>
        <w:rPr>
          <w:b/>
          <w:bCs/>
          <w:lang w:val="fr-FR"/>
        </w:rPr>
        <w:t> </w:t>
      </w:r>
      <w:r w:rsidRPr="00D567FE">
        <w:rPr>
          <w:b/>
          <w:bCs/>
          <w:lang w:val="fr-FR"/>
        </w:rPr>
        <w:t>UIT-R</w:t>
      </w:r>
      <w:r>
        <w:rPr>
          <w:b/>
          <w:bCs/>
          <w:lang w:val="fr-FR"/>
        </w:rPr>
        <w:t> </w:t>
      </w:r>
      <w:r w:rsidRPr="00D567FE">
        <w:rPr>
          <w:b/>
          <w:bCs/>
          <w:lang w:val="fr-FR"/>
        </w:rPr>
        <w:t>74</w:t>
      </w:r>
      <w:r w:rsidRPr="00D567FE">
        <w:rPr>
          <w:lang w:val="fr-FR"/>
        </w:rPr>
        <w:t xml:space="preserve"> sur les activités relatives à l'utilisation durable des ressources que sont le spectre des fréquences radioélectriques et les orbites de satellites associées utilisées par les services spatiaux.</w:t>
      </w:r>
    </w:p>
    <w:p w14:paraId="46EA257E" w14:textId="43938544" w:rsidR="00D567FE" w:rsidRPr="00D567FE" w:rsidRDefault="00D567FE" w:rsidP="00143D86">
      <w:pPr>
        <w:spacing w:line="240" w:lineRule="auto"/>
        <w:rPr>
          <w:szCs w:val="24"/>
          <w:lang w:val="fr-FR"/>
        </w:rPr>
      </w:pPr>
      <w:r w:rsidRPr="00D567FE">
        <w:rPr>
          <w:szCs w:val="24"/>
          <w:lang w:val="fr-FR"/>
        </w:rPr>
        <w:t xml:space="preserve">Tout en rappelant la </w:t>
      </w:r>
      <w:r w:rsidRPr="00D567FE">
        <w:rPr>
          <w:b/>
          <w:bCs/>
          <w:szCs w:val="24"/>
          <w:lang w:val="fr-FR"/>
        </w:rPr>
        <w:t>Résolution 219 (Bucarest, 2022)</w:t>
      </w:r>
      <w:r w:rsidRPr="00D567FE">
        <w:rPr>
          <w:szCs w:val="24"/>
          <w:lang w:val="fr-FR"/>
        </w:rPr>
        <w:t xml:space="preserve"> de la Conférence de plénipotentiaires, intitulée «Viabilité des ressources que constituent le spectre des fréquences radioélectriques et les orbites de satellites associées utilisées par les services spatiaux», et la </w:t>
      </w:r>
      <w:r w:rsidRPr="00D567FE">
        <w:rPr>
          <w:b/>
          <w:bCs/>
          <w:szCs w:val="24"/>
          <w:lang w:val="fr-FR"/>
        </w:rPr>
        <w:t>Résolution 218 (Bucarest, 2022)</w:t>
      </w:r>
      <w:r w:rsidRPr="00D567FE">
        <w:rPr>
          <w:szCs w:val="24"/>
          <w:lang w:val="fr-FR"/>
        </w:rPr>
        <w:t xml:space="preserve"> de la Conférence de plénipotentiaires, intitulée «Rôle de l'UIT dans la mise en</w:t>
      </w:r>
      <w:r>
        <w:rPr>
          <w:szCs w:val="24"/>
          <w:lang w:val="fr-FR"/>
        </w:rPr>
        <w:t> </w:t>
      </w:r>
      <w:r w:rsidRPr="00D567FE">
        <w:rPr>
          <w:szCs w:val="24"/>
          <w:lang w:val="fr-FR"/>
        </w:rPr>
        <w:t>œuvre du programme «Espace2030»: l'espace comme moteur de développement durable et dans le processus de suivi et d'examen de ce programme», l'Assemblée des radiocommunications de l'UIT de 2023 a reconnu que le Bureau des radiocommunications a reçu un nombre sans cesse croissant de fiches de notifications pour des systèmes non OSG, y compris des systèmes composés de centaines, voire de milliers, de stations spatiales et avec plusieurs configurations, et a constaté que les activités de lancement et d'exploitation de satellites non géostationnaires dans l'espace extra-atmosphérique se poursuivaient et s'intensifiaient.</w:t>
      </w:r>
    </w:p>
    <w:p w14:paraId="1FAD3276" w14:textId="77777777" w:rsidR="00D567FE" w:rsidRPr="00D567FE" w:rsidRDefault="00D567FE" w:rsidP="00143D86">
      <w:pPr>
        <w:spacing w:line="240" w:lineRule="auto"/>
        <w:rPr>
          <w:szCs w:val="24"/>
          <w:lang w:val="fr-FR"/>
        </w:rPr>
      </w:pPr>
      <w:r w:rsidRPr="00D567FE">
        <w:rPr>
          <w:szCs w:val="24"/>
          <w:lang w:val="fr-FR"/>
        </w:rPr>
        <w:t>En outre, l'Assemblée des radiocommunications de l'UIT de 2023 a demandé l'élaboration d'une Recommandation sur la question ainsi que, entre autres, l'échange et la diffusion d'informations fiables disponibles dans ce domaine.</w:t>
      </w:r>
    </w:p>
    <w:p w14:paraId="52758A9E" w14:textId="687C2A1B" w:rsidR="00D567FE" w:rsidRPr="00D567FE" w:rsidRDefault="00D567FE" w:rsidP="00143D86">
      <w:pPr>
        <w:spacing w:line="240" w:lineRule="auto"/>
        <w:rPr>
          <w:szCs w:val="24"/>
          <w:lang w:val="fr-FR"/>
        </w:rPr>
      </w:pPr>
      <w:r w:rsidRPr="00D567FE">
        <w:rPr>
          <w:szCs w:val="24"/>
          <w:lang w:val="fr-FR"/>
        </w:rPr>
        <w:t>Dans ce contexte, j'invite les administrations, les opérateurs de satellites, les constructeurs, les fournisseurs de services de lancement, les agences spatiales et les autres parties prenantes du secteur spatial à soumettre au Bureau des radiocommunications les stratégies actuellement utilisées ou à utiliser pour la désorbitation et/ou l'élimination des stations spatiales non OSG après la fin d'une mission. Le Bureau des radiocommunications accueille notamment de manière favorable les informations concernant a) l'élaboration de la stratégie appliquée après la fin d'une mission, b) les calendriers de désorbitation, c) les techniques de base, y compris les capacités de manœuvrabilité, et d) les points de contact (nom, titre, adresse électronique, numéro de téléphone).</w:t>
      </w:r>
    </w:p>
    <w:p w14:paraId="741E82FF" w14:textId="22631303" w:rsidR="00123857" w:rsidRDefault="00D567FE" w:rsidP="00143D86">
      <w:pPr>
        <w:spacing w:line="240" w:lineRule="auto"/>
        <w:rPr>
          <w:szCs w:val="24"/>
          <w:lang w:val="fr-FR"/>
        </w:rPr>
      </w:pPr>
      <w:r w:rsidRPr="00D567FE">
        <w:rPr>
          <w:szCs w:val="24"/>
          <w:lang w:val="fr-FR"/>
        </w:rPr>
        <w:lastRenderedPageBreak/>
        <w:t xml:space="preserve">Conformément au point 2 du </w:t>
      </w:r>
      <w:r w:rsidRPr="00D567FE">
        <w:rPr>
          <w:i/>
          <w:iCs/>
          <w:szCs w:val="24"/>
          <w:lang w:val="fr-FR"/>
        </w:rPr>
        <w:t>charge le Directeur du Bureau des radiocommunications</w:t>
      </w:r>
      <w:r w:rsidRPr="00D567FE">
        <w:rPr>
          <w:szCs w:val="24"/>
          <w:lang w:val="fr-FR"/>
        </w:rPr>
        <w:t xml:space="preserve"> de la </w:t>
      </w:r>
      <w:r w:rsidRPr="00D567FE">
        <w:rPr>
          <w:b/>
          <w:bCs/>
          <w:szCs w:val="24"/>
          <w:lang w:val="fr-FR"/>
        </w:rPr>
        <w:t>Résolution UIT-R 74</w:t>
      </w:r>
      <w:r w:rsidRPr="00D567FE">
        <w:rPr>
          <w:szCs w:val="24"/>
          <w:lang w:val="fr-FR"/>
        </w:rPr>
        <w:t>, le Bureau publiera les informations reçues sur un site web dédié, qui sera régulièrement actualisé à mesure que parviendront des informations nouvelles</w:t>
      </w:r>
      <w:r w:rsidR="00341DCD">
        <w:rPr>
          <w:szCs w:val="24"/>
          <w:lang w:val="fr-FR"/>
        </w:rPr>
        <w:t>.</w:t>
      </w:r>
    </w:p>
    <w:p w14:paraId="3C8F7866" w14:textId="37CDE8F8" w:rsidR="00123857" w:rsidRDefault="00123857" w:rsidP="00341DCD">
      <w:pPr>
        <w:spacing w:before="0" w:line="240" w:lineRule="auto"/>
        <w:rPr>
          <w:szCs w:val="24"/>
          <w:lang w:val="fr-FR"/>
        </w:rPr>
      </w:pPr>
      <w:r w:rsidRPr="00123857">
        <w:rPr>
          <w:rFonts w:asciiTheme="minorHAnsi" w:hAnsiTheme="minorHAnsi" w:cstheme="minorHAnsi"/>
          <w:szCs w:val="24"/>
          <w:lang w:val="fr-FR"/>
        </w:rPr>
        <w:t>(</w:t>
      </w:r>
      <w:hyperlink r:id="rId8" w:history="1">
        <w:r w:rsidR="00341DCD" w:rsidRPr="00E43552">
          <w:rPr>
            <w:rStyle w:val="Hyperlink"/>
            <w:rFonts w:asciiTheme="minorHAnsi" w:hAnsiTheme="minorHAnsi" w:cstheme="minorHAnsi"/>
            <w:szCs w:val="24"/>
            <w:lang w:val="fr-FR"/>
          </w:rPr>
          <w:t>https://www.itu.int/space-sustainability/</w:t>
        </w:r>
      </w:hyperlink>
      <w:r>
        <w:rPr>
          <w:rFonts w:asciiTheme="minorHAnsi" w:hAnsiTheme="minorHAnsi" w:cstheme="minorHAnsi"/>
          <w:szCs w:val="24"/>
          <w:lang w:val="fr-FR"/>
        </w:rPr>
        <w:t>)</w:t>
      </w:r>
      <w:r w:rsidR="00D567FE" w:rsidRPr="00D567FE">
        <w:rPr>
          <w:szCs w:val="24"/>
          <w:lang w:val="fr-FR"/>
        </w:rPr>
        <w:t>.</w:t>
      </w:r>
    </w:p>
    <w:p w14:paraId="0253C09F" w14:textId="2CDF7BCB" w:rsidR="00D567FE" w:rsidRPr="00D567FE" w:rsidRDefault="00D567FE" w:rsidP="00143D86">
      <w:pPr>
        <w:spacing w:line="240" w:lineRule="auto"/>
        <w:rPr>
          <w:szCs w:val="24"/>
          <w:lang w:val="fr-FR"/>
        </w:rPr>
      </w:pPr>
      <w:r w:rsidRPr="00D567FE">
        <w:rPr>
          <w:szCs w:val="24"/>
          <w:lang w:val="fr-FR"/>
        </w:rPr>
        <w:t>Les documents correspondant</w:t>
      </w:r>
      <w:r w:rsidR="00341DCD">
        <w:rPr>
          <w:szCs w:val="24"/>
          <w:lang w:val="fr-FR"/>
        </w:rPr>
        <w:t>s</w:t>
      </w:r>
      <w:r w:rsidRPr="00D567FE">
        <w:rPr>
          <w:szCs w:val="24"/>
          <w:lang w:val="fr-FR"/>
        </w:rPr>
        <w:t xml:space="preserve"> pourront également être utilisés ultérieurement en tant que contributions soumises aux commissions d'études respectives de l'UIT-R.</w:t>
      </w:r>
    </w:p>
    <w:p w14:paraId="46045E0E" w14:textId="3099225E" w:rsidR="00D567FE" w:rsidRDefault="00D567FE" w:rsidP="00143D86">
      <w:pPr>
        <w:spacing w:line="240" w:lineRule="auto"/>
        <w:rPr>
          <w:szCs w:val="24"/>
          <w:lang w:val="fr-FR"/>
        </w:rPr>
      </w:pPr>
      <w:r w:rsidRPr="00D567FE">
        <w:rPr>
          <w:szCs w:val="24"/>
          <w:lang w:val="fr-FR"/>
        </w:rPr>
        <w:t xml:space="preserve">Le Bureau invite les administrations qui ont déjà soumis des fiches de notifications de systèmes non OSG à des fins de coordination ou de notification, ainsi que les entités exploitantes, à soumettre et partager ces informations précieuses </w:t>
      </w:r>
      <w:r w:rsidRPr="00D567FE">
        <w:rPr>
          <w:b/>
          <w:bCs/>
          <w:szCs w:val="24"/>
          <w:lang w:val="fr-FR"/>
        </w:rPr>
        <w:t>avant le 30 mars 2024</w:t>
      </w:r>
      <w:r w:rsidRPr="00D567FE">
        <w:rPr>
          <w:szCs w:val="24"/>
          <w:lang w:val="fr-FR"/>
        </w:rPr>
        <w:t xml:space="preserve"> par courriel à l'adresse </w:t>
      </w:r>
      <w:hyperlink r:id="rId9" w:history="1">
        <w:r w:rsidRPr="00973F37">
          <w:rPr>
            <w:rStyle w:val="Hyperlink"/>
            <w:szCs w:val="24"/>
            <w:lang w:val="fr-FR"/>
          </w:rPr>
          <w:t>BRmail@itu.int</w:t>
        </w:r>
      </w:hyperlink>
      <w:r w:rsidRPr="00D567FE">
        <w:rPr>
          <w:szCs w:val="24"/>
          <w:lang w:val="fr-FR"/>
        </w:rPr>
        <w:t>.</w:t>
      </w:r>
    </w:p>
    <w:p w14:paraId="48CA84A8" w14:textId="1CDC2F04" w:rsidR="00D567FE" w:rsidRPr="00D567FE" w:rsidRDefault="00D567FE" w:rsidP="00143D86">
      <w:pPr>
        <w:spacing w:line="240" w:lineRule="auto"/>
        <w:rPr>
          <w:szCs w:val="24"/>
          <w:lang w:val="fr-FR"/>
        </w:rPr>
      </w:pPr>
      <w:r w:rsidRPr="00D567FE">
        <w:rPr>
          <w:szCs w:val="24"/>
          <w:lang w:val="fr-FR"/>
        </w:rPr>
        <w:t>Concernant les futures fiches de notification de réseaux à satellites non OSG, les renseignements demandés pourront être soumis sous la forme de documents complémentaires parallèlement aux demandes de coordination ou de notification.</w:t>
      </w:r>
    </w:p>
    <w:p w14:paraId="4551F7EC" w14:textId="0CF39769" w:rsidR="00D567FE" w:rsidRPr="00D567FE" w:rsidRDefault="00D567FE" w:rsidP="00143D86">
      <w:pPr>
        <w:spacing w:line="240" w:lineRule="auto"/>
        <w:rPr>
          <w:szCs w:val="24"/>
          <w:lang w:val="fr-FR"/>
        </w:rPr>
      </w:pPr>
      <w:r w:rsidRPr="00D567FE">
        <w:rPr>
          <w:szCs w:val="24"/>
          <w:lang w:val="fr-FR"/>
        </w:rPr>
        <w:t>Je ne doute pas que les informations que nous recevrons concernant les engins spatiaux en cours d'exploitation et ceux qu'il est prévu de déployer dans l'avenir seront particulièrement utiles à tous les acteurs du secteur spatial, novices comme spécialistes, afin d'empêcher la prolifération des débris spatiaux et de garantir la viabilité à long terme des ressources que sont le spectre des fréquences radioélectriques et les orbites de satellites associées.</w:t>
      </w:r>
    </w:p>
    <w:p w14:paraId="001156D6" w14:textId="19345CE6" w:rsidR="00E53DCE" w:rsidRDefault="00D567FE" w:rsidP="00341DCD">
      <w:pPr>
        <w:spacing w:before="1200" w:after="960"/>
        <w:jc w:val="left"/>
        <w:rPr>
          <w:szCs w:val="24"/>
          <w:lang w:val="fr-FR"/>
        </w:rPr>
      </w:pPr>
      <w:r w:rsidRPr="00D567FE">
        <w:rPr>
          <w:szCs w:val="24"/>
          <w:lang w:val="fr-FR"/>
        </w:rPr>
        <w:t>Mario Manie</w:t>
      </w:r>
      <w:r w:rsidR="00341DCD">
        <w:rPr>
          <w:szCs w:val="24"/>
          <w:lang w:val="fr-FR"/>
        </w:rPr>
        <w:t>w</w:t>
      </w:r>
      <w:r w:rsidRPr="00D567FE">
        <w:rPr>
          <w:szCs w:val="24"/>
          <w:lang w:val="fr-FR"/>
        </w:rPr>
        <w:t>icz</w:t>
      </w:r>
      <w:r>
        <w:rPr>
          <w:szCs w:val="24"/>
          <w:lang w:val="fr-FR"/>
        </w:rPr>
        <w:br/>
      </w:r>
      <w:r w:rsidRPr="00D567FE">
        <w:rPr>
          <w:szCs w:val="24"/>
          <w:lang w:val="fr-FR"/>
        </w:rPr>
        <w:t>Directeur</w:t>
      </w:r>
    </w:p>
    <w:p w14:paraId="565696F4" w14:textId="77777777" w:rsidR="00341DCD" w:rsidRDefault="00341DCD" w:rsidP="00143D86">
      <w:pPr>
        <w:tabs>
          <w:tab w:val="clear" w:pos="794"/>
          <w:tab w:val="clear" w:pos="1191"/>
          <w:tab w:val="clear" w:pos="1588"/>
          <w:tab w:val="clear" w:pos="1985"/>
          <w:tab w:val="center" w:pos="6237"/>
        </w:tabs>
        <w:spacing w:before="1440" w:line="240" w:lineRule="auto"/>
        <w:rPr>
          <w:rFonts w:asciiTheme="minorHAnsi" w:hAnsiTheme="minorHAnsi"/>
          <w:b/>
          <w:bCs/>
          <w:sz w:val="18"/>
          <w:szCs w:val="18"/>
          <w:lang w:val="fr-FR"/>
        </w:rPr>
      </w:pPr>
    </w:p>
    <w:p w14:paraId="71DC101D" w14:textId="77777777" w:rsidR="00341DCD" w:rsidRDefault="00341DCD" w:rsidP="00143D86">
      <w:pPr>
        <w:tabs>
          <w:tab w:val="clear" w:pos="794"/>
          <w:tab w:val="clear" w:pos="1191"/>
          <w:tab w:val="clear" w:pos="1588"/>
          <w:tab w:val="clear" w:pos="1985"/>
          <w:tab w:val="center" w:pos="6237"/>
        </w:tabs>
        <w:spacing w:before="1440" w:line="240" w:lineRule="auto"/>
        <w:rPr>
          <w:rFonts w:asciiTheme="minorHAnsi" w:hAnsiTheme="minorHAnsi"/>
          <w:b/>
          <w:bCs/>
          <w:sz w:val="18"/>
          <w:szCs w:val="18"/>
          <w:lang w:val="fr-FR"/>
        </w:rPr>
      </w:pPr>
    </w:p>
    <w:p w14:paraId="78496329" w14:textId="52E9E3FC" w:rsidR="00143D86" w:rsidRPr="00673F12" w:rsidRDefault="00143D86" w:rsidP="00143D86">
      <w:pPr>
        <w:tabs>
          <w:tab w:val="clear" w:pos="794"/>
          <w:tab w:val="clear" w:pos="1191"/>
          <w:tab w:val="clear" w:pos="1588"/>
          <w:tab w:val="clear" w:pos="1985"/>
          <w:tab w:val="center" w:pos="6237"/>
        </w:tabs>
        <w:spacing w:before="1440" w:line="240" w:lineRule="auto"/>
        <w:rPr>
          <w:rFonts w:asciiTheme="minorHAnsi" w:hAnsiTheme="minorHAnsi"/>
          <w:b/>
          <w:bCs/>
          <w:sz w:val="18"/>
          <w:szCs w:val="18"/>
          <w:lang w:val="fr-FR"/>
        </w:rPr>
      </w:pPr>
      <w:proofErr w:type="gramStart"/>
      <w:r w:rsidRPr="00673F12">
        <w:rPr>
          <w:rFonts w:asciiTheme="minorHAnsi" w:hAnsiTheme="minorHAnsi"/>
          <w:b/>
          <w:bCs/>
          <w:sz w:val="18"/>
          <w:szCs w:val="18"/>
          <w:lang w:val="fr-FR"/>
        </w:rPr>
        <w:t>Distribution:</w:t>
      </w:r>
      <w:proofErr w:type="gramEnd"/>
    </w:p>
    <w:p w14:paraId="326E108F" w14:textId="77777777" w:rsidR="00143D86" w:rsidRPr="0018514F" w:rsidRDefault="00143D86" w:rsidP="00143D86">
      <w:pPr>
        <w:tabs>
          <w:tab w:val="left" w:pos="284"/>
        </w:tabs>
        <w:spacing w:before="0" w:line="240" w:lineRule="auto"/>
        <w:contextualSpacing/>
        <w:textAlignment w:val="auto"/>
        <w:rPr>
          <w:rFonts w:asciiTheme="minorHAnsi" w:hAnsiTheme="minorHAnsi" w:cstheme="minorHAnsi"/>
          <w:sz w:val="18"/>
          <w:szCs w:val="18"/>
          <w:lang w:val="fr-FR"/>
        </w:rPr>
      </w:pPr>
      <w:r w:rsidRPr="00937655">
        <w:rPr>
          <w:rFonts w:asciiTheme="minorHAnsi" w:hAnsiTheme="minorHAnsi"/>
          <w:sz w:val="18"/>
          <w:szCs w:val="18"/>
        </w:rPr>
        <w:sym w:font="Symbol" w:char="F02D"/>
      </w:r>
      <w:r w:rsidRPr="00DE07E8">
        <w:rPr>
          <w:rFonts w:asciiTheme="minorHAnsi" w:hAnsiTheme="minorHAnsi"/>
          <w:sz w:val="18"/>
          <w:szCs w:val="18"/>
          <w:lang w:val="fr-FR"/>
        </w:rPr>
        <w:tab/>
      </w:r>
      <w:r w:rsidRPr="0018514F">
        <w:rPr>
          <w:rFonts w:asciiTheme="minorHAnsi" w:hAnsiTheme="minorHAnsi" w:cstheme="minorHAnsi"/>
          <w:sz w:val="18"/>
          <w:szCs w:val="18"/>
          <w:lang w:val="fr-FR"/>
        </w:rPr>
        <w:t>Administrations des Etats Membres de l'UIT</w:t>
      </w:r>
    </w:p>
    <w:p w14:paraId="437E10BF" w14:textId="48BB5D95" w:rsidR="00143D86" w:rsidRPr="002569F7" w:rsidRDefault="00143D86" w:rsidP="00143D86">
      <w:pPr>
        <w:tabs>
          <w:tab w:val="clear" w:pos="794"/>
          <w:tab w:val="left" w:pos="284"/>
        </w:tabs>
        <w:spacing w:before="0" w:line="240" w:lineRule="auto"/>
        <w:rPr>
          <w:szCs w:val="24"/>
          <w:lang w:val="fr-FR"/>
        </w:rPr>
      </w:pPr>
      <w:r w:rsidRPr="0018514F">
        <w:rPr>
          <w:rFonts w:asciiTheme="minorHAnsi" w:hAnsiTheme="minorHAnsi" w:cstheme="minorHAnsi"/>
          <w:sz w:val="18"/>
          <w:szCs w:val="18"/>
          <w:lang w:val="fr-FR"/>
        </w:rPr>
        <w:t>–</w:t>
      </w:r>
      <w:r w:rsidRPr="0018514F">
        <w:rPr>
          <w:rFonts w:asciiTheme="minorHAnsi" w:hAnsiTheme="minorHAnsi" w:cstheme="minorHAnsi"/>
          <w:sz w:val="18"/>
          <w:szCs w:val="18"/>
          <w:lang w:val="fr-FR"/>
        </w:rPr>
        <w:tab/>
        <w:t>Membres du Secteur des radiocommunications</w:t>
      </w:r>
      <w:r>
        <w:rPr>
          <w:rFonts w:asciiTheme="minorHAnsi" w:hAnsiTheme="minorHAnsi" w:cstheme="minorHAnsi"/>
          <w:sz w:val="18"/>
          <w:szCs w:val="18"/>
          <w:lang w:val="fr-FR"/>
        </w:rPr>
        <w:t xml:space="preserve"> de l’UIT</w:t>
      </w:r>
    </w:p>
    <w:sectPr w:rsidR="00143D86" w:rsidRPr="002569F7" w:rsidSect="00BE6A65">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02A3A" w14:textId="77777777" w:rsidR="00BE6A65" w:rsidRDefault="00BE6A65">
      <w:r>
        <w:separator/>
      </w:r>
    </w:p>
  </w:endnote>
  <w:endnote w:type="continuationSeparator" w:id="0">
    <w:p w14:paraId="1674C8BE" w14:textId="77777777" w:rsidR="00BE6A65" w:rsidRDefault="00BE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54B3" w14:textId="1AE1C672" w:rsidR="005E42F8" w:rsidRPr="00D567FE" w:rsidRDefault="00305156" w:rsidP="00D567FE">
    <w:pPr>
      <w:pStyle w:val="FirstFooter"/>
      <w:spacing w:line="240" w:lineRule="auto"/>
      <w:ind w:left="-397" w:right="-397"/>
      <w:jc w:val="center"/>
      <w:rPr>
        <w:color w:val="4F81BD"/>
        <w:sz w:val="19"/>
        <w:szCs w:val="19"/>
        <w:lang w:val="fr-CH"/>
      </w:rPr>
    </w:pPr>
    <w:r w:rsidRPr="004C1B88">
      <w:rPr>
        <w:rFonts w:asciiTheme="minorHAnsi" w:hAnsiTheme="minorHAnsi"/>
        <w:color w:val="4F81BD"/>
        <w:sz w:val="19"/>
        <w:szCs w:val="19"/>
        <w:lang w:val="fr-CH"/>
      </w:rPr>
      <w:t>Union internationale des télécommunications • Place des Nations, CH</w:t>
    </w:r>
    <w:r w:rsidRPr="004C1B88">
      <w:rPr>
        <w:rFonts w:asciiTheme="minorHAnsi" w:hAnsiTheme="minorHAnsi"/>
        <w:color w:val="4F81BD"/>
        <w:sz w:val="19"/>
        <w:szCs w:val="19"/>
        <w:lang w:val="fr-CH"/>
      </w:rPr>
      <w:noBreakHyphen/>
      <w:t>1211 Genève 20, Suisse</w:t>
    </w:r>
    <w:r w:rsidRPr="004C1B88">
      <w:rPr>
        <w:rFonts w:asciiTheme="minorHAnsi" w:hAnsiTheme="minorHAnsi"/>
        <w:color w:val="4F81BD"/>
        <w:sz w:val="19"/>
        <w:szCs w:val="19"/>
        <w:lang w:val="fr-CH"/>
      </w:rPr>
      <w:br/>
    </w:r>
    <w:proofErr w:type="gramStart"/>
    <w:r w:rsidRPr="004C1B88">
      <w:rPr>
        <w:rFonts w:asciiTheme="minorHAnsi" w:hAnsiTheme="minorHAnsi"/>
        <w:color w:val="4F81BD"/>
        <w:sz w:val="19"/>
        <w:szCs w:val="19"/>
        <w:lang w:val="fr-CH"/>
      </w:rPr>
      <w:t>Tél.:</w:t>
    </w:r>
    <w:proofErr w:type="gramEnd"/>
    <w:r w:rsidRPr="004C1B88">
      <w:rPr>
        <w:rFonts w:asciiTheme="minorHAnsi" w:hAnsiTheme="minorHAnsi"/>
        <w:color w:val="4F81BD"/>
        <w:sz w:val="19"/>
        <w:szCs w:val="19"/>
        <w:lang w:val="fr-CH"/>
      </w:rPr>
      <w:t xml:space="preserve"> +41 22 730 5111 • Courriel: </w:t>
    </w:r>
    <w:hyperlink r:id="rId1" w:history="1">
      <w:r w:rsidR="004C1B88" w:rsidRPr="00C0311F">
        <w:rPr>
          <w:rStyle w:val="Hyperlink"/>
          <w:rFonts w:asciiTheme="minorHAnsi" w:hAnsiTheme="minorHAnsi"/>
          <w:sz w:val="19"/>
          <w:szCs w:val="19"/>
          <w:lang w:val="fr-CH"/>
        </w:rPr>
        <w:t>brmail@itu.int</w:t>
      </w:r>
    </w:hyperlink>
    <w:r w:rsidRPr="004C1B88">
      <w:rPr>
        <w:rFonts w:asciiTheme="minorHAnsi" w:hAnsiTheme="minorHAnsi"/>
        <w:sz w:val="19"/>
        <w:szCs w:val="19"/>
        <w:lang w:val="fr-CH"/>
      </w:rPr>
      <w:t xml:space="preserve"> </w:t>
    </w:r>
    <w:r w:rsidRPr="004C1B88">
      <w:rPr>
        <w:rFonts w:asciiTheme="minorHAnsi" w:hAnsiTheme="minorHAnsi"/>
        <w:color w:val="4F81BD"/>
        <w:sz w:val="19"/>
        <w:szCs w:val="19"/>
        <w:lang w:val="fr-CH"/>
      </w:rPr>
      <w:t xml:space="preserve">• Fax: +41 22 733 7256 • </w:t>
    </w:r>
    <w:hyperlink r:id="rId2" w:history="1">
      <w:r w:rsidRPr="004C1B88">
        <w:rPr>
          <w:rStyle w:val="Hyperlink"/>
          <w:sz w:val="19"/>
          <w:szCs w:val="19"/>
          <w:lang w:val="fr-CH"/>
        </w:rPr>
        <w:t>www.itu.int</w:t>
      </w:r>
    </w:hyperlink>
    <w:r w:rsidRPr="004C1B88">
      <w:rPr>
        <w:color w:val="4F81BD"/>
        <w:sz w:val="19"/>
        <w:szCs w:val="19"/>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32B1A" w14:textId="77777777" w:rsidR="00BE6A65" w:rsidRDefault="00BE6A65">
      <w:r>
        <w:t>____________________</w:t>
      </w:r>
    </w:p>
  </w:footnote>
  <w:footnote w:type="continuationSeparator" w:id="0">
    <w:p w14:paraId="29F3D079" w14:textId="77777777" w:rsidR="00BE6A65" w:rsidRDefault="00BE6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258D"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1931" w14:textId="77777777"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4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tblGrid>
    <w:tr w:rsidR="00D567FE" w14:paraId="481783A9" w14:textId="77777777" w:rsidTr="00D567FE">
      <w:tc>
        <w:tcPr>
          <w:tcW w:w="10042" w:type="dxa"/>
          <w:tcMar>
            <w:left w:w="0" w:type="dxa"/>
          </w:tcMar>
        </w:tcPr>
        <w:p w14:paraId="2C832B73" w14:textId="77777777" w:rsidR="00D567FE" w:rsidRDefault="00D567FE" w:rsidP="00304636">
          <w:pPr>
            <w:pStyle w:val="Header"/>
            <w:tabs>
              <w:tab w:val="clear" w:pos="794"/>
              <w:tab w:val="clear" w:pos="4820"/>
              <w:tab w:val="clear" w:pos="9639"/>
              <w:tab w:val="left" w:pos="3960"/>
              <w:tab w:val="left" w:pos="9750"/>
            </w:tabs>
            <w:spacing w:before="120" w:line="360" w:lineRule="auto"/>
            <w:ind w:right="-342"/>
            <w:jc w:val="center"/>
          </w:pPr>
          <w:r>
            <w:rPr>
              <w:noProof/>
              <w:lang w:val="en-GB" w:eastAsia="en-GB"/>
            </w:rPr>
            <w:drawing>
              <wp:inline distT="0" distB="0" distL="0" distR="0" wp14:anchorId="3371477D" wp14:editId="1BD04A86">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4922C67B"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1423829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2197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23857"/>
    <w:rsid w:val="00134404"/>
    <w:rsid w:val="00134858"/>
    <w:rsid w:val="00143D86"/>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26645"/>
    <w:rsid w:val="002302B3"/>
    <w:rsid w:val="00230C66"/>
    <w:rsid w:val="00235A29"/>
    <w:rsid w:val="00241526"/>
    <w:rsid w:val="002443A2"/>
    <w:rsid w:val="00247096"/>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04636"/>
    <w:rsid w:val="00305156"/>
    <w:rsid w:val="00316935"/>
    <w:rsid w:val="003266ED"/>
    <w:rsid w:val="00326C68"/>
    <w:rsid w:val="003370B8"/>
    <w:rsid w:val="00341DCD"/>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1B88"/>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1CC0"/>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63355"/>
    <w:rsid w:val="00A7596D"/>
    <w:rsid w:val="00A963DF"/>
    <w:rsid w:val="00AA211B"/>
    <w:rsid w:val="00AA781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BE6A65"/>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567FE"/>
    <w:rsid w:val="00D61C5A"/>
    <w:rsid w:val="00D62111"/>
    <w:rsid w:val="00D6287C"/>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B6AD5"/>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UnresolvedMention">
    <w:name w:val="Unresolved Mention"/>
    <w:basedOn w:val="DefaultParagraphFont"/>
    <w:uiPriority w:val="99"/>
    <w:semiHidden/>
    <w:unhideWhenUsed/>
    <w:rsid w:val="004C1B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space-sustainabilit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8E8D953B84389ACF9349EDACA5E7D"/>
        <w:category>
          <w:name w:val="General"/>
          <w:gallery w:val="placeholder"/>
        </w:category>
        <w:types>
          <w:type w:val="bbPlcHdr"/>
        </w:types>
        <w:behaviors>
          <w:behavior w:val="content"/>
        </w:behaviors>
        <w:guid w:val="{31A4A23D-1404-447C-B568-A31CE73595B9}"/>
      </w:docPartPr>
      <w:docPartBody>
        <w:p w:rsidR="00F815C9" w:rsidRDefault="00F815C9">
          <w:pPr>
            <w:pStyle w:val="0058E8D953B84389ACF9349EDACA5E7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5C9"/>
    <w:rsid w:val="009669E1"/>
    <w:rsid w:val="00F81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058E8D953B84389ACF9349EDACA5E7D">
    <w:name w:val="0058E8D953B84389ACF9349EDACA5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754E-7621-4B8E-A469-3744FFE0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612</Words>
  <Characters>3856</Characters>
  <Application>Microsoft Office Word</Application>
  <DocSecurity>0</DocSecurity>
  <Lines>32</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4460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2</cp:revision>
  <cp:lastPrinted>2013-03-08T10:15:00Z</cp:lastPrinted>
  <dcterms:created xsi:type="dcterms:W3CDTF">2024-02-29T08:24:00Z</dcterms:created>
  <dcterms:modified xsi:type="dcterms:W3CDTF">2024-02-29T08:24:00Z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