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4F3B148" w14:textId="77777777" w:rsidTr="00DA4711">
        <w:trPr>
          <w:jc w:val="center"/>
        </w:trPr>
        <w:tc>
          <w:tcPr>
            <w:tcW w:w="9889" w:type="dxa"/>
            <w:gridSpan w:val="3"/>
            <w:shd w:val="clear" w:color="auto" w:fill="auto"/>
          </w:tcPr>
          <w:p w14:paraId="504167EB"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83C90D0" w14:textId="77777777" w:rsidR="00E53DCE" w:rsidRDefault="00E53DCE" w:rsidP="006160CB">
            <w:pPr>
              <w:spacing w:before="0"/>
              <w:jc w:val="left"/>
              <w:rPr>
                <w:rFonts w:cstheme="minorHAnsi"/>
                <w:b/>
                <w:bCs/>
                <w:color w:val="808080"/>
                <w:sz w:val="28"/>
                <w:szCs w:val="28"/>
                <w:lang w:val="en-GB"/>
              </w:rPr>
            </w:pPr>
          </w:p>
          <w:p w14:paraId="468C71B9"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5CA04B5D" w14:textId="77777777" w:rsidTr="00DA4711">
        <w:trPr>
          <w:jc w:val="center"/>
        </w:trPr>
        <w:tc>
          <w:tcPr>
            <w:tcW w:w="7054" w:type="dxa"/>
            <w:gridSpan w:val="2"/>
            <w:shd w:val="clear" w:color="auto" w:fill="auto"/>
          </w:tcPr>
          <w:p w14:paraId="63E4E049" w14:textId="268B581C" w:rsidR="00E53DCE" w:rsidRPr="00924E6D" w:rsidRDefault="00091DF4" w:rsidP="006160CB">
            <w:pPr>
              <w:spacing w:before="0"/>
              <w:jc w:val="left"/>
              <w:rPr>
                <w:szCs w:val="24"/>
              </w:rPr>
            </w:pPr>
            <w:r w:rsidRPr="00334544">
              <w:rPr>
                <w:rFonts w:ascii="SimSun" w:hAnsi="SimSun" w:hint="eastAsia"/>
                <w:szCs w:val="24"/>
                <w:lang w:eastAsia="zh-CN"/>
              </w:rPr>
              <w:t>通函</w:t>
            </w:r>
          </w:p>
          <w:p w14:paraId="5E7D3526" w14:textId="485E2ABB" w:rsidR="00E53DCE" w:rsidRPr="00924E6D" w:rsidRDefault="00412BC0" w:rsidP="006160CB">
            <w:pPr>
              <w:spacing w:before="0"/>
              <w:jc w:val="left"/>
              <w:rPr>
                <w:b/>
                <w:bCs/>
                <w:szCs w:val="24"/>
              </w:rPr>
            </w:pPr>
            <w:bookmarkStart w:id="0" w:name="lt_pId017"/>
            <w:r w:rsidRPr="004D2F0D">
              <w:rPr>
                <w:b/>
                <w:bCs/>
                <w:szCs w:val="24"/>
                <w:lang w:val="en-GB"/>
              </w:rPr>
              <w:t>C</w:t>
            </w:r>
            <w:r w:rsidR="004D2F0D" w:rsidRPr="004D2F0D">
              <w:rPr>
                <w:b/>
                <w:bCs/>
                <w:szCs w:val="24"/>
                <w:lang w:val="en-GB"/>
              </w:rPr>
              <w:t>A</w:t>
            </w:r>
            <w:r w:rsidRPr="004D2F0D">
              <w:rPr>
                <w:b/>
                <w:bCs/>
                <w:szCs w:val="24"/>
                <w:lang w:val="en-GB"/>
              </w:rPr>
              <w:t>/</w:t>
            </w:r>
            <w:bookmarkEnd w:id="0"/>
            <w:r w:rsidR="000B0FB4">
              <w:rPr>
                <w:b/>
                <w:bCs/>
                <w:szCs w:val="24"/>
                <w:lang w:val="en-GB"/>
              </w:rPr>
              <w:t>272</w:t>
            </w:r>
          </w:p>
        </w:tc>
        <w:tc>
          <w:tcPr>
            <w:tcW w:w="2835" w:type="dxa"/>
            <w:shd w:val="clear" w:color="auto" w:fill="auto"/>
          </w:tcPr>
          <w:p w14:paraId="046CCA7A" w14:textId="5D041D19" w:rsidR="00E53DCE" w:rsidRPr="000B0FB4" w:rsidRDefault="00412BC0" w:rsidP="006160CB">
            <w:pPr>
              <w:spacing w:before="0"/>
              <w:jc w:val="right"/>
              <w:rPr>
                <w:szCs w:val="24"/>
                <w:lang w:val="en-GB"/>
              </w:rPr>
            </w:pPr>
            <w:r w:rsidRPr="000B0FB4">
              <w:rPr>
                <w:rFonts w:hint="eastAsia"/>
                <w:szCs w:val="28"/>
                <w:lang w:val="en-GB"/>
              </w:rPr>
              <w:t>2024</w:t>
            </w:r>
            <w:r w:rsidRPr="000B0FB4">
              <w:rPr>
                <w:rFonts w:hint="eastAsia"/>
                <w:szCs w:val="28"/>
                <w:lang w:val="en-GB"/>
              </w:rPr>
              <w:t>年</w:t>
            </w:r>
            <w:r w:rsidR="00F24801" w:rsidRPr="000B0FB4">
              <w:rPr>
                <w:szCs w:val="28"/>
                <w:lang w:val="en-GB"/>
              </w:rPr>
              <w:t>3</w:t>
            </w:r>
            <w:r w:rsidRPr="000B0FB4">
              <w:rPr>
                <w:rFonts w:hint="eastAsia"/>
                <w:szCs w:val="28"/>
                <w:lang w:val="en-GB"/>
              </w:rPr>
              <w:t>月</w:t>
            </w:r>
            <w:r w:rsidR="00F24801" w:rsidRPr="000B0FB4">
              <w:rPr>
                <w:szCs w:val="28"/>
                <w:lang w:val="en-GB"/>
              </w:rPr>
              <w:t>1</w:t>
            </w:r>
            <w:r w:rsidRPr="000B0FB4">
              <w:rPr>
                <w:rFonts w:hint="eastAsia"/>
                <w:szCs w:val="28"/>
                <w:lang w:val="en-GB"/>
              </w:rPr>
              <w:t>日</w:t>
            </w:r>
          </w:p>
        </w:tc>
      </w:tr>
      <w:tr w:rsidR="00E53DCE" w:rsidRPr="00334544" w14:paraId="74880CF1" w14:textId="77777777" w:rsidTr="00DA4711">
        <w:trPr>
          <w:jc w:val="center"/>
        </w:trPr>
        <w:tc>
          <w:tcPr>
            <w:tcW w:w="9889" w:type="dxa"/>
            <w:gridSpan w:val="3"/>
            <w:shd w:val="clear" w:color="auto" w:fill="auto"/>
          </w:tcPr>
          <w:p w14:paraId="0C780C99" w14:textId="77777777" w:rsidR="00E53DCE" w:rsidRPr="00334544" w:rsidRDefault="00E53DCE" w:rsidP="006160CB">
            <w:pPr>
              <w:spacing w:before="0"/>
              <w:jc w:val="left"/>
              <w:rPr>
                <w:rFonts w:cs="Arial"/>
                <w:szCs w:val="24"/>
                <w:lang w:val="en-GB"/>
              </w:rPr>
            </w:pPr>
          </w:p>
        </w:tc>
      </w:tr>
      <w:tr w:rsidR="00E53DCE" w:rsidRPr="00334544" w14:paraId="67924876" w14:textId="77777777" w:rsidTr="00DA4711">
        <w:trPr>
          <w:jc w:val="center"/>
        </w:trPr>
        <w:tc>
          <w:tcPr>
            <w:tcW w:w="9889" w:type="dxa"/>
            <w:gridSpan w:val="3"/>
            <w:shd w:val="clear" w:color="auto" w:fill="auto"/>
          </w:tcPr>
          <w:p w14:paraId="5D1E0F9F" w14:textId="3E3B5AF8" w:rsidR="00E53DCE" w:rsidRPr="00334544" w:rsidRDefault="00412BC0" w:rsidP="006160CB">
            <w:pPr>
              <w:spacing w:before="0"/>
              <w:jc w:val="left"/>
              <w:rPr>
                <w:b/>
                <w:bCs/>
                <w:szCs w:val="24"/>
                <w:lang w:eastAsia="zh-CN"/>
              </w:rPr>
            </w:pPr>
            <w:r w:rsidRPr="00865217">
              <w:rPr>
                <w:rFonts w:asciiTheme="minorHAnsi" w:hAnsiTheme="minorHAnsi" w:hint="eastAsia"/>
                <w:b/>
                <w:bCs/>
                <w:szCs w:val="24"/>
                <w:lang w:eastAsia="zh-CN"/>
              </w:rPr>
              <w:t>致国际电联各成员国主管部门和部门成员</w:t>
            </w:r>
          </w:p>
          <w:p w14:paraId="654A1EF3" w14:textId="77777777" w:rsidR="00E53DCE" w:rsidRPr="00334544" w:rsidRDefault="00E53DCE" w:rsidP="006160CB">
            <w:pPr>
              <w:spacing w:before="0"/>
              <w:jc w:val="left"/>
              <w:rPr>
                <w:b/>
                <w:bCs/>
                <w:szCs w:val="24"/>
                <w:lang w:eastAsia="zh-CN"/>
              </w:rPr>
            </w:pPr>
          </w:p>
        </w:tc>
      </w:tr>
      <w:tr w:rsidR="00E53DCE" w:rsidRPr="00334544" w14:paraId="08774A27" w14:textId="77777777" w:rsidTr="00DA4711">
        <w:trPr>
          <w:jc w:val="center"/>
        </w:trPr>
        <w:tc>
          <w:tcPr>
            <w:tcW w:w="9889" w:type="dxa"/>
            <w:gridSpan w:val="3"/>
            <w:shd w:val="clear" w:color="auto" w:fill="auto"/>
          </w:tcPr>
          <w:p w14:paraId="71F2BE31" w14:textId="77777777" w:rsidR="00E53DCE" w:rsidRPr="00334544" w:rsidRDefault="00E53DCE" w:rsidP="006160CB">
            <w:pPr>
              <w:spacing w:before="0"/>
              <w:jc w:val="left"/>
              <w:rPr>
                <w:szCs w:val="24"/>
                <w:lang w:eastAsia="zh-CN"/>
              </w:rPr>
            </w:pPr>
          </w:p>
        </w:tc>
      </w:tr>
      <w:tr w:rsidR="00E53DCE" w:rsidRPr="00334544" w14:paraId="1CD53B61" w14:textId="77777777" w:rsidTr="00DA4711">
        <w:trPr>
          <w:jc w:val="center"/>
        </w:trPr>
        <w:tc>
          <w:tcPr>
            <w:tcW w:w="9889" w:type="dxa"/>
            <w:gridSpan w:val="3"/>
            <w:shd w:val="clear" w:color="auto" w:fill="auto"/>
          </w:tcPr>
          <w:p w14:paraId="63646074" w14:textId="77777777" w:rsidR="00E53DCE" w:rsidRPr="00334544" w:rsidRDefault="00E53DCE" w:rsidP="006160CB">
            <w:pPr>
              <w:spacing w:before="0"/>
              <w:jc w:val="left"/>
              <w:rPr>
                <w:szCs w:val="24"/>
                <w:lang w:eastAsia="zh-CN"/>
              </w:rPr>
            </w:pPr>
          </w:p>
        </w:tc>
      </w:tr>
      <w:tr w:rsidR="00E53DCE" w:rsidRPr="00334544" w14:paraId="1DFB2477" w14:textId="77777777" w:rsidTr="00DA4711">
        <w:trPr>
          <w:jc w:val="center"/>
        </w:trPr>
        <w:tc>
          <w:tcPr>
            <w:tcW w:w="1526" w:type="dxa"/>
            <w:shd w:val="clear" w:color="auto" w:fill="auto"/>
          </w:tcPr>
          <w:p w14:paraId="3B53A7AB"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13542424" w14:textId="0DFD4F0E" w:rsidR="00E53DCE" w:rsidRPr="00412BC0" w:rsidRDefault="00412BC0" w:rsidP="006160CB">
            <w:pPr>
              <w:tabs>
                <w:tab w:val="clear" w:pos="1588"/>
                <w:tab w:val="left" w:pos="1560"/>
              </w:tabs>
              <w:spacing w:before="0"/>
              <w:rPr>
                <w:rFonts w:eastAsia="SimSun"/>
                <w:b/>
                <w:bCs/>
                <w:szCs w:val="24"/>
                <w:lang w:eastAsia="zh-CN"/>
              </w:rPr>
            </w:pPr>
            <w:r w:rsidRPr="00412BC0">
              <w:rPr>
                <w:rFonts w:eastAsia="SimSun" w:hint="eastAsia"/>
                <w:b/>
                <w:bCs/>
                <w:szCs w:val="24"/>
                <w:lang w:val="en-GB" w:eastAsia="zh-CN"/>
              </w:rPr>
              <w:t>使用国际电联《国际频率登记总表》（</w:t>
            </w:r>
            <w:r w:rsidRPr="00412BC0">
              <w:rPr>
                <w:rFonts w:eastAsia="SimSun" w:hint="eastAsia"/>
                <w:b/>
                <w:bCs/>
                <w:szCs w:val="24"/>
                <w:lang w:val="en-GB" w:eastAsia="zh-CN"/>
              </w:rPr>
              <w:t>MIFR</w:t>
            </w:r>
            <w:r w:rsidRPr="00412BC0">
              <w:rPr>
                <w:rFonts w:eastAsia="SimSun" w:hint="eastAsia"/>
                <w:b/>
                <w:bCs/>
                <w:szCs w:val="24"/>
                <w:lang w:val="en-GB" w:eastAsia="zh-CN"/>
              </w:rPr>
              <w:t>）当前登记的或正处于协调或通知过程中的频率指配的</w:t>
            </w:r>
            <w:r w:rsidRPr="00412BC0">
              <w:rPr>
                <w:rFonts w:eastAsia="SimSun"/>
                <w:b/>
                <w:bCs/>
                <w:szCs w:val="24"/>
                <w:lang w:val="en-GB" w:eastAsia="zh-CN"/>
              </w:rPr>
              <w:t>non-GSO</w:t>
            </w:r>
            <w:r w:rsidRPr="00412BC0">
              <w:rPr>
                <w:rFonts w:eastAsia="SimSun" w:hint="eastAsia"/>
                <w:b/>
                <w:bCs/>
                <w:szCs w:val="24"/>
                <w:lang w:val="en-GB" w:eastAsia="zh-CN"/>
              </w:rPr>
              <w:t>空间电台的离轨和</w:t>
            </w:r>
            <w:r w:rsidRPr="00412BC0">
              <w:rPr>
                <w:rFonts w:eastAsia="SimSun" w:hint="eastAsia"/>
                <w:b/>
                <w:bCs/>
                <w:szCs w:val="24"/>
                <w:lang w:val="en-GB" w:eastAsia="zh-CN"/>
              </w:rPr>
              <w:t>/</w:t>
            </w:r>
            <w:r w:rsidRPr="00412BC0">
              <w:rPr>
                <w:rFonts w:eastAsia="SimSun" w:hint="eastAsia"/>
                <w:b/>
                <w:bCs/>
                <w:szCs w:val="24"/>
                <w:lang w:val="en-GB" w:eastAsia="zh-CN"/>
              </w:rPr>
              <w:t>或处置策略</w:t>
            </w:r>
          </w:p>
        </w:tc>
      </w:tr>
      <w:tr w:rsidR="00E53DCE" w:rsidRPr="00334544" w14:paraId="23BC347A" w14:textId="77777777" w:rsidTr="00DA4711">
        <w:trPr>
          <w:jc w:val="center"/>
        </w:trPr>
        <w:tc>
          <w:tcPr>
            <w:tcW w:w="1526" w:type="dxa"/>
            <w:shd w:val="clear" w:color="auto" w:fill="auto"/>
          </w:tcPr>
          <w:p w14:paraId="46B2A33A"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2CB22D"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E92B16F" w14:textId="77777777" w:rsidTr="00DA4711">
        <w:trPr>
          <w:jc w:val="center"/>
        </w:trPr>
        <w:tc>
          <w:tcPr>
            <w:tcW w:w="1526" w:type="dxa"/>
            <w:shd w:val="clear" w:color="auto" w:fill="auto"/>
          </w:tcPr>
          <w:p w14:paraId="0635F4C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EFC4292" w14:textId="77777777" w:rsidR="00E53DCE" w:rsidRPr="00334544" w:rsidRDefault="00E53DCE" w:rsidP="006160CB">
            <w:pPr>
              <w:tabs>
                <w:tab w:val="clear" w:pos="1588"/>
                <w:tab w:val="left" w:pos="1560"/>
              </w:tabs>
              <w:spacing w:before="0"/>
              <w:rPr>
                <w:b/>
                <w:bCs/>
                <w:szCs w:val="24"/>
                <w:lang w:val="en-GB" w:eastAsia="zh-CN"/>
              </w:rPr>
            </w:pPr>
          </w:p>
        </w:tc>
      </w:tr>
    </w:tbl>
    <w:p w14:paraId="0AE9E888" w14:textId="77777777" w:rsidR="00412BC0" w:rsidRPr="00412BC0" w:rsidRDefault="00412BC0" w:rsidP="004D2F0D">
      <w:pPr>
        <w:tabs>
          <w:tab w:val="left" w:pos="900"/>
        </w:tabs>
        <w:spacing w:before="240" w:line="240" w:lineRule="auto"/>
        <w:ind w:firstLineChars="200" w:firstLine="480"/>
        <w:rPr>
          <w:rFonts w:eastAsia="SimSun"/>
          <w:szCs w:val="24"/>
          <w:lang w:eastAsia="zh-CN"/>
        </w:rPr>
      </w:pPr>
      <w:r w:rsidRPr="00412BC0">
        <w:rPr>
          <w:rFonts w:eastAsia="SimSun" w:hint="eastAsia"/>
          <w:szCs w:val="24"/>
          <w:lang w:eastAsia="zh-CN"/>
        </w:rPr>
        <w:t>近期于去年</w:t>
      </w:r>
      <w:r w:rsidRPr="00412BC0">
        <w:rPr>
          <w:rFonts w:eastAsia="SimSun" w:hint="eastAsia"/>
          <w:szCs w:val="24"/>
          <w:lang w:eastAsia="zh-CN"/>
        </w:rPr>
        <w:t>11</w:t>
      </w:r>
      <w:r w:rsidRPr="00412BC0">
        <w:rPr>
          <w:rFonts w:eastAsia="SimSun" w:hint="eastAsia"/>
          <w:szCs w:val="24"/>
          <w:lang w:eastAsia="zh-CN"/>
        </w:rPr>
        <w:t>月在迪拜举行的</w:t>
      </w:r>
      <w:r w:rsidRPr="00412BC0">
        <w:rPr>
          <w:rFonts w:eastAsia="SimSun" w:hint="eastAsia"/>
          <w:szCs w:val="24"/>
          <w:lang w:eastAsia="zh-CN"/>
        </w:rPr>
        <w:t>2023</w:t>
      </w:r>
      <w:r w:rsidRPr="00412BC0">
        <w:rPr>
          <w:rFonts w:eastAsia="SimSun" w:hint="eastAsia"/>
          <w:szCs w:val="24"/>
          <w:lang w:eastAsia="zh-CN"/>
        </w:rPr>
        <w:t>年国际电联无线电通信全会，通过了“有关可持续使用空间业务所用无线电频谱和相关卫星轨道资源的活动”的</w:t>
      </w:r>
      <w:r w:rsidRPr="00412BC0">
        <w:rPr>
          <w:rFonts w:eastAsia="SimSun" w:hint="eastAsia"/>
          <w:b/>
          <w:bCs/>
          <w:szCs w:val="24"/>
          <w:lang w:eastAsia="zh-CN"/>
        </w:rPr>
        <w:t>ITU-R</w:t>
      </w:r>
      <w:r w:rsidRPr="00EC6013">
        <w:rPr>
          <w:rFonts w:eastAsia="SimSun" w:hint="eastAsia"/>
          <w:b/>
          <w:bCs/>
          <w:szCs w:val="24"/>
          <w:lang w:eastAsia="zh-CN"/>
        </w:rPr>
        <w:t>第</w:t>
      </w:r>
      <w:r w:rsidRPr="00EC6013">
        <w:rPr>
          <w:rFonts w:eastAsia="SimSun" w:hint="eastAsia"/>
          <w:b/>
          <w:bCs/>
          <w:szCs w:val="24"/>
          <w:lang w:eastAsia="zh-CN"/>
        </w:rPr>
        <w:t>74</w:t>
      </w:r>
      <w:r w:rsidRPr="00EC6013">
        <w:rPr>
          <w:rFonts w:eastAsia="SimSun" w:hint="eastAsia"/>
          <w:b/>
          <w:bCs/>
          <w:szCs w:val="24"/>
          <w:lang w:eastAsia="zh-CN"/>
        </w:rPr>
        <w:t>号决议</w:t>
      </w:r>
      <w:r w:rsidRPr="00412BC0">
        <w:rPr>
          <w:rFonts w:eastAsia="SimSun" w:hint="eastAsia"/>
          <w:szCs w:val="24"/>
          <w:lang w:eastAsia="zh-CN"/>
        </w:rPr>
        <w:t>。</w:t>
      </w:r>
    </w:p>
    <w:p w14:paraId="4A8A6FB0" w14:textId="433095C3" w:rsidR="00412BC0" w:rsidRPr="00865217" w:rsidRDefault="00412BC0" w:rsidP="004D2F0D">
      <w:pPr>
        <w:tabs>
          <w:tab w:val="left" w:pos="900"/>
        </w:tabs>
        <w:spacing w:before="240" w:line="240" w:lineRule="auto"/>
        <w:ind w:firstLineChars="200" w:firstLine="480"/>
        <w:rPr>
          <w:rFonts w:asciiTheme="minorHAnsi" w:hAnsiTheme="minorHAnsi" w:cstheme="minorHAnsi"/>
          <w:szCs w:val="24"/>
          <w:lang w:eastAsia="zh-CN"/>
        </w:rPr>
      </w:pPr>
      <w:r w:rsidRPr="00412BC0">
        <w:rPr>
          <w:rFonts w:eastAsia="SimSun" w:hint="eastAsia"/>
          <w:szCs w:val="24"/>
          <w:lang w:eastAsia="zh-CN"/>
        </w:rPr>
        <w:t>忆及全权代表大会关于空间业务使用的无线电频谱及相关卫星轨道资源可持续性的</w:t>
      </w:r>
      <w:r>
        <w:rPr>
          <w:rFonts w:eastAsia="SimSun"/>
          <w:szCs w:val="24"/>
          <w:lang w:eastAsia="zh-CN"/>
        </w:rPr>
        <w:br/>
      </w:r>
      <w:r w:rsidRPr="00EC6013">
        <w:rPr>
          <w:rFonts w:eastAsia="SimSun" w:hint="eastAsia"/>
          <w:b/>
          <w:bCs/>
          <w:szCs w:val="24"/>
          <w:lang w:eastAsia="zh-CN"/>
        </w:rPr>
        <w:t>第</w:t>
      </w:r>
      <w:r w:rsidRPr="00EC6013">
        <w:rPr>
          <w:rFonts w:eastAsia="SimSun" w:hint="eastAsia"/>
          <w:b/>
          <w:bCs/>
          <w:szCs w:val="24"/>
          <w:lang w:eastAsia="zh-CN"/>
        </w:rPr>
        <w:t>219</w:t>
      </w:r>
      <w:r w:rsidRPr="00EC6013">
        <w:rPr>
          <w:rFonts w:eastAsia="SimSun" w:hint="eastAsia"/>
          <w:b/>
          <w:bCs/>
          <w:szCs w:val="24"/>
          <w:lang w:eastAsia="zh-CN"/>
        </w:rPr>
        <w:t>号决议</w:t>
      </w:r>
      <w:r w:rsidRPr="00412BC0">
        <w:rPr>
          <w:rFonts w:eastAsia="SimSun" w:hint="eastAsia"/>
          <w:b/>
          <w:bCs/>
          <w:szCs w:val="24"/>
          <w:lang w:eastAsia="zh-CN"/>
        </w:rPr>
        <w:t>（</w:t>
      </w:r>
      <w:r w:rsidRPr="00412BC0">
        <w:rPr>
          <w:rFonts w:eastAsia="SimSun" w:hint="eastAsia"/>
          <w:b/>
          <w:bCs/>
          <w:szCs w:val="24"/>
          <w:lang w:eastAsia="zh-CN"/>
        </w:rPr>
        <w:t>2022</w:t>
      </w:r>
      <w:r w:rsidRPr="00412BC0">
        <w:rPr>
          <w:rFonts w:eastAsia="SimSun" w:hint="eastAsia"/>
          <w:b/>
          <w:bCs/>
          <w:szCs w:val="24"/>
          <w:lang w:eastAsia="zh-CN"/>
        </w:rPr>
        <w:t>年，布加勒斯特）</w:t>
      </w:r>
      <w:r w:rsidRPr="00412BC0">
        <w:rPr>
          <w:rFonts w:eastAsia="SimSun" w:hint="eastAsia"/>
          <w:szCs w:val="24"/>
          <w:lang w:eastAsia="zh-CN"/>
        </w:rPr>
        <w:t>；全权代表大会有关国际电联在落实《“空间</w:t>
      </w:r>
      <w:r w:rsidRPr="00412BC0">
        <w:rPr>
          <w:rFonts w:eastAsia="SimSun" w:hint="eastAsia"/>
          <w:szCs w:val="24"/>
          <w:lang w:eastAsia="zh-CN"/>
        </w:rPr>
        <w:t>2030</w:t>
      </w:r>
      <w:r w:rsidRPr="00412BC0">
        <w:rPr>
          <w:rFonts w:eastAsia="SimSun" w:hint="eastAsia"/>
          <w:szCs w:val="24"/>
          <w:lang w:eastAsia="zh-CN"/>
        </w:rPr>
        <w:t>”议程：空间作为可持续发展的驱动因素》及其跟进和审查进程中的作用的</w:t>
      </w:r>
      <w:r w:rsidRPr="00EC6013">
        <w:rPr>
          <w:rFonts w:eastAsia="SimSun" w:hint="eastAsia"/>
          <w:b/>
          <w:bCs/>
          <w:szCs w:val="24"/>
          <w:lang w:eastAsia="zh-CN"/>
        </w:rPr>
        <w:t>第</w:t>
      </w:r>
      <w:r w:rsidRPr="00EC6013">
        <w:rPr>
          <w:rFonts w:eastAsia="SimSun" w:hint="eastAsia"/>
          <w:b/>
          <w:bCs/>
          <w:szCs w:val="24"/>
          <w:lang w:eastAsia="zh-CN"/>
        </w:rPr>
        <w:t>218</w:t>
      </w:r>
      <w:r w:rsidRPr="00EC6013">
        <w:rPr>
          <w:rFonts w:eastAsia="SimSun" w:hint="eastAsia"/>
          <w:b/>
          <w:bCs/>
          <w:szCs w:val="24"/>
          <w:lang w:eastAsia="zh-CN"/>
        </w:rPr>
        <w:t>号决议</w:t>
      </w:r>
      <w:r w:rsidRPr="00412BC0">
        <w:rPr>
          <w:rFonts w:eastAsia="SimSun" w:hint="eastAsia"/>
          <w:b/>
          <w:bCs/>
          <w:szCs w:val="24"/>
          <w:lang w:eastAsia="zh-CN"/>
        </w:rPr>
        <w:t>（</w:t>
      </w:r>
      <w:r w:rsidRPr="00412BC0">
        <w:rPr>
          <w:rFonts w:eastAsia="SimSun" w:hint="eastAsia"/>
          <w:b/>
          <w:bCs/>
          <w:szCs w:val="24"/>
          <w:lang w:eastAsia="zh-CN"/>
        </w:rPr>
        <w:t>2022</w:t>
      </w:r>
      <w:r w:rsidRPr="00412BC0">
        <w:rPr>
          <w:rFonts w:eastAsia="SimSun" w:hint="eastAsia"/>
          <w:b/>
          <w:bCs/>
          <w:szCs w:val="24"/>
          <w:lang w:eastAsia="zh-CN"/>
        </w:rPr>
        <w:t>年，布加勒斯特）</w:t>
      </w:r>
      <w:r w:rsidRPr="00412BC0">
        <w:rPr>
          <w:rFonts w:eastAsia="SimSun" w:hint="eastAsia"/>
          <w:szCs w:val="24"/>
          <w:lang w:eastAsia="zh-CN"/>
        </w:rPr>
        <w:t>；</w:t>
      </w:r>
      <w:r w:rsidRPr="00412BC0">
        <w:rPr>
          <w:rFonts w:eastAsia="SimSun" w:hint="eastAsia"/>
          <w:szCs w:val="24"/>
          <w:lang w:eastAsia="zh-CN"/>
        </w:rPr>
        <w:t>2023</w:t>
      </w:r>
      <w:r w:rsidRPr="00412BC0">
        <w:rPr>
          <w:rFonts w:eastAsia="SimSun" w:hint="eastAsia"/>
          <w:szCs w:val="24"/>
          <w:lang w:eastAsia="zh-CN"/>
        </w:rPr>
        <w:t>年国际电联无线电通信全会认识到无线电通信局近来收到的</w:t>
      </w:r>
      <w:r w:rsidRPr="00412BC0">
        <w:rPr>
          <w:rFonts w:eastAsia="SimSun" w:hint="eastAsia"/>
          <w:szCs w:val="24"/>
          <w:lang w:eastAsia="zh-CN"/>
        </w:rPr>
        <w:t>non-GSO</w:t>
      </w:r>
      <w:r w:rsidRPr="00412BC0">
        <w:rPr>
          <w:rFonts w:eastAsia="SimSun" w:hint="eastAsia"/>
          <w:szCs w:val="24"/>
          <w:lang w:eastAsia="zh-CN"/>
        </w:rPr>
        <w:t>系统网络资料申报数量与日俱增，其中包括由成百上千的空间电台和多种配置组成的系统并观察到非对地静止卫星在外层空间的持续和增加的发射和操作</w:t>
      </w:r>
      <w:r>
        <w:rPr>
          <w:rFonts w:eastAsia="SimSun" w:hint="eastAsia"/>
          <w:szCs w:val="24"/>
          <w:lang w:eastAsia="zh-CN"/>
        </w:rPr>
        <w:t>。</w:t>
      </w:r>
    </w:p>
    <w:p w14:paraId="3BEB9B50" w14:textId="77777777" w:rsidR="00412BC0" w:rsidRPr="00412BC0" w:rsidRDefault="00412BC0" w:rsidP="004D2F0D">
      <w:pPr>
        <w:tabs>
          <w:tab w:val="left" w:pos="900"/>
        </w:tabs>
        <w:spacing w:before="240" w:line="240" w:lineRule="auto"/>
        <w:ind w:firstLineChars="200" w:firstLine="480"/>
        <w:rPr>
          <w:rFonts w:eastAsia="SimSun"/>
          <w:szCs w:val="24"/>
          <w:lang w:eastAsia="zh-CN"/>
        </w:rPr>
      </w:pPr>
      <w:r w:rsidRPr="00412BC0">
        <w:rPr>
          <w:rFonts w:eastAsia="SimSun" w:hint="eastAsia"/>
          <w:szCs w:val="24"/>
          <w:lang w:eastAsia="zh-CN"/>
        </w:rPr>
        <w:t>此外，</w:t>
      </w:r>
      <w:r w:rsidRPr="00412BC0">
        <w:rPr>
          <w:rFonts w:eastAsia="SimSun" w:hint="eastAsia"/>
          <w:szCs w:val="24"/>
          <w:lang w:eastAsia="zh-CN"/>
        </w:rPr>
        <w:t>2023</w:t>
      </w:r>
      <w:r w:rsidRPr="00412BC0">
        <w:rPr>
          <w:rFonts w:eastAsia="SimSun" w:hint="eastAsia"/>
          <w:szCs w:val="24"/>
          <w:lang w:eastAsia="zh-CN"/>
        </w:rPr>
        <w:t>年国际电联无线电通信全会责成就该事由拟订一份建议书，交流和传播该领域现有的可靠信息。</w:t>
      </w:r>
    </w:p>
    <w:p w14:paraId="58B226E0" w14:textId="77777777" w:rsidR="00412BC0" w:rsidRPr="00412BC0" w:rsidRDefault="00412BC0" w:rsidP="004D2F0D">
      <w:pPr>
        <w:tabs>
          <w:tab w:val="left" w:pos="900"/>
        </w:tabs>
        <w:spacing w:before="240" w:line="240" w:lineRule="auto"/>
        <w:ind w:firstLineChars="200" w:firstLine="480"/>
        <w:rPr>
          <w:rFonts w:eastAsia="SimSun"/>
          <w:szCs w:val="24"/>
          <w:lang w:eastAsia="zh-CN"/>
        </w:rPr>
      </w:pPr>
      <w:r w:rsidRPr="00412BC0">
        <w:rPr>
          <w:rFonts w:eastAsia="SimSun" w:hint="eastAsia"/>
          <w:szCs w:val="24"/>
          <w:lang w:eastAsia="zh-CN"/>
        </w:rPr>
        <w:t>在此背景下，我请各主管部门、卫星运营商、制造商、发射服务提供商、空间机构和其他空间领域的利益攸关方，就</w:t>
      </w:r>
      <w:r w:rsidRPr="00412BC0">
        <w:rPr>
          <w:rFonts w:eastAsia="SimSun"/>
          <w:szCs w:val="24"/>
          <w:lang w:eastAsia="zh-CN"/>
        </w:rPr>
        <w:t>non-GSO</w:t>
      </w:r>
      <w:r w:rsidRPr="00412BC0">
        <w:rPr>
          <w:rFonts w:eastAsia="SimSun" w:hint="eastAsia"/>
          <w:szCs w:val="24"/>
          <w:lang w:eastAsia="zh-CN"/>
        </w:rPr>
        <w:t>空间电台完成任务后的脱轨和</w:t>
      </w:r>
      <w:r w:rsidRPr="00412BC0">
        <w:rPr>
          <w:rFonts w:eastAsia="SimSun" w:hint="eastAsia"/>
          <w:szCs w:val="24"/>
          <w:lang w:eastAsia="zh-CN"/>
        </w:rPr>
        <w:t>/</w:t>
      </w:r>
      <w:r w:rsidRPr="00412BC0">
        <w:rPr>
          <w:rFonts w:eastAsia="SimSun" w:hint="eastAsia"/>
          <w:szCs w:val="24"/>
          <w:lang w:eastAsia="zh-CN"/>
        </w:rPr>
        <w:t>或处置工作，向无线电通信局提交其正在使用或将使用的策略。具体而言，无线电通信局欢迎各方提供以下方面的信息：</w:t>
      </w:r>
      <w:r w:rsidRPr="00412BC0">
        <w:rPr>
          <w:rFonts w:eastAsia="SimSun" w:hint="eastAsia"/>
          <w:szCs w:val="24"/>
          <w:lang w:eastAsia="zh-CN"/>
        </w:rPr>
        <w:t>(a)</w:t>
      </w:r>
      <w:r w:rsidRPr="00412BC0">
        <w:rPr>
          <w:rFonts w:eastAsia="SimSun" w:hint="eastAsia"/>
          <w:szCs w:val="24"/>
          <w:lang w:eastAsia="zh-CN"/>
        </w:rPr>
        <w:t>制定完成任务后的处理策略；</w:t>
      </w:r>
      <w:r w:rsidRPr="00412BC0">
        <w:rPr>
          <w:rFonts w:eastAsia="SimSun" w:hint="eastAsia"/>
          <w:szCs w:val="24"/>
          <w:lang w:eastAsia="zh-CN"/>
        </w:rPr>
        <w:t>(b)</w:t>
      </w:r>
      <w:r w:rsidRPr="00412BC0">
        <w:rPr>
          <w:rFonts w:eastAsia="SimSun" w:hint="eastAsia"/>
          <w:szCs w:val="24"/>
          <w:lang w:eastAsia="zh-CN"/>
        </w:rPr>
        <w:t>脱轨的时间表；</w:t>
      </w:r>
      <w:r w:rsidRPr="00412BC0">
        <w:rPr>
          <w:rFonts w:eastAsia="SimSun" w:hint="eastAsia"/>
          <w:szCs w:val="24"/>
          <w:lang w:eastAsia="zh-CN"/>
        </w:rPr>
        <w:t>(c)</w:t>
      </w:r>
      <w:r w:rsidRPr="00412BC0">
        <w:rPr>
          <w:rFonts w:eastAsia="SimSun" w:hint="eastAsia"/>
          <w:szCs w:val="24"/>
          <w:lang w:eastAsia="zh-CN"/>
        </w:rPr>
        <w:t>包括机动能力在内的赋能技术；</w:t>
      </w:r>
      <w:r w:rsidRPr="00412BC0">
        <w:rPr>
          <w:rFonts w:eastAsia="SimSun" w:hint="eastAsia"/>
          <w:szCs w:val="24"/>
          <w:lang w:eastAsia="zh-CN"/>
        </w:rPr>
        <w:t>(d)</w:t>
      </w:r>
      <w:r w:rsidRPr="00412BC0">
        <w:rPr>
          <w:rFonts w:eastAsia="SimSun" w:hint="eastAsia"/>
          <w:szCs w:val="24"/>
          <w:lang w:eastAsia="zh-CN"/>
        </w:rPr>
        <w:t>联络人（姓名、职务、电子邮件地址、电话号码）。</w:t>
      </w:r>
    </w:p>
    <w:p w14:paraId="47A044FB" w14:textId="725E1912" w:rsidR="00D439DF" w:rsidRDefault="00412BC0" w:rsidP="004D2F0D">
      <w:pPr>
        <w:tabs>
          <w:tab w:val="left" w:pos="900"/>
        </w:tabs>
        <w:spacing w:before="240" w:line="240" w:lineRule="auto"/>
        <w:ind w:firstLineChars="200" w:firstLine="480"/>
        <w:rPr>
          <w:rFonts w:asciiTheme="minorHAnsi" w:hAnsiTheme="minorHAnsi" w:cstheme="minorHAnsi"/>
          <w:szCs w:val="24"/>
          <w:lang w:eastAsia="zh-CN"/>
        </w:rPr>
      </w:pPr>
      <w:r w:rsidRPr="00865217">
        <w:rPr>
          <w:rFonts w:asciiTheme="minorHAnsi" w:hAnsiTheme="minorHAnsi" w:cstheme="minorHAnsi" w:hint="eastAsia"/>
          <w:szCs w:val="24"/>
          <w:lang w:eastAsia="zh-CN"/>
        </w:rPr>
        <w:t>根据</w:t>
      </w:r>
      <w:r w:rsidRPr="00865217">
        <w:rPr>
          <w:rFonts w:asciiTheme="minorHAnsi" w:hAnsiTheme="minorHAnsi" w:cstheme="minorHAnsi" w:hint="eastAsia"/>
          <w:szCs w:val="24"/>
          <w:lang w:eastAsia="zh-CN"/>
        </w:rPr>
        <w:t>ITU-R</w:t>
      </w:r>
      <w:r w:rsidRPr="00865217">
        <w:rPr>
          <w:rFonts w:asciiTheme="minorHAnsi" w:hAnsiTheme="minorHAnsi" w:cstheme="minorHAnsi" w:hint="eastAsia"/>
          <w:szCs w:val="24"/>
          <w:lang w:eastAsia="zh-CN"/>
        </w:rPr>
        <w:t>第</w:t>
      </w:r>
      <w:r w:rsidRPr="00865217">
        <w:rPr>
          <w:rFonts w:asciiTheme="minorHAnsi" w:hAnsiTheme="minorHAnsi" w:cstheme="minorHAnsi" w:hint="eastAsia"/>
          <w:szCs w:val="24"/>
          <w:lang w:eastAsia="zh-CN"/>
        </w:rPr>
        <w:t>74</w:t>
      </w:r>
      <w:r w:rsidRPr="00865217">
        <w:rPr>
          <w:rFonts w:asciiTheme="minorHAnsi" w:hAnsiTheme="minorHAnsi" w:cstheme="minorHAnsi" w:hint="eastAsia"/>
          <w:szCs w:val="24"/>
          <w:lang w:eastAsia="zh-CN"/>
        </w:rPr>
        <w:t>号决议的</w:t>
      </w:r>
      <w:r w:rsidRPr="00865217">
        <w:rPr>
          <w:rFonts w:ascii="STKaiti" w:eastAsia="STKaiti" w:hAnsi="STKaiti" w:cstheme="minorHAnsi" w:hint="eastAsia"/>
          <w:szCs w:val="24"/>
          <w:lang w:eastAsia="zh-CN"/>
        </w:rPr>
        <w:t>责成无线电通信局主任</w:t>
      </w:r>
      <w:r w:rsidRPr="00412BC0">
        <w:rPr>
          <w:rFonts w:eastAsia="STKaiti"/>
          <w:i/>
          <w:iCs/>
          <w:szCs w:val="24"/>
          <w:lang w:eastAsia="zh-CN"/>
        </w:rPr>
        <w:t>2</w:t>
      </w:r>
      <w:r w:rsidR="00EC6013" w:rsidRPr="00EC6013">
        <w:rPr>
          <w:rFonts w:eastAsia="SimSun" w:hint="eastAsia"/>
          <w:i/>
          <w:iCs/>
          <w:szCs w:val="24"/>
          <w:lang w:eastAsia="zh-CN"/>
        </w:rPr>
        <w:t>)</w:t>
      </w:r>
      <w:r w:rsidRPr="00865217">
        <w:rPr>
          <w:rFonts w:asciiTheme="minorHAnsi" w:hAnsiTheme="minorHAnsi" w:cstheme="minorHAnsi" w:hint="eastAsia"/>
          <w:szCs w:val="24"/>
          <w:lang w:eastAsia="zh-CN"/>
        </w:rPr>
        <w:t>，无线电通信局将把收到的信息放在一个专门网站上，且一旦有新信息</w:t>
      </w:r>
      <w:r>
        <w:rPr>
          <w:rFonts w:asciiTheme="minorHAnsi" w:hAnsiTheme="minorHAnsi" w:cstheme="minorHAnsi" w:hint="eastAsia"/>
          <w:szCs w:val="24"/>
          <w:lang w:eastAsia="zh-CN"/>
        </w:rPr>
        <w:t>便</w:t>
      </w:r>
      <w:r w:rsidRPr="00865217">
        <w:rPr>
          <w:rFonts w:asciiTheme="minorHAnsi" w:hAnsiTheme="minorHAnsi" w:cstheme="minorHAnsi" w:hint="eastAsia"/>
          <w:szCs w:val="24"/>
          <w:lang w:eastAsia="zh-CN"/>
        </w:rPr>
        <w:t>更新该网站</w:t>
      </w:r>
      <w:r w:rsidR="00D439DF">
        <w:rPr>
          <w:rFonts w:asciiTheme="minorHAnsi" w:hAnsiTheme="minorHAnsi" w:cstheme="minorHAnsi" w:hint="eastAsia"/>
          <w:szCs w:val="24"/>
          <w:lang w:eastAsia="zh-CN"/>
        </w:rPr>
        <w:t xml:space="preserve"> </w:t>
      </w:r>
      <w:r w:rsidR="00D439DF">
        <w:rPr>
          <w:rFonts w:asciiTheme="minorHAnsi" w:hAnsiTheme="minorHAnsi" w:cstheme="minorHAnsi"/>
          <w:szCs w:val="24"/>
          <w:lang w:eastAsia="zh-CN"/>
        </w:rPr>
        <w:t>(</w:t>
      </w:r>
      <w:hyperlink r:id="rId8" w:history="1">
        <w:r w:rsidR="00BA79B4" w:rsidRPr="007C4C41">
          <w:rPr>
            <w:rStyle w:val="Hyperlink"/>
            <w:rFonts w:asciiTheme="minorHAnsi" w:hAnsiTheme="minorHAnsi" w:cstheme="minorHAnsi"/>
            <w:szCs w:val="24"/>
            <w:lang w:eastAsia="zh-CN"/>
          </w:rPr>
          <w:t>https://www.itu.int/space-sustainability/</w:t>
        </w:r>
      </w:hyperlink>
      <w:r w:rsidR="00D439DF">
        <w:rPr>
          <w:rFonts w:asciiTheme="minorHAnsi" w:hAnsiTheme="minorHAnsi" w:cstheme="minorHAnsi"/>
          <w:szCs w:val="24"/>
          <w:lang w:eastAsia="zh-CN"/>
        </w:rPr>
        <w:t>)</w:t>
      </w:r>
      <w:r w:rsidRPr="00865217">
        <w:rPr>
          <w:rFonts w:asciiTheme="minorHAnsi" w:hAnsiTheme="minorHAnsi" w:cstheme="minorHAnsi" w:hint="eastAsia"/>
          <w:szCs w:val="24"/>
          <w:lang w:eastAsia="zh-CN"/>
        </w:rPr>
        <w:t>。</w:t>
      </w:r>
    </w:p>
    <w:p w14:paraId="458A3EE9" w14:textId="16048CF5" w:rsidR="00412BC0" w:rsidRPr="00865217" w:rsidRDefault="00412BC0" w:rsidP="004D2F0D">
      <w:pPr>
        <w:tabs>
          <w:tab w:val="left" w:pos="900"/>
        </w:tabs>
        <w:spacing w:before="240" w:line="240" w:lineRule="auto"/>
        <w:ind w:firstLineChars="200" w:firstLine="480"/>
        <w:rPr>
          <w:rFonts w:asciiTheme="minorHAnsi" w:hAnsiTheme="minorHAnsi" w:cstheme="minorHAnsi"/>
          <w:szCs w:val="24"/>
          <w:lang w:eastAsia="zh-CN"/>
        </w:rPr>
      </w:pPr>
      <w:r w:rsidRPr="00865217">
        <w:rPr>
          <w:rFonts w:asciiTheme="minorHAnsi" w:hAnsiTheme="minorHAnsi" w:cstheme="minorHAnsi" w:hint="eastAsia"/>
          <w:szCs w:val="24"/>
          <w:lang w:eastAsia="zh-CN"/>
        </w:rPr>
        <w:t>这些文件随后也可用作向</w:t>
      </w:r>
      <w:r w:rsidRPr="00865217">
        <w:rPr>
          <w:rFonts w:asciiTheme="minorHAnsi" w:hAnsiTheme="minorHAnsi" w:cstheme="minorHAnsi"/>
          <w:szCs w:val="24"/>
          <w:lang w:eastAsia="zh-CN"/>
        </w:rPr>
        <w:t>ITU-R</w:t>
      </w:r>
      <w:r w:rsidRPr="00865217">
        <w:rPr>
          <w:rFonts w:asciiTheme="minorHAnsi" w:hAnsiTheme="minorHAnsi" w:cstheme="minorHAnsi" w:hint="eastAsia"/>
          <w:szCs w:val="24"/>
          <w:lang w:eastAsia="zh-CN"/>
        </w:rPr>
        <w:t>相关研究组提交的输入文稿。</w:t>
      </w:r>
    </w:p>
    <w:p w14:paraId="639C3AD2" w14:textId="77777777" w:rsidR="00412BC0" w:rsidRPr="00865217" w:rsidRDefault="00412BC0" w:rsidP="004D2F0D">
      <w:pPr>
        <w:tabs>
          <w:tab w:val="left" w:pos="900"/>
        </w:tabs>
        <w:spacing w:before="240" w:line="240" w:lineRule="auto"/>
        <w:ind w:firstLineChars="200" w:firstLine="480"/>
        <w:rPr>
          <w:rFonts w:asciiTheme="minorHAnsi" w:hAnsiTheme="minorHAnsi" w:cstheme="minorHAnsi"/>
          <w:szCs w:val="24"/>
        </w:rPr>
      </w:pPr>
      <w:r w:rsidRPr="00865217">
        <w:rPr>
          <w:rFonts w:asciiTheme="minorHAnsi" w:hAnsiTheme="minorHAnsi" w:cstheme="minorHAnsi" w:hint="eastAsia"/>
          <w:szCs w:val="24"/>
          <w:lang w:eastAsia="zh-CN"/>
        </w:rPr>
        <w:t>无线电通信</w:t>
      </w:r>
      <w:proofErr w:type="spellStart"/>
      <w:proofErr w:type="gramStart"/>
      <w:r w:rsidRPr="00865217">
        <w:rPr>
          <w:rFonts w:asciiTheme="minorHAnsi" w:hAnsiTheme="minorHAnsi" w:cstheme="minorHAnsi" w:hint="eastAsia"/>
          <w:szCs w:val="24"/>
        </w:rPr>
        <w:t>局感谢</w:t>
      </w:r>
      <w:proofErr w:type="spellEnd"/>
      <w:proofErr w:type="gramEnd"/>
      <w:r w:rsidRPr="00865217">
        <w:rPr>
          <w:rFonts w:asciiTheme="minorHAnsi" w:hAnsiTheme="minorHAnsi" w:cstheme="minorHAnsi" w:hint="eastAsia"/>
          <w:szCs w:val="24"/>
          <w:lang w:eastAsia="zh-CN"/>
        </w:rPr>
        <w:t>主管</w:t>
      </w:r>
      <w:r w:rsidRPr="00865217">
        <w:rPr>
          <w:rFonts w:asciiTheme="minorHAnsi" w:hAnsiTheme="minorHAnsi" w:cstheme="minorHAnsi" w:hint="eastAsia"/>
          <w:szCs w:val="24"/>
        </w:rPr>
        <w:t>部门在</w:t>
      </w:r>
      <w:r w:rsidRPr="00412BC0">
        <w:rPr>
          <w:rFonts w:asciiTheme="minorHAnsi" w:hAnsiTheme="minorHAnsi" w:cstheme="minorHAnsi" w:hint="eastAsia"/>
          <w:b/>
          <w:bCs/>
          <w:szCs w:val="24"/>
        </w:rPr>
        <w:t>2024</w:t>
      </w:r>
      <w:r w:rsidRPr="00412BC0">
        <w:rPr>
          <w:rFonts w:asciiTheme="minorHAnsi" w:hAnsiTheme="minorHAnsi" w:cstheme="minorHAnsi" w:hint="eastAsia"/>
          <w:b/>
          <w:bCs/>
          <w:szCs w:val="24"/>
        </w:rPr>
        <w:t>年</w:t>
      </w:r>
      <w:r w:rsidRPr="00412BC0">
        <w:rPr>
          <w:rFonts w:asciiTheme="minorHAnsi" w:hAnsiTheme="minorHAnsi" w:cstheme="minorHAnsi" w:hint="eastAsia"/>
          <w:b/>
          <w:bCs/>
          <w:szCs w:val="24"/>
        </w:rPr>
        <w:t>3</w:t>
      </w:r>
      <w:r w:rsidRPr="00412BC0">
        <w:rPr>
          <w:rFonts w:asciiTheme="minorHAnsi" w:hAnsiTheme="minorHAnsi" w:cstheme="minorHAnsi" w:hint="eastAsia"/>
          <w:b/>
          <w:bCs/>
          <w:szCs w:val="24"/>
        </w:rPr>
        <w:t>月</w:t>
      </w:r>
      <w:r w:rsidRPr="00412BC0">
        <w:rPr>
          <w:rFonts w:asciiTheme="minorHAnsi" w:hAnsiTheme="minorHAnsi" w:cstheme="minorHAnsi" w:hint="eastAsia"/>
          <w:b/>
          <w:bCs/>
          <w:szCs w:val="24"/>
        </w:rPr>
        <w:t>30</w:t>
      </w:r>
      <w:r w:rsidRPr="00412BC0">
        <w:rPr>
          <w:rFonts w:asciiTheme="minorHAnsi" w:hAnsiTheme="minorHAnsi" w:cstheme="minorHAnsi" w:hint="eastAsia"/>
          <w:b/>
          <w:bCs/>
          <w:szCs w:val="24"/>
        </w:rPr>
        <w:t>日前</w:t>
      </w:r>
      <w:r w:rsidRPr="00865217">
        <w:rPr>
          <w:rFonts w:asciiTheme="minorHAnsi" w:hAnsiTheme="minorHAnsi" w:cstheme="minorHAnsi" w:hint="eastAsia"/>
          <w:szCs w:val="24"/>
        </w:rPr>
        <w:t>通过电子邮件</w:t>
      </w:r>
      <w:hyperlink r:id="rId9" w:history="1">
        <w:r w:rsidRPr="00865217">
          <w:rPr>
            <w:rStyle w:val="Hyperlink"/>
            <w:rFonts w:asciiTheme="minorHAnsi" w:hAnsiTheme="minorHAnsi" w:cstheme="minorHAnsi"/>
            <w:szCs w:val="24"/>
          </w:rPr>
          <w:t>BRmail@itu.int</w:t>
        </w:r>
      </w:hyperlink>
      <w:r w:rsidRPr="00865217">
        <w:rPr>
          <w:rFonts w:asciiTheme="minorHAnsi" w:hAnsiTheme="minorHAnsi" w:cstheme="minorHAnsi" w:hint="eastAsia"/>
          <w:szCs w:val="24"/>
        </w:rPr>
        <w:t>提交</w:t>
      </w:r>
      <w:r w:rsidRPr="00865217">
        <w:rPr>
          <w:rFonts w:asciiTheme="minorHAnsi" w:hAnsiTheme="minorHAnsi" w:cstheme="minorHAnsi" w:hint="eastAsia"/>
          <w:szCs w:val="24"/>
          <w:lang w:eastAsia="zh-CN"/>
        </w:rPr>
        <w:t>用于协调和通知的</w:t>
      </w:r>
      <w:r w:rsidRPr="00865217">
        <w:rPr>
          <w:rFonts w:asciiTheme="minorHAnsi" w:hAnsiTheme="minorHAnsi" w:cstheme="minorHAnsi"/>
          <w:szCs w:val="24"/>
        </w:rPr>
        <w:t>non-</w:t>
      </w:r>
      <w:proofErr w:type="spellStart"/>
      <w:r w:rsidRPr="00865217">
        <w:rPr>
          <w:rFonts w:asciiTheme="minorHAnsi" w:hAnsiTheme="minorHAnsi" w:cstheme="minorHAnsi"/>
          <w:szCs w:val="24"/>
        </w:rPr>
        <w:t>GSO</w:t>
      </w:r>
      <w:r w:rsidRPr="00865217">
        <w:rPr>
          <w:rFonts w:asciiTheme="minorHAnsi" w:hAnsiTheme="minorHAnsi" w:cstheme="minorHAnsi" w:hint="eastAsia"/>
          <w:szCs w:val="24"/>
        </w:rPr>
        <w:t>申</w:t>
      </w:r>
      <w:proofErr w:type="spellEnd"/>
      <w:r w:rsidRPr="00865217">
        <w:rPr>
          <w:rFonts w:asciiTheme="minorHAnsi" w:hAnsiTheme="minorHAnsi" w:cstheme="minorHAnsi" w:hint="eastAsia"/>
          <w:szCs w:val="24"/>
          <w:lang w:eastAsia="zh-CN"/>
        </w:rPr>
        <w:t>报，并感谢</w:t>
      </w:r>
      <w:proofErr w:type="spellStart"/>
      <w:r w:rsidRPr="00865217">
        <w:rPr>
          <w:rFonts w:asciiTheme="minorHAnsi" w:hAnsiTheme="minorHAnsi" w:cstheme="minorHAnsi" w:hint="eastAsia"/>
          <w:szCs w:val="24"/>
        </w:rPr>
        <w:t>运营机构</w:t>
      </w:r>
      <w:proofErr w:type="spellEnd"/>
      <w:r w:rsidRPr="00865217">
        <w:rPr>
          <w:rFonts w:asciiTheme="minorHAnsi" w:hAnsiTheme="minorHAnsi" w:cstheme="minorHAnsi" w:hint="eastAsia"/>
          <w:szCs w:val="24"/>
          <w:lang w:eastAsia="zh-CN"/>
        </w:rPr>
        <w:t>在此日期之前</w:t>
      </w:r>
      <w:proofErr w:type="spellStart"/>
      <w:r w:rsidRPr="00865217">
        <w:rPr>
          <w:rFonts w:asciiTheme="minorHAnsi" w:hAnsiTheme="minorHAnsi" w:cstheme="minorHAnsi" w:hint="eastAsia"/>
          <w:szCs w:val="24"/>
        </w:rPr>
        <w:t>提交</w:t>
      </w:r>
      <w:proofErr w:type="spellEnd"/>
      <w:r w:rsidRPr="00865217">
        <w:rPr>
          <w:rFonts w:asciiTheme="minorHAnsi" w:hAnsiTheme="minorHAnsi" w:cstheme="minorHAnsi" w:hint="eastAsia"/>
          <w:szCs w:val="24"/>
          <w:lang w:eastAsia="zh-CN"/>
        </w:rPr>
        <w:t>并</w:t>
      </w:r>
      <w:proofErr w:type="spellStart"/>
      <w:r w:rsidRPr="00865217">
        <w:rPr>
          <w:rFonts w:asciiTheme="minorHAnsi" w:hAnsiTheme="minorHAnsi" w:cstheme="minorHAnsi" w:hint="eastAsia"/>
          <w:szCs w:val="24"/>
        </w:rPr>
        <w:t>分享</w:t>
      </w:r>
      <w:proofErr w:type="spellEnd"/>
      <w:r w:rsidRPr="00865217">
        <w:rPr>
          <w:rFonts w:asciiTheme="minorHAnsi" w:hAnsiTheme="minorHAnsi" w:cstheme="minorHAnsi" w:hint="eastAsia"/>
          <w:szCs w:val="24"/>
          <w:lang w:eastAsia="zh-CN"/>
        </w:rPr>
        <w:t>此</w:t>
      </w:r>
      <w:proofErr w:type="spellStart"/>
      <w:r w:rsidRPr="00865217">
        <w:rPr>
          <w:rFonts w:asciiTheme="minorHAnsi" w:hAnsiTheme="minorHAnsi" w:cstheme="minorHAnsi" w:hint="eastAsia"/>
          <w:szCs w:val="24"/>
        </w:rPr>
        <w:t>宝贵信息</w:t>
      </w:r>
      <w:proofErr w:type="spellEnd"/>
      <w:r w:rsidRPr="00865217">
        <w:rPr>
          <w:rFonts w:asciiTheme="minorHAnsi" w:hAnsiTheme="minorHAnsi" w:cstheme="minorHAnsi" w:hint="eastAsia"/>
          <w:szCs w:val="24"/>
        </w:rPr>
        <w:t>。</w:t>
      </w:r>
    </w:p>
    <w:p w14:paraId="7B8983BF" w14:textId="77777777" w:rsidR="00412BC0" w:rsidRPr="00865217" w:rsidRDefault="00412BC0" w:rsidP="004D2F0D">
      <w:pPr>
        <w:tabs>
          <w:tab w:val="left" w:pos="900"/>
        </w:tabs>
        <w:spacing w:before="240" w:line="240" w:lineRule="auto"/>
        <w:ind w:firstLineChars="200" w:firstLine="480"/>
        <w:rPr>
          <w:rFonts w:asciiTheme="minorHAnsi" w:hAnsiTheme="minorHAnsi" w:cstheme="minorHAnsi"/>
          <w:szCs w:val="24"/>
          <w:lang w:eastAsia="zh-CN"/>
        </w:rPr>
      </w:pPr>
      <w:r w:rsidRPr="00865217">
        <w:rPr>
          <w:rFonts w:asciiTheme="minorHAnsi" w:hAnsiTheme="minorHAnsi" w:cstheme="minorHAnsi" w:hint="eastAsia"/>
          <w:szCs w:val="24"/>
          <w:lang w:eastAsia="zh-CN"/>
        </w:rPr>
        <w:t>对于未来的</w:t>
      </w:r>
      <w:r w:rsidRPr="00865217">
        <w:rPr>
          <w:rFonts w:asciiTheme="minorHAnsi" w:hAnsiTheme="minorHAnsi" w:cstheme="minorHAnsi"/>
          <w:szCs w:val="24"/>
          <w:lang w:eastAsia="zh-CN"/>
        </w:rPr>
        <w:t>non-GSO</w:t>
      </w:r>
      <w:r w:rsidRPr="00865217">
        <w:rPr>
          <w:rFonts w:asciiTheme="minorHAnsi" w:hAnsiTheme="minorHAnsi" w:cstheme="minorHAnsi" w:hint="eastAsia"/>
          <w:szCs w:val="24"/>
          <w:lang w:eastAsia="zh-CN"/>
        </w:rPr>
        <w:t>卫星申报，要求的信息可作为补充文件与协调或通知请求一起提交。</w:t>
      </w:r>
    </w:p>
    <w:p w14:paraId="65902115" w14:textId="77777777" w:rsidR="00412BC0" w:rsidRPr="00865217" w:rsidRDefault="00412BC0" w:rsidP="004D2F0D">
      <w:pPr>
        <w:tabs>
          <w:tab w:val="left" w:pos="900"/>
        </w:tabs>
        <w:spacing w:before="240" w:line="240" w:lineRule="auto"/>
        <w:ind w:firstLineChars="200" w:firstLine="480"/>
        <w:rPr>
          <w:rFonts w:asciiTheme="minorHAnsi" w:hAnsiTheme="minorHAnsi" w:cstheme="minorHAnsi"/>
          <w:szCs w:val="24"/>
          <w:lang w:eastAsia="zh-CN"/>
        </w:rPr>
      </w:pPr>
      <w:r w:rsidRPr="00865217">
        <w:rPr>
          <w:rFonts w:asciiTheme="minorHAnsi" w:hAnsiTheme="minorHAnsi" w:cstheme="minorHAnsi" w:hint="eastAsia"/>
          <w:szCs w:val="24"/>
          <w:lang w:eastAsia="zh-CN"/>
        </w:rPr>
        <w:lastRenderedPageBreak/>
        <w:t>我相信，从目前正在操作的航天器以及从未来</w:t>
      </w:r>
      <w:proofErr w:type="gramStart"/>
      <w:r w:rsidRPr="00865217">
        <w:rPr>
          <w:rFonts w:asciiTheme="minorHAnsi" w:hAnsiTheme="minorHAnsi" w:cstheme="minorHAnsi" w:hint="eastAsia"/>
          <w:szCs w:val="24"/>
          <w:lang w:eastAsia="zh-CN"/>
        </w:rPr>
        <w:t>拟部署</w:t>
      </w:r>
      <w:proofErr w:type="gramEnd"/>
      <w:r w:rsidRPr="00865217">
        <w:rPr>
          <w:rFonts w:asciiTheme="minorHAnsi" w:hAnsiTheme="minorHAnsi" w:cstheme="minorHAnsi" w:hint="eastAsia"/>
          <w:szCs w:val="24"/>
          <w:lang w:eastAsia="zh-CN"/>
        </w:rPr>
        <w:t>的航天器收集</w:t>
      </w:r>
      <w:r>
        <w:rPr>
          <w:rFonts w:asciiTheme="minorHAnsi" w:hAnsiTheme="minorHAnsi" w:cstheme="minorHAnsi" w:hint="eastAsia"/>
          <w:szCs w:val="24"/>
          <w:lang w:eastAsia="zh-CN"/>
        </w:rPr>
        <w:t>到</w:t>
      </w:r>
      <w:r w:rsidRPr="00865217">
        <w:rPr>
          <w:rFonts w:asciiTheme="minorHAnsi" w:hAnsiTheme="minorHAnsi" w:cstheme="minorHAnsi" w:hint="eastAsia"/>
          <w:szCs w:val="24"/>
          <w:lang w:eastAsia="zh-CN"/>
        </w:rPr>
        <w:t>的信息，对所有空间业务参与方（无论是有经验参与方的还是初来乍到者）而言均极为宝贵，有助于防止空间碎片的增长并确保相关频谱轨道资源的长期可持续性。</w:t>
      </w:r>
    </w:p>
    <w:p w14:paraId="19152DD1" w14:textId="77777777" w:rsidR="00412BC0" w:rsidRPr="00865217" w:rsidRDefault="00412BC0" w:rsidP="004D2F0D">
      <w:pPr>
        <w:tabs>
          <w:tab w:val="left" w:pos="900"/>
        </w:tabs>
        <w:spacing w:before="240" w:line="240" w:lineRule="auto"/>
        <w:rPr>
          <w:rFonts w:asciiTheme="minorHAnsi" w:hAnsiTheme="minorHAnsi" w:cstheme="minorHAnsi"/>
          <w:szCs w:val="24"/>
          <w:lang w:eastAsia="zh-CN"/>
        </w:rPr>
      </w:pPr>
    </w:p>
    <w:p w14:paraId="69162E12" w14:textId="6444D3B5" w:rsidR="00412BC0" w:rsidRPr="00865217" w:rsidRDefault="00412BC0" w:rsidP="00BA79B4">
      <w:pPr>
        <w:tabs>
          <w:tab w:val="clear" w:pos="794"/>
          <w:tab w:val="clear" w:pos="1191"/>
          <w:tab w:val="clear" w:pos="1588"/>
          <w:tab w:val="clear" w:pos="1985"/>
          <w:tab w:val="left" w:pos="0"/>
        </w:tabs>
        <w:spacing w:before="1200" w:line="240" w:lineRule="auto"/>
        <w:jc w:val="lowKashida"/>
        <w:rPr>
          <w:rFonts w:asciiTheme="minorHAnsi" w:eastAsiaTheme="majorEastAsia" w:hAnsiTheme="minorHAnsi" w:cstheme="minorHAnsi"/>
          <w:szCs w:val="24"/>
          <w:lang w:eastAsia="zh-CN"/>
        </w:rPr>
      </w:pPr>
      <w:r w:rsidRPr="00334544">
        <w:rPr>
          <w:rFonts w:asciiTheme="majorEastAsia" w:eastAsiaTheme="majorEastAsia" w:hAnsiTheme="majorEastAsia" w:hint="eastAsia"/>
          <w:szCs w:val="24"/>
          <w:lang w:eastAsia="zh-CN"/>
        </w:rPr>
        <w:t>主任</w:t>
      </w:r>
      <w:r w:rsidRPr="00D439DF">
        <w:rPr>
          <w:rFonts w:asciiTheme="majorEastAsia" w:eastAsiaTheme="majorEastAsia" w:hAnsiTheme="majorEastAsia"/>
          <w:szCs w:val="24"/>
          <w:lang w:eastAsia="zh-CN"/>
        </w:rPr>
        <w:br/>
      </w:r>
      <w:r>
        <w:rPr>
          <w:rFonts w:hint="eastAsia"/>
          <w:lang w:eastAsia="zh-CN"/>
        </w:rPr>
        <w:t>马里奥</w:t>
      </w:r>
      <w:r w:rsidRPr="00EC6013">
        <w:rPr>
          <w:rFonts w:ascii="Times New Roman" w:hAnsi="Times New Roman" w:cs="Times New Roman"/>
          <w:lang w:eastAsia="zh-CN"/>
        </w:rPr>
        <w:t>·</w:t>
      </w:r>
      <w:r>
        <w:rPr>
          <w:rFonts w:hint="eastAsia"/>
          <w:lang w:eastAsia="zh-CN"/>
        </w:rPr>
        <w:t>马尼维奇</w:t>
      </w:r>
    </w:p>
    <w:p w14:paraId="12F260A7" w14:textId="77777777" w:rsidR="00412BC0" w:rsidRPr="00865217" w:rsidRDefault="00412BC0" w:rsidP="00412BC0">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7772A0A9" w14:textId="77777777" w:rsidR="00412BC0" w:rsidRPr="00865217" w:rsidRDefault="00412BC0" w:rsidP="00412BC0">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038A63DE" w14:textId="77777777" w:rsidR="00412BC0" w:rsidRPr="00865217" w:rsidRDefault="00412BC0" w:rsidP="00412BC0">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6F25E17C" w14:textId="77777777" w:rsidR="00412BC0" w:rsidRPr="00865217" w:rsidRDefault="00412BC0" w:rsidP="00412BC0">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1B4847D6" w14:textId="77777777" w:rsidR="00412BC0" w:rsidRPr="00865217" w:rsidRDefault="00412BC0" w:rsidP="00412BC0">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3EF8A4E6" w14:textId="77777777" w:rsidR="00412BC0" w:rsidRPr="00865217" w:rsidRDefault="00412BC0" w:rsidP="00412BC0">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63DAE252" w14:textId="77777777" w:rsidR="00412BC0" w:rsidRPr="00865217" w:rsidRDefault="00412BC0" w:rsidP="00BA79B4">
      <w:pPr>
        <w:pStyle w:val="toc0"/>
        <w:spacing w:before="3000" w:after="120"/>
        <w:jc w:val="lowKashida"/>
        <w:rPr>
          <w:rFonts w:asciiTheme="minorHAnsi" w:eastAsiaTheme="majorEastAsia" w:hAnsiTheme="minorHAnsi" w:cstheme="minorHAnsi"/>
          <w:bCs/>
          <w:sz w:val="18"/>
          <w:szCs w:val="18"/>
          <w:u w:val="single"/>
          <w:lang w:eastAsia="zh-CN"/>
        </w:rPr>
      </w:pPr>
      <w:r w:rsidRPr="00865217">
        <w:rPr>
          <w:rFonts w:asciiTheme="minorHAnsi" w:eastAsiaTheme="majorEastAsia" w:hAnsiTheme="minorHAnsi" w:cstheme="minorHAnsi" w:hint="eastAsia"/>
          <w:bCs/>
          <w:sz w:val="18"/>
          <w:szCs w:val="18"/>
          <w:u w:val="single"/>
          <w:lang w:eastAsia="zh-CN"/>
        </w:rPr>
        <w:t>分发：</w:t>
      </w:r>
    </w:p>
    <w:p w14:paraId="5F294AAA" w14:textId="77777777" w:rsidR="00412BC0" w:rsidRPr="00865217" w:rsidRDefault="00412BC0" w:rsidP="00412BC0">
      <w:pPr>
        <w:pStyle w:val="enumlev1"/>
        <w:numPr>
          <w:ilvl w:val="0"/>
          <w:numId w:val="3"/>
        </w:numPr>
        <w:tabs>
          <w:tab w:val="clear" w:pos="794"/>
          <w:tab w:val="clear" w:pos="1191"/>
          <w:tab w:val="clear" w:pos="1588"/>
          <w:tab w:val="clear" w:pos="1985"/>
        </w:tabs>
        <w:spacing w:before="100" w:beforeAutospacing="1" w:line="240" w:lineRule="auto"/>
        <w:ind w:left="284" w:hanging="284"/>
        <w:jc w:val="lowKashida"/>
        <w:rPr>
          <w:rFonts w:asciiTheme="minorHAnsi" w:eastAsiaTheme="majorEastAsia" w:hAnsiTheme="minorHAnsi" w:cstheme="minorHAnsi"/>
          <w:sz w:val="18"/>
          <w:szCs w:val="18"/>
          <w:lang w:eastAsia="zh-CN"/>
        </w:rPr>
      </w:pPr>
      <w:r w:rsidRPr="00865217">
        <w:rPr>
          <w:rFonts w:asciiTheme="minorHAnsi" w:eastAsiaTheme="majorEastAsia" w:hAnsiTheme="minorHAnsi" w:cstheme="minorHAnsi" w:hint="eastAsia"/>
          <w:sz w:val="18"/>
          <w:szCs w:val="18"/>
          <w:lang w:eastAsia="zh-CN"/>
        </w:rPr>
        <w:t>国际电联成员国主管部门</w:t>
      </w:r>
    </w:p>
    <w:p w14:paraId="4E2244A8" w14:textId="77777777" w:rsidR="00412BC0" w:rsidRPr="00865217" w:rsidRDefault="00412BC0" w:rsidP="00412BC0">
      <w:pPr>
        <w:pStyle w:val="enumlev1"/>
        <w:numPr>
          <w:ilvl w:val="0"/>
          <w:numId w:val="3"/>
        </w:numPr>
        <w:tabs>
          <w:tab w:val="clear" w:pos="794"/>
          <w:tab w:val="clear" w:pos="1191"/>
          <w:tab w:val="clear" w:pos="1588"/>
          <w:tab w:val="clear" w:pos="1985"/>
          <w:tab w:val="left" w:pos="0"/>
          <w:tab w:val="left" w:pos="900"/>
        </w:tabs>
        <w:spacing w:before="0" w:beforeAutospacing="1" w:after="120" w:line="240" w:lineRule="auto"/>
        <w:ind w:left="284" w:hanging="284"/>
        <w:jc w:val="lowKashida"/>
        <w:rPr>
          <w:rFonts w:eastAsia="Times New Roman"/>
          <w:sz w:val="18"/>
          <w:szCs w:val="18"/>
        </w:rPr>
      </w:pPr>
      <w:r w:rsidRPr="00865217">
        <w:rPr>
          <w:rFonts w:asciiTheme="minorHAnsi" w:eastAsiaTheme="majorEastAsia" w:hAnsiTheme="minorHAnsi" w:cstheme="minorHAnsi" w:hint="eastAsia"/>
          <w:sz w:val="18"/>
          <w:szCs w:val="18"/>
          <w:lang w:eastAsia="zh-CN"/>
        </w:rPr>
        <w:t>国际电</w:t>
      </w:r>
      <w:proofErr w:type="gramStart"/>
      <w:r w:rsidRPr="00865217">
        <w:rPr>
          <w:rFonts w:asciiTheme="minorHAnsi" w:eastAsiaTheme="majorEastAsia" w:hAnsiTheme="minorHAnsi" w:cstheme="minorHAnsi" w:hint="eastAsia"/>
          <w:sz w:val="18"/>
          <w:szCs w:val="18"/>
          <w:lang w:eastAsia="zh-CN"/>
        </w:rPr>
        <w:t>联部门</w:t>
      </w:r>
      <w:proofErr w:type="gramEnd"/>
      <w:r w:rsidRPr="00865217">
        <w:rPr>
          <w:rFonts w:asciiTheme="minorHAnsi" w:eastAsiaTheme="majorEastAsia" w:hAnsiTheme="minorHAnsi" w:cstheme="minorHAnsi" w:hint="eastAsia"/>
          <w:sz w:val="18"/>
          <w:szCs w:val="18"/>
          <w:lang w:eastAsia="zh-CN"/>
        </w:rPr>
        <w:t>成员</w:t>
      </w:r>
    </w:p>
    <w:sectPr w:rsidR="00412BC0" w:rsidRPr="00865217" w:rsidSect="00AE647C">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616B" w14:textId="77777777" w:rsidR="003301E8" w:rsidRDefault="003301E8">
      <w:r>
        <w:separator/>
      </w:r>
    </w:p>
  </w:endnote>
  <w:endnote w:type="continuationSeparator" w:id="0">
    <w:p w14:paraId="2A578968" w14:textId="77777777" w:rsidR="003301E8" w:rsidRDefault="0033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4344" w14:textId="4D925B3F" w:rsidR="00924E6D" w:rsidRPr="00E2225D" w:rsidRDefault="00924E6D" w:rsidP="00924E6D">
    <w:pPr>
      <w:pStyle w:val="FirstFooter"/>
      <w:spacing w:line="240" w:lineRule="auto"/>
      <w:ind w:left="-397" w:right="-397"/>
      <w:jc w:val="center"/>
      <w:rPr>
        <w:color w:val="4F81BD" w:themeColor="accent1"/>
        <w:sz w:val="19"/>
        <w:szCs w:val="19"/>
      </w:rPr>
    </w:pPr>
    <w:r w:rsidRPr="00E2225D">
      <w:rPr>
        <w:color w:val="4F81BD" w:themeColor="accent1"/>
        <w:sz w:val="19"/>
        <w:szCs w:val="19"/>
      </w:rPr>
      <w:t>International Telecommunication Union • Place des Nations, CH</w:t>
    </w:r>
    <w:r w:rsidRPr="00E2225D">
      <w:rPr>
        <w:color w:val="4F81BD" w:themeColor="accent1"/>
        <w:sz w:val="19"/>
        <w:szCs w:val="19"/>
      </w:rPr>
      <w:noBreakHyphen/>
      <w:t>1211 Geneva 20, Switzerland</w:t>
    </w:r>
    <w:r w:rsidRPr="00E2225D">
      <w:rPr>
        <w:color w:val="4F81BD" w:themeColor="accent1"/>
        <w:sz w:val="19"/>
        <w:szCs w:val="19"/>
      </w:rPr>
      <w:br/>
      <w:t xml:space="preserve">Tel.: +41 22 730 5111 • E-mail: </w:t>
    </w:r>
    <w:hyperlink r:id="rId1" w:history="1">
      <w:r w:rsidR="00E2225D" w:rsidRPr="006D799F">
        <w:rPr>
          <w:rStyle w:val="Hyperlink"/>
          <w:sz w:val="19"/>
          <w:szCs w:val="19"/>
        </w:rPr>
        <w:t>brmail@itu.int</w:t>
      </w:r>
    </w:hyperlink>
    <w:r w:rsidRPr="00E2225D">
      <w:rPr>
        <w:color w:val="4F81BD" w:themeColor="accent1"/>
        <w:sz w:val="19"/>
        <w:szCs w:val="19"/>
      </w:rPr>
      <w:t xml:space="preserve"> </w:t>
    </w:r>
    <w:r w:rsidRPr="00E2225D">
      <w:rPr>
        <w:color w:val="4F81BD"/>
        <w:sz w:val="19"/>
        <w:szCs w:val="19"/>
      </w:rPr>
      <w:t xml:space="preserve">• Fax: +41 22 733 7256 • </w:t>
    </w:r>
    <w:hyperlink r:id="rId2" w:history="1">
      <w:r w:rsidRPr="00E2225D">
        <w:rPr>
          <w:rStyle w:val="Hyperlink"/>
          <w:sz w:val="19"/>
          <w:szCs w:val="19"/>
        </w:rPr>
        <w:t>www.itu.int</w:t>
      </w:r>
    </w:hyperlink>
  </w:p>
  <w:p w14:paraId="1E7C7F19" w14:textId="77777777" w:rsidR="00ED20E1" w:rsidRPr="00F420BF" w:rsidRDefault="00ED20E1" w:rsidP="00F4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560C" w14:textId="77777777" w:rsidR="003301E8" w:rsidRDefault="003301E8">
      <w:r>
        <w:t>____________________</w:t>
      </w:r>
    </w:p>
  </w:footnote>
  <w:footnote w:type="continuationSeparator" w:id="0">
    <w:p w14:paraId="49CBCF19" w14:textId="77777777" w:rsidR="003301E8" w:rsidRDefault="00330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6F2E" w14:textId="54A51B6F" w:rsidR="00E915AF" w:rsidRPr="00AC1F2B" w:rsidRDefault="00AF051D" w:rsidP="00EC6013">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CCE5"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5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gridCol w:w="5000"/>
    </w:tblGrid>
    <w:tr w:rsidR="00295CFA" w14:paraId="10836BF6" w14:textId="77777777" w:rsidTr="00F420BF">
      <w:tc>
        <w:tcPr>
          <w:tcW w:w="9750" w:type="dxa"/>
          <w:tcMar>
            <w:left w:w="0" w:type="dxa"/>
          </w:tcMar>
        </w:tcPr>
        <w:p w14:paraId="7D0D374D" w14:textId="77777777" w:rsidR="00295CFA" w:rsidRDefault="00F420BF" w:rsidP="00F420BF">
          <w:pPr>
            <w:pStyle w:val="Header"/>
            <w:spacing w:before="120" w:line="360" w:lineRule="auto"/>
            <w:jc w:val="center"/>
          </w:pPr>
          <w:r>
            <w:rPr>
              <w:noProof/>
              <w:lang w:val="en-GB" w:eastAsia="en-GB"/>
            </w:rPr>
            <w:drawing>
              <wp:inline distT="0" distB="0" distL="0" distR="0" wp14:anchorId="767983C8" wp14:editId="2EC18E8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7F0F7EE1" w14:textId="77777777" w:rsidR="00295CFA" w:rsidRDefault="00295CFA" w:rsidP="00F420BF">
          <w:pPr>
            <w:pStyle w:val="Header"/>
            <w:spacing w:before="240" w:line="360" w:lineRule="auto"/>
            <w:ind w:left="4050"/>
            <w:jc w:val="right"/>
          </w:pPr>
        </w:p>
      </w:tc>
    </w:tr>
  </w:tbl>
  <w:p w14:paraId="1CD17757"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C3ECA"/>
    <w:multiLevelType w:val="hybridMultilevel"/>
    <w:tmpl w:val="782489BE"/>
    <w:lvl w:ilvl="0" w:tplc="3B0EE93A">
      <w:numFmt w:val="bullet"/>
      <w:lvlText w:val="-"/>
      <w:lvlJc w:val="left"/>
      <w:pPr>
        <w:ind w:left="720" w:hanging="360"/>
      </w:pPr>
      <w:rPr>
        <w:rFonts w:ascii="Calibri" w:eastAsiaTheme="minorEastAsia" w:hAnsi="Calibri" w:cs="Calibri" w:hint="default"/>
      </w:rPr>
    </w:lvl>
    <w:lvl w:ilvl="1" w:tplc="F4E81AF0" w:tentative="1">
      <w:start w:val="1"/>
      <w:numFmt w:val="bullet"/>
      <w:lvlText w:val="o"/>
      <w:lvlJc w:val="left"/>
      <w:pPr>
        <w:ind w:left="1440" w:hanging="360"/>
      </w:pPr>
      <w:rPr>
        <w:rFonts w:ascii="Courier New" w:hAnsi="Courier New" w:cs="Courier New" w:hint="default"/>
      </w:rPr>
    </w:lvl>
    <w:lvl w:ilvl="2" w:tplc="A8568A28" w:tentative="1">
      <w:start w:val="1"/>
      <w:numFmt w:val="bullet"/>
      <w:lvlText w:val=""/>
      <w:lvlJc w:val="left"/>
      <w:pPr>
        <w:ind w:left="2160" w:hanging="360"/>
      </w:pPr>
      <w:rPr>
        <w:rFonts w:ascii="Wingdings" w:hAnsi="Wingdings" w:hint="default"/>
      </w:rPr>
    </w:lvl>
    <w:lvl w:ilvl="3" w:tplc="8102C5F6" w:tentative="1">
      <w:start w:val="1"/>
      <w:numFmt w:val="bullet"/>
      <w:lvlText w:val=""/>
      <w:lvlJc w:val="left"/>
      <w:pPr>
        <w:ind w:left="2880" w:hanging="360"/>
      </w:pPr>
      <w:rPr>
        <w:rFonts w:ascii="Symbol" w:hAnsi="Symbol" w:hint="default"/>
      </w:rPr>
    </w:lvl>
    <w:lvl w:ilvl="4" w:tplc="05A4DD0A" w:tentative="1">
      <w:start w:val="1"/>
      <w:numFmt w:val="bullet"/>
      <w:lvlText w:val="o"/>
      <w:lvlJc w:val="left"/>
      <w:pPr>
        <w:ind w:left="3600" w:hanging="360"/>
      </w:pPr>
      <w:rPr>
        <w:rFonts w:ascii="Courier New" w:hAnsi="Courier New" w:cs="Courier New" w:hint="default"/>
      </w:rPr>
    </w:lvl>
    <w:lvl w:ilvl="5" w:tplc="80665C80" w:tentative="1">
      <w:start w:val="1"/>
      <w:numFmt w:val="bullet"/>
      <w:lvlText w:val=""/>
      <w:lvlJc w:val="left"/>
      <w:pPr>
        <w:ind w:left="4320" w:hanging="360"/>
      </w:pPr>
      <w:rPr>
        <w:rFonts w:ascii="Wingdings" w:hAnsi="Wingdings" w:hint="default"/>
      </w:rPr>
    </w:lvl>
    <w:lvl w:ilvl="6" w:tplc="F79EEE84" w:tentative="1">
      <w:start w:val="1"/>
      <w:numFmt w:val="bullet"/>
      <w:lvlText w:val=""/>
      <w:lvlJc w:val="left"/>
      <w:pPr>
        <w:ind w:left="5040" w:hanging="360"/>
      </w:pPr>
      <w:rPr>
        <w:rFonts w:ascii="Symbol" w:hAnsi="Symbol" w:hint="default"/>
      </w:rPr>
    </w:lvl>
    <w:lvl w:ilvl="7" w:tplc="D91A391E" w:tentative="1">
      <w:start w:val="1"/>
      <w:numFmt w:val="bullet"/>
      <w:lvlText w:val="o"/>
      <w:lvlJc w:val="left"/>
      <w:pPr>
        <w:ind w:left="5760" w:hanging="360"/>
      </w:pPr>
      <w:rPr>
        <w:rFonts w:ascii="Courier New" w:hAnsi="Courier New" w:cs="Courier New" w:hint="default"/>
      </w:rPr>
    </w:lvl>
    <w:lvl w:ilvl="8" w:tplc="A0403044"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93590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220504">
    <w:abstractNumId w:val="6"/>
  </w:num>
  <w:num w:numId="3" w16cid:durableId="1963227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0FB4"/>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01E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2BC0"/>
    <w:rsid w:val="004326DB"/>
    <w:rsid w:val="0043682E"/>
    <w:rsid w:val="00447ECB"/>
    <w:rsid w:val="004623F7"/>
    <w:rsid w:val="00480F51"/>
    <w:rsid w:val="00481124"/>
    <w:rsid w:val="004815EB"/>
    <w:rsid w:val="00487569"/>
    <w:rsid w:val="00496864"/>
    <w:rsid w:val="00496920"/>
    <w:rsid w:val="004A3B94"/>
    <w:rsid w:val="004A4496"/>
    <w:rsid w:val="004B11AB"/>
    <w:rsid w:val="004B7C9A"/>
    <w:rsid w:val="004C6779"/>
    <w:rsid w:val="004C68C5"/>
    <w:rsid w:val="004D2F0D"/>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344E8"/>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4E6D"/>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9E7A35"/>
    <w:rsid w:val="00A119E6"/>
    <w:rsid w:val="00A20FBC"/>
    <w:rsid w:val="00A31370"/>
    <w:rsid w:val="00A34D6F"/>
    <w:rsid w:val="00A41F91"/>
    <w:rsid w:val="00A63355"/>
    <w:rsid w:val="00A7596D"/>
    <w:rsid w:val="00A963DF"/>
    <w:rsid w:val="00AC0C22"/>
    <w:rsid w:val="00AC1F2B"/>
    <w:rsid w:val="00AC3896"/>
    <w:rsid w:val="00AD2CF2"/>
    <w:rsid w:val="00AE2D88"/>
    <w:rsid w:val="00AE647C"/>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A79B4"/>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3D0"/>
    <w:rsid w:val="00D24EB5"/>
    <w:rsid w:val="00D34BDC"/>
    <w:rsid w:val="00D35AB9"/>
    <w:rsid w:val="00D41571"/>
    <w:rsid w:val="00D416A0"/>
    <w:rsid w:val="00D439DF"/>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225D"/>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3E8B"/>
    <w:rsid w:val="00E96415"/>
    <w:rsid w:val="00EA15B3"/>
    <w:rsid w:val="00EB2358"/>
    <w:rsid w:val="00EB3EB8"/>
    <w:rsid w:val="00EC00EF"/>
    <w:rsid w:val="00EC02FE"/>
    <w:rsid w:val="00EC4A96"/>
    <w:rsid w:val="00EC6013"/>
    <w:rsid w:val="00ED20E1"/>
    <w:rsid w:val="00EE03A0"/>
    <w:rsid w:val="00F24801"/>
    <w:rsid w:val="00F420BF"/>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A72"/>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UnresolvedMention">
    <w:name w:val="Unresolved Mention"/>
    <w:basedOn w:val="DefaultParagraphFont"/>
    <w:uiPriority w:val="99"/>
    <w:semiHidden/>
    <w:unhideWhenUsed/>
    <w:rsid w:val="00E22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space-sustainabil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287</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2013-03-08T10:15:00Z</cp:lastPrinted>
  <dcterms:created xsi:type="dcterms:W3CDTF">2024-02-28T14:54:00Z</dcterms:created>
  <dcterms:modified xsi:type="dcterms:W3CDTF">2024-02-29T08:32:00Z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