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35E0F83F" w14:textId="77777777" w:rsidTr="00153E23">
        <w:tc>
          <w:tcPr>
            <w:tcW w:w="5000" w:type="pct"/>
            <w:gridSpan w:val="3"/>
            <w:shd w:val="clear" w:color="auto" w:fill="auto"/>
          </w:tcPr>
          <w:p w14:paraId="7FB9F5F4"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1C1D94C5" w14:textId="77777777" w:rsidR="000F7BBE" w:rsidRPr="000F7BBE" w:rsidRDefault="000F7BBE" w:rsidP="000F7BBE">
            <w:pPr>
              <w:rPr>
                <w:b/>
                <w:bCs/>
                <w:rtl/>
                <w:lang w:bidi="ar-EG"/>
              </w:rPr>
            </w:pPr>
          </w:p>
        </w:tc>
      </w:tr>
      <w:tr w:rsidR="000F7BBE" w:rsidRPr="000C3594" w14:paraId="297C7A10" w14:textId="77777777" w:rsidTr="00153E23">
        <w:tc>
          <w:tcPr>
            <w:tcW w:w="2707" w:type="pct"/>
            <w:gridSpan w:val="2"/>
            <w:shd w:val="clear" w:color="auto" w:fill="auto"/>
          </w:tcPr>
          <w:p w14:paraId="12A068F3" w14:textId="1AFC9D8B" w:rsidR="000F7BBE" w:rsidRPr="000C3594" w:rsidRDefault="000F7BBE" w:rsidP="004111FB">
            <w:pPr>
              <w:spacing w:before="80" w:line="300" w:lineRule="exact"/>
              <w:rPr>
                <w:position w:val="2"/>
                <w:sz w:val="24"/>
                <w:szCs w:val="24"/>
                <w:lang w:bidi="ar-EG"/>
              </w:rPr>
            </w:pPr>
            <w:r w:rsidRPr="000C3594">
              <w:rPr>
                <w:rFonts w:hint="cs"/>
                <w:position w:val="2"/>
                <w:sz w:val="24"/>
                <w:szCs w:val="24"/>
                <w:rtl/>
                <w:lang w:bidi="ar-AE"/>
              </w:rPr>
              <w:t>الرسالة المعممة</w:t>
            </w:r>
          </w:p>
          <w:p w14:paraId="2EE6E082" w14:textId="5DD88163" w:rsidR="000F7BBE" w:rsidRPr="000C3594" w:rsidRDefault="00FC09E8" w:rsidP="004111FB">
            <w:pPr>
              <w:spacing w:before="0" w:after="60" w:line="300" w:lineRule="exact"/>
              <w:rPr>
                <w:position w:val="2"/>
                <w:sz w:val="24"/>
                <w:szCs w:val="24"/>
                <w:rtl/>
                <w:lang w:bidi="ar-SY"/>
              </w:rPr>
            </w:pPr>
            <w:r w:rsidRPr="000C3594">
              <w:rPr>
                <w:b/>
                <w:bCs/>
                <w:position w:val="2"/>
                <w:sz w:val="24"/>
                <w:szCs w:val="24"/>
                <w:lang w:val="en-GB" w:bidi="ar-EG"/>
              </w:rPr>
              <w:t>C</w:t>
            </w:r>
            <w:r w:rsidR="000C3594" w:rsidRPr="000C3594">
              <w:rPr>
                <w:b/>
                <w:bCs/>
                <w:position w:val="2"/>
                <w:sz w:val="24"/>
                <w:szCs w:val="24"/>
                <w:lang w:val="en-GB" w:bidi="ar-EG"/>
              </w:rPr>
              <w:t>A</w:t>
            </w:r>
            <w:r w:rsidR="00AF7FEF" w:rsidRPr="000C3594">
              <w:rPr>
                <w:b/>
                <w:bCs/>
                <w:position w:val="2"/>
                <w:sz w:val="24"/>
                <w:szCs w:val="24"/>
                <w:lang w:val="en-GB" w:bidi="ar-EG"/>
              </w:rPr>
              <w:t>/</w:t>
            </w:r>
            <w:r w:rsidR="000C3594" w:rsidRPr="000C3594">
              <w:rPr>
                <w:b/>
                <w:bCs/>
                <w:position w:val="2"/>
                <w:sz w:val="24"/>
                <w:szCs w:val="24"/>
                <w:lang w:val="en-GB" w:bidi="ar-EG"/>
              </w:rPr>
              <w:t>272</w:t>
            </w:r>
          </w:p>
        </w:tc>
        <w:tc>
          <w:tcPr>
            <w:tcW w:w="2293" w:type="pct"/>
            <w:shd w:val="clear" w:color="auto" w:fill="auto"/>
          </w:tcPr>
          <w:p w14:paraId="6A3FB7D6" w14:textId="6DB0A422" w:rsidR="000F7BBE" w:rsidRPr="000C3594" w:rsidRDefault="00BA1671" w:rsidP="00F16820">
            <w:pPr>
              <w:spacing w:before="80" w:after="60" w:line="300" w:lineRule="exact"/>
              <w:jc w:val="right"/>
              <w:rPr>
                <w:position w:val="2"/>
                <w:sz w:val="24"/>
                <w:szCs w:val="24"/>
                <w:highlight w:val="yellow"/>
                <w:rtl/>
                <w:lang w:bidi="ar-SY"/>
              </w:rPr>
            </w:pPr>
            <w:r w:rsidRPr="000C3594">
              <w:rPr>
                <w:rFonts w:hint="cs"/>
                <w:position w:val="2"/>
                <w:sz w:val="24"/>
                <w:szCs w:val="24"/>
                <w:rtl/>
              </w:rPr>
              <w:t xml:space="preserve">1 مارس </w:t>
            </w:r>
            <w:r w:rsidR="00AF7FEF" w:rsidRPr="000C3594">
              <w:rPr>
                <w:position w:val="2"/>
                <w:sz w:val="24"/>
                <w:szCs w:val="24"/>
                <w:lang w:bidi="ar-SY"/>
              </w:rPr>
              <w:t>2024</w:t>
            </w:r>
          </w:p>
        </w:tc>
      </w:tr>
      <w:tr w:rsidR="000F7BBE" w:rsidRPr="000F7BBE" w14:paraId="31EBA470" w14:textId="77777777" w:rsidTr="00153E23">
        <w:tc>
          <w:tcPr>
            <w:tcW w:w="5000" w:type="pct"/>
            <w:gridSpan w:val="3"/>
            <w:shd w:val="clear" w:color="auto" w:fill="auto"/>
          </w:tcPr>
          <w:p w14:paraId="2763922E" w14:textId="77777777" w:rsidR="000F7BBE" w:rsidRPr="000F7BBE" w:rsidRDefault="000F7BBE" w:rsidP="00AF7FEF">
            <w:pPr>
              <w:spacing w:before="0" w:line="240" w:lineRule="exact"/>
              <w:rPr>
                <w:position w:val="2"/>
                <w:rtl/>
                <w:lang w:bidi="ar-SY"/>
              </w:rPr>
            </w:pPr>
          </w:p>
        </w:tc>
      </w:tr>
      <w:tr w:rsidR="000F7BBE" w:rsidRPr="000F7BBE" w14:paraId="5CA4BD48" w14:textId="77777777" w:rsidTr="00153E23">
        <w:tc>
          <w:tcPr>
            <w:tcW w:w="5000" w:type="pct"/>
            <w:gridSpan w:val="3"/>
            <w:shd w:val="clear" w:color="auto" w:fill="auto"/>
          </w:tcPr>
          <w:p w14:paraId="3810193B" w14:textId="77777777" w:rsidR="000F7BBE" w:rsidRPr="000F7BBE" w:rsidRDefault="000F7BBE" w:rsidP="00AF7FEF">
            <w:pPr>
              <w:spacing w:before="0" w:line="240" w:lineRule="exact"/>
              <w:rPr>
                <w:position w:val="2"/>
                <w:rtl/>
                <w:lang w:bidi="ar-SY"/>
              </w:rPr>
            </w:pPr>
          </w:p>
        </w:tc>
      </w:tr>
      <w:tr w:rsidR="000F7BBE" w:rsidRPr="000C3594" w14:paraId="54CE44F4" w14:textId="77777777" w:rsidTr="00153E23">
        <w:tc>
          <w:tcPr>
            <w:tcW w:w="5000" w:type="pct"/>
            <w:gridSpan w:val="3"/>
            <w:shd w:val="clear" w:color="auto" w:fill="auto"/>
          </w:tcPr>
          <w:p w14:paraId="36FE4C9F" w14:textId="50C9F7EB" w:rsidR="000F7BBE" w:rsidRPr="000C3594" w:rsidRDefault="000F7BBE" w:rsidP="00F16820">
            <w:pPr>
              <w:spacing w:before="80" w:after="60" w:line="300" w:lineRule="exact"/>
              <w:jc w:val="left"/>
              <w:rPr>
                <w:b/>
                <w:bCs/>
                <w:position w:val="2"/>
                <w:sz w:val="24"/>
                <w:szCs w:val="24"/>
                <w:lang w:bidi="ar-SY"/>
              </w:rPr>
            </w:pPr>
            <w:r w:rsidRPr="000C3594">
              <w:rPr>
                <w:b/>
                <w:bCs/>
                <w:position w:val="2"/>
                <w:sz w:val="24"/>
                <w:szCs w:val="24"/>
                <w:rtl/>
              </w:rPr>
              <w:t>إلى إدارات الدول الأعضاء في الاتحاد</w:t>
            </w:r>
            <w:r w:rsidR="00B1143A" w:rsidRPr="000C3594">
              <w:rPr>
                <w:rFonts w:hint="cs"/>
                <w:b/>
                <w:bCs/>
                <w:position w:val="2"/>
                <w:sz w:val="24"/>
                <w:szCs w:val="24"/>
                <w:rtl/>
              </w:rPr>
              <w:t xml:space="preserve"> الدولي للاتصالات</w:t>
            </w:r>
          </w:p>
        </w:tc>
      </w:tr>
      <w:tr w:rsidR="000F7BBE" w:rsidRPr="000C3594" w14:paraId="6EFB6390" w14:textId="77777777" w:rsidTr="00153E23">
        <w:tc>
          <w:tcPr>
            <w:tcW w:w="5000" w:type="pct"/>
            <w:gridSpan w:val="3"/>
            <w:shd w:val="clear" w:color="auto" w:fill="auto"/>
          </w:tcPr>
          <w:p w14:paraId="083832A4" w14:textId="77777777" w:rsidR="000F7BBE" w:rsidRPr="000C3594" w:rsidRDefault="000F7BBE" w:rsidP="00AF7FEF">
            <w:pPr>
              <w:spacing w:before="0" w:line="240" w:lineRule="exact"/>
              <w:rPr>
                <w:position w:val="2"/>
                <w:sz w:val="24"/>
                <w:szCs w:val="24"/>
                <w:rtl/>
                <w:lang w:bidi="ar-SY"/>
              </w:rPr>
            </w:pPr>
          </w:p>
        </w:tc>
      </w:tr>
      <w:tr w:rsidR="000F7BBE" w:rsidRPr="000C3594" w14:paraId="31A732B3" w14:textId="77777777" w:rsidTr="00153E23">
        <w:tc>
          <w:tcPr>
            <w:tcW w:w="5000" w:type="pct"/>
            <w:gridSpan w:val="3"/>
            <w:shd w:val="clear" w:color="auto" w:fill="auto"/>
          </w:tcPr>
          <w:p w14:paraId="3D278F09" w14:textId="77777777" w:rsidR="000F7BBE" w:rsidRPr="000C3594" w:rsidRDefault="000F7BBE" w:rsidP="00AF7FEF">
            <w:pPr>
              <w:spacing w:before="0" w:line="240" w:lineRule="exact"/>
              <w:rPr>
                <w:position w:val="2"/>
                <w:sz w:val="24"/>
                <w:szCs w:val="24"/>
                <w:rtl/>
                <w:lang w:bidi="ar-SY"/>
              </w:rPr>
            </w:pPr>
          </w:p>
        </w:tc>
      </w:tr>
      <w:tr w:rsidR="000F7BBE" w:rsidRPr="001976CF" w14:paraId="475F7C49" w14:textId="77777777" w:rsidTr="00153E23">
        <w:trPr>
          <w:trHeight w:val="452"/>
        </w:trPr>
        <w:tc>
          <w:tcPr>
            <w:tcW w:w="699" w:type="pct"/>
            <w:shd w:val="clear" w:color="auto" w:fill="auto"/>
          </w:tcPr>
          <w:p w14:paraId="7650BC1D" w14:textId="77777777" w:rsidR="000F7BBE" w:rsidRPr="000C3594" w:rsidRDefault="000F7BBE" w:rsidP="000F7BBE">
            <w:pPr>
              <w:spacing w:before="80" w:after="60" w:line="300" w:lineRule="exact"/>
              <w:rPr>
                <w:position w:val="2"/>
                <w:sz w:val="24"/>
                <w:szCs w:val="24"/>
                <w:lang w:val="fr-FR" w:bidi="ar-EG"/>
              </w:rPr>
            </w:pPr>
            <w:r w:rsidRPr="000C3594">
              <w:rPr>
                <w:position w:val="2"/>
                <w:sz w:val="24"/>
                <w:szCs w:val="24"/>
                <w:rtl/>
              </w:rPr>
              <w:t>الموضوع</w:t>
            </w:r>
            <w:r w:rsidRPr="000C3594">
              <w:rPr>
                <w:position w:val="2"/>
                <w:sz w:val="24"/>
                <w:szCs w:val="24"/>
                <w:lang w:val="en-GB" w:bidi="ar-EG"/>
              </w:rPr>
              <w:t>:</w:t>
            </w:r>
          </w:p>
        </w:tc>
        <w:tc>
          <w:tcPr>
            <w:tcW w:w="4301" w:type="pct"/>
            <w:gridSpan w:val="2"/>
            <w:shd w:val="clear" w:color="auto" w:fill="auto"/>
          </w:tcPr>
          <w:p w14:paraId="124DA27E" w14:textId="1292A061" w:rsidR="000F7BBE" w:rsidRPr="000C3594" w:rsidRDefault="00AF7FEF" w:rsidP="00AF7FEF">
            <w:pPr>
              <w:tabs>
                <w:tab w:val="clear" w:pos="794"/>
                <w:tab w:val="left" w:pos="385"/>
              </w:tabs>
              <w:spacing w:before="80" w:after="60" w:line="300" w:lineRule="exact"/>
              <w:rPr>
                <w:b/>
                <w:bCs/>
                <w:position w:val="2"/>
                <w:sz w:val="24"/>
                <w:szCs w:val="24"/>
                <w:rtl/>
                <w:lang w:bidi="ar-EG"/>
              </w:rPr>
            </w:pPr>
            <w:r w:rsidRPr="000C3594">
              <w:rPr>
                <w:b/>
                <w:bCs/>
                <w:sz w:val="24"/>
                <w:szCs w:val="24"/>
                <w:rtl/>
              </w:rPr>
              <w:t xml:space="preserve">استراتيجيات </w:t>
            </w:r>
            <w:r w:rsidRPr="000C3594">
              <w:rPr>
                <w:rFonts w:hint="cs"/>
                <w:b/>
                <w:bCs/>
                <w:sz w:val="24"/>
                <w:szCs w:val="24"/>
                <w:rtl/>
              </w:rPr>
              <w:t xml:space="preserve">إزالة </w:t>
            </w:r>
            <w:r w:rsidRPr="000C3594">
              <w:rPr>
                <w:b/>
                <w:bCs/>
                <w:sz w:val="24"/>
                <w:szCs w:val="24"/>
                <w:rtl/>
              </w:rPr>
              <w:t>المحطات الفضائية غير المستقرة بالنسبة إلى الأرض التي تستعمل تخصيصات تردد مسجلة حاليا</w:t>
            </w:r>
            <w:r w:rsidRPr="000C3594">
              <w:rPr>
                <w:rFonts w:hint="cs"/>
                <w:b/>
                <w:bCs/>
                <w:sz w:val="24"/>
                <w:szCs w:val="24"/>
                <w:rtl/>
              </w:rPr>
              <w:t>ً</w:t>
            </w:r>
            <w:r w:rsidRPr="000C3594">
              <w:rPr>
                <w:b/>
                <w:bCs/>
                <w:sz w:val="24"/>
                <w:szCs w:val="24"/>
                <w:rtl/>
              </w:rPr>
              <w:t xml:space="preserve"> في السجل الأساسي الدولي </w:t>
            </w:r>
            <w:r w:rsidRPr="000C3594">
              <w:rPr>
                <w:rFonts w:hint="cs"/>
                <w:b/>
                <w:bCs/>
                <w:sz w:val="24"/>
                <w:szCs w:val="24"/>
                <w:rtl/>
              </w:rPr>
              <w:t>للترددات</w:t>
            </w:r>
            <w:r w:rsidRPr="000C3594">
              <w:rPr>
                <w:b/>
                <w:bCs/>
                <w:sz w:val="24"/>
                <w:szCs w:val="24"/>
                <w:rtl/>
              </w:rPr>
              <w:t xml:space="preserve">، أو </w:t>
            </w:r>
            <w:r w:rsidRPr="000C3594">
              <w:rPr>
                <w:rFonts w:hint="cs"/>
                <w:b/>
                <w:bCs/>
                <w:sz w:val="24"/>
                <w:szCs w:val="24"/>
                <w:rtl/>
              </w:rPr>
              <w:t>التي تخضع</w:t>
            </w:r>
            <w:r w:rsidRPr="000C3594">
              <w:rPr>
                <w:b/>
                <w:bCs/>
                <w:sz w:val="24"/>
                <w:szCs w:val="24"/>
                <w:rtl/>
              </w:rPr>
              <w:t xml:space="preserve"> </w:t>
            </w:r>
            <w:r w:rsidRPr="000C3594">
              <w:rPr>
                <w:rFonts w:hint="cs"/>
                <w:b/>
                <w:bCs/>
                <w:sz w:val="24"/>
                <w:szCs w:val="24"/>
                <w:rtl/>
              </w:rPr>
              <w:t>ل</w:t>
            </w:r>
            <w:r w:rsidRPr="000C3594">
              <w:rPr>
                <w:b/>
                <w:bCs/>
                <w:sz w:val="24"/>
                <w:szCs w:val="24"/>
                <w:rtl/>
              </w:rPr>
              <w:t>عمليات التنسيق أو التبليغ</w:t>
            </w:r>
            <w:r w:rsidRPr="000C3594">
              <w:rPr>
                <w:rFonts w:hint="cs"/>
                <w:b/>
                <w:bCs/>
                <w:sz w:val="24"/>
                <w:szCs w:val="24"/>
                <w:rtl/>
              </w:rPr>
              <w:t xml:space="preserve"> و/أو التخلص منها</w:t>
            </w:r>
            <w:r w:rsidRPr="000C3594">
              <w:rPr>
                <w:b/>
                <w:bCs/>
                <w:sz w:val="24"/>
                <w:szCs w:val="24"/>
                <w:rtl/>
              </w:rPr>
              <w:t>.</w:t>
            </w:r>
            <w:r w:rsidRPr="000C3594">
              <w:rPr>
                <w:b/>
                <w:bCs/>
                <w:sz w:val="24"/>
                <w:szCs w:val="24"/>
                <w:cs/>
              </w:rPr>
              <w:t>‎</w:t>
            </w:r>
          </w:p>
        </w:tc>
      </w:tr>
      <w:tr w:rsidR="00FC09E8" w:rsidRPr="001976CF" w14:paraId="3992EB22" w14:textId="77777777" w:rsidTr="00153E23">
        <w:trPr>
          <w:trHeight w:val="452"/>
        </w:trPr>
        <w:tc>
          <w:tcPr>
            <w:tcW w:w="699" w:type="pct"/>
            <w:shd w:val="clear" w:color="auto" w:fill="auto"/>
          </w:tcPr>
          <w:p w14:paraId="352FE56C" w14:textId="77777777" w:rsidR="00FC09E8" w:rsidRPr="000C3594" w:rsidRDefault="00FC09E8" w:rsidP="00AF7FEF">
            <w:pPr>
              <w:spacing w:before="0" w:line="240" w:lineRule="exact"/>
              <w:rPr>
                <w:position w:val="2"/>
                <w:sz w:val="24"/>
                <w:szCs w:val="24"/>
                <w:rtl/>
              </w:rPr>
            </w:pPr>
          </w:p>
        </w:tc>
        <w:tc>
          <w:tcPr>
            <w:tcW w:w="4301" w:type="pct"/>
            <w:gridSpan w:val="2"/>
            <w:shd w:val="clear" w:color="auto" w:fill="auto"/>
          </w:tcPr>
          <w:p w14:paraId="09811F1A" w14:textId="77777777" w:rsidR="00FC09E8" w:rsidRPr="000C3594" w:rsidRDefault="00FC09E8" w:rsidP="00AF7FEF">
            <w:pPr>
              <w:tabs>
                <w:tab w:val="clear" w:pos="794"/>
                <w:tab w:val="left" w:pos="385"/>
              </w:tabs>
              <w:spacing w:before="0" w:line="240" w:lineRule="exact"/>
              <w:ind w:left="385" w:hanging="385"/>
              <w:rPr>
                <w:b/>
                <w:bCs/>
                <w:position w:val="2"/>
                <w:sz w:val="24"/>
                <w:szCs w:val="24"/>
                <w:rtl/>
                <w:lang w:bidi="ar-EG"/>
              </w:rPr>
            </w:pPr>
          </w:p>
        </w:tc>
      </w:tr>
    </w:tbl>
    <w:p w14:paraId="5819656A" w14:textId="7A8E0405" w:rsidR="005255E5" w:rsidRPr="000C3594" w:rsidRDefault="005255E5" w:rsidP="000C3594">
      <w:pPr>
        <w:spacing w:before="600" w:line="240" w:lineRule="auto"/>
        <w:rPr>
          <w:sz w:val="24"/>
          <w:szCs w:val="24"/>
          <w:rtl/>
        </w:rPr>
      </w:pPr>
      <w:r w:rsidRPr="000C3594">
        <w:rPr>
          <w:rFonts w:hint="cs"/>
          <w:sz w:val="24"/>
          <w:szCs w:val="24"/>
          <w:rtl/>
        </w:rPr>
        <w:t>تحية طيبة وبعد،</w:t>
      </w:r>
    </w:p>
    <w:p w14:paraId="5CEB16A7" w14:textId="6DBF1F1C" w:rsidR="00AF7FEF" w:rsidRPr="000C3594" w:rsidRDefault="00AF7FEF" w:rsidP="000C3594">
      <w:pPr>
        <w:spacing w:line="240" w:lineRule="auto"/>
        <w:rPr>
          <w:sz w:val="24"/>
          <w:szCs w:val="24"/>
          <w:lang w:val="fr-FR"/>
        </w:rPr>
      </w:pPr>
      <w:r w:rsidRPr="000C3594">
        <w:rPr>
          <w:sz w:val="24"/>
          <w:szCs w:val="24"/>
          <w:rtl/>
        </w:rPr>
        <w:t xml:space="preserve">اعتمدت جمعية الاتصالات الراديوية لعام </w:t>
      </w:r>
      <w:r w:rsidRPr="000C3594">
        <w:rPr>
          <w:sz w:val="24"/>
          <w:szCs w:val="24"/>
          <w:cs/>
        </w:rPr>
        <w:t>‎</w:t>
      </w:r>
      <w:r w:rsidRPr="000C3594">
        <w:rPr>
          <w:sz w:val="24"/>
          <w:szCs w:val="24"/>
          <w:lang w:val="fr-FR"/>
        </w:rPr>
        <w:t>2023</w:t>
      </w:r>
      <w:r w:rsidRPr="000C3594">
        <w:rPr>
          <w:sz w:val="24"/>
          <w:szCs w:val="24"/>
          <w:rtl/>
        </w:rPr>
        <w:t xml:space="preserve"> ‏التي عقدت مؤخراً في دبي في نوفمبر من العام الماضي </w:t>
      </w:r>
      <w:r w:rsidRPr="000C3594">
        <w:rPr>
          <w:b/>
          <w:bCs/>
          <w:sz w:val="24"/>
          <w:szCs w:val="24"/>
          <w:rtl/>
        </w:rPr>
        <w:t xml:space="preserve">القرار </w:t>
      </w:r>
      <w:r w:rsidRPr="000C3594">
        <w:rPr>
          <w:b/>
          <w:bCs/>
          <w:sz w:val="24"/>
          <w:szCs w:val="24"/>
          <w:cs/>
        </w:rPr>
        <w:t>‎</w:t>
      </w:r>
      <w:r w:rsidRPr="000C3594">
        <w:rPr>
          <w:b/>
          <w:bCs/>
          <w:sz w:val="24"/>
          <w:szCs w:val="24"/>
          <w:lang w:val="fr-FR"/>
        </w:rPr>
        <w:t>ITU-R 74</w:t>
      </w:r>
      <w:r w:rsidRPr="000C3594">
        <w:rPr>
          <w:sz w:val="24"/>
          <w:szCs w:val="24"/>
          <w:rtl/>
        </w:rPr>
        <w:t xml:space="preserve"> ‏بشأن</w:t>
      </w:r>
      <w:r w:rsidRPr="000C3594">
        <w:rPr>
          <w:rFonts w:hint="cs"/>
          <w:sz w:val="24"/>
          <w:szCs w:val="24"/>
          <w:rtl/>
        </w:rPr>
        <w:t> </w:t>
      </w:r>
      <w:r w:rsidRPr="000C3594">
        <w:rPr>
          <w:sz w:val="24"/>
          <w:szCs w:val="24"/>
          <w:rtl/>
        </w:rPr>
        <w:t xml:space="preserve">الأنشطة المتعلقة بالاستعمال المستدام لطيف الترددات الراديوية وموارد المدار </w:t>
      </w:r>
      <w:proofErr w:type="spellStart"/>
      <w:r w:rsidRPr="000C3594">
        <w:rPr>
          <w:sz w:val="24"/>
          <w:szCs w:val="24"/>
          <w:rtl/>
        </w:rPr>
        <w:t>الساتلي</w:t>
      </w:r>
      <w:proofErr w:type="spellEnd"/>
      <w:r w:rsidRPr="000C3594">
        <w:rPr>
          <w:sz w:val="24"/>
          <w:szCs w:val="24"/>
          <w:rtl/>
        </w:rPr>
        <w:t xml:space="preserve"> المرتبطة به التي تستخدمها الخدمات الفضائية</w:t>
      </w:r>
      <w:r w:rsidRPr="000C3594">
        <w:rPr>
          <w:sz w:val="24"/>
          <w:szCs w:val="24"/>
          <w:cs/>
        </w:rPr>
        <w:t>‎</w:t>
      </w:r>
      <w:r w:rsidRPr="000C3594">
        <w:rPr>
          <w:sz w:val="24"/>
          <w:szCs w:val="24"/>
          <w:rtl/>
        </w:rPr>
        <w:t>.</w:t>
      </w:r>
    </w:p>
    <w:p w14:paraId="41D0D97D" w14:textId="537471CB" w:rsidR="00AF7FEF" w:rsidRPr="000C3594" w:rsidRDefault="00AF7FEF" w:rsidP="000C3594">
      <w:pPr>
        <w:spacing w:line="240" w:lineRule="auto"/>
        <w:rPr>
          <w:sz w:val="24"/>
          <w:szCs w:val="24"/>
          <w:rtl/>
          <w:lang w:bidi="ar-EG"/>
        </w:rPr>
      </w:pPr>
      <w:r w:rsidRPr="000C3594">
        <w:rPr>
          <w:sz w:val="24"/>
          <w:szCs w:val="24"/>
          <w:rtl/>
          <w:lang w:bidi="ar-EG"/>
        </w:rPr>
        <w:t xml:space="preserve">وإن جمعية الاتصالات الراديوية لعام 2023، إذ تذكر </w:t>
      </w:r>
      <w:r w:rsidRPr="000C3594">
        <w:rPr>
          <w:b/>
          <w:bCs/>
          <w:sz w:val="24"/>
          <w:szCs w:val="24"/>
          <w:rtl/>
          <w:lang w:bidi="ar-EG"/>
        </w:rPr>
        <w:t xml:space="preserve">بالقرار </w:t>
      </w:r>
      <w:r w:rsidRPr="000C3594">
        <w:rPr>
          <w:b/>
          <w:bCs/>
          <w:sz w:val="24"/>
          <w:szCs w:val="24"/>
          <w:cs/>
          <w:lang w:bidi="ar-EG"/>
        </w:rPr>
        <w:t>‎</w:t>
      </w:r>
      <w:r w:rsidRPr="000C3594">
        <w:rPr>
          <w:b/>
          <w:bCs/>
          <w:sz w:val="24"/>
          <w:szCs w:val="24"/>
          <w:lang w:val="fr-FR" w:bidi="ar-EG"/>
        </w:rPr>
        <w:t>219</w:t>
      </w:r>
      <w:r w:rsidRPr="000C3594">
        <w:rPr>
          <w:b/>
          <w:bCs/>
          <w:sz w:val="24"/>
          <w:szCs w:val="24"/>
          <w:rtl/>
          <w:lang w:bidi="ar-EG"/>
        </w:rPr>
        <w:t xml:space="preserve"> (‏بوخارست، </w:t>
      </w:r>
      <w:r w:rsidRPr="000C3594">
        <w:rPr>
          <w:b/>
          <w:bCs/>
          <w:sz w:val="24"/>
          <w:szCs w:val="24"/>
          <w:cs/>
          <w:lang w:bidi="ar-EG"/>
        </w:rPr>
        <w:t>‎</w:t>
      </w:r>
      <w:r w:rsidRPr="000C3594">
        <w:rPr>
          <w:b/>
          <w:bCs/>
          <w:sz w:val="24"/>
          <w:szCs w:val="24"/>
          <w:lang w:val="fr-FR" w:bidi="ar-EG"/>
        </w:rPr>
        <w:t>2022</w:t>
      </w:r>
      <w:r w:rsidRPr="000C3594">
        <w:rPr>
          <w:b/>
          <w:bCs/>
          <w:sz w:val="24"/>
          <w:szCs w:val="24"/>
          <w:rtl/>
          <w:lang w:bidi="ar-EG"/>
        </w:rPr>
        <w:t>)</w:t>
      </w:r>
      <w:r w:rsidRPr="000C3594">
        <w:rPr>
          <w:sz w:val="24"/>
          <w:szCs w:val="24"/>
          <w:rtl/>
          <w:lang w:bidi="ar-EG"/>
        </w:rPr>
        <w:t xml:space="preserve"> ‏لمؤتمر المندوبين المفوضين، </w:t>
      </w:r>
      <w:r w:rsidRPr="000C3594">
        <w:rPr>
          <w:color w:val="000000"/>
          <w:sz w:val="24"/>
          <w:szCs w:val="24"/>
          <w:rtl/>
        </w:rPr>
        <w:t xml:space="preserve">بشأن استدامة طيف الترددات الراديوية وما يرتبط به من موارد مدارية </w:t>
      </w:r>
      <w:proofErr w:type="spellStart"/>
      <w:r w:rsidRPr="000C3594">
        <w:rPr>
          <w:color w:val="000000"/>
          <w:sz w:val="24"/>
          <w:szCs w:val="24"/>
          <w:rtl/>
        </w:rPr>
        <w:t>ساتلية</w:t>
      </w:r>
      <w:proofErr w:type="spellEnd"/>
      <w:r w:rsidRPr="000C3594">
        <w:rPr>
          <w:color w:val="000000"/>
          <w:sz w:val="24"/>
          <w:szCs w:val="24"/>
          <w:rtl/>
        </w:rPr>
        <w:t xml:space="preserve"> تستعملها الخدمات الفضائية؛</w:t>
      </w:r>
      <w:r w:rsidRPr="000C3594">
        <w:rPr>
          <w:sz w:val="24"/>
          <w:szCs w:val="24"/>
          <w:rtl/>
          <w:lang w:bidi="ar-EG"/>
        </w:rPr>
        <w:t xml:space="preserve"> </w:t>
      </w:r>
      <w:r w:rsidRPr="000C3594">
        <w:rPr>
          <w:b/>
          <w:bCs/>
          <w:sz w:val="24"/>
          <w:szCs w:val="24"/>
          <w:rtl/>
          <w:lang w:bidi="ar-EG"/>
        </w:rPr>
        <w:t xml:space="preserve">وبالقرار </w:t>
      </w:r>
      <w:r w:rsidRPr="000C3594">
        <w:rPr>
          <w:b/>
          <w:bCs/>
          <w:sz w:val="24"/>
          <w:szCs w:val="24"/>
          <w:cs/>
          <w:lang w:bidi="ar-EG"/>
        </w:rPr>
        <w:t>‎</w:t>
      </w:r>
      <w:r w:rsidRPr="000C3594">
        <w:rPr>
          <w:b/>
          <w:bCs/>
          <w:sz w:val="24"/>
          <w:szCs w:val="24"/>
          <w:lang w:val="fr-FR" w:bidi="ar-EG"/>
        </w:rPr>
        <w:t>218</w:t>
      </w:r>
      <w:r w:rsidRPr="000C3594">
        <w:rPr>
          <w:rFonts w:hint="cs"/>
          <w:b/>
          <w:bCs/>
          <w:sz w:val="24"/>
          <w:szCs w:val="24"/>
          <w:rtl/>
          <w:lang w:bidi="ar-EG"/>
        </w:rPr>
        <w:t> </w:t>
      </w:r>
      <w:r w:rsidRPr="000C3594">
        <w:rPr>
          <w:b/>
          <w:bCs/>
          <w:sz w:val="24"/>
          <w:szCs w:val="24"/>
          <w:rtl/>
          <w:lang w:bidi="ar-EG"/>
        </w:rPr>
        <w:t xml:space="preserve">(‏بوخارست، </w:t>
      </w:r>
      <w:r w:rsidRPr="000C3594">
        <w:rPr>
          <w:b/>
          <w:bCs/>
          <w:sz w:val="24"/>
          <w:szCs w:val="24"/>
          <w:cs/>
          <w:lang w:bidi="ar-EG"/>
        </w:rPr>
        <w:t>‎</w:t>
      </w:r>
      <w:r w:rsidRPr="000C3594">
        <w:rPr>
          <w:b/>
          <w:bCs/>
          <w:sz w:val="24"/>
          <w:szCs w:val="24"/>
          <w:lang w:val="fr-FR" w:bidi="ar-EG"/>
        </w:rPr>
        <w:t>2022</w:t>
      </w:r>
      <w:r w:rsidRPr="000C3594">
        <w:rPr>
          <w:b/>
          <w:bCs/>
          <w:sz w:val="24"/>
          <w:szCs w:val="24"/>
          <w:rtl/>
          <w:lang w:bidi="ar-EG"/>
        </w:rPr>
        <w:t>)</w:t>
      </w:r>
      <w:r w:rsidRPr="000C3594">
        <w:rPr>
          <w:sz w:val="24"/>
          <w:szCs w:val="24"/>
          <w:rtl/>
          <w:lang w:bidi="ar-EG"/>
        </w:rPr>
        <w:t xml:space="preserve"> ‏لمؤتمر المندوبين المفوضين، بشأن دور الاتحاد في تنفيذ خطة "الفضاء </w:t>
      </w:r>
      <w:r w:rsidRPr="000C3594">
        <w:rPr>
          <w:sz w:val="24"/>
          <w:szCs w:val="24"/>
          <w:cs/>
          <w:lang w:bidi="ar-EG"/>
        </w:rPr>
        <w:t>‎</w:t>
      </w:r>
      <w:r w:rsidRPr="000C3594">
        <w:rPr>
          <w:sz w:val="24"/>
          <w:szCs w:val="24"/>
          <w:lang w:val="fr-FR" w:bidi="ar-EG"/>
        </w:rPr>
        <w:t>2030</w:t>
      </w:r>
      <w:r w:rsidRPr="000C3594">
        <w:rPr>
          <w:sz w:val="24"/>
          <w:szCs w:val="24"/>
          <w:rtl/>
          <w:lang w:bidi="ar-EG"/>
        </w:rPr>
        <w:t>":</w:t>
      </w:r>
      <w:r w:rsidRPr="000C3594">
        <w:rPr>
          <w:color w:val="000000"/>
          <w:sz w:val="24"/>
          <w:szCs w:val="24"/>
          <w:rtl/>
        </w:rPr>
        <w:t xml:space="preserve"> الفضاء باعتباره محركاً للتنمية المستدامة وفي عملية متابعة تنفيذ الخطة واستعراضه؛ </w:t>
      </w:r>
      <w:r w:rsidRPr="000C3594">
        <w:rPr>
          <w:sz w:val="24"/>
          <w:szCs w:val="24"/>
          <w:rtl/>
          <w:lang w:bidi="ar-EG"/>
        </w:rPr>
        <w:t xml:space="preserve">‏أقرت ‏بالعدد المتزايد باستمرار من بطاقات التبليغ عن الأنظمة غير المستقرة بالنسبة إلى الأرض التي تلقاها مكتب الاتصالات الراديوية، بما في ذلك الأنظمة التي تتألف من مئات أو آلاف المحطات الفضائية وذات التشكيلات المتعددة، ولاحظت استمرار وتوسع إطلاق وتشغيل </w:t>
      </w:r>
      <w:proofErr w:type="spellStart"/>
      <w:r w:rsidRPr="000C3594">
        <w:rPr>
          <w:sz w:val="24"/>
          <w:szCs w:val="24"/>
          <w:rtl/>
          <w:lang w:bidi="ar-EG"/>
        </w:rPr>
        <w:t>السواتل</w:t>
      </w:r>
      <w:proofErr w:type="spellEnd"/>
      <w:r w:rsidRPr="000C3594">
        <w:rPr>
          <w:sz w:val="24"/>
          <w:szCs w:val="24"/>
          <w:rtl/>
          <w:lang w:bidi="ar-EG"/>
        </w:rPr>
        <w:t xml:space="preserve"> غير المستقرة بالنسبة إلى الأرض في الفضاء الخارجي.</w:t>
      </w:r>
      <w:r w:rsidRPr="000C3594">
        <w:rPr>
          <w:sz w:val="24"/>
          <w:szCs w:val="24"/>
          <w:cs/>
          <w:lang w:bidi="ar-EG"/>
        </w:rPr>
        <w:t>‎</w:t>
      </w:r>
    </w:p>
    <w:p w14:paraId="04345B91" w14:textId="32E45CDD" w:rsidR="00AF7FEF" w:rsidRPr="000C3594" w:rsidRDefault="00AF7FEF" w:rsidP="000C3594">
      <w:pPr>
        <w:spacing w:line="240" w:lineRule="auto"/>
        <w:rPr>
          <w:sz w:val="24"/>
          <w:szCs w:val="24"/>
          <w:rtl/>
          <w:lang w:bidi="ar-EG"/>
        </w:rPr>
      </w:pPr>
      <w:r w:rsidRPr="000C3594">
        <w:rPr>
          <w:sz w:val="24"/>
          <w:szCs w:val="24"/>
          <w:rtl/>
          <w:lang w:bidi="ar-EG"/>
        </w:rPr>
        <w:t>وعلاوة</w:t>
      </w:r>
      <w:r w:rsidRPr="000C3594">
        <w:rPr>
          <w:rFonts w:hint="cs"/>
          <w:sz w:val="24"/>
          <w:szCs w:val="24"/>
          <w:rtl/>
          <w:lang w:bidi="ar-EG"/>
        </w:rPr>
        <w:t>ً</w:t>
      </w:r>
      <w:r w:rsidRPr="000C3594">
        <w:rPr>
          <w:sz w:val="24"/>
          <w:szCs w:val="24"/>
          <w:rtl/>
          <w:lang w:bidi="ar-EG"/>
        </w:rPr>
        <w:t xml:space="preserve"> على ذلك، أصدرت جمعية الاتصالات الراديوية لعام </w:t>
      </w:r>
      <w:r w:rsidRPr="000C3594">
        <w:rPr>
          <w:sz w:val="24"/>
          <w:szCs w:val="24"/>
          <w:cs/>
          <w:lang w:bidi="ar-EG"/>
        </w:rPr>
        <w:t>‎</w:t>
      </w:r>
      <w:r w:rsidRPr="000C3594">
        <w:rPr>
          <w:sz w:val="24"/>
          <w:szCs w:val="24"/>
          <w:lang w:bidi="ar-EG"/>
        </w:rPr>
        <w:t>2023</w:t>
      </w:r>
      <w:r w:rsidRPr="000C3594">
        <w:rPr>
          <w:sz w:val="24"/>
          <w:szCs w:val="24"/>
          <w:rtl/>
          <w:lang w:bidi="ar-EG"/>
        </w:rPr>
        <w:t xml:space="preserve"> ‏تعليمات بوضع توصية بشأن هذا الموضوع فضلاً عن جملة أمور منها تبادل ونشر المعلومات المتاحة والموثوقة في هذا المجال.</w:t>
      </w:r>
      <w:r w:rsidRPr="000C3594">
        <w:rPr>
          <w:sz w:val="24"/>
          <w:szCs w:val="24"/>
          <w:cs/>
          <w:lang w:bidi="ar-EG"/>
        </w:rPr>
        <w:t>‎</w:t>
      </w:r>
    </w:p>
    <w:p w14:paraId="67A98445" w14:textId="77777777" w:rsidR="00AF7FEF" w:rsidRPr="000C3594" w:rsidRDefault="00AF7FEF" w:rsidP="000C3594">
      <w:pPr>
        <w:spacing w:line="240" w:lineRule="auto"/>
        <w:rPr>
          <w:sz w:val="24"/>
          <w:szCs w:val="24"/>
          <w:rtl/>
        </w:rPr>
      </w:pPr>
      <w:r w:rsidRPr="000C3594">
        <w:rPr>
          <w:sz w:val="24"/>
          <w:szCs w:val="24"/>
          <w:rtl/>
          <w:lang w:bidi="ar-EG"/>
        </w:rPr>
        <w:t>وفي هذا السياق، أدعو الإدارات ومشغلي السواتل والمصنعين ومقدمي خدمات الإطلاق والوكالات الفضائية وأصحاب المصلحة الآخرين المعنيين بالفضاء إلى أن يقدموا إلى مكتب الاتصالات الراديوية الاستراتيجيات التي يجري استعمالها، أو التي ستُستخدم من أجل إزالة المحطات الفضائية غير المستقرة بالنسبة إلى الأرض من المدار بعد انتهاء مهمتها و/أو التخلص منها.</w:t>
      </w:r>
      <w:r w:rsidRPr="000C3594">
        <w:rPr>
          <w:sz w:val="24"/>
          <w:szCs w:val="24"/>
          <w:cs/>
          <w:lang w:bidi="ar-EG"/>
        </w:rPr>
        <w:t>‎</w:t>
      </w:r>
      <w:r w:rsidRPr="000C3594">
        <w:rPr>
          <w:sz w:val="24"/>
          <w:szCs w:val="24"/>
          <w:rtl/>
          <w:lang w:bidi="ar-EG"/>
        </w:rPr>
        <w:t xml:space="preserve"> وعلى وجه التحديد، يرحب مكتب الاتصالات الراديوية بالمعلومات المتعلقة بما يلي: (أ) وضع </w:t>
      </w:r>
      <w:r w:rsidRPr="000C3594">
        <w:rPr>
          <w:sz w:val="24"/>
          <w:szCs w:val="24"/>
          <w:rtl/>
          <w:lang w:bidi="ar-EG"/>
        </w:rPr>
        <w:lastRenderedPageBreak/>
        <w:t>استراتيجية ما بعد المهمة؛ (ب) الجداول الزمنية للخروج من المدار؛ (ج) التكنولوجيات التمكينية بما في ذلك قدرات المناورة؛ (د) نقطة الاتصال (الاسم، اللقب، معرف البريد الإلكتروني، رقم الهاتف).</w:t>
      </w:r>
      <w:r w:rsidRPr="000C3594">
        <w:rPr>
          <w:sz w:val="24"/>
          <w:szCs w:val="24"/>
          <w:cs/>
          <w:lang w:bidi="ar-EG"/>
        </w:rPr>
        <w:t>‎</w:t>
      </w:r>
    </w:p>
    <w:p w14:paraId="6D44268D" w14:textId="4F973012" w:rsidR="00AF7FEF" w:rsidRPr="000C3594" w:rsidRDefault="00AF7FEF" w:rsidP="000C3594">
      <w:pPr>
        <w:spacing w:line="240" w:lineRule="auto"/>
        <w:rPr>
          <w:sz w:val="24"/>
          <w:szCs w:val="24"/>
          <w:rtl/>
        </w:rPr>
      </w:pPr>
      <w:r w:rsidRPr="000C3594">
        <w:rPr>
          <w:sz w:val="24"/>
          <w:szCs w:val="24"/>
          <w:rtl/>
        </w:rPr>
        <w:t>ووفقاً للفقرة</w:t>
      </w:r>
      <w:r w:rsidRPr="000C3594">
        <w:rPr>
          <w:i/>
          <w:iCs/>
          <w:sz w:val="24"/>
          <w:szCs w:val="24"/>
          <w:rtl/>
        </w:rPr>
        <w:t xml:space="preserve"> 2) </w:t>
      </w:r>
      <w:r w:rsidRPr="000C3594">
        <w:rPr>
          <w:sz w:val="24"/>
          <w:szCs w:val="24"/>
          <w:rtl/>
        </w:rPr>
        <w:t>من</w:t>
      </w:r>
      <w:r w:rsidRPr="000C3594">
        <w:rPr>
          <w:i/>
          <w:iCs/>
          <w:sz w:val="24"/>
          <w:szCs w:val="24"/>
          <w:rtl/>
        </w:rPr>
        <w:t xml:space="preserve"> </w:t>
      </w:r>
      <w:r w:rsidRPr="000C3594">
        <w:rPr>
          <w:rFonts w:hint="cs"/>
          <w:sz w:val="24"/>
          <w:szCs w:val="24"/>
          <w:rtl/>
        </w:rPr>
        <w:t>"</w:t>
      </w:r>
      <w:r w:rsidRPr="000C3594">
        <w:rPr>
          <w:i/>
          <w:iCs/>
          <w:sz w:val="24"/>
          <w:szCs w:val="24"/>
          <w:rtl/>
        </w:rPr>
        <w:t>تكلف مدير مكتب الاتصالات الراديوية</w:t>
      </w:r>
      <w:r w:rsidRPr="000C3594">
        <w:rPr>
          <w:rFonts w:hint="cs"/>
          <w:sz w:val="24"/>
          <w:szCs w:val="24"/>
          <w:rtl/>
        </w:rPr>
        <w:t>"</w:t>
      </w:r>
      <w:r w:rsidRPr="000C3594">
        <w:rPr>
          <w:sz w:val="24"/>
          <w:szCs w:val="24"/>
          <w:rtl/>
        </w:rPr>
        <w:t xml:space="preserve"> </w:t>
      </w:r>
      <w:r w:rsidRPr="000C3594">
        <w:rPr>
          <w:sz w:val="24"/>
          <w:szCs w:val="24"/>
          <w:cs/>
        </w:rPr>
        <w:t>‎</w:t>
      </w:r>
      <w:r w:rsidRPr="000C3594">
        <w:rPr>
          <w:sz w:val="24"/>
          <w:szCs w:val="24"/>
          <w:rtl/>
        </w:rPr>
        <w:t xml:space="preserve">‏من القرار </w:t>
      </w:r>
      <w:r w:rsidRPr="000C3594">
        <w:rPr>
          <w:sz w:val="24"/>
          <w:szCs w:val="24"/>
          <w:cs/>
        </w:rPr>
        <w:t>‎</w:t>
      </w:r>
      <w:r w:rsidRPr="000C3594">
        <w:rPr>
          <w:sz w:val="24"/>
          <w:szCs w:val="24"/>
        </w:rPr>
        <w:t>ITU-R 74</w:t>
      </w:r>
      <w:r w:rsidRPr="000C3594">
        <w:rPr>
          <w:sz w:val="24"/>
          <w:szCs w:val="24"/>
          <w:rtl/>
        </w:rPr>
        <w:t xml:space="preserve">‏، سيقوم المكتب بإدراج المعلومات الواردة في موقع إلكتروني مخصص سيجري تحديثه بانتظام بمجرد توفر معلومات جديدة. </w:t>
      </w:r>
      <w:r w:rsidR="00BA1671" w:rsidRPr="000C3594">
        <w:rPr>
          <w:sz w:val="24"/>
          <w:szCs w:val="24"/>
          <w:lang w:val="ru-RU"/>
        </w:rPr>
        <w:t>(</w:t>
      </w:r>
      <w:hyperlink r:id="rId8" w:history="1">
        <w:r w:rsidR="00BA1671" w:rsidRPr="000C3594">
          <w:rPr>
            <w:rStyle w:val="Hyperlink"/>
            <w:sz w:val="24"/>
            <w:szCs w:val="24"/>
            <w:lang w:val="ru-RU"/>
          </w:rPr>
          <w:t>https://www.itu.int/space-sustainability/</w:t>
        </w:r>
      </w:hyperlink>
      <w:r w:rsidR="00BA1671" w:rsidRPr="000C3594">
        <w:rPr>
          <w:sz w:val="24"/>
          <w:szCs w:val="24"/>
          <w:lang w:val="ru-RU"/>
        </w:rPr>
        <w:t>)</w:t>
      </w:r>
      <w:r w:rsidRPr="000C3594">
        <w:rPr>
          <w:sz w:val="24"/>
          <w:szCs w:val="24"/>
          <w:rtl/>
        </w:rPr>
        <w:t>. ويمكن استعمال هذه الوثائق أيضاً في وقت لاحق كمساهمات مقدمة إلى لجنة الدراسات المعنية في قطاع الاتصالات الراديوية</w:t>
      </w:r>
      <w:r w:rsidRPr="000C3594">
        <w:rPr>
          <w:sz w:val="24"/>
          <w:szCs w:val="24"/>
          <w:cs/>
        </w:rPr>
        <w:t>‎</w:t>
      </w:r>
      <w:r w:rsidRPr="000C3594">
        <w:rPr>
          <w:sz w:val="24"/>
          <w:szCs w:val="24"/>
          <w:rtl/>
        </w:rPr>
        <w:t>.</w:t>
      </w:r>
    </w:p>
    <w:p w14:paraId="6A87E71B" w14:textId="65D709AF" w:rsidR="00AF7FEF" w:rsidRPr="000C3594" w:rsidRDefault="00AF7FEF" w:rsidP="000C3594">
      <w:pPr>
        <w:spacing w:line="240" w:lineRule="auto"/>
        <w:rPr>
          <w:sz w:val="24"/>
          <w:szCs w:val="24"/>
          <w:rtl/>
        </w:rPr>
      </w:pPr>
      <w:r w:rsidRPr="000C3594">
        <w:rPr>
          <w:sz w:val="24"/>
          <w:szCs w:val="24"/>
          <w:rtl/>
        </w:rPr>
        <w:t>ويشكر المكتب الإدارات التي قدمت بالفعل بطاقات تبليغ عن أنظمة غير مستقرة بالنسبة إلى الأرض للتنسيق والتبليغ، وكذلك</w:t>
      </w:r>
      <w:r w:rsidRPr="000C3594">
        <w:rPr>
          <w:rFonts w:hint="cs"/>
          <w:sz w:val="24"/>
          <w:szCs w:val="24"/>
          <w:rtl/>
        </w:rPr>
        <w:t> </w:t>
      </w:r>
      <w:r w:rsidRPr="000C3594">
        <w:rPr>
          <w:sz w:val="24"/>
          <w:szCs w:val="24"/>
          <w:rtl/>
        </w:rPr>
        <w:t xml:space="preserve">وكالات التشغيل، على تقديم هذه المعلومات القيمة وإرسالها بحلول </w:t>
      </w:r>
      <w:r w:rsidRPr="000C3594">
        <w:rPr>
          <w:sz w:val="24"/>
          <w:szCs w:val="24"/>
          <w:cs/>
        </w:rPr>
        <w:t>‎</w:t>
      </w:r>
      <w:r w:rsidRPr="000C3594">
        <w:rPr>
          <w:b/>
          <w:bCs/>
          <w:sz w:val="24"/>
          <w:szCs w:val="24"/>
        </w:rPr>
        <w:t>30</w:t>
      </w:r>
      <w:r w:rsidRPr="000C3594">
        <w:rPr>
          <w:b/>
          <w:bCs/>
          <w:sz w:val="24"/>
          <w:szCs w:val="24"/>
          <w:rtl/>
        </w:rPr>
        <w:t xml:space="preserve"> ‏مارس </w:t>
      </w:r>
      <w:r w:rsidRPr="000C3594">
        <w:rPr>
          <w:b/>
          <w:bCs/>
          <w:sz w:val="24"/>
          <w:szCs w:val="24"/>
          <w:cs/>
        </w:rPr>
        <w:t>‎</w:t>
      </w:r>
      <w:r w:rsidRPr="000C3594">
        <w:rPr>
          <w:b/>
          <w:bCs/>
          <w:sz w:val="24"/>
          <w:szCs w:val="24"/>
        </w:rPr>
        <w:t>2024</w:t>
      </w:r>
      <w:r w:rsidRPr="000C3594">
        <w:rPr>
          <w:sz w:val="24"/>
          <w:szCs w:val="24"/>
          <w:rtl/>
        </w:rPr>
        <w:t xml:space="preserve"> ‏عن طريق البريد الإلكتروني إلى:</w:t>
      </w:r>
      <w:r w:rsidRPr="000C3594">
        <w:rPr>
          <w:rFonts w:hint="cs"/>
          <w:sz w:val="24"/>
          <w:szCs w:val="24"/>
          <w:rtl/>
        </w:rPr>
        <w:t> </w:t>
      </w:r>
      <w:hyperlink r:id="rId9" w:history="1">
        <w:r w:rsidRPr="000C3594">
          <w:rPr>
            <w:rStyle w:val="Hyperlink"/>
            <w:sz w:val="24"/>
            <w:szCs w:val="24"/>
          </w:rPr>
          <w:t>BRmail@itu.int</w:t>
        </w:r>
      </w:hyperlink>
      <w:r w:rsidRPr="000C3594">
        <w:rPr>
          <w:sz w:val="24"/>
          <w:szCs w:val="24"/>
          <w:cs/>
        </w:rPr>
        <w:t>‎</w:t>
      </w:r>
      <w:r w:rsidRPr="000C3594">
        <w:rPr>
          <w:sz w:val="24"/>
          <w:szCs w:val="24"/>
          <w:rtl/>
        </w:rPr>
        <w:t>.</w:t>
      </w:r>
    </w:p>
    <w:p w14:paraId="7AB9E89F" w14:textId="77777777" w:rsidR="00AF7FEF" w:rsidRPr="000C3594" w:rsidRDefault="00AF7FEF" w:rsidP="000C3594">
      <w:pPr>
        <w:spacing w:line="240" w:lineRule="auto"/>
        <w:rPr>
          <w:sz w:val="24"/>
          <w:szCs w:val="24"/>
          <w:rtl/>
        </w:rPr>
      </w:pPr>
      <w:r w:rsidRPr="000C3594">
        <w:rPr>
          <w:sz w:val="24"/>
          <w:szCs w:val="24"/>
          <w:rtl/>
        </w:rPr>
        <w:t>وبالنسبة إلى بطاقات التبليغ عن السواتل غير المستقرة بالنسبة إلى الأرض في المستقبل، يمكن تقديم المعلومات المطلوبة كوثائق إضافية بالاقتران مع طلبات التنسيق أو التبليغ.</w:t>
      </w:r>
      <w:r w:rsidRPr="000C3594">
        <w:rPr>
          <w:sz w:val="24"/>
          <w:szCs w:val="24"/>
          <w:cs/>
        </w:rPr>
        <w:t>‎</w:t>
      </w:r>
    </w:p>
    <w:p w14:paraId="196A6CFA" w14:textId="4BA16A6C" w:rsidR="00F16820" w:rsidRPr="001976CF" w:rsidRDefault="00AF7FEF" w:rsidP="001976CF">
      <w:pPr>
        <w:spacing w:line="240" w:lineRule="auto"/>
        <w:rPr>
          <w:sz w:val="24"/>
          <w:szCs w:val="24"/>
          <w:rtl/>
          <w:lang w:val="en-GB"/>
        </w:rPr>
      </w:pPr>
      <w:r w:rsidRPr="000C3594">
        <w:rPr>
          <w:sz w:val="24"/>
          <w:szCs w:val="24"/>
          <w:rtl/>
        </w:rPr>
        <w:t>وأنا واثق من أن المعلومات التي ستُجمع من المركبات الفضائية العاملة حالياً وكذلك تلك المخطط نشرها في المستقبل ستكون ذات قيمة بالغة لجميع الجهات الفاعلة في مجال الفضاء، من ذوي الخبرة والمبتدئين، لمنع نمو الحطام الفضائي ولضمان ما يترتب على ذلك من استدامة طويلة المدى لموارد الطيف والمدارات المرتبطة بها.</w:t>
      </w:r>
      <w:r w:rsidR="00F16820" w:rsidRPr="000C3594">
        <w:rPr>
          <w:sz w:val="24"/>
          <w:szCs w:val="24"/>
          <w:rtl/>
          <w:lang w:bidi="ar-EG"/>
        </w:rPr>
        <w:t>.</w:t>
      </w:r>
    </w:p>
    <w:p w14:paraId="22E38060" w14:textId="77777777" w:rsidR="00F16820" w:rsidRPr="000C3594" w:rsidRDefault="00F16820" w:rsidP="001976CF">
      <w:pPr>
        <w:spacing w:before="1200"/>
        <w:jc w:val="left"/>
        <w:rPr>
          <w:sz w:val="24"/>
          <w:szCs w:val="24"/>
          <w:rtl/>
        </w:rPr>
      </w:pPr>
      <w:r w:rsidRPr="000C3594">
        <w:rPr>
          <w:sz w:val="24"/>
          <w:szCs w:val="24"/>
          <w:rtl/>
        </w:rPr>
        <w:t xml:space="preserve">ماريو </w:t>
      </w:r>
      <w:proofErr w:type="spellStart"/>
      <w:r w:rsidRPr="000C3594">
        <w:rPr>
          <w:sz w:val="24"/>
          <w:szCs w:val="24"/>
          <w:rtl/>
        </w:rPr>
        <w:t>مانيفيتش</w:t>
      </w:r>
      <w:proofErr w:type="spellEnd"/>
      <w:r w:rsidRPr="000C3594">
        <w:rPr>
          <w:sz w:val="24"/>
          <w:szCs w:val="24"/>
          <w:rtl/>
        </w:rPr>
        <w:br/>
        <w:t>المدير</w:t>
      </w:r>
    </w:p>
    <w:p w14:paraId="13BE6A60" w14:textId="77777777" w:rsidR="00AF7FEF" w:rsidRPr="00AF7FEF" w:rsidRDefault="00AF7FEF" w:rsidP="001976CF">
      <w:pPr>
        <w:tabs>
          <w:tab w:val="clear" w:pos="794"/>
          <w:tab w:val="left" w:pos="369"/>
        </w:tabs>
        <w:spacing w:before="3240"/>
        <w:jc w:val="left"/>
        <w:rPr>
          <w:b/>
          <w:bCs/>
          <w:sz w:val="18"/>
          <w:szCs w:val="18"/>
          <w:u w:val="single"/>
          <w:rtl/>
        </w:rPr>
      </w:pPr>
      <w:r w:rsidRPr="00AF7FEF">
        <w:rPr>
          <w:rFonts w:hint="cs"/>
          <w:b/>
          <w:bCs/>
          <w:sz w:val="18"/>
          <w:szCs w:val="18"/>
          <w:u w:val="single"/>
          <w:rtl/>
        </w:rPr>
        <w:t>التوزيع:</w:t>
      </w:r>
    </w:p>
    <w:p w14:paraId="67164F4C" w14:textId="5BDC63DE" w:rsidR="00AF7FEF" w:rsidRPr="00AF7FEF" w:rsidRDefault="00AF7FEF" w:rsidP="00AF7FEF">
      <w:pPr>
        <w:tabs>
          <w:tab w:val="clear" w:pos="794"/>
          <w:tab w:val="left" w:pos="369"/>
        </w:tabs>
        <w:jc w:val="left"/>
        <w:rPr>
          <w:sz w:val="18"/>
          <w:szCs w:val="18"/>
          <w:rtl/>
        </w:rPr>
      </w:pPr>
      <w:r w:rsidRPr="00AF7FEF">
        <w:rPr>
          <w:rFonts w:hint="cs"/>
          <w:sz w:val="18"/>
          <w:szCs w:val="18"/>
          <w:rtl/>
          <w:lang w:bidi="ar-EG"/>
        </w:rPr>
        <w:t>-</w:t>
      </w:r>
      <w:r w:rsidRPr="00AF7FEF">
        <w:rPr>
          <w:sz w:val="18"/>
          <w:szCs w:val="18"/>
          <w:rtl/>
          <w:lang w:bidi="ar-EG"/>
        </w:rPr>
        <w:tab/>
      </w:r>
      <w:r w:rsidRPr="00AF7FEF">
        <w:rPr>
          <w:rFonts w:hint="cs"/>
          <w:sz w:val="18"/>
          <w:szCs w:val="18"/>
          <w:rtl/>
          <w:lang w:bidi="ar-EG"/>
        </w:rPr>
        <w:t>إدارات الدول الأعضاء في الاتحاد</w:t>
      </w:r>
      <w:r w:rsidRPr="00AF7FEF">
        <w:rPr>
          <w:sz w:val="18"/>
          <w:szCs w:val="18"/>
          <w:rtl/>
          <w:lang w:bidi="ar-EG"/>
        </w:rPr>
        <w:br/>
      </w:r>
      <w:r w:rsidRPr="00AF7FEF">
        <w:rPr>
          <w:rFonts w:hint="cs"/>
          <w:sz w:val="18"/>
          <w:szCs w:val="18"/>
          <w:rtl/>
          <w:lang w:bidi="ar-EG"/>
        </w:rPr>
        <w:t>-</w:t>
      </w:r>
      <w:r w:rsidRPr="00AF7FEF">
        <w:rPr>
          <w:sz w:val="18"/>
          <w:szCs w:val="18"/>
          <w:rtl/>
          <w:lang w:bidi="ar-EG"/>
        </w:rPr>
        <w:tab/>
      </w:r>
      <w:r w:rsidRPr="00AF7FEF">
        <w:rPr>
          <w:rFonts w:hint="cs"/>
          <w:sz w:val="18"/>
          <w:szCs w:val="18"/>
          <w:rtl/>
          <w:lang w:bidi="ar-EG"/>
        </w:rPr>
        <w:t>أعضاء قطاعات الاتحاد</w:t>
      </w:r>
    </w:p>
    <w:sectPr w:rsidR="00AF7FEF" w:rsidRPr="00AF7FEF" w:rsidSect="00AF7FEF">
      <w:headerReference w:type="default" r:id="rId10"/>
      <w:headerReference w:type="first" r:id="rId11"/>
      <w:footerReference w:type="first" r:id="rId1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F6225" w14:textId="77777777" w:rsidR="00AF7FEF" w:rsidRDefault="00AF7FEF" w:rsidP="006C3242">
      <w:pPr>
        <w:spacing w:before="0" w:line="240" w:lineRule="auto"/>
      </w:pPr>
      <w:r>
        <w:separator/>
      </w:r>
    </w:p>
  </w:endnote>
  <w:endnote w:type="continuationSeparator" w:id="0">
    <w:p w14:paraId="22CA0B0B" w14:textId="77777777" w:rsidR="00AF7FEF" w:rsidRDefault="00AF7FE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D6A4E" w14:textId="77777777" w:rsidR="00FC09E8" w:rsidRPr="00FC09E8" w:rsidRDefault="00FC09E8" w:rsidP="00FC09E8">
    <w:pPr>
      <w:tabs>
        <w:tab w:val="clear" w:pos="794"/>
      </w:tabs>
      <w:bidi w:val="0"/>
      <w:spacing w:before="40" w:line="240" w:lineRule="auto"/>
      <w:ind w:left="-397" w:right="-397"/>
      <w:jc w:val="center"/>
      <w:rPr>
        <w:rFonts w:ascii="Calibri" w:eastAsia="Times New Roman" w:hAnsi="Calibri" w:cs="Calibri"/>
        <w:color w:val="4F81BD"/>
        <w:sz w:val="19"/>
        <w:szCs w:val="19"/>
        <w:lang w:val="fr-CH" w:eastAsia="en-US"/>
      </w:rPr>
    </w:pPr>
    <w:r w:rsidRPr="00FC09E8">
      <w:rPr>
        <w:rFonts w:ascii="Calibri" w:eastAsia="Times New Roman" w:hAnsi="Calibri" w:cs="Calibri"/>
        <w:color w:val="4F81BD"/>
        <w:sz w:val="19"/>
        <w:szCs w:val="19"/>
        <w:lang w:val="fr-CH" w:eastAsia="en-US"/>
      </w:rPr>
      <w:t xml:space="preserve">International </w:t>
    </w:r>
    <w:proofErr w:type="spellStart"/>
    <w:r w:rsidRPr="00FC09E8">
      <w:rPr>
        <w:rFonts w:ascii="Calibri" w:eastAsia="Times New Roman" w:hAnsi="Calibri" w:cs="Calibri"/>
        <w:color w:val="4F81BD"/>
        <w:sz w:val="19"/>
        <w:szCs w:val="19"/>
        <w:lang w:val="fr-CH" w:eastAsia="en-US"/>
      </w:rPr>
      <w:t>Telecommunication</w:t>
    </w:r>
    <w:proofErr w:type="spellEnd"/>
    <w:r w:rsidRPr="00FC09E8">
      <w:rPr>
        <w:rFonts w:ascii="Calibri" w:eastAsia="Times New Roman" w:hAnsi="Calibri" w:cs="Calibri"/>
        <w:color w:val="4F81BD"/>
        <w:sz w:val="19"/>
        <w:szCs w:val="19"/>
        <w:lang w:val="fr-CH" w:eastAsia="en-US"/>
      </w:rPr>
      <w:t xml:space="preserve"> Union • Place des Nations, CH</w:t>
    </w:r>
    <w:r w:rsidRPr="00FC09E8">
      <w:rPr>
        <w:rFonts w:ascii="Calibri" w:eastAsia="Times New Roman" w:hAnsi="Calibri" w:cs="Calibri"/>
        <w:color w:val="4F81BD"/>
        <w:sz w:val="19"/>
        <w:szCs w:val="19"/>
        <w:lang w:val="fr-CH" w:eastAsia="en-US"/>
      </w:rPr>
      <w:noBreakHyphen/>
      <w:t xml:space="preserve">1211 Geneva 20, </w:t>
    </w:r>
    <w:proofErr w:type="spellStart"/>
    <w:r w:rsidRPr="00FC09E8">
      <w:rPr>
        <w:rFonts w:ascii="Calibri" w:eastAsia="Times New Roman" w:hAnsi="Calibri" w:cs="Calibri"/>
        <w:color w:val="4F81BD"/>
        <w:sz w:val="19"/>
        <w:szCs w:val="19"/>
        <w:lang w:val="fr-CH" w:eastAsia="en-US"/>
      </w:rPr>
      <w:t>Switzerland</w:t>
    </w:r>
    <w:proofErr w:type="spellEnd"/>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4F81BD"/>
        <w:sz w:val="19"/>
        <w:szCs w:val="19"/>
        <w:lang w:val="fr-CH" w:eastAsia="en-US"/>
      </w:rPr>
      <w:br/>
    </w:r>
    <w:proofErr w:type="gramStart"/>
    <w:r w:rsidRPr="00FC09E8">
      <w:rPr>
        <w:rFonts w:ascii="Calibri" w:eastAsia="Times New Roman" w:hAnsi="Calibri" w:cs="Calibri"/>
        <w:color w:val="4F81BD"/>
        <w:sz w:val="19"/>
        <w:szCs w:val="19"/>
        <w:lang w:val="fr-CH" w:eastAsia="en-US"/>
      </w:rPr>
      <w:t>Tel:</w:t>
    </w:r>
    <w:proofErr w:type="gramEnd"/>
    <w:r w:rsidRPr="00FC09E8">
      <w:rPr>
        <w:rFonts w:ascii="Calibri" w:eastAsia="Times New Roman" w:hAnsi="Calibri" w:cs="Calibri"/>
        <w:color w:val="4F81BD"/>
        <w:sz w:val="19"/>
        <w:szCs w:val="19"/>
        <w:lang w:val="fr-CH" w:eastAsia="en-US"/>
      </w:rPr>
      <w:t xml:space="preserve"> +41 22 730 5111 • E-mail: </w:t>
    </w:r>
    <w:hyperlink r:id="rId1" w:history="1">
      <w:r w:rsidRPr="00FC09E8">
        <w:rPr>
          <w:rFonts w:ascii="Calibri" w:eastAsia="Times New Roman" w:hAnsi="Calibri" w:cs="Calibri"/>
          <w:color w:val="0000FF"/>
          <w:sz w:val="19"/>
          <w:szCs w:val="19"/>
          <w:u w:val="single"/>
          <w:lang w:val="fr-CH" w:eastAsia="en-US"/>
        </w:rPr>
        <w:t>itumail@itu.int</w:t>
      </w:r>
    </w:hyperlink>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3E8EDE"/>
        <w:sz w:val="18"/>
        <w:szCs w:val="18"/>
        <w:lang w:val="fr-CH" w:eastAsia="en-US"/>
      </w:rPr>
      <w:t xml:space="preserve">Fax: +41 22 733 7256 </w:t>
    </w:r>
    <w:r w:rsidRPr="00FC09E8">
      <w:rPr>
        <w:rFonts w:ascii="Calibri" w:eastAsia="Times New Roman" w:hAnsi="Calibri" w:cs="Calibri"/>
        <w:color w:val="4F81BD"/>
        <w:sz w:val="19"/>
        <w:szCs w:val="19"/>
        <w:lang w:val="fr-CH" w:eastAsia="en-US"/>
      </w:rPr>
      <w:t>• 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6FB6B" w14:textId="77777777" w:rsidR="00AF7FEF" w:rsidRDefault="00AF7FEF" w:rsidP="006C3242">
      <w:pPr>
        <w:spacing w:before="0" w:line="240" w:lineRule="auto"/>
      </w:pPr>
      <w:r>
        <w:separator/>
      </w:r>
    </w:p>
  </w:footnote>
  <w:footnote w:type="continuationSeparator" w:id="0">
    <w:p w14:paraId="20129BDE" w14:textId="77777777" w:rsidR="00AF7FEF" w:rsidRDefault="00AF7FEF"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A6708"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18"/>
          <w:szCs w:val="18"/>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A837DA" w14:paraId="24B167C6" w14:textId="77777777" w:rsidTr="00AF7FEF">
      <w:trPr>
        <w:jc w:val="center"/>
      </w:trPr>
      <w:tc>
        <w:tcPr>
          <w:tcW w:w="4814" w:type="dxa"/>
        </w:tcPr>
        <w:p w14:paraId="4B4EAF8C" w14:textId="77777777" w:rsidR="00A837DA" w:rsidRDefault="00A837DA" w:rsidP="00A837DA">
          <w:pPr>
            <w:pStyle w:val="Header"/>
            <w:jc w:val="center"/>
            <w:rPr>
              <w:rtl/>
            </w:rPr>
          </w:pPr>
          <w:r>
            <w:rPr>
              <w:noProof/>
              <w:lang w:val="en-GB" w:eastAsia="en-GB"/>
            </w:rPr>
            <w:drawing>
              <wp:inline distT="0" distB="0" distL="0" distR="0" wp14:anchorId="647B58E1" wp14:editId="6B0D9903">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44E6EF92" w14:textId="77777777" w:rsidR="004C39C6" w:rsidRDefault="004C39C6" w:rsidP="00FC09E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01690970">
    <w:abstractNumId w:val="9"/>
  </w:num>
  <w:num w:numId="2" w16cid:durableId="811025633">
    <w:abstractNumId w:val="7"/>
  </w:num>
  <w:num w:numId="3" w16cid:durableId="1277058861">
    <w:abstractNumId w:val="6"/>
  </w:num>
  <w:num w:numId="4" w16cid:durableId="2097970484">
    <w:abstractNumId w:val="5"/>
  </w:num>
  <w:num w:numId="5" w16cid:durableId="965625990">
    <w:abstractNumId w:val="4"/>
  </w:num>
  <w:num w:numId="6" w16cid:durableId="1089816412">
    <w:abstractNumId w:val="8"/>
  </w:num>
  <w:num w:numId="7" w16cid:durableId="394012498">
    <w:abstractNumId w:val="3"/>
  </w:num>
  <w:num w:numId="8" w16cid:durableId="746345294">
    <w:abstractNumId w:val="2"/>
  </w:num>
  <w:num w:numId="9" w16cid:durableId="1696803635">
    <w:abstractNumId w:val="1"/>
  </w:num>
  <w:num w:numId="10" w16cid:durableId="2140490306">
    <w:abstractNumId w:val="0"/>
  </w:num>
  <w:num w:numId="11" w16cid:durableId="14001302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FEF"/>
    <w:rsid w:val="000038F3"/>
    <w:rsid w:val="0006468A"/>
    <w:rsid w:val="00090574"/>
    <w:rsid w:val="000C1C0E"/>
    <w:rsid w:val="000C3594"/>
    <w:rsid w:val="000C548A"/>
    <w:rsid w:val="000D0C02"/>
    <w:rsid w:val="000F7BBE"/>
    <w:rsid w:val="001337F7"/>
    <w:rsid w:val="00147035"/>
    <w:rsid w:val="00150DB9"/>
    <w:rsid w:val="001976CF"/>
    <w:rsid w:val="001C0169"/>
    <w:rsid w:val="001D1D50"/>
    <w:rsid w:val="001D6745"/>
    <w:rsid w:val="001E446E"/>
    <w:rsid w:val="001E590F"/>
    <w:rsid w:val="002154EE"/>
    <w:rsid w:val="002276D2"/>
    <w:rsid w:val="0023283D"/>
    <w:rsid w:val="0026373E"/>
    <w:rsid w:val="00271C43"/>
    <w:rsid w:val="00284779"/>
    <w:rsid w:val="00290728"/>
    <w:rsid w:val="002978F4"/>
    <w:rsid w:val="002B028D"/>
    <w:rsid w:val="002E6541"/>
    <w:rsid w:val="00334924"/>
    <w:rsid w:val="003409BC"/>
    <w:rsid w:val="00357185"/>
    <w:rsid w:val="00364699"/>
    <w:rsid w:val="003704CA"/>
    <w:rsid w:val="00383829"/>
    <w:rsid w:val="003B5733"/>
    <w:rsid w:val="003F4B29"/>
    <w:rsid w:val="004111FB"/>
    <w:rsid w:val="0042686F"/>
    <w:rsid w:val="004317D8"/>
    <w:rsid w:val="00434183"/>
    <w:rsid w:val="00443869"/>
    <w:rsid w:val="00447F32"/>
    <w:rsid w:val="004563AF"/>
    <w:rsid w:val="004C39C6"/>
    <w:rsid w:val="004E11DC"/>
    <w:rsid w:val="005255E5"/>
    <w:rsid w:val="00525DDD"/>
    <w:rsid w:val="005409AC"/>
    <w:rsid w:val="0055516A"/>
    <w:rsid w:val="0058491B"/>
    <w:rsid w:val="00592EA5"/>
    <w:rsid w:val="005A3170"/>
    <w:rsid w:val="00677396"/>
    <w:rsid w:val="0069200F"/>
    <w:rsid w:val="006A65CB"/>
    <w:rsid w:val="006C3242"/>
    <w:rsid w:val="006C7CC0"/>
    <w:rsid w:val="006E5F73"/>
    <w:rsid w:val="006F63F7"/>
    <w:rsid w:val="007025C7"/>
    <w:rsid w:val="00706D7A"/>
    <w:rsid w:val="00722F0D"/>
    <w:rsid w:val="0074420E"/>
    <w:rsid w:val="00783E26"/>
    <w:rsid w:val="007C3BC7"/>
    <w:rsid w:val="007C3BCD"/>
    <w:rsid w:val="007D4ACF"/>
    <w:rsid w:val="007F0787"/>
    <w:rsid w:val="00810B7B"/>
    <w:rsid w:val="0082358A"/>
    <w:rsid w:val="008235CD"/>
    <w:rsid w:val="008247DE"/>
    <w:rsid w:val="00840B10"/>
    <w:rsid w:val="008513CB"/>
    <w:rsid w:val="008A4A32"/>
    <w:rsid w:val="008A7F84"/>
    <w:rsid w:val="0091702E"/>
    <w:rsid w:val="00923B0C"/>
    <w:rsid w:val="0094021C"/>
    <w:rsid w:val="00952F86"/>
    <w:rsid w:val="00982B28"/>
    <w:rsid w:val="009D313F"/>
    <w:rsid w:val="00A074AE"/>
    <w:rsid w:val="00A47A5A"/>
    <w:rsid w:val="00A6683B"/>
    <w:rsid w:val="00A837DA"/>
    <w:rsid w:val="00A97F94"/>
    <w:rsid w:val="00AA7EA2"/>
    <w:rsid w:val="00AF7FEF"/>
    <w:rsid w:val="00B03099"/>
    <w:rsid w:val="00B05BC8"/>
    <w:rsid w:val="00B1143A"/>
    <w:rsid w:val="00B64B47"/>
    <w:rsid w:val="00B74B14"/>
    <w:rsid w:val="00BA1671"/>
    <w:rsid w:val="00BF7666"/>
    <w:rsid w:val="00C002DE"/>
    <w:rsid w:val="00C502CD"/>
    <w:rsid w:val="00C53BF8"/>
    <w:rsid w:val="00C66157"/>
    <w:rsid w:val="00C674FE"/>
    <w:rsid w:val="00C67501"/>
    <w:rsid w:val="00C75633"/>
    <w:rsid w:val="00CE2EE1"/>
    <w:rsid w:val="00CE3349"/>
    <w:rsid w:val="00CE36E5"/>
    <w:rsid w:val="00CF27F5"/>
    <w:rsid w:val="00CF3FFD"/>
    <w:rsid w:val="00D10CCF"/>
    <w:rsid w:val="00D64026"/>
    <w:rsid w:val="00D77D0F"/>
    <w:rsid w:val="00DA1CF0"/>
    <w:rsid w:val="00DC1E02"/>
    <w:rsid w:val="00DC24B4"/>
    <w:rsid w:val="00DC5FB0"/>
    <w:rsid w:val="00DF16DC"/>
    <w:rsid w:val="00E45211"/>
    <w:rsid w:val="00E473C5"/>
    <w:rsid w:val="00E92863"/>
    <w:rsid w:val="00EB796D"/>
    <w:rsid w:val="00F058DC"/>
    <w:rsid w:val="00F16820"/>
    <w:rsid w:val="00F24FC4"/>
    <w:rsid w:val="00F2676C"/>
    <w:rsid w:val="00F84366"/>
    <w:rsid w:val="00F85089"/>
    <w:rsid w:val="00F974C5"/>
    <w:rsid w:val="00FA6F46"/>
    <w:rsid w:val="00FC09E8"/>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D0B8E"/>
  <w15:chartTrackingRefBased/>
  <w15:docId w15:val="{BDFA0A49-0860-451D-9DEE-4AB790DD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BA16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space-sustainabilit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ITU-R%20(BR)\PA_BR_CR_CA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PA_BR_CR_CACE.dotx</Template>
  <TotalTime>3</TotalTime>
  <Pages>2</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Arabic-AAM</dc:creator>
  <cp:keywords/>
  <dc:description/>
  <cp:lastModifiedBy>Panoussopoulos, Sonia</cp:lastModifiedBy>
  <cp:revision>4</cp:revision>
  <dcterms:created xsi:type="dcterms:W3CDTF">2024-02-28T15:01:00Z</dcterms:created>
  <dcterms:modified xsi:type="dcterms:W3CDTF">2024-02-29T08:33:00Z</dcterms:modified>
</cp:coreProperties>
</file>