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53DCE" w:rsidRPr="003B225C" w14:paraId="3D20DEBA" w14:textId="77777777" w:rsidTr="00306452">
        <w:trPr>
          <w:jc w:val="center"/>
        </w:trPr>
        <w:tc>
          <w:tcPr>
            <w:tcW w:w="9889" w:type="dxa"/>
            <w:gridSpan w:val="3"/>
            <w:shd w:val="clear" w:color="auto" w:fill="auto"/>
          </w:tcPr>
          <w:p w14:paraId="769972CF" w14:textId="77777777" w:rsidR="00E53DCE" w:rsidRPr="003B225C" w:rsidRDefault="00A96D3A" w:rsidP="006160CB">
            <w:pPr>
              <w:spacing w:before="0"/>
              <w:jc w:val="left"/>
              <w:rPr>
                <w:rFonts w:cstheme="minorHAnsi"/>
                <w:b/>
                <w:bCs/>
                <w:color w:val="808080"/>
                <w:sz w:val="28"/>
                <w:szCs w:val="28"/>
                <w:lang w:val="es-ES"/>
              </w:rPr>
            </w:pPr>
            <w:r w:rsidRPr="003B225C">
              <w:rPr>
                <w:rFonts w:cstheme="minorHAnsi"/>
                <w:b/>
                <w:bCs/>
                <w:color w:val="808080"/>
                <w:sz w:val="28"/>
                <w:szCs w:val="28"/>
                <w:lang w:val="es-ES"/>
              </w:rPr>
              <w:t>Oficina de Radiocomunicaciones (BR)</w:t>
            </w:r>
          </w:p>
          <w:p w14:paraId="77D663A2" w14:textId="77777777" w:rsidR="00E53DCE" w:rsidRPr="003B225C" w:rsidRDefault="00E53DCE" w:rsidP="006160CB">
            <w:pPr>
              <w:spacing w:before="0"/>
              <w:jc w:val="left"/>
              <w:rPr>
                <w:rFonts w:cstheme="minorHAnsi"/>
                <w:b/>
                <w:bCs/>
                <w:color w:val="808080"/>
                <w:sz w:val="28"/>
                <w:szCs w:val="28"/>
                <w:lang w:val="es-ES"/>
              </w:rPr>
            </w:pPr>
          </w:p>
          <w:p w14:paraId="76B9488A" w14:textId="77777777" w:rsidR="00E53DCE" w:rsidRPr="003B225C" w:rsidRDefault="00E53DCE" w:rsidP="006160CB">
            <w:pPr>
              <w:spacing w:before="0"/>
              <w:jc w:val="left"/>
              <w:rPr>
                <w:rFonts w:cs="Times New Roman Bold"/>
                <w:b/>
                <w:bCs/>
                <w:color w:val="808080"/>
                <w:sz w:val="28"/>
                <w:szCs w:val="28"/>
                <w:lang w:val="es-ES"/>
              </w:rPr>
            </w:pPr>
          </w:p>
        </w:tc>
      </w:tr>
      <w:tr w:rsidR="00E53DCE" w:rsidRPr="003B225C" w14:paraId="2DCA6E71" w14:textId="77777777" w:rsidTr="00306452">
        <w:trPr>
          <w:jc w:val="center"/>
        </w:trPr>
        <w:tc>
          <w:tcPr>
            <w:tcW w:w="7054" w:type="dxa"/>
            <w:gridSpan w:val="2"/>
            <w:shd w:val="clear" w:color="auto" w:fill="auto"/>
          </w:tcPr>
          <w:p w14:paraId="310D6481" w14:textId="6F540DB2" w:rsidR="00E53DCE" w:rsidRPr="003B225C" w:rsidRDefault="005A3D87" w:rsidP="005A3D87">
            <w:pPr>
              <w:spacing w:before="0"/>
              <w:jc w:val="left"/>
              <w:rPr>
                <w:lang w:val="es-ES"/>
              </w:rPr>
            </w:pPr>
            <w:r w:rsidRPr="003B225C">
              <w:rPr>
                <w:lang w:val="es-ES"/>
              </w:rPr>
              <w:t>Addéndum 1 a la</w:t>
            </w:r>
            <w:r w:rsidRPr="003B225C">
              <w:rPr>
                <w:lang w:val="es-ES"/>
              </w:rPr>
              <w:br/>
            </w:r>
            <w:r w:rsidR="00A96D3A" w:rsidRPr="003B225C">
              <w:rPr>
                <w:lang w:val="es-ES"/>
              </w:rPr>
              <w:t>Circular Administrativa</w:t>
            </w:r>
          </w:p>
          <w:p w14:paraId="69D58805" w14:textId="26D700B4" w:rsidR="00E53DCE" w:rsidRPr="003B225C" w:rsidRDefault="001B3D4D" w:rsidP="006D5D0B">
            <w:pPr>
              <w:spacing w:before="0"/>
              <w:rPr>
                <w:b/>
                <w:bCs/>
                <w:lang w:val="es-ES"/>
              </w:rPr>
            </w:pPr>
            <w:r w:rsidRPr="003B225C">
              <w:rPr>
                <w:b/>
                <w:bCs/>
                <w:lang w:val="es-ES"/>
              </w:rPr>
              <w:t>CA/</w:t>
            </w:r>
            <w:r w:rsidR="008D568F" w:rsidRPr="003B225C">
              <w:rPr>
                <w:b/>
                <w:bCs/>
                <w:lang w:val="es-ES"/>
              </w:rPr>
              <w:t>270</w:t>
            </w:r>
          </w:p>
        </w:tc>
        <w:tc>
          <w:tcPr>
            <w:tcW w:w="2835" w:type="dxa"/>
            <w:shd w:val="clear" w:color="auto" w:fill="auto"/>
          </w:tcPr>
          <w:p w14:paraId="3FD01BE1" w14:textId="6FA2F3F5" w:rsidR="00E53DCE" w:rsidRPr="003B225C" w:rsidRDefault="00571286" w:rsidP="006D5D0B">
            <w:pPr>
              <w:spacing w:before="0"/>
              <w:jc w:val="right"/>
              <w:rPr>
                <w:lang w:val="es-ES"/>
              </w:rPr>
            </w:pPr>
            <w:r w:rsidRPr="003B225C">
              <w:rPr>
                <w:lang w:val="es-ES"/>
              </w:rPr>
              <w:t>15</w:t>
            </w:r>
            <w:r w:rsidR="008D568F" w:rsidRPr="003B225C">
              <w:rPr>
                <w:lang w:val="es-ES"/>
              </w:rPr>
              <w:t xml:space="preserve"> de julio de 2024</w:t>
            </w:r>
          </w:p>
        </w:tc>
      </w:tr>
      <w:tr w:rsidR="00E53DCE" w:rsidRPr="003B225C" w14:paraId="56562AD9" w14:textId="77777777" w:rsidTr="00306452">
        <w:trPr>
          <w:jc w:val="center"/>
        </w:trPr>
        <w:tc>
          <w:tcPr>
            <w:tcW w:w="9889" w:type="dxa"/>
            <w:gridSpan w:val="3"/>
            <w:shd w:val="clear" w:color="auto" w:fill="auto"/>
          </w:tcPr>
          <w:p w14:paraId="49FBA783" w14:textId="77777777" w:rsidR="00E53DCE" w:rsidRPr="003B225C" w:rsidRDefault="00E53DCE" w:rsidP="006D5D0B">
            <w:pPr>
              <w:spacing w:before="0"/>
              <w:rPr>
                <w:lang w:val="es-ES"/>
              </w:rPr>
            </w:pPr>
          </w:p>
        </w:tc>
      </w:tr>
      <w:tr w:rsidR="00E53DCE" w:rsidRPr="003B225C" w14:paraId="762456CA" w14:textId="77777777" w:rsidTr="00306452">
        <w:trPr>
          <w:jc w:val="center"/>
        </w:trPr>
        <w:tc>
          <w:tcPr>
            <w:tcW w:w="9889" w:type="dxa"/>
            <w:gridSpan w:val="3"/>
            <w:shd w:val="clear" w:color="auto" w:fill="auto"/>
          </w:tcPr>
          <w:p w14:paraId="42B6B401" w14:textId="77777777" w:rsidR="00E53DCE" w:rsidRPr="003B225C" w:rsidRDefault="00E53DCE" w:rsidP="006D5D0B">
            <w:pPr>
              <w:spacing w:before="0"/>
              <w:rPr>
                <w:lang w:val="es-ES"/>
              </w:rPr>
            </w:pPr>
          </w:p>
        </w:tc>
      </w:tr>
      <w:tr w:rsidR="00E53DCE" w:rsidRPr="00A2786A" w14:paraId="4BAE9C44" w14:textId="77777777" w:rsidTr="00306452">
        <w:trPr>
          <w:jc w:val="center"/>
        </w:trPr>
        <w:tc>
          <w:tcPr>
            <w:tcW w:w="9889" w:type="dxa"/>
            <w:gridSpan w:val="3"/>
            <w:shd w:val="clear" w:color="auto" w:fill="auto"/>
          </w:tcPr>
          <w:p w14:paraId="21F1935A" w14:textId="7F633C50" w:rsidR="00E53DCE" w:rsidRPr="003B225C" w:rsidRDefault="008D568F" w:rsidP="005A3D87">
            <w:pPr>
              <w:spacing w:before="0"/>
              <w:jc w:val="left"/>
              <w:rPr>
                <w:b/>
                <w:bCs/>
                <w:lang w:val="es-ES"/>
              </w:rPr>
            </w:pPr>
            <w:r w:rsidRPr="003B225C">
              <w:rPr>
                <w:b/>
                <w:bCs/>
                <w:lang w:val="es-ES"/>
              </w:rPr>
              <w:t>A las Administraciones de los Estados Miembros de la UIT y a los Miembros del Sector de Radiocomunicaciones</w:t>
            </w:r>
          </w:p>
        </w:tc>
      </w:tr>
      <w:tr w:rsidR="00E53DCE" w:rsidRPr="00A2786A" w14:paraId="180CDAFD" w14:textId="77777777" w:rsidTr="00306452">
        <w:trPr>
          <w:jc w:val="center"/>
        </w:trPr>
        <w:tc>
          <w:tcPr>
            <w:tcW w:w="9889" w:type="dxa"/>
            <w:gridSpan w:val="3"/>
            <w:shd w:val="clear" w:color="auto" w:fill="auto"/>
          </w:tcPr>
          <w:p w14:paraId="04ADBBDE" w14:textId="77777777" w:rsidR="00E53DCE" w:rsidRPr="003B225C" w:rsidRDefault="00E53DCE" w:rsidP="006D5D0B">
            <w:pPr>
              <w:spacing w:before="0"/>
              <w:rPr>
                <w:lang w:val="es-ES"/>
              </w:rPr>
            </w:pPr>
          </w:p>
        </w:tc>
      </w:tr>
      <w:tr w:rsidR="00E53DCE" w:rsidRPr="00A2786A" w14:paraId="06E9A2B7" w14:textId="77777777" w:rsidTr="00306452">
        <w:trPr>
          <w:jc w:val="center"/>
        </w:trPr>
        <w:tc>
          <w:tcPr>
            <w:tcW w:w="9889" w:type="dxa"/>
            <w:gridSpan w:val="3"/>
            <w:shd w:val="clear" w:color="auto" w:fill="auto"/>
          </w:tcPr>
          <w:p w14:paraId="4039DD3F" w14:textId="77777777" w:rsidR="00E53DCE" w:rsidRPr="003B225C" w:rsidRDefault="00E53DCE" w:rsidP="006D5D0B">
            <w:pPr>
              <w:spacing w:before="0"/>
              <w:rPr>
                <w:lang w:val="es-ES"/>
              </w:rPr>
            </w:pPr>
          </w:p>
        </w:tc>
      </w:tr>
      <w:tr w:rsidR="00E53DCE" w:rsidRPr="00A2786A" w14:paraId="021316CA" w14:textId="77777777" w:rsidTr="00306452">
        <w:trPr>
          <w:jc w:val="center"/>
        </w:trPr>
        <w:tc>
          <w:tcPr>
            <w:tcW w:w="1526" w:type="dxa"/>
            <w:shd w:val="clear" w:color="auto" w:fill="auto"/>
          </w:tcPr>
          <w:p w14:paraId="4C13FE60" w14:textId="77777777" w:rsidR="00E53DCE" w:rsidRPr="003B225C" w:rsidRDefault="00311970" w:rsidP="006D5D0B">
            <w:pPr>
              <w:spacing w:before="0"/>
              <w:rPr>
                <w:lang w:val="es-ES"/>
              </w:rPr>
            </w:pPr>
            <w:r w:rsidRPr="003B225C">
              <w:rPr>
                <w:lang w:val="es-ES"/>
              </w:rPr>
              <w:t>Asunto:</w:t>
            </w:r>
          </w:p>
        </w:tc>
        <w:tc>
          <w:tcPr>
            <w:tcW w:w="8363" w:type="dxa"/>
            <w:gridSpan w:val="2"/>
            <w:vMerge w:val="restart"/>
            <w:shd w:val="clear" w:color="auto" w:fill="auto"/>
          </w:tcPr>
          <w:p w14:paraId="3612960C" w14:textId="75D9564A" w:rsidR="00E53DCE" w:rsidRPr="003B225C" w:rsidRDefault="008D568F" w:rsidP="006D5D0B">
            <w:pPr>
              <w:spacing w:before="0"/>
              <w:rPr>
                <w:b/>
                <w:bCs/>
                <w:lang w:val="es-ES"/>
              </w:rPr>
            </w:pPr>
            <w:r w:rsidRPr="003B225C">
              <w:rPr>
                <w:b/>
                <w:bCs/>
                <w:lang w:val="es-ES"/>
              </w:rPr>
              <w:t>Preparación del proyecto de Informe de la RPC a la CMR-27</w:t>
            </w:r>
          </w:p>
        </w:tc>
      </w:tr>
      <w:tr w:rsidR="00E53DCE" w:rsidRPr="00A2786A" w14:paraId="4081CB4E" w14:textId="77777777" w:rsidTr="00306452">
        <w:trPr>
          <w:jc w:val="center"/>
        </w:trPr>
        <w:tc>
          <w:tcPr>
            <w:tcW w:w="1526" w:type="dxa"/>
            <w:shd w:val="clear" w:color="auto" w:fill="auto"/>
          </w:tcPr>
          <w:p w14:paraId="315E015A" w14:textId="77777777" w:rsidR="00E53DCE" w:rsidRPr="003B225C" w:rsidRDefault="00E53DCE" w:rsidP="006D5D0B">
            <w:pPr>
              <w:spacing w:before="0"/>
              <w:rPr>
                <w:lang w:val="es-ES"/>
              </w:rPr>
            </w:pPr>
          </w:p>
        </w:tc>
        <w:tc>
          <w:tcPr>
            <w:tcW w:w="8363" w:type="dxa"/>
            <w:gridSpan w:val="2"/>
            <w:vMerge/>
            <w:shd w:val="clear" w:color="auto" w:fill="auto"/>
          </w:tcPr>
          <w:p w14:paraId="7E66957D" w14:textId="77777777" w:rsidR="00E53DCE" w:rsidRPr="003B225C" w:rsidRDefault="00E53DCE" w:rsidP="006160CB">
            <w:pPr>
              <w:tabs>
                <w:tab w:val="clear" w:pos="1588"/>
                <w:tab w:val="left" w:pos="1560"/>
              </w:tabs>
              <w:spacing w:before="0"/>
              <w:rPr>
                <w:b/>
                <w:bCs/>
                <w:szCs w:val="24"/>
                <w:lang w:val="es-ES"/>
              </w:rPr>
            </w:pPr>
          </w:p>
        </w:tc>
      </w:tr>
      <w:tr w:rsidR="00E53DCE" w:rsidRPr="00A2786A" w14:paraId="449BD3D4" w14:textId="77777777" w:rsidTr="00306452">
        <w:trPr>
          <w:jc w:val="center"/>
        </w:trPr>
        <w:tc>
          <w:tcPr>
            <w:tcW w:w="1526" w:type="dxa"/>
            <w:shd w:val="clear" w:color="auto" w:fill="auto"/>
          </w:tcPr>
          <w:p w14:paraId="4E614295" w14:textId="77777777" w:rsidR="00E53DCE" w:rsidRPr="003B225C" w:rsidRDefault="00E53DCE" w:rsidP="006D5D0B">
            <w:pPr>
              <w:spacing w:before="0"/>
              <w:rPr>
                <w:lang w:val="es-ES"/>
              </w:rPr>
            </w:pPr>
          </w:p>
        </w:tc>
        <w:tc>
          <w:tcPr>
            <w:tcW w:w="8363" w:type="dxa"/>
            <w:gridSpan w:val="2"/>
            <w:vMerge/>
            <w:shd w:val="clear" w:color="auto" w:fill="auto"/>
          </w:tcPr>
          <w:p w14:paraId="04442067" w14:textId="77777777" w:rsidR="00E53DCE" w:rsidRPr="003B225C" w:rsidRDefault="00E53DCE" w:rsidP="006160CB">
            <w:pPr>
              <w:tabs>
                <w:tab w:val="clear" w:pos="1588"/>
                <w:tab w:val="left" w:pos="1560"/>
              </w:tabs>
              <w:spacing w:before="0"/>
              <w:rPr>
                <w:b/>
                <w:bCs/>
                <w:szCs w:val="24"/>
                <w:lang w:val="es-ES"/>
              </w:rPr>
            </w:pPr>
          </w:p>
        </w:tc>
      </w:tr>
      <w:tr w:rsidR="00E53DCE" w:rsidRPr="00A2786A" w14:paraId="6F081EF6" w14:textId="77777777" w:rsidTr="00306452">
        <w:trPr>
          <w:jc w:val="center"/>
        </w:trPr>
        <w:tc>
          <w:tcPr>
            <w:tcW w:w="9889" w:type="dxa"/>
            <w:gridSpan w:val="3"/>
            <w:shd w:val="clear" w:color="auto" w:fill="auto"/>
          </w:tcPr>
          <w:p w14:paraId="291A3FA3" w14:textId="77777777" w:rsidR="00E53DCE" w:rsidRPr="003B225C" w:rsidRDefault="00E53DCE" w:rsidP="006D5D0B">
            <w:pPr>
              <w:spacing w:before="0"/>
              <w:rPr>
                <w:lang w:val="es-ES"/>
              </w:rPr>
            </w:pPr>
          </w:p>
        </w:tc>
      </w:tr>
    </w:tbl>
    <w:p w14:paraId="11AD1B9C" w14:textId="77777777" w:rsidR="008D568F" w:rsidRPr="003B225C" w:rsidRDefault="008D568F" w:rsidP="008D568F">
      <w:pPr>
        <w:pStyle w:val="Headingb"/>
        <w:rPr>
          <w:lang w:val="es-ES"/>
        </w:rPr>
      </w:pPr>
      <w:r w:rsidRPr="003B225C">
        <w:rPr>
          <w:lang w:val="es-ES"/>
        </w:rPr>
        <w:t>Introducción</w:t>
      </w:r>
    </w:p>
    <w:p w14:paraId="3908ED44" w14:textId="774068D4" w:rsidR="008D568F" w:rsidRPr="003B225C" w:rsidRDefault="008D568F" w:rsidP="008D568F">
      <w:pPr>
        <w:rPr>
          <w:lang w:val="es-ES"/>
        </w:rPr>
      </w:pPr>
      <w:r w:rsidRPr="003B225C">
        <w:rPr>
          <w:lang w:val="es-ES"/>
        </w:rPr>
        <w:t>En junio de 2024, el Consejo de la UIT adoptó la Resolución</w:t>
      </w:r>
      <w:r w:rsidR="005A3D87" w:rsidRPr="003B225C">
        <w:rPr>
          <w:lang w:val="es-ES"/>
        </w:rPr>
        <w:t> </w:t>
      </w:r>
      <w:r w:rsidRPr="003B225C">
        <w:rPr>
          <w:lang w:val="es-ES"/>
        </w:rPr>
        <w:t>1422 (véase el Documento</w:t>
      </w:r>
      <w:r w:rsidR="006D5D0B" w:rsidRPr="003B225C">
        <w:rPr>
          <w:lang w:val="es-ES"/>
        </w:rPr>
        <w:t> </w:t>
      </w:r>
      <w:hyperlink r:id="rId8" w:history="1">
        <w:r w:rsidRPr="003B225C">
          <w:rPr>
            <w:rStyle w:val="Hyperlink"/>
            <w:lang w:val="es-ES"/>
          </w:rPr>
          <w:t>C24/125</w:t>
        </w:r>
      </w:hyperlink>
      <w:r w:rsidRPr="003B225C">
        <w:rPr>
          <w:lang w:val="es-ES"/>
        </w:rPr>
        <w:t xml:space="preserve"> de 14 de junio de 2024), que contiene, entre otras cosas, el orden del día de la Conferencia Mundial de Radiocomunicaciones de 2027 (CMR</w:t>
      </w:r>
      <w:r w:rsidRPr="003B225C">
        <w:rPr>
          <w:lang w:val="es-ES"/>
        </w:rPr>
        <w:noBreakHyphen/>
        <w:t>27). Además, el Consejo tomó nota de la información presentada en el Documento </w:t>
      </w:r>
      <w:hyperlink r:id="rId9" w:history="1">
        <w:r w:rsidRPr="003B225C">
          <w:rPr>
            <w:rStyle w:val="Hyperlink"/>
            <w:lang w:val="es-ES"/>
          </w:rPr>
          <w:t>C24/37</w:t>
        </w:r>
      </w:hyperlink>
      <w:r w:rsidRPr="003B225C">
        <w:rPr>
          <w:lang w:val="es-ES"/>
        </w:rPr>
        <w:t xml:space="preserve"> sobre la posible celebración de la segunda sesión de la RPC</w:t>
      </w:r>
      <w:r w:rsidR="005A3D87" w:rsidRPr="003B225C">
        <w:rPr>
          <w:lang w:val="es-ES"/>
        </w:rPr>
        <w:noBreakHyphen/>
      </w:r>
      <w:r w:rsidRPr="003B225C">
        <w:rPr>
          <w:lang w:val="es-ES"/>
        </w:rPr>
        <w:t>27 (RPC27-2) en abril de 2027 y de la Asamblea de Radiocomunicaciones de 2027 (AR-27) y de la CMR</w:t>
      </w:r>
      <w:r w:rsidR="005A3D87" w:rsidRPr="003B225C">
        <w:rPr>
          <w:lang w:val="es-ES"/>
        </w:rPr>
        <w:noBreakHyphen/>
      </w:r>
      <w:r w:rsidRPr="003B225C">
        <w:rPr>
          <w:lang w:val="es-ES"/>
        </w:rPr>
        <w:t>27 en octubre-noviembre de 2027, en función de las disponibilidades del CICG (Centro Internacional de Conferencias de Ginebra).</w:t>
      </w:r>
    </w:p>
    <w:p w14:paraId="26830905" w14:textId="0851C4FD" w:rsidR="008D568F" w:rsidRPr="003B225C" w:rsidRDefault="008D568F" w:rsidP="008D568F">
      <w:pPr>
        <w:rPr>
          <w:lang w:val="es-ES"/>
        </w:rPr>
      </w:pPr>
      <w:r w:rsidRPr="003B225C">
        <w:rPr>
          <w:lang w:val="es-ES"/>
        </w:rPr>
        <w:t>Teniendo en cuenta la citada información y los resultados de la primera sesión de la Reunión Preparatoria de la Conferencia (RPC27-1, véase la Circular Administrativa</w:t>
      </w:r>
      <w:r w:rsidR="005A3D87" w:rsidRPr="003B225C">
        <w:rPr>
          <w:lang w:val="es-ES"/>
        </w:rPr>
        <w:t> </w:t>
      </w:r>
      <w:hyperlink r:id="rId10" w:history="1">
        <w:r w:rsidRPr="003B225C">
          <w:rPr>
            <w:rStyle w:val="Hyperlink"/>
            <w:lang w:val="es-ES"/>
          </w:rPr>
          <w:t>CA/270</w:t>
        </w:r>
      </w:hyperlink>
      <w:r w:rsidRPr="003B225C">
        <w:rPr>
          <w:lang w:val="es-ES"/>
        </w:rPr>
        <w:t xml:space="preserve"> de 26 de enero de</w:t>
      </w:r>
      <w:r w:rsidR="005A3D87" w:rsidRPr="003B225C">
        <w:rPr>
          <w:lang w:val="es-ES"/>
        </w:rPr>
        <w:t> </w:t>
      </w:r>
      <w:r w:rsidRPr="003B225C">
        <w:rPr>
          <w:lang w:val="es-ES"/>
        </w:rPr>
        <w:t>2024), la Comisión de Dirección de la RPC</w:t>
      </w:r>
      <w:r w:rsidRPr="003B225C">
        <w:rPr>
          <w:lang w:val="es-ES"/>
        </w:rPr>
        <w:noBreakHyphen/>
        <w:t>27 se reunió el 24 de junio de 2024 para examinar la preparación del proyecto de Informe de la RPC a la CMR-27. También fueron invitados a asistir a esta reunión los demás miembros del Equipo de Gestión de la RPC-27, es decir, los Presidentes de las Comisiones de Estudio del UIT-R y de los grupos responsables.</w:t>
      </w:r>
    </w:p>
    <w:p w14:paraId="0BFDCAF4" w14:textId="77777777" w:rsidR="008D568F" w:rsidRPr="003B225C" w:rsidRDefault="008D568F" w:rsidP="008D568F">
      <w:pPr>
        <w:pStyle w:val="Headingb"/>
        <w:rPr>
          <w:lang w:val="es-ES"/>
        </w:rPr>
      </w:pPr>
      <w:r w:rsidRPr="003B225C">
        <w:rPr>
          <w:lang w:val="es-ES"/>
        </w:rPr>
        <w:t>Preparación del proyecto de Informe de la RPC a la CMR-27</w:t>
      </w:r>
    </w:p>
    <w:p w14:paraId="225FA6B8" w14:textId="22828B54" w:rsidR="008D568F" w:rsidRPr="003B225C" w:rsidRDefault="008D568F" w:rsidP="008D568F">
      <w:pPr>
        <w:rPr>
          <w:lang w:val="es-ES"/>
        </w:rPr>
      </w:pPr>
      <w:r w:rsidRPr="003B225C">
        <w:rPr>
          <w:lang w:val="es-ES"/>
        </w:rPr>
        <w:t>Sobre la base de la Resolución</w:t>
      </w:r>
      <w:r w:rsidR="005A3D87" w:rsidRPr="003B225C">
        <w:rPr>
          <w:lang w:val="es-ES"/>
        </w:rPr>
        <w:t> </w:t>
      </w:r>
      <w:r w:rsidRPr="003B225C">
        <w:rPr>
          <w:lang w:val="es-ES"/>
        </w:rPr>
        <w:t>1422 (C24) y de la Resolución</w:t>
      </w:r>
      <w:r w:rsidR="006D5D0B" w:rsidRPr="003B225C">
        <w:rPr>
          <w:lang w:val="es-ES"/>
        </w:rPr>
        <w:t> </w:t>
      </w:r>
      <w:hyperlink r:id="rId11" w:history="1">
        <w:r w:rsidRPr="003B225C">
          <w:rPr>
            <w:rStyle w:val="Hyperlink"/>
            <w:lang w:val="es-ES"/>
          </w:rPr>
          <w:t>UIT-R 2-9</w:t>
        </w:r>
      </w:hyperlink>
      <w:r w:rsidRPr="003B225C">
        <w:rPr>
          <w:lang w:val="es-ES"/>
        </w:rPr>
        <w:t>, se acordó celebrar la segunda sesión de la RPC-27 (RPC27-2) durante el segundo trimestre de 2027</w:t>
      </w:r>
      <w:r w:rsidR="007C31FD" w:rsidRPr="003B225C">
        <w:rPr>
          <w:rStyle w:val="FootnoteReference"/>
          <w:lang w:val="es-ES"/>
        </w:rPr>
        <w:footnoteReference w:customMarkFollows="1" w:id="1"/>
        <w:t>*</w:t>
      </w:r>
      <w:r w:rsidRPr="003B225C">
        <w:rPr>
          <w:lang w:val="es-ES"/>
        </w:rPr>
        <w:t>. Se decidió, además, que los proyectos de textos definitivos de la RPC procedentes de los grupos responsables deben obrar en poder de los respectivos Relatores de Capítulo de la RPC</w:t>
      </w:r>
      <w:r w:rsidRPr="003B225C">
        <w:rPr>
          <w:lang w:val="es-ES"/>
        </w:rPr>
        <w:noBreakHyphen/>
        <w:t xml:space="preserve">27, con copia al Presidente de la RPC-27 y al Consejero de la BR para la RPC, a más tardar el </w:t>
      </w:r>
      <w:r w:rsidRPr="003B225C">
        <w:rPr>
          <w:b/>
          <w:bCs/>
          <w:lang w:val="es-ES"/>
        </w:rPr>
        <w:t>23 de octubre de 2026</w:t>
      </w:r>
      <w:r w:rsidRPr="003B225C">
        <w:rPr>
          <w:lang w:val="es-ES"/>
        </w:rPr>
        <w:t>, teniendo en cuenta las fechas planificadas de las reuniones de los grupos responsables.</w:t>
      </w:r>
    </w:p>
    <w:p w14:paraId="4A8B9D89" w14:textId="1B20538F" w:rsidR="008D568F" w:rsidRPr="003B225C" w:rsidRDefault="008D568F" w:rsidP="008D568F">
      <w:pPr>
        <w:rPr>
          <w:lang w:val="es-ES"/>
        </w:rPr>
      </w:pPr>
      <w:r w:rsidRPr="003B225C">
        <w:rPr>
          <w:lang w:val="es-ES"/>
        </w:rPr>
        <w:t xml:space="preserve">La reunión del Equipo de Gestión de la RPC-27 está planificada los días </w:t>
      </w:r>
      <w:r w:rsidRPr="003B225C">
        <w:rPr>
          <w:b/>
          <w:bCs/>
          <w:lang w:val="es-ES"/>
        </w:rPr>
        <w:t>11 y 12 de noviembre de</w:t>
      </w:r>
      <w:r w:rsidR="006D5D0B" w:rsidRPr="003B225C">
        <w:rPr>
          <w:b/>
          <w:bCs/>
          <w:lang w:val="es-ES"/>
        </w:rPr>
        <w:t> </w:t>
      </w:r>
      <w:r w:rsidRPr="003B225C">
        <w:rPr>
          <w:b/>
          <w:bCs/>
          <w:lang w:val="es-ES"/>
        </w:rPr>
        <w:t>2026</w:t>
      </w:r>
      <w:r w:rsidRPr="003B225C">
        <w:rPr>
          <w:lang w:val="es-ES"/>
        </w:rPr>
        <w:t xml:space="preserve"> para refundir los proyectos de textos de la RPC procedentes de los grupos responsables en un proyecto de Informe de la RPC.</w:t>
      </w:r>
    </w:p>
    <w:p w14:paraId="69276F8D" w14:textId="5B6FCBE2" w:rsidR="008D568F" w:rsidRPr="003B225C" w:rsidRDefault="008D568F" w:rsidP="008D568F">
      <w:pPr>
        <w:rPr>
          <w:lang w:val="es-ES"/>
        </w:rPr>
      </w:pPr>
      <w:r w:rsidRPr="003B225C">
        <w:rPr>
          <w:lang w:val="es-ES"/>
        </w:rPr>
        <w:lastRenderedPageBreak/>
        <w:t>Sobre la base de la información recibida de las Comisiones de Estudio y/o los grupos de trabajo, la Comisión de Dirección de la RPC-27 ha enmendado algunas de las listas de grupos contribuyentes enumerados en el cuadro de atribución de los trabajos preparatorios del UIT-R para la CMR</w:t>
      </w:r>
      <w:r w:rsidRPr="003B225C">
        <w:rPr>
          <w:lang w:val="es-ES"/>
        </w:rPr>
        <w:noBreakHyphen/>
        <w:t>27, como se indica en el Anexo</w:t>
      </w:r>
      <w:r w:rsidR="005A3D87" w:rsidRPr="003B225C">
        <w:rPr>
          <w:lang w:val="es-ES"/>
        </w:rPr>
        <w:t> </w:t>
      </w:r>
      <w:r w:rsidRPr="003B225C">
        <w:rPr>
          <w:lang w:val="es-ES"/>
        </w:rPr>
        <w:t>1 al presente Addéndum</w:t>
      </w:r>
      <w:r w:rsidR="005A3D87" w:rsidRPr="003B225C">
        <w:rPr>
          <w:lang w:val="es-ES"/>
        </w:rPr>
        <w:t> </w:t>
      </w:r>
      <w:r w:rsidRPr="003B225C">
        <w:rPr>
          <w:lang w:val="es-ES"/>
        </w:rPr>
        <w:t>1 a la CA/270. La propuesta de estructura detallada del proyecto de Informe de la RPC a la CMR</w:t>
      </w:r>
      <w:r w:rsidRPr="003B225C">
        <w:rPr>
          <w:lang w:val="es-ES"/>
        </w:rPr>
        <w:noBreakHyphen/>
        <w:t xml:space="preserve">27 se ha revisado en consecuencia y se puede consultar en la siguiente dirección web de la UIT: </w:t>
      </w:r>
      <w:hyperlink r:id="rId12" w:history="1">
        <w:r w:rsidRPr="003B225C">
          <w:rPr>
            <w:rStyle w:val="Hyperlink"/>
            <w:lang w:val="es-ES"/>
          </w:rPr>
          <w:t>www.itu.int/oth/R0A0A000023/en</w:t>
        </w:r>
      </w:hyperlink>
      <w:r w:rsidRPr="003B225C">
        <w:rPr>
          <w:lang w:val="es-ES"/>
        </w:rPr>
        <w:t>. No se ha modificado el cuadro correspondiente al trabajo preparatorio provisional del UIT-R para la CMR-</w:t>
      </w:r>
      <w:r w:rsidR="006C4DF0">
        <w:rPr>
          <w:lang w:val="es-ES"/>
        </w:rPr>
        <w:t>31</w:t>
      </w:r>
      <w:r w:rsidRPr="003B225C">
        <w:rPr>
          <w:lang w:val="es-ES"/>
        </w:rPr>
        <w:t>.</w:t>
      </w:r>
    </w:p>
    <w:p w14:paraId="50E7DF9C" w14:textId="20B8CEF1" w:rsidR="00571286" w:rsidRPr="003B225C" w:rsidRDefault="008D568F" w:rsidP="008D568F">
      <w:pPr>
        <w:rPr>
          <w:lang w:val="es-ES"/>
        </w:rPr>
      </w:pPr>
      <w:r w:rsidRPr="003B225C">
        <w:rPr>
          <w:lang w:val="es-ES"/>
        </w:rPr>
        <w:t xml:space="preserve">El Presidente de la RPC-27 facilitó a los grupos responsables y contribuyentes del UIT-R información adicional sobre la preparación de los proyectos de textos de la RPC y otros aspectos conexos (véase </w:t>
      </w:r>
      <w:r w:rsidR="00861C79">
        <w:rPr>
          <w:lang w:val="es-ES"/>
        </w:rPr>
        <w:t>el</w:t>
      </w:r>
      <w:r w:rsidRPr="003B225C">
        <w:rPr>
          <w:lang w:val="es-ES"/>
        </w:rPr>
        <w:t xml:space="preserve"> Documento</w:t>
      </w:r>
      <w:bookmarkStart w:id="0" w:name="_Hlk171601532"/>
      <w:r w:rsidR="00861C79">
        <w:rPr>
          <w:lang w:val="es-ES"/>
        </w:rPr>
        <w:t xml:space="preserve"> </w:t>
      </w:r>
      <w:hyperlink r:id="rId13" w:history="1">
        <w:r w:rsidR="00571286" w:rsidRPr="003B225C">
          <w:rPr>
            <w:rStyle w:val="Hyperlink"/>
            <w:spacing w:val="4"/>
            <w:lang w:val="es-ES"/>
          </w:rPr>
          <w:t>1A/44</w:t>
        </w:r>
      </w:hyperlink>
      <w:r w:rsidR="00571286" w:rsidRPr="003B225C">
        <w:rPr>
          <w:spacing w:val="4"/>
          <w:lang w:val="es-ES"/>
        </w:rPr>
        <w:t>-</w:t>
      </w:r>
      <w:hyperlink r:id="rId14" w:history="1">
        <w:r w:rsidR="00571286" w:rsidRPr="003B225C">
          <w:rPr>
            <w:rStyle w:val="Hyperlink"/>
            <w:spacing w:val="4"/>
            <w:lang w:val="es-ES"/>
          </w:rPr>
          <w:t>1B/34</w:t>
        </w:r>
      </w:hyperlink>
      <w:r w:rsidR="00571286" w:rsidRPr="003B225C">
        <w:rPr>
          <w:spacing w:val="4"/>
          <w:lang w:val="es-ES"/>
        </w:rPr>
        <w:t>-</w:t>
      </w:r>
      <w:hyperlink r:id="rId15" w:history="1">
        <w:r w:rsidR="00571286" w:rsidRPr="003B225C">
          <w:rPr>
            <w:rStyle w:val="Hyperlink"/>
            <w:spacing w:val="4"/>
            <w:lang w:val="es-ES"/>
          </w:rPr>
          <w:t>3J/70</w:t>
        </w:r>
      </w:hyperlink>
      <w:r w:rsidR="00571286" w:rsidRPr="003B225C">
        <w:rPr>
          <w:spacing w:val="4"/>
          <w:lang w:val="es-ES"/>
        </w:rPr>
        <w:t>-</w:t>
      </w:r>
      <w:hyperlink r:id="rId16" w:history="1">
        <w:r w:rsidR="00571286" w:rsidRPr="003B225C">
          <w:rPr>
            <w:rStyle w:val="Hyperlink"/>
            <w:spacing w:val="4"/>
            <w:lang w:val="es-ES"/>
          </w:rPr>
          <w:t>3K/81</w:t>
        </w:r>
      </w:hyperlink>
      <w:r w:rsidR="00571286" w:rsidRPr="003B225C">
        <w:rPr>
          <w:spacing w:val="4"/>
          <w:lang w:val="es-ES"/>
        </w:rPr>
        <w:t>-</w:t>
      </w:r>
      <w:hyperlink r:id="rId17" w:history="1">
        <w:r w:rsidR="00571286" w:rsidRPr="003B225C">
          <w:rPr>
            <w:rStyle w:val="Hyperlink"/>
            <w:spacing w:val="4"/>
            <w:lang w:val="es-ES"/>
          </w:rPr>
          <w:t>3L/32</w:t>
        </w:r>
      </w:hyperlink>
      <w:r w:rsidR="00571286" w:rsidRPr="003B225C">
        <w:rPr>
          <w:spacing w:val="4"/>
          <w:lang w:val="es-ES"/>
        </w:rPr>
        <w:t>-</w:t>
      </w:r>
      <w:hyperlink r:id="rId18" w:history="1">
        <w:r w:rsidR="00571286" w:rsidRPr="003B225C">
          <w:rPr>
            <w:rStyle w:val="Hyperlink"/>
            <w:spacing w:val="4"/>
            <w:lang w:val="es-ES"/>
          </w:rPr>
          <w:t>3M/110</w:t>
        </w:r>
      </w:hyperlink>
      <w:r w:rsidR="00571286" w:rsidRPr="003B225C">
        <w:rPr>
          <w:spacing w:val="4"/>
          <w:lang w:val="es-ES"/>
        </w:rPr>
        <w:t>-</w:t>
      </w:r>
      <w:hyperlink r:id="rId19" w:history="1">
        <w:r w:rsidR="00571286" w:rsidRPr="003B225C">
          <w:rPr>
            <w:rStyle w:val="Hyperlink"/>
            <w:spacing w:val="4"/>
            <w:lang w:val="es-ES"/>
          </w:rPr>
          <w:t>4A/156</w:t>
        </w:r>
      </w:hyperlink>
      <w:r w:rsidR="00571286" w:rsidRPr="003B225C">
        <w:rPr>
          <w:spacing w:val="4"/>
          <w:lang w:val="es-ES"/>
        </w:rPr>
        <w:t>-</w:t>
      </w:r>
      <w:hyperlink r:id="rId20" w:history="1">
        <w:r w:rsidR="00571286" w:rsidRPr="003B225C">
          <w:rPr>
            <w:rStyle w:val="Hyperlink"/>
            <w:spacing w:val="4"/>
            <w:lang w:val="es-ES"/>
          </w:rPr>
          <w:t>4B/45</w:t>
        </w:r>
      </w:hyperlink>
      <w:r w:rsidR="00571286" w:rsidRPr="003B225C">
        <w:rPr>
          <w:spacing w:val="4"/>
          <w:lang w:val="es-ES"/>
        </w:rPr>
        <w:t>-</w:t>
      </w:r>
      <w:hyperlink r:id="rId21" w:history="1">
        <w:r w:rsidR="00571286" w:rsidRPr="003B225C">
          <w:rPr>
            <w:rStyle w:val="Hyperlink"/>
            <w:spacing w:val="4"/>
            <w:lang w:val="es-ES"/>
          </w:rPr>
          <w:t>4C/105</w:t>
        </w:r>
      </w:hyperlink>
      <w:r w:rsidR="00571286" w:rsidRPr="003B225C">
        <w:rPr>
          <w:spacing w:val="4"/>
          <w:lang w:val="es-ES"/>
        </w:rPr>
        <w:t>-</w:t>
      </w:r>
      <w:hyperlink r:id="rId22" w:history="1">
        <w:r w:rsidR="00571286" w:rsidRPr="003B225C">
          <w:rPr>
            <w:rStyle w:val="Hyperlink"/>
            <w:spacing w:val="4"/>
            <w:lang w:val="es-ES"/>
          </w:rPr>
          <w:t>5/39</w:t>
        </w:r>
      </w:hyperlink>
      <w:r w:rsidR="00571286" w:rsidRPr="003B225C">
        <w:rPr>
          <w:spacing w:val="4"/>
          <w:lang w:val="es-ES"/>
        </w:rPr>
        <w:t>-</w:t>
      </w:r>
      <w:hyperlink r:id="rId23" w:history="1">
        <w:r w:rsidR="00571286" w:rsidRPr="003B225C">
          <w:rPr>
            <w:rStyle w:val="Hyperlink"/>
            <w:spacing w:val="4"/>
            <w:lang w:val="es-ES"/>
          </w:rPr>
          <w:t>5A/124</w:t>
        </w:r>
      </w:hyperlink>
      <w:r w:rsidR="00571286" w:rsidRPr="003B225C">
        <w:rPr>
          <w:spacing w:val="4"/>
          <w:lang w:val="es-ES"/>
        </w:rPr>
        <w:t>-</w:t>
      </w:r>
      <w:hyperlink r:id="rId24" w:history="1">
        <w:r w:rsidR="00571286" w:rsidRPr="003B225C">
          <w:rPr>
            <w:rStyle w:val="Hyperlink"/>
            <w:spacing w:val="4"/>
            <w:lang w:val="es-ES"/>
          </w:rPr>
          <w:t>5B/124</w:t>
        </w:r>
      </w:hyperlink>
      <w:r w:rsidR="00571286" w:rsidRPr="003B225C">
        <w:rPr>
          <w:lang w:val="es-ES"/>
        </w:rPr>
        <w:t>-</w:t>
      </w:r>
      <w:hyperlink r:id="rId25" w:history="1">
        <w:r w:rsidR="00571286" w:rsidRPr="003B225C">
          <w:rPr>
            <w:rStyle w:val="Hyperlink"/>
            <w:lang w:val="es-ES"/>
          </w:rPr>
          <w:t>5C/88</w:t>
        </w:r>
      </w:hyperlink>
      <w:r w:rsidR="00571286" w:rsidRPr="003B225C">
        <w:rPr>
          <w:lang w:val="es-ES"/>
        </w:rPr>
        <w:t>-</w:t>
      </w:r>
      <w:hyperlink r:id="rId26" w:history="1">
        <w:r w:rsidR="00571286" w:rsidRPr="003B225C">
          <w:rPr>
            <w:rStyle w:val="Hyperlink"/>
            <w:lang w:val="es-ES"/>
          </w:rPr>
          <w:t>5D/246</w:t>
        </w:r>
      </w:hyperlink>
      <w:r w:rsidR="00571286" w:rsidRPr="003B225C">
        <w:rPr>
          <w:lang w:val="es-ES"/>
        </w:rPr>
        <w:t>-</w:t>
      </w:r>
      <w:hyperlink r:id="rId27" w:history="1">
        <w:r w:rsidR="00571286" w:rsidRPr="003B225C">
          <w:rPr>
            <w:rStyle w:val="Hyperlink"/>
            <w:lang w:val="es-ES"/>
          </w:rPr>
          <w:t>6A/57</w:t>
        </w:r>
      </w:hyperlink>
      <w:r w:rsidR="00571286" w:rsidRPr="003B225C">
        <w:rPr>
          <w:lang w:val="es-ES"/>
        </w:rPr>
        <w:t>-</w:t>
      </w:r>
      <w:hyperlink r:id="rId28" w:history="1">
        <w:r w:rsidR="00571286" w:rsidRPr="003B225C">
          <w:rPr>
            <w:rStyle w:val="Hyperlink"/>
            <w:lang w:val="es-ES"/>
          </w:rPr>
          <w:t>7/18</w:t>
        </w:r>
      </w:hyperlink>
      <w:r w:rsidR="00571286" w:rsidRPr="003B225C">
        <w:rPr>
          <w:lang w:val="es-ES"/>
        </w:rPr>
        <w:t>-</w:t>
      </w:r>
      <w:hyperlink r:id="rId29" w:history="1">
        <w:r w:rsidR="00571286" w:rsidRPr="003B225C">
          <w:rPr>
            <w:rStyle w:val="Hyperlink"/>
            <w:lang w:val="es-ES"/>
          </w:rPr>
          <w:t>7A/26</w:t>
        </w:r>
      </w:hyperlink>
      <w:r w:rsidR="00571286" w:rsidRPr="003B225C">
        <w:rPr>
          <w:lang w:val="es-ES"/>
        </w:rPr>
        <w:t>-</w:t>
      </w:r>
      <w:hyperlink r:id="rId30" w:history="1">
        <w:r w:rsidR="00571286" w:rsidRPr="003B225C">
          <w:rPr>
            <w:rStyle w:val="Hyperlink"/>
            <w:lang w:val="es-ES"/>
          </w:rPr>
          <w:t>7B/67</w:t>
        </w:r>
      </w:hyperlink>
      <w:r w:rsidR="00571286" w:rsidRPr="003B225C">
        <w:rPr>
          <w:lang w:val="es-ES"/>
        </w:rPr>
        <w:t>-</w:t>
      </w:r>
      <w:hyperlink r:id="rId31" w:history="1">
        <w:r w:rsidR="00571286" w:rsidRPr="003B225C">
          <w:rPr>
            <w:rStyle w:val="Hyperlink"/>
            <w:lang w:val="es-ES"/>
          </w:rPr>
          <w:t>7C/94</w:t>
        </w:r>
      </w:hyperlink>
      <w:r w:rsidR="00571286" w:rsidRPr="003B225C">
        <w:rPr>
          <w:lang w:val="es-ES"/>
        </w:rPr>
        <w:t>-</w:t>
      </w:r>
      <w:hyperlink r:id="rId32" w:history="1">
        <w:r w:rsidR="00571286" w:rsidRPr="003B225C">
          <w:rPr>
            <w:rStyle w:val="Hyperlink"/>
            <w:lang w:val="es-ES"/>
          </w:rPr>
          <w:t>7D/82</w:t>
        </w:r>
      </w:hyperlink>
      <w:r w:rsidR="00571286" w:rsidRPr="003B225C">
        <w:rPr>
          <w:lang w:val="es-ES"/>
        </w:rPr>
        <w:t>)</w:t>
      </w:r>
      <w:bookmarkEnd w:id="0"/>
      <w:r w:rsidR="00571286" w:rsidRPr="003B225C">
        <w:rPr>
          <w:lang w:val="es-ES"/>
        </w:rPr>
        <w:t>.</w:t>
      </w:r>
    </w:p>
    <w:p w14:paraId="0407BA25" w14:textId="6C92A599" w:rsidR="008D568F" w:rsidRPr="003B225C" w:rsidRDefault="008D568F" w:rsidP="008D568F">
      <w:pPr>
        <w:rPr>
          <w:lang w:val="es-ES"/>
        </w:rPr>
      </w:pPr>
      <w:r w:rsidRPr="003B225C">
        <w:rPr>
          <w:lang w:val="es-ES"/>
        </w:rPr>
        <w:t>En la siguiente página web de la UIT figura información detallada relativa a los estudios preparatorios del UIT-R sobre los puntos del orden del día de la CMR-27:</w:t>
      </w:r>
      <w:r w:rsidRPr="003B225C">
        <w:rPr>
          <w:rFonts w:eastAsia="SimSun"/>
          <w:lang w:val="es-ES"/>
        </w:rPr>
        <w:t xml:space="preserve"> </w:t>
      </w:r>
      <w:hyperlink r:id="rId33" w:history="1">
        <w:r w:rsidRPr="003B225C">
          <w:rPr>
            <w:rStyle w:val="Hyperlink"/>
            <w:lang w:val="es-ES"/>
          </w:rPr>
          <w:t>www.itu.int/go/rcpm-CMR-27-studies</w:t>
        </w:r>
      </w:hyperlink>
      <w:r w:rsidRPr="003B225C">
        <w:rPr>
          <w:lang w:val="es-ES"/>
        </w:rPr>
        <w:t>.</w:t>
      </w:r>
    </w:p>
    <w:p w14:paraId="377CDE08" w14:textId="77777777" w:rsidR="008D568F" w:rsidRPr="003B225C" w:rsidRDefault="008D568F" w:rsidP="008D568F">
      <w:pPr>
        <w:rPr>
          <w:lang w:val="es-ES"/>
        </w:rPr>
      </w:pPr>
      <w:r w:rsidRPr="003B225C">
        <w:rPr>
          <w:lang w:val="es-ES"/>
        </w:rPr>
        <w:t>La Oficina aprovecha esta oportunidad para destacar la importancia de que todos los Grupos de Trabajo y Miembros del UIT-R utilicen la Edición de 2024 del Reglamento de Radiocomunicaciones, en cuanto esté disponible, en la preparación de los proyectos de textos de la RPC.</w:t>
      </w:r>
    </w:p>
    <w:p w14:paraId="65897740" w14:textId="69A054DE" w:rsidR="008D568F" w:rsidRPr="003B225C" w:rsidRDefault="008D568F" w:rsidP="000402DC">
      <w:pPr>
        <w:rPr>
          <w:lang w:val="es-ES"/>
        </w:rPr>
      </w:pPr>
      <w:r w:rsidRPr="003B225C">
        <w:rPr>
          <w:lang w:val="es-ES"/>
        </w:rPr>
        <w:t xml:space="preserve">Los datos de contacto del </w:t>
      </w:r>
      <w:proofErr w:type="gramStart"/>
      <w:r w:rsidRPr="003B225C">
        <w:rPr>
          <w:lang w:val="es-ES"/>
        </w:rPr>
        <w:t>Presidente</w:t>
      </w:r>
      <w:proofErr w:type="gramEnd"/>
      <w:r w:rsidRPr="003B225C">
        <w:rPr>
          <w:lang w:val="es-ES"/>
        </w:rPr>
        <w:t xml:space="preserve">, los Vicepresidentes y los Relatores de Capítulo de la RPC, así como otros detalles de las actividades de la RPC-27, pueden consultarse en la página web de la RPC en la dirección: </w:t>
      </w:r>
      <w:hyperlink r:id="rId34" w:history="1">
        <w:r w:rsidR="000402DC" w:rsidRPr="003B225C">
          <w:rPr>
            <w:rStyle w:val="Hyperlink"/>
            <w:lang w:val="es-ES"/>
          </w:rPr>
          <w:t>http://www.itu.int/ITU-R/go/rcpm</w:t>
        </w:r>
      </w:hyperlink>
      <w:r w:rsidRPr="003B225C">
        <w:rPr>
          <w:lang w:val="es-ES"/>
        </w:rPr>
        <w:t>.</w:t>
      </w:r>
    </w:p>
    <w:p w14:paraId="65B0BBAC" w14:textId="77777777" w:rsidR="008D568F" w:rsidRPr="003B225C" w:rsidRDefault="008D568F" w:rsidP="000402DC">
      <w:pPr>
        <w:spacing w:before="1200"/>
        <w:jc w:val="left"/>
        <w:rPr>
          <w:lang w:val="es-ES"/>
        </w:rPr>
      </w:pPr>
      <w:r w:rsidRPr="003B225C">
        <w:rPr>
          <w:lang w:val="es-ES"/>
        </w:rPr>
        <w:t>Mario Maniewicz</w:t>
      </w:r>
      <w:r w:rsidRPr="003B225C">
        <w:rPr>
          <w:lang w:val="es-ES"/>
        </w:rPr>
        <w:br/>
        <w:t>Director</w:t>
      </w:r>
    </w:p>
    <w:p w14:paraId="481CA521" w14:textId="77777777" w:rsidR="008D568F" w:rsidRPr="003B225C" w:rsidRDefault="008D568F" w:rsidP="009F398B">
      <w:pPr>
        <w:tabs>
          <w:tab w:val="clear" w:pos="794"/>
        </w:tabs>
        <w:spacing w:before="5000"/>
        <w:rPr>
          <w:lang w:val="es-ES"/>
        </w:rPr>
      </w:pPr>
      <w:r w:rsidRPr="003B225C">
        <w:rPr>
          <w:b/>
          <w:bCs/>
          <w:lang w:val="es-ES"/>
        </w:rPr>
        <w:t>Anexo:</w:t>
      </w:r>
      <w:r w:rsidRPr="003B225C">
        <w:rPr>
          <w:b/>
          <w:bCs/>
          <w:lang w:val="es-ES"/>
        </w:rPr>
        <w:tab/>
      </w:r>
      <w:r w:rsidRPr="003B225C">
        <w:rPr>
          <w:lang w:val="es-ES"/>
        </w:rPr>
        <w:t>Modificación de la atribución de los trabajos preparatorios del UIT-R para la CMR-27</w:t>
      </w:r>
    </w:p>
    <w:p w14:paraId="0DF7AF32" w14:textId="77777777" w:rsidR="008D568F" w:rsidRPr="003B225C" w:rsidRDefault="008D568F" w:rsidP="008D568F">
      <w:pPr>
        <w:rPr>
          <w:lang w:val="es-ES"/>
        </w:rPr>
      </w:pPr>
      <w:r w:rsidRPr="003B225C">
        <w:rPr>
          <w:lang w:val="es-ES"/>
        </w:rPr>
        <w:br w:type="page"/>
      </w:r>
    </w:p>
    <w:p w14:paraId="7208BA39" w14:textId="3D9D6557" w:rsidR="008D568F" w:rsidRPr="003B225C" w:rsidRDefault="008D568F" w:rsidP="008D568F">
      <w:pPr>
        <w:pStyle w:val="AnnexNoTitle"/>
        <w:rPr>
          <w:lang w:val="es-ES"/>
        </w:rPr>
      </w:pPr>
      <w:r w:rsidRPr="003B225C">
        <w:rPr>
          <w:lang w:val="es-ES"/>
        </w:rPr>
        <w:lastRenderedPageBreak/>
        <w:t>Anexo 1</w:t>
      </w:r>
      <w:r w:rsidRPr="003B225C">
        <w:rPr>
          <w:lang w:val="es-ES"/>
        </w:rPr>
        <w:br/>
      </w:r>
      <w:r w:rsidRPr="003B225C">
        <w:rPr>
          <w:lang w:val="es-ES"/>
        </w:rPr>
        <w:br/>
        <w:t xml:space="preserve">Modificación de la atribución de los trabajos preparatorios </w:t>
      </w:r>
      <w:r w:rsidR="004D7896" w:rsidRPr="003B225C">
        <w:rPr>
          <w:lang w:val="es-ES"/>
        </w:rPr>
        <w:br/>
      </w:r>
      <w:r w:rsidRPr="003B225C">
        <w:rPr>
          <w:lang w:val="es-ES"/>
        </w:rPr>
        <w:t>del UIT-R para la CMR</w:t>
      </w:r>
      <w:r w:rsidRPr="003B225C">
        <w:rPr>
          <w:lang w:val="es-ES"/>
        </w:rPr>
        <w:noBreakHyphen/>
        <w:t>27</w:t>
      </w:r>
    </w:p>
    <w:p w14:paraId="53DD0B3A" w14:textId="77777777" w:rsidR="008D568F" w:rsidRPr="003B225C" w:rsidRDefault="008D568F" w:rsidP="008D568F">
      <w:pPr>
        <w:pStyle w:val="Normalaftertitle"/>
        <w:rPr>
          <w:lang w:val="es-ES"/>
        </w:rPr>
      </w:pPr>
      <w:r w:rsidRPr="003B225C">
        <w:rPr>
          <w:lang w:val="es-ES"/>
        </w:rPr>
        <w:t>En su reunión del 24 de junio de 2024, la Comisión de Dirección de la RPC-27 accedió a las solicitudes de algunos Grupos de Trabajo (GT) en relación con las listas de grupos contribuyentes para algunos puntos del orden del día de la CMR</w:t>
      </w:r>
      <w:r w:rsidRPr="003B225C">
        <w:rPr>
          <w:lang w:val="es-ES"/>
        </w:rPr>
        <w:noBreakHyphen/>
        <w:t>27, a saber:</w:t>
      </w:r>
    </w:p>
    <w:p w14:paraId="620486E9" w14:textId="080BBA25" w:rsidR="008D568F" w:rsidRPr="003B225C" w:rsidRDefault="008D568F" w:rsidP="008D568F">
      <w:pPr>
        <w:pStyle w:val="enumlev1"/>
        <w:rPr>
          <w:lang w:val="es-ES"/>
        </w:rPr>
      </w:pPr>
      <w:r w:rsidRPr="003B225C">
        <w:rPr>
          <w:lang w:val="es-ES"/>
        </w:rPr>
        <w:t>–</w:t>
      </w:r>
      <w:r w:rsidRPr="003B225C">
        <w:rPr>
          <w:lang w:val="es-ES"/>
        </w:rPr>
        <w:tab/>
      </w:r>
      <w:r w:rsidR="001F2FFC" w:rsidRPr="003B225C">
        <w:rPr>
          <w:lang w:val="es-ES"/>
        </w:rPr>
        <w:t>s</w:t>
      </w:r>
      <w:r w:rsidRPr="003B225C">
        <w:rPr>
          <w:lang w:val="es-ES"/>
        </w:rPr>
        <w:t>uprimir el GT</w:t>
      </w:r>
      <w:r w:rsidR="001F2FFC" w:rsidRPr="003B225C">
        <w:rPr>
          <w:lang w:val="es-ES"/>
        </w:rPr>
        <w:t> </w:t>
      </w:r>
      <w:r w:rsidRPr="003B225C">
        <w:rPr>
          <w:lang w:val="es-ES"/>
        </w:rPr>
        <w:t>6B de la lista para el punto</w:t>
      </w:r>
      <w:r w:rsidR="001F2FFC" w:rsidRPr="003B225C">
        <w:rPr>
          <w:lang w:val="es-ES"/>
        </w:rPr>
        <w:t> </w:t>
      </w:r>
      <w:r w:rsidRPr="003B225C">
        <w:rPr>
          <w:lang w:val="es-ES"/>
        </w:rPr>
        <w:t>1.4 del orden del día;</w:t>
      </w:r>
    </w:p>
    <w:p w14:paraId="62B8867D" w14:textId="2539895C" w:rsidR="008D568F" w:rsidRPr="003B225C" w:rsidRDefault="008D568F" w:rsidP="008D568F">
      <w:pPr>
        <w:pStyle w:val="enumlev1"/>
        <w:rPr>
          <w:lang w:val="es-ES"/>
        </w:rPr>
      </w:pPr>
      <w:r w:rsidRPr="003B225C">
        <w:rPr>
          <w:lang w:val="es-ES"/>
        </w:rPr>
        <w:t>–</w:t>
      </w:r>
      <w:r w:rsidRPr="003B225C">
        <w:rPr>
          <w:lang w:val="es-ES"/>
        </w:rPr>
        <w:tab/>
      </w:r>
      <w:r w:rsidR="001F2FFC" w:rsidRPr="003B225C">
        <w:rPr>
          <w:lang w:val="es-ES"/>
        </w:rPr>
        <w:t>s</w:t>
      </w:r>
      <w:r w:rsidRPr="003B225C">
        <w:rPr>
          <w:lang w:val="es-ES"/>
        </w:rPr>
        <w:t>uprimir el GT</w:t>
      </w:r>
      <w:r w:rsidR="001F2FFC" w:rsidRPr="003B225C">
        <w:rPr>
          <w:lang w:val="es-ES"/>
        </w:rPr>
        <w:t> </w:t>
      </w:r>
      <w:r w:rsidRPr="003B225C">
        <w:rPr>
          <w:lang w:val="es-ES"/>
        </w:rPr>
        <w:t>1B de la lista para los puntos</w:t>
      </w:r>
      <w:r w:rsidR="001F2FFC" w:rsidRPr="003B225C">
        <w:rPr>
          <w:lang w:val="es-ES"/>
        </w:rPr>
        <w:t> </w:t>
      </w:r>
      <w:r w:rsidRPr="003B225C">
        <w:rPr>
          <w:lang w:val="es-ES"/>
        </w:rPr>
        <w:t>1.6, 1.7, 1.15 y 1.16 del orden del día;</w:t>
      </w:r>
    </w:p>
    <w:p w14:paraId="5C0C4E30" w14:textId="0078FF97" w:rsidR="008D568F" w:rsidRPr="003B225C" w:rsidRDefault="008D568F" w:rsidP="008D568F">
      <w:pPr>
        <w:pStyle w:val="enumlev1"/>
        <w:rPr>
          <w:lang w:val="es-ES"/>
        </w:rPr>
      </w:pPr>
      <w:r w:rsidRPr="003B225C">
        <w:rPr>
          <w:lang w:val="es-ES"/>
        </w:rPr>
        <w:t>–</w:t>
      </w:r>
      <w:r w:rsidRPr="003B225C">
        <w:rPr>
          <w:lang w:val="es-ES"/>
        </w:rPr>
        <w:tab/>
      </w:r>
      <w:r w:rsidR="001F2FFC" w:rsidRPr="003B225C">
        <w:rPr>
          <w:lang w:val="es-ES"/>
        </w:rPr>
        <w:t>s</w:t>
      </w:r>
      <w:r w:rsidRPr="003B225C">
        <w:rPr>
          <w:lang w:val="es-ES"/>
        </w:rPr>
        <w:t>uprimir el GT</w:t>
      </w:r>
      <w:r w:rsidR="001F2FFC" w:rsidRPr="003B225C">
        <w:rPr>
          <w:lang w:val="es-ES"/>
        </w:rPr>
        <w:t> </w:t>
      </w:r>
      <w:r w:rsidRPr="003B225C">
        <w:rPr>
          <w:lang w:val="es-ES"/>
        </w:rPr>
        <w:t>1A de la lista para el punto</w:t>
      </w:r>
      <w:r w:rsidR="001F2FFC" w:rsidRPr="003B225C">
        <w:rPr>
          <w:lang w:val="es-ES"/>
        </w:rPr>
        <w:t> </w:t>
      </w:r>
      <w:r w:rsidRPr="003B225C">
        <w:rPr>
          <w:lang w:val="es-ES"/>
        </w:rPr>
        <w:t>1.10 del orden del día;</w:t>
      </w:r>
    </w:p>
    <w:p w14:paraId="5F206D0A" w14:textId="568F8BB3" w:rsidR="008D568F" w:rsidRPr="003B225C" w:rsidRDefault="008D568F" w:rsidP="008D568F">
      <w:pPr>
        <w:pStyle w:val="enumlev1"/>
        <w:rPr>
          <w:lang w:val="es-ES"/>
        </w:rPr>
      </w:pPr>
      <w:r w:rsidRPr="003B225C">
        <w:rPr>
          <w:lang w:val="es-ES"/>
        </w:rPr>
        <w:t>–</w:t>
      </w:r>
      <w:r w:rsidRPr="003B225C">
        <w:rPr>
          <w:lang w:val="es-ES"/>
        </w:rPr>
        <w:tab/>
      </w:r>
      <w:r w:rsidR="001F2FFC" w:rsidRPr="003B225C">
        <w:rPr>
          <w:lang w:val="es-ES"/>
        </w:rPr>
        <w:t>s</w:t>
      </w:r>
      <w:r w:rsidRPr="003B225C">
        <w:rPr>
          <w:lang w:val="es-ES"/>
        </w:rPr>
        <w:t>uprimir el GT</w:t>
      </w:r>
      <w:r w:rsidR="001F2FFC" w:rsidRPr="003B225C">
        <w:rPr>
          <w:lang w:val="es-ES"/>
        </w:rPr>
        <w:t> </w:t>
      </w:r>
      <w:r w:rsidRPr="003B225C">
        <w:rPr>
          <w:lang w:val="es-ES"/>
        </w:rPr>
        <w:t>6A de la lista para el punto</w:t>
      </w:r>
      <w:r w:rsidR="001F2FFC" w:rsidRPr="003B225C">
        <w:rPr>
          <w:lang w:val="es-ES"/>
        </w:rPr>
        <w:t> </w:t>
      </w:r>
      <w:r w:rsidRPr="003B225C">
        <w:rPr>
          <w:lang w:val="es-ES"/>
        </w:rPr>
        <w:t>1.11 del orden del día;</w:t>
      </w:r>
    </w:p>
    <w:p w14:paraId="7A03FE28" w14:textId="260EBB92" w:rsidR="008D568F" w:rsidRPr="003B225C" w:rsidRDefault="008D568F" w:rsidP="008D568F">
      <w:pPr>
        <w:pStyle w:val="enumlev1"/>
        <w:rPr>
          <w:lang w:val="es-ES"/>
        </w:rPr>
      </w:pPr>
      <w:r w:rsidRPr="003B225C">
        <w:rPr>
          <w:lang w:val="es-ES"/>
        </w:rPr>
        <w:t>–</w:t>
      </w:r>
      <w:r w:rsidRPr="003B225C">
        <w:rPr>
          <w:lang w:val="es-ES"/>
        </w:rPr>
        <w:tab/>
      </w:r>
      <w:r w:rsidR="001F2FFC" w:rsidRPr="003B225C">
        <w:rPr>
          <w:lang w:val="es-ES"/>
        </w:rPr>
        <w:t>a</w:t>
      </w:r>
      <w:r w:rsidRPr="003B225C">
        <w:rPr>
          <w:lang w:val="es-ES"/>
        </w:rPr>
        <w:t>ñadir el GT</w:t>
      </w:r>
      <w:r w:rsidR="001F2FFC" w:rsidRPr="003B225C">
        <w:rPr>
          <w:lang w:val="es-ES"/>
        </w:rPr>
        <w:t> </w:t>
      </w:r>
      <w:r w:rsidRPr="003B225C">
        <w:rPr>
          <w:lang w:val="es-ES"/>
        </w:rPr>
        <w:t>3M a la lista para el punto</w:t>
      </w:r>
      <w:r w:rsidR="001F2FFC" w:rsidRPr="003B225C">
        <w:rPr>
          <w:lang w:val="es-ES"/>
        </w:rPr>
        <w:t> </w:t>
      </w:r>
      <w:r w:rsidRPr="003B225C">
        <w:rPr>
          <w:lang w:val="es-ES"/>
        </w:rPr>
        <w:t>1.14 del orden del día;</w:t>
      </w:r>
    </w:p>
    <w:p w14:paraId="063A4975" w14:textId="3659605C" w:rsidR="008D568F" w:rsidRPr="003B225C" w:rsidRDefault="008D568F" w:rsidP="008D568F">
      <w:pPr>
        <w:pStyle w:val="enumlev1"/>
        <w:rPr>
          <w:lang w:val="es-ES"/>
        </w:rPr>
      </w:pPr>
      <w:r w:rsidRPr="003B225C">
        <w:rPr>
          <w:lang w:val="es-ES"/>
        </w:rPr>
        <w:t>–</w:t>
      </w:r>
      <w:r w:rsidRPr="003B225C">
        <w:rPr>
          <w:lang w:val="es-ES"/>
        </w:rPr>
        <w:tab/>
      </w:r>
      <w:r w:rsidR="001F2FFC" w:rsidRPr="003B225C">
        <w:rPr>
          <w:lang w:val="es-ES"/>
        </w:rPr>
        <w:t>s</w:t>
      </w:r>
      <w:r w:rsidRPr="003B225C">
        <w:rPr>
          <w:lang w:val="es-ES"/>
        </w:rPr>
        <w:t>uprimir el GT</w:t>
      </w:r>
      <w:r w:rsidR="001F2FFC" w:rsidRPr="003B225C">
        <w:rPr>
          <w:lang w:val="es-ES"/>
        </w:rPr>
        <w:t> </w:t>
      </w:r>
      <w:r w:rsidRPr="003B225C">
        <w:rPr>
          <w:lang w:val="es-ES"/>
        </w:rPr>
        <w:t>4A de la lista para el punto</w:t>
      </w:r>
      <w:r w:rsidR="001F2FFC" w:rsidRPr="003B225C">
        <w:rPr>
          <w:lang w:val="es-ES"/>
        </w:rPr>
        <w:t> </w:t>
      </w:r>
      <w:r w:rsidRPr="003B225C">
        <w:rPr>
          <w:lang w:val="es-ES"/>
        </w:rPr>
        <w:t>1.17 del orden del día;</w:t>
      </w:r>
    </w:p>
    <w:p w14:paraId="0520C9FA" w14:textId="6E700597" w:rsidR="008D568F" w:rsidRPr="003B225C" w:rsidRDefault="008D568F" w:rsidP="008D568F">
      <w:pPr>
        <w:pStyle w:val="enumlev1"/>
        <w:rPr>
          <w:lang w:val="es-ES"/>
        </w:rPr>
      </w:pPr>
      <w:r w:rsidRPr="003B225C">
        <w:rPr>
          <w:lang w:val="es-ES"/>
        </w:rPr>
        <w:t>–</w:t>
      </w:r>
      <w:r w:rsidRPr="003B225C">
        <w:rPr>
          <w:lang w:val="es-ES"/>
        </w:rPr>
        <w:tab/>
      </w:r>
      <w:r w:rsidR="001F2FFC" w:rsidRPr="003B225C">
        <w:rPr>
          <w:lang w:val="es-ES"/>
        </w:rPr>
        <w:t>a</w:t>
      </w:r>
      <w:r w:rsidRPr="003B225C">
        <w:rPr>
          <w:lang w:val="es-ES"/>
        </w:rPr>
        <w:t>ñadir el GT</w:t>
      </w:r>
      <w:r w:rsidR="001F2FFC" w:rsidRPr="003B225C">
        <w:rPr>
          <w:lang w:val="es-ES"/>
        </w:rPr>
        <w:t> </w:t>
      </w:r>
      <w:r w:rsidRPr="003B225C">
        <w:rPr>
          <w:lang w:val="es-ES"/>
        </w:rPr>
        <w:t>3J a la lista para el punto</w:t>
      </w:r>
      <w:r w:rsidR="001F2FFC" w:rsidRPr="003B225C">
        <w:rPr>
          <w:lang w:val="es-ES"/>
        </w:rPr>
        <w:t> </w:t>
      </w:r>
      <w:r w:rsidRPr="003B225C">
        <w:rPr>
          <w:lang w:val="es-ES"/>
        </w:rPr>
        <w:t>1.19 del orden del día.</w:t>
      </w:r>
    </w:p>
    <w:p w14:paraId="55F11F56" w14:textId="77777777" w:rsidR="008D568F" w:rsidRPr="003B225C" w:rsidRDefault="008D568F" w:rsidP="008D568F">
      <w:pPr>
        <w:rPr>
          <w:lang w:val="es-ES"/>
        </w:rPr>
      </w:pPr>
      <w:r w:rsidRPr="003B225C">
        <w:rPr>
          <w:lang w:val="es-ES"/>
        </w:rPr>
        <w:t>El Cuadro siguiente contiene la atribución actualizada de los trabajos preparatorios del UIT-R para los puntos del orden del día de la CMR</w:t>
      </w:r>
      <w:r w:rsidRPr="003B225C">
        <w:rPr>
          <w:lang w:val="es-ES"/>
        </w:rPr>
        <w:noBreakHyphen/>
        <w:t>27, como se propone en la Resolución </w:t>
      </w:r>
      <w:r w:rsidRPr="003B225C">
        <w:rPr>
          <w:b/>
          <w:bCs/>
          <w:lang w:val="es-ES"/>
        </w:rPr>
        <w:t>813 (CMR</w:t>
      </w:r>
      <w:r w:rsidRPr="003B225C">
        <w:rPr>
          <w:b/>
          <w:bCs/>
          <w:lang w:val="es-ES"/>
        </w:rPr>
        <w:noBreakHyphen/>
        <w:t>23)</w:t>
      </w:r>
      <w:r w:rsidRPr="003B225C">
        <w:rPr>
          <w:lang w:val="es-ES"/>
        </w:rPr>
        <w:t>.</w:t>
      </w:r>
    </w:p>
    <w:p w14:paraId="1E4C03D4" w14:textId="61BA937E" w:rsidR="008D568F" w:rsidRPr="003B225C" w:rsidRDefault="008D568F" w:rsidP="008D568F">
      <w:pPr>
        <w:rPr>
          <w:lang w:val="es-ES"/>
        </w:rPr>
      </w:pPr>
      <w:r w:rsidRPr="003B225C">
        <w:rPr>
          <w:lang w:val="es-ES"/>
        </w:rPr>
        <w:t xml:space="preserve">Incluye anotaciones para la identificación de los </w:t>
      </w:r>
      <w:r w:rsidR="006D5D0B" w:rsidRPr="003B225C">
        <w:rPr>
          <w:lang w:val="es-ES"/>
        </w:rPr>
        <w:t>«</w:t>
      </w:r>
      <w:r w:rsidRPr="003B225C">
        <w:rPr>
          <w:lang w:val="es-ES"/>
        </w:rPr>
        <w:t>grupos responsables</w:t>
      </w:r>
      <w:r w:rsidR="006D5D0B" w:rsidRPr="003B225C">
        <w:rPr>
          <w:lang w:val="es-ES"/>
        </w:rPr>
        <w:t>»</w:t>
      </w:r>
      <w:r w:rsidRPr="003B225C">
        <w:rPr>
          <w:lang w:val="es-ES"/>
        </w:rPr>
        <w:t xml:space="preserve"> y los </w:t>
      </w:r>
      <w:r w:rsidR="006D5D0B" w:rsidRPr="003B225C">
        <w:rPr>
          <w:lang w:val="es-ES"/>
        </w:rPr>
        <w:t>«</w:t>
      </w:r>
      <w:r w:rsidRPr="003B225C">
        <w:rPr>
          <w:lang w:val="es-ES"/>
        </w:rPr>
        <w:t>grupos contribuyentes</w:t>
      </w:r>
      <w:r w:rsidR="006D5D0B" w:rsidRPr="003B225C">
        <w:rPr>
          <w:lang w:val="es-ES"/>
        </w:rPr>
        <w:t>»</w:t>
      </w:r>
      <w:r w:rsidRPr="003B225C">
        <w:rPr>
          <w:lang w:val="es-ES"/>
        </w:rPr>
        <w:t xml:space="preserve"> del UIT-R para los puntos del orden del día de la CMR</w:t>
      </w:r>
      <w:r w:rsidRPr="003B225C">
        <w:rPr>
          <w:lang w:val="es-ES"/>
        </w:rPr>
        <w:noBreakHyphen/>
        <w:t>27.</w:t>
      </w:r>
    </w:p>
    <w:p w14:paraId="653BB0D5" w14:textId="4F9AFF2D" w:rsidR="008D568F" w:rsidRPr="003B225C" w:rsidRDefault="008D568F" w:rsidP="008D568F">
      <w:pPr>
        <w:pStyle w:val="Note"/>
        <w:rPr>
          <w:lang w:val="es-ES"/>
        </w:rPr>
      </w:pPr>
      <w:r w:rsidRPr="003B225C">
        <w:rPr>
          <w:lang w:val="es-ES"/>
        </w:rPr>
        <w:t>NOTA</w:t>
      </w:r>
      <w:r w:rsidR="001F2FFC" w:rsidRPr="003B225C">
        <w:rPr>
          <w:lang w:val="es-ES"/>
        </w:rPr>
        <w:t> </w:t>
      </w:r>
      <w:r w:rsidRPr="003B225C">
        <w:rPr>
          <w:lang w:val="es-ES"/>
        </w:rPr>
        <w:t>1 – Los Grupos de Trabajo indicados en el siguiente Cuadro se han identificado basándose en la estructura de las Comisiones de Estudio contenida en el Documento</w:t>
      </w:r>
      <w:r w:rsidR="001F2FFC" w:rsidRPr="003B225C">
        <w:rPr>
          <w:lang w:val="es-ES"/>
        </w:rPr>
        <w:t> </w:t>
      </w:r>
      <w:hyperlink r:id="rId35" w:history="1">
        <w:r w:rsidRPr="003B225C">
          <w:rPr>
            <w:rStyle w:val="Hyperlink"/>
            <w:lang w:val="es-ES"/>
          </w:rPr>
          <w:t>CPM27</w:t>
        </w:r>
        <w:r w:rsidRPr="003B225C">
          <w:rPr>
            <w:rStyle w:val="Hyperlink"/>
            <w:lang w:val="es-ES"/>
          </w:rPr>
          <w:noBreakHyphen/>
          <w:t>1/1</w:t>
        </w:r>
      </w:hyperlink>
      <w:r w:rsidRPr="003B225C">
        <w:rPr>
          <w:lang w:val="es-ES"/>
        </w:rPr>
        <w:t>.</w:t>
      </w:r>
    </w:p>
    <w:p w14:paraId="3DFBCCE5" w14:textId="404FF8B3" w:rsidR="008D568F" w:rsidRPr="003B225C" w:rsidRDefault="008D568F" w:rsidP="00CA0778">
      <w:pPr>
        <w:pStyle w:val="Note"/>
        <w:spacing w:after="360"/>
        <w:rPr>
          <w:lang w:val="es-ES"/>
        </w:rPr>
      </w:pPr>
      <w:r w:rsidRPr="003B225C">
        <w:rPr>
          <w:lang w:val="es-ES"/>
        </w:rPr>
        <w:t>NOTA</w:t>
      </w:r>
      <w:r w:rsidR="001F2FFC" w:rsidRPr="003B225C">
        <w:rPr>
          <w:lang w:val="es-ES"/>
        </w:rPr>
        <w:t> </w:t>
      </w:r>
      <w:r w:rsidRPr="003B225C">
        <w:rPr>
          <w:lang w:val="es-ES"/>
        </w:rPr>
        <w:t>2 – Se invita a los grupos responsables a comunicar periódicamente a los grupos contribuyentes los progresos realizados y los resultados de sus estudios.</w:t>
      </w:r>
    </w:p>
    <w:tbl>
      <w:tblPr>
        <w:tblStyle w:val="TableGrid"/>
        <w:tblW w:w="5000" w:type="pct"/>
        <w:jc w:val="center"/>
        <w:tblLook w:val="04A0" w:firstRow="1" w:lastRow="0" w:firstColumn="1" w:lastColumn="0" w:noHBand="0" w:noVBand="1"/>
      </w:tblPr>
      <w:tblGrid>
        <w:gridCol w:w="1563"/>
        <w:gridCol w:w="1722"/>
        <w:gridCol w:w="1512"/>
        <w:gridCol w:w="4832"/>
      </w:tblGrid>
      <w:tr w:rsidR="008D568F" w:rsidRPr="00A2786A" w14:paraId="40F2E34B" w14:textId="77777777" w:rsidTr="008D568F">
        <w:trPr>
          <w:tblHeader/>
          <w:jc w:val="center"/>
        </w:trPr>
        <w:tc>
          <w:tcPr>
            <w:tcW w:w="9629" w:type="dxa"/>
            <w:gridSpan w:val="4"/>
            <w:vAlign w:val="center"/>
          </w:tcPr>
          <w:p w14:paraId="7FF04E25" w14:textId="77777777" w:rsidR="008D568F" w:rsidRPr="003B225C" w:rsidRDefault="008D568F" w:rsidP="008D568F">
            <w:pPr>
              <w:pStyle w:val="Tablehead"/>
              <w:rPr>
                <w:lang w:val="es-ES"/>
              </w:rPr>
            </w:pPr>
            <w:r w:rsidRPr="003B225C">
              <w:rPr>
                <w:lang w:val="es-ES"/>
              </w:rPr>
              <w:t>Atribución de los trabajos preparatorios del UIT-R para la CMR</w:t>
            </w:r>
            <w:r w:rsidRPr="003B225C">
              <w:rPr>
                <w:lang w:val="es-ES"/>
              </w:rPr>
              <w:noBreakHyphen/>
              <w:t>27</w:t>
            </w:r>
          </w:p>
        </w:tc>
      </w:tr>
      <w:tr w:rsidR="008D568F" w:rsidRPr="003B225C" w14:paraId="5E7C9E11" w14:textId="77777777" w:rsidTr="001F2FFC">
        <w:trPr>
          <w:tblHeader/>
          <w:jc w:val="center"/>
        </w:trPr>
        <w:tc>
          <w:tcPr>
            <w:tcW w:w="1563" w:type="dxa"/>
            <w:vAlign w:val="center"/>
          </w:tcPr>
          <w:p w14:paraId="410685D8" w14:textId="77777777" w:rsidR="008D568F" w:rsidRPr="003B225C" w:rsidRDefault="008D568F" w:rsidP="008D568F">
            <w:pPr>
              <w:pStyle w:val="Tablehead"/>
              <w:rPr>
                <w:lang w:val="es-ES"/>
              </w:rPr>
            </w:pPr>
            <w:r w:rsidRPr="003B225C">
              <w:rPr>
                <w:lang w:val="es-ES"/>
              </w:rPr>
              <w:t>Punto del orden del día/Tema de la CMR-27</w:t>
            </w:r>
          </w:p>
        </w:tc>
        <w:tc>
          <w:tcPr>
            <w:tcW w:w="1722" w:type="dxa"/>
            <w:vAlign w:val="center"/>
          </w:tcPr>
          <w:p w14:paraId="324981E4" w14:textId="78850A73" w:rsidR="008D568F" w:rsidRPr="003B225C" w:rsidRDefault="008D568F" w:rsidP="008D568F">
            <w:pPr>
              <w:pStyle w:val="Tablehead"/>
              <w:rPr>
                <w:lang w:val="es-ES"/>
              </w:rPr>
            </w:pPr>
            <w:r w:rsidRPr="003B225C">
              <w:rPr>
                <w:lang w:val="es-ES"/>
              </w:rPr>
              <w:t xml:space="preserve">Resolución </w:t>
            </w:r>
            <w:r w:rsidR="001F2FFC" w:rsidRPr="003B225C">
              <w:rPr>
                <w:lang w:val="es-ES"/>
              </w:rPr>
              <w:br/>
            </w:r>
            <w:r w:rsidRPr="003B225C">
              <w:rPr>
                <w:lang w:val="es-ES"/>
              </w:rPr>
              <w:t>de la CMR</w:t>
            </w:r>
          </w:p>
        </w:tc>
        <w:tc>
          <w:tcPr>
            <w:tcW w:w="1512" w:type="dxa"/>
            <w:vAlign w:val="center"/>
          </w:tcPr>
          <w:p w14:paraId="4908DA2D" w14:textId="4D136682" w:rsidR="008D568F" w:rsidRPr="003B225C" w:rsidRDefault="008D568F" w:rsidP="008D568F">
            <w:pPr>
              <w:pStyle w:val="Tablehead"/>
              <w:rPr>
                <w:lang w:val="es-ES"/>
              </w:rPr>
            </w:pPr>
            <w:r w:rsidRPr="003B225C">
              <w:rPr>
                <w:lang w:val="es-ES"/>
              </w:rPr>
              <w:t>Grupo responsable</w:t>
            </w:r>
          </w:p>
        </w:tc>
        <w:tc>
          <w:tcPr>
            <w:tcW w:w="4832" w:type="dxa"/>
            <w:vAlign w:val="center"/>
          </w:tcPr>
          <w:p w14:paraId="73A6BBB9" w14:textId="77777777" w:rsidR="008D568F" w:rsidRPr="003B225C" w:rsidRDefault="008D568F" w:rsidP="008D568F">
            <w:pPr>
              <w:pStyle w:val="Tablehead"/>
              <w:rPr>
                <w:lang w:val="es-ES"/>
              </w:rPr>
            </w:pPr>
            <w:r w:rsidRPr="003B225C">
              <w:rPr>
                <w:lang w:val="es-ES"/>
              </w:rPr>
              <w:t>Grupo contribuyente</w:t>
            </w:r>
          </w:p>
        </w:tc>
      </w:tr>
      <w:tr w:rsidR="008D568F" w:rsidRPr="00A2786A" w14:paraId="024FC0A5" w14:textId="77777777" w:rsidTr="001F2FFC">
        <w:trPr>
          <w:jc w:val="center"/>
        </w:trPr>
        <w:tc>
          <w:tcPr>
            <w:tcW w:w="1563" w:type="dxa"/>
            <w:vAlign w:val="center"/>
          </w:tcPr>
          <w:p w14:paraId="6DC8E7BC" w14:textId="77777777" w:rsidR="008D568F" w:rsidRPr="003B225C" w:rsidRDefault="008D568F" w:rsidP="001F2FFC">
            <w:pPr>
              <w:pStyle w:val="Tabletext"/>
              <w:jc w:val="center"/>
              <w:rPr>
                <w:lang w:val="es-ES"/>
              </w:rPr>
            </w:pPr>
            <w:r w:rsidRPr="003B225C">
              <w:rPr>
                <w:lang w:val="es-ES"/>
              </w:rPr>
              <w:t>1.1</w:t>
            </w:r>
          </w:p>
        </w:tc>
        <w:tc>
          <w:tcPr>
            <w:tcW w:w="1722" w:type="dxa"/>
            <w:vAlign w:val="center"/>
          </w:tcPr>
          <w:p w14:paraId="4F6F1746" w14:textId="77777777" w:rsidR="008D568F" w:rsidRPr="003B225C" w:rsidRDefault="008D568F" w:rsidP="001F2FFC">
            <w:pPr>
              <w:pStyle w:val="Tabletext"/>
              <w:jc w:val="center"/>
              <w:rPr>
                <w:lang w:val="es-ES"/>
              </w:rPr>
            </w:pPr>
            <w:r w:rsidRPr="003B225C">
              <w:rPr>
                <w:lang w:val="es-ES"/>
              </w:rPr>
              <w:t>176 (Rev.CMR-23)</w:t>
            </w:r>
          </w:p>
        </w:tc>
        <w:tc>
          <w:tcPr>
            <w:tcW w:w="1512" w:type="dxa"/>
            <w:vAlign w:val="center"/>
          </w:tcPr>
          <w:p w14:paraId="73DCBB8F" w14:textId="2EC2918E" w:rsidR="008D568F" w:rsidRPr="003B225C" w:rsidRDefault="008D568F" w:rsidP="001F2FFC">
            <w:pPr>
              <w:pStyle w:val="Tabletext"/>
              <w:jc w:val="center"/>
              <w:rPr>
                <w:lang w:val="es-ES"/>
              </w:rPr>
            </w:pPr>
            <w:r w:rsidRPr="003B225C">
              <w:rPr>
                <w:lang w:val="es-ES"/>
              </w:rPr>
              <w:t>GT</w:t>
            </w:r>
            <w:r w:rsidR="00D87C30" w:rsidRPr="003B225C">
              <w:rPr>
                <w:lang w:val="es-ES"/>
              </w:rPr>
              <w:t> </w:t>
            </w:r>
            <w:r w:rsidRPr="003B225C">
              <w:rPr>
                <w:lang w:val="es-ES"/>
              </w:rPr>
              <w:t>4A</w:t>
            </w:r>
          </w:p>
        </w:tc>
        <w:tc>
          <w:tcPr>
            <w:tcW w:w="4832" w:type="dxa"/>
            <w:vAlign w:val="center"/>
          </w:tcPr>
          <w:p w14:paraId="761442B3" w14:textId="1920F55B" w:rsidR="008D568F" w:rsidRPr="00A2786A" w:rsidRDefault="008D568F" w:rsidP="001F2FFC">
            <w:pPr>
              <w:pStyle w:val="Tabletext"/>
              <w:jc w:val="center"/>
              <w:rPr>
                <w:lang w:val="fr-FR"/>
              </w:rPr>
            </w:pPr>
            <w:r w:rsidRPr="00A2786A">
              <w:rPr>
                <w:lang w:val="fr-FR"/>
              </w:rPr>
              <w:t>GT</w:t>
            </w:r>
            <w:r w:rsidR="00D87C30" w:rsidRPr="00A2786A">
              <w:rPr>
                <w:lang w:val="fr-FR"/>
              </w:rPr>
              <w:t> </w:t>
            </w:r>
            <w:proofErr w:type="gramStart"/>
            <w:r w:rsidRPr="00A2786A">
              <w:rPr>
                <w:lang w:val="fr-FR"/>
              </w:rPr>
              <w:t>3M;</w:t>
            </w:r>
            <w:proofErr w:type="gramEnd"/>
            <w:r w:rsidRPr="00A2786A">
              <w:rPr>
                <w:lang w:val="fr-FR"/>
              </w:rPr>
              <w:t xml:space="preserve"> GT</w:t>
            </w:r>
            <w:r w:rsidR="00D87C30" w:rsidRPr="00A2786A">
              <w:rPr>
                <w:lang w:val="fr-FR"/>
              </w:rPr>
              <w:t> </w:t>
            </w:r>
            <w:r w:rsidRPr="00A2786A">
              <w:rPr>
                <w:lang w:val="fr-FR"/>
              </w:rPr>
              <w:t>4C; GT</w:t>
            </w:r>
            <w:r w:rsidR="00D87C30" w:rsidRPr="00A2786A">
              <w:rPr>
                <w:lang w:val="fr-FR"/>
              </w:rPr>
              <w:t> </w:t>
            </w:r>
            <w:r w:rsidRPr="00A2786A">
              <w:rPr>
                <w:lang w:val="fr-FR"/>
              </w:rPr>
              <w:t>5A; GT</w:t>
            </w:r>
            <w:r w:rsidR="00D87C30" w:rsidRPr="00A2786A">
              <w:rPr>
                <w:lang w:val="fr-FR"/>
              </w:rPr>
              <w:t> </w:t>
            </w:r>
            <w:r w:rsidRPr="00A2786A">
              <w:rPr>
                <w:lang w:val="fr-FR"/>
              </w:rPr>
              <w:t>5B; GT</w:t>
            </w:r>
            <w:r w:rsidR="00D87C30" w:rsidRPr="00A2786A">
              <w:rPr>
                <w:lang w:val="fr-FR"/>
              </w:rPr>
              <w:t> </w:t>
            </w:r>
            <w:r w:rsidRPr="00A2786A">
              <w:rPr>
                <w:lang w:val="fr-FR"/>
              </w:rPr>
              <w:t>5C; GT</w:t>
            </w:r>
            <w:r w:rsidR="001F2FFC" w:rsidRPr="00A2786A">
              <w:rPr>
                <w:lang w:val="fr-FR"/>
              </w:rPr>
              <w:t> </w:t>
            </w:r>
            <w:r w:rsidRPr="00A2786A">
              <w:rPr>
                <w:lang w:val="fr-FR"/>
              </w:rPr>
              <w:t>5D; GT 7B; GT 7C; GT</w:t>
            </w:r>
            <w:r w:rsidR="001F2FFC" w:rsidRPr="00A2786A">
              <w:rPr>
                <w:lang w:val="fr-FR"/>
              </w:rPr>
              <w:t> </w:t>
            </w:r>
            <w:r w:rsidRPr="00A2786A">
              <w:rPr>
                <w:lang w:val="fr-FR"/>
              </w:rPr>
              <w:t>7D</w:t>
            </w:r>
          </w:p>
        </w:tc>
      </w:tr>
      <w:tr w:rsidR="008D568F" w:rsidRPr="00A2786A" w14:paraId="57043425" w14:textId="77777777" w:rsidTr="001F2FFC">
        <w:trPr>
          <w:jc w:val="center"/>
        </w:trPr>
        <w:tc>
          <w:tcPr>
            <w:tcW w:w="1563" w:type="dxa"/>
            <w:vAlign w:val="center"/>
          </w:tcPr>
          <w:p w14:paraId="489E37E8" w14:textId="77777777" w:rsidR="008D568F" w:rsidRPr="003B225C" w:rsidRDefault="008D568F" w:rsidP="001F2FFC">
            <w:pPr>
              <w:pStyle w:val="Tabletext"/>
              <w:jc w:val="center"/>
              <w:rPr>
                <w:lang w:val="es-ES"/>
              </w:rPr>
            </w:pPr>
            <w:r w:rsidRPr="003B225C">
              <w:rPr>
                <w:lang w:val="es-ES"/>
              </w:rPr>
              <w:t>1.2</w:t>
            </w:r>
          </w:p>
        </w:tc>
        <w:tc>
          <w:tcPr>
            <w:tcW w:w="1722" w:type="dxa"/>
            <w:vAlign w:val="center"/>
          </w:tcPr>
          <w:p w14:paraId="78D3A170" w14:textId="77777777" w:rsidR="008D568F" w:rsidRPr="003B225C" w:rsidRDefault="008D568F" w:rsidP="001F2FFC">
            <w:pPr>
              <w:pStyle w:val="Tabletext"/>
              <w:jc w:val="center"/>
              <w:rPr>
                <w:lang w:val="es-ES"/>
              </w:rPr>
            </w:pPr>
            <w:r w:rsidRPr="003B225C">
              <w:rPr>
                <w:lang w:val="es-ES"/>
              </w:rPr>
              <w:t>129 (CMR</w:t>
            </w:r>
            <w:r w:rsidRPr="003B225C">
              <w:rPr>
                <w:lang w:val="es-ES"/>
              </w:rPr>
              <w:noBreakHyphen/>
              <w:t>23)</w:t>
            </w:r>
          </w:p>
        </w:tc>
        <w:tc>
          <w:tcPr>
            <w:tcW w:w="1512" w:type="dxa"/>
            <w:vAlign w:val="center"/>
          </w:tcPr>
          <w:p w14:paraId="69E53494" w14:textId="26DB8EAB" w:rsidR="008D568F" w:rsidRPr="003B225C" w:rsidRDefault="008D568F" w:rsidP="001F2FFC">
            <w:pPr>
              <w:pStyle w:val="Tabletext"/>
              <w:jc w:val="center"/>
              <w:rPr>
                <w:lang w:val="es-ES"/>
              </w:rPr>
            </w:pPr>
            <w:r w:rsidRPr="003B225C">
              <w:rPr>
                <w:lang w:val="es-ES"/>
              </w:rPr>
              <w:t>GT 4A</w:t>
            </w:r>
            <w:r w:rsidR="007C31FD" w:rsidRPr="003B225C">
              <w:rPr>
                <w:rStyle w:val="FootnoteReference"/>
                <w:lang w:val="es-ES"/>
              </w:rPr>
              <w:footnoteReference w:customMarkFollows="1" w:id="2"/>
              <w:t>*</w:t>
            </w:r>
          </w:p>
        </w:tc>
        <w:tc>
          <w:tcPr>
            <w:tcW w:w="4832" w:type="dxa"/>
            <w:vAlign w:val="center"/>
          </w:tcPr>
          <w:p w14:paraId="191F0B60" w14:textId="118BB419" w:rsidR="008D568F" w:rsidRPr="00861C79" w:rsidRDefault="008D568F" w:rsidP="001F2FFC">
            <w:pPr>
              <w:pStyle w:val="Tabletext"/>
              <w:jc w:val="center"/>
              <w:rPr>
                <w:lang w:val="fr-FR"/>
              </w:rPr>
            </w:pPr>
            <w:r w:rsidRPr="00861C79">
              <w:rPr>
                <w:lang w:val="fr-FR"/>
              </w:rPr>
              <w:t>GT</w:t>
            </w:r>
            <w:r w:rsidR="00D87C30" w:rsidRPr="00861C79">
              <w:rPr>
                <w:lang w:val="fr-FR"/>
              </w:rPr>
              <w:t> </w:t>
            </w:r>
            <w:r w:rsidRPr="00861C79">
              <w:rPr>
                <w:lang w:val="fr-FR"/>
              </w:rPr>
              <w:t>3M; GT 5A; GT</w:t>
            </w:r>
            <w:r w:rsidR="00D87C30" w:rsidRPr="00861C79">
              <w:rPr>
                <w:lang w:val="fr-FR"/>
              </w:rPr>
              <w:t> </w:t>
            </w:r>
            <w:r w:rsidRPr="00861C79">
              <w:rPr>
                <w:lang w:val="fr-FR"/>
              </w:rPr>
              <w:t>5B*; GT</w:t>
            </w:r>
            <w:r w:rsidR="00D87C30" w:rsidRPr="00861C79">
              <w:rPr>
                <w:lang w:val="fr-FR"/>
              </w:rPr>
              <w:t> </w:t>
            </w:r>
            <w:r w:rsidRPr="00861C79">
              <w:rPr>
                <w:lang w:val="fr-FR"/>
              </w:rPr>
              <w:t>5C; GT</w:t>
            </w:r>
            <w:r w:rsidR="00D87C30" w:rsidRPr="00861C79">
              <w:rPr>
                <w:lang w:val="fr-FR"/>
              </w:rPr>
              <w:t> </w:t>
            </w:r>
            <w:r w:rsidRPr="00861C79">
              <w:rPr>
                <w:lang w:val="fr-FR"/>
              </w:rPr>
              <w:t>7A; GT 7B; GT 7C</w:t>
            </w:r>
          </w:p>
        </w:tc>
      </w:tr>
      <w:tr w:rsidR="008D568F" w:rsidRPr="00A2786A" w14:paraId="052B3BE0" w14:textId="77777777" w:rsidTr="001F2FFC">
        <w:trPr>
          <w:jc w:val="center"/>
        </w:trPr>
        <w:tc>
          <w:tcPr>
            <w:tcW w:w="1563" w:type="dxa"/>
            <w:vAlign w:val="center"/>
          </w:tcPr>
          <w:p w14:paraId="57515A37" w14:textId="77777777" w:rsidR="008D568F" w:rsidRPr="003B225C" w:rsidRDefault="008D568F" w:rsidP="001F2FFC">
            <w:pPr>
              <w:pStyle w:val="Tabletext"/>
              <w:jc w:val="center"/>
              <w:rPr>
                <w:lang w:val="es-ES"/>
              </w:rPr>
            </w:pPr>
            <w:r w:rsidRPr="003B225C">
              <w:rPr>
                <w:lang w:val="es-ES"/>
              </w:rPr>
              <w:t>1.3</w:t>
            </w:r>
          </w:p>
        </w:tc>
        <w:tc>
          <w:tcPr>
            <w:tcW w:w="1722" w:type="dxa"/>
            <w:vAlign w:val="center"/>
          </w:tcPr>
          <w:p w14:paraId="66FEC399" w14:textId="77777777" w:rsidR="008D568F" w:rsidRPr="003B225C" w:rsidRDefault="008D568F" w:rsidP="001F2FFC">
            <w:pPr>
              <w:pStyle w:val="Tabletext"/>
              <w:jc w:val="center"/>
              <w:rPr>
                <w:lang w:val="es-ES"/>
              </w:rPr>
            </w:pPr>
            <w:r w:rsidRPr="003B225C">
              <w:rPr>
                <w:lang w:val="es-ES"/>
              </w:rPr>
              <w:t>130 (CMR</w:t>
            </w:r>
            <w:r w:rsidRPr="003B225C">
              <w:rPr>
                <w:lang w:val="es-ES"/>
              </w:rPr>
              <w:noBreakHyphen/>
              <w:t>23)</w:t>
            </w:r>
          </w:p>
        </w:tc>
        <w:tc>
          <w:tcPr>
            <w:tcW w:w="1512" w:type="dxa"/>
            <w:vAlign w:val="center"/>
          </w:tcPr>
          <w:p w14:paraId="56A2B9B2" w14:textId="77777777" w:rsidR="008D568F" w:rsidRPr="003B225C" w:rsidRDefault="008D568F" w:rsidP="001F2FFC">
            <w:pPr>
              <w:pStyle w:val="Tabletext"/>
              <w:jc w:val="center"/>
              <w:rPr>
                <w:lang w:val="es-ES"/>
              </w:rPr>
            </w:pPr>
            <w:r w:rsidRPr="003B225C">
              <w:rPr>
                <w:lang w:val="es-ES"/>
              </w:rPr>
              <w:t>GT 4A</w:t>
            </w:r>
          </w:p>
        </w:tc>
        <w:tc>
          <w:tcPr>
            <w:tcW w:w="4832" w:type="dxa"/>
            <w:vAlign w:val="center"/>
          </w:tcPr>
          <w:p w14:paraId="3BBAB7D5" w14:textId="3C71BADE" w:rsidR="008D568F" w:rsidRPr="00861C79" w:rsidRDefault="008D568F" w:rsidP="001F2FFC">
            <w:pPr>
              <w:pStyle w:val="Tabletext"/>
              <w:jc w:val="center"/>
              <w:rPr>
                <w:lang w:val="fr-FR"/>
              </w:rPr>
            </w:pPr>
            <w:r w:rsidRPr="00861C79">
              <w:rPr>
                <w:lang w:val="fr-FR"/>
              </w:rPr>
              <w:t>GT</w:t>
            </w:r>
            <w:r w:rsidR="00D87C30" w:rsidRPr="00861C79">
              <w:rPr>
                <w:lang w:val="fr-FR"/>
              </w:rPr>
              <w:t> </w:t>
            </w:r>
            <w:r w:rsidRPr="00861C79">
              <w:rPr>
                <w:lang w:val="fr-FR"/>
              </w:rPr>
              <w:t>3M; GT</w:t>
            </w:r>
            <w:r w:rsidR="00D87C30" w:rsidRPr="00861C79">
              <w:rPr>
                <w:lang w:val="fr-FR"/>
              </w:rPr>
              <w:t> </w:t>
            </w:r>
            <w:r w:rsidRPr="00861C79">
              <w:rPr>
                <w:lang w:val="fr-FR"/>
              </w:rPr>
              <w:t>5A; GT</w:t>
            </w:r>
            <w:r w:rsidR="00D87C30" w:rsidRPr="00861C79">
              <w:rPr>
                <w:lang w:val="fr-FR"/>
              </w:rPr>
              <w:t> </w:t>
            </w:r>
            <w:r w:rsidRPr="00861C79">
              <w:rPr>
                <w:lang w:val="fr-FR"/>
              </w:rPr>
              <w:t>5C; GT</w:t>
            </w:r>
            <w:r w:rsidR="00D87C30" w:rsidRPr="00861C79">
              <w:rPr>
                <w:lang w:val="fr-FR"/>
              </w:rPr>
              <w:t> </w:t>
            </w:r>
            <w:r w:rsidRPr="00861C79">
              <w:rPr>
                <w:lang w:val="fr-FR"/>
              </w:rPr>
              <w:t>7C; GT</w:t>
            </w:r>
            <w:r w:rsidR="00D87C30" w:rsidRPr="00861C79">
              <w:rPr>
                <w:lang w:val="fr-FR"/>
              </w:rPr>
              <w:t> </w:t>
            </w:r>
            <w:r w:rsidRPr="00861C79">
              <w:rPr>
                <w:lang w:val="fr-FR"/>
              </w:rPr>
              <w:t>7D</w:t>
            </w:r>
          </w:p>
        </w:tc>
      </w:tr>
      <w:tr w:rsidR="008D568F" w:rsidRPr="00A2786A" w14:paraId="60746046" w14:textId="77777777" w:rsidTr="001F2FFC">
        <w:trPr>
          <w:jc w:val="center"/>
        </w:trPr>
        <w:tc>
          <w:tcPr>
            <w:tcW w:w="1563" w:type="dxa"/>
            <w:vAlign w:val="center"/>
          </w:tcPr>
          <w:p w14:paraId="66A4BD84" w14:textId="77777777" w:rsidR="008D568F" w:rsidRPr="003B225C" w:rsidRDefault="008D568F" w:rsidP="001F2FFC">
            <w:pPr>
              <w:pStyle w:val="Tabletext"/>
              <w:jc w:val="center"/>
              <w:rPr>
                <w:lang w:val="es-ES"/>
              </w:rPr>
            </w:pPr>
            <w:r w:rsidRPr="003B225C">
              <w:rPr>
                <w:lang w:val="es-ES"/>
              </w:rPr>
              <w:t>1.4</w:t>
            </w:r>
          </w:p>
        </w:tc>
        <w:tc>
          <w:tcPr>
            <w:tcW w:w="1722" w:type="dxa"/>
            <w:vAlign w:val="center"/>
          </w:tcPr>
          <w:p w14:paraId="5907532F" w14:textId="77777777" w:rsidR="008D568F" w:rsidRPr="003B225C" w:rsidRDefault="008D568F" w:rsidP="001F2FFC">
            <w:pPr>
              <w:pStyle w:val="Tabletext"/>
              <w:jc w:val="center"/>
              <w:rPr>
                <w:lang w:val="es-ES"/>
              </w:rPr>
            </w:pPr>
            <w:r w:rsidRPr="003B225C">
              <w:rPr>
                <w:lang w:val="es-ES"/>
              </w:rPr>
              <w:t>726 (CMR</w:t>
            </w:r>
            <w:r w:rsidRPr="003B225C">
              <w:rPr>
                <w:lang w:val="es-ES"/>
              </w:rPr>
              <w:noBreakHyphen/>
              <w:t>23)</w:t>
            </w:r>
          </w:p>
        </w:tc>
        <w:tc>
          <w:tcPr>
            <w:tcW w:w="1512" w:type="dxa"/>
            <w:vAlign w:val="center"/>
          </w:tcPr>
          <w:p w14:paraId="090F10F0" w14:textId="00313E1D" w:rsidR="008D568F" w:rsidRPr="003B225C" w:rsidRDefault="008D568F" w:rsidP="001F2FFC">
            <w:pPr>
              <w:pStyle w:val="Tabletext"/>
              <w:jc w:val="center"/>
              <w:rPr>
                <w:lang w:val="es-ES"/>
              </w:rPr>
            </w:pPr>
            <w:r w:rsidRPr="003B225C">
              <w:rPr>
                <w:lang w:val="es-ES"/>
              </w:rPr>
              <w:t>GT</w:t>
            </w:r>
            <w:r w:rsidR="00D87C30" w:rsidRPr="003B225C">
              <w:rPr>
                <w:lang w:val="es-ES"/>
              </w:rPr>
              <w:t> </w:t>
            </w:r>
            <w:r w:rsidRPr="003B225C">
              <w:rPr>
                <w:lang w:val="es-ES"/>
              </w:rPr>
              <w:t>4A</w:t>
            </w:r>
          </w:p>
        </w:tc>
        <w:tc>
          <w:tcPr>
            <w:tcW w:w="4832" w:type="dxa"/>
            <w:vAlign w:val="center"/>
          </w:tcPr>
          <w:p w14:paraId="22097904" w14:textId="28759265" w:rsidR="008D568F" w:rsidRPr="00861C79" w:rsidRDefault="008D568F" w:rsidP="001F2FFC">
            <w:pPr>
              <w:pStyle w:val="Tabletext"/>
              <w:jc w:val="center"/>
              <w:rPr>
                <w:lang w:val="de-DE"/>
              </w:rPr>
            </w:pPr>
            <w:r w:rsidRPr="00861C79">
              <w:rPr>
                <w:lang w:val="de-DE"/>
              </w:rPr>
              <w:t>GT</w:t>
            </w:r>
            <w:r w:rsidR="00D87C30" w:rsidRPr="00861C79">
              <w:rPr>
                <w:lang w:val="de-DE"/>
              </w:rPr>
              <w:t> </w:t>
            </w:r>
            <w:r w:rsidRPr="00861C79">
              <w:rPr>
                <w:lang w:val="de-DE"/>
              </w:rPr>
              <w:t>3M; GT</w:t>
            </w:r>
            <w:r w:rsidR="00D87C30" w:rsidRPr="00861C79">
              <w:rPr>
                <w:lang w:val="de-DE"/>
              </w:rPr>
              <w:t> </w:t>
            </w:r>
            <w:r w:rsidRPr="00861C79">
              <w:rPr>
                <w:lang w:val="de-DE"/>
              </w:rPr>
              <w:t>4B; GT</w:t>
            </w:r>
            <w:r w:rsidR="00D87C30" w:rsidRPr="00861C79">
              <w:rPr>
                <w:lang w:val="de-DE"/>
              </w:rPr>
              <w:t> </w:t>
            </w:r>
            <w:r w:rsidRPr="00861C79">
              <w:rPr>
                <w:lang w:val="de-DE"/>
              </w:rPr>
              <w:t>5A; GT</w:t>
            </w:r>
            <w:r w:rsidR="00D87C30" w:rsidRPr="00861C79">
              <w:rPr>
                <w:lang w:val="de-DE"/>
              </w:rPr>
              <w:t> </w:t>
            </w:r>
            <w:r w:rsidRPr="00861C79">
              <w:rPr>
                <w:lang w:val="de-DE"/>
              </w:rPr>
              <w:t>5B; GT</w:t>
            </w:r>
            <w:r w:rsidR="00D87C30" w:rsidRPr="00861C79">
              <w:rPr>
                <w:lang w:val="de-DE"/>
              </w:rPr>
              <w:t> </w:t>
            </w:r>
            <w:r w:rsidRPr="00861C79">
              <w:rPr>
                <w:lang w:val="de-DE"/>
              </w:rPr>
              <w:t>5C; GT 7C</w:t>
            </w:r>
          </w:p>
        </w:tc>
      </w:tr>
      <w:tr w:rsidR="008D568F" w:rsidRPr="003B225C" w14:paraId="2D80733B" w14:textId="77777777" w:rsidTr="001F2FFC">
        <w:trPr>
          <w:jc w:val="center"/>
        </w:trPr>
        <w:tc>
          <w:tcPr>
            <w:tcW w:w="1563" w:type="dxa"/>
            <w:vAlign w:val="center"/>
          </w:tcPr>
          <w:p w14:paraId="6B9E44C1" w14:textId="77777777" w:rsidR="008D568F" w:rsidRPr="003B225C" w:rsidRDefault="008D568F" w:rsidP="001F2FFC">
            <w:pPr>
              <w:pStyle w:val="Tabletext"/>
              <w:jc w:val="center"/>
              <w:rPr>
                <w:lang w:val="es-ES"/>
              </w:rPr>
            </w:pPr>
            <w:r w:rsidRPr="003B225C">
              <w:rPr>
                <w:lang w:val="es-ES"/>
              </w:rPr>
              <w:t>1.5</w:t>
            </w:r>
          </w:p>
        </w:tc>
        <w:tc>
          <w:tcPr>
            <w:tcW w:w="1722" w:type="dxa"/>
            <w:vAlign w:val="center"/>
          </w:tcPr>
          <w:p w14:paraId="31C08C76" w14:textId="77777777" w:rsidR="008D568F" w:rsidRPr="003B225C" w:rsidRDefault="008D568F" w:rsidP="001F2FFC">
            <w:pPr>
              <w:pStyle w:val="Tabletext"/>
              <w:jc w:val="center"/>
              <w:rPr>
                <w:lang w:val="es-ES"/>
              </w:rPr>
            </w:pPr>
            <w:r w:rsidRPr="003B225C">
              <w:rPr>
                <w:lang w:val="es-ES"/>
              </w:rPr>
              <w:t>14 (CMR</w:t>
            </w:r>
            <w:r w:rsidRPr="003B225C">
              <w:rPr>
                <w:lang w:val="es-ES"/>
              </w:rPr>
              <w:noBreakHyphen/>
              <w:t>23)</w:t>
            </w:r>
          </w:p>
        </w:tc>
        <w:tc>
          <w:tcPr>
            <w:tcW w:w="1512" w:type="dxa"/>
            <w:vAlign w:val="center"/>
          </w:tcPr>
          <w:p w14:paraId="42D95785" w14:textId="77777777" w:rsidR="008D568F" w:rsidRPr="003B225C" w:rsidRDefault="008D568F" w:rsidP="001F2FFC">
            <w:pPr>
              <w:pStyle w:val="Tabletext"/>
              <w:jc w:val="center"/>
              <w:rPr>
                <w:lang w:val="es-ES"/>
              </w:rPr>
            </w:pPr>
            <w:r w:rsidRPr="003B225C">
              <w:rPr>
                <w:lang w:val="es-ES"/>
              </w:rPr>
              <w:t>GT 4A</w:t>
            </w:r>
          </w:p>
        </w:tc>
        <w:tc>
          <w:tcPr>
            <w:tcW w:w="4832" w:type="dxa"/>
            <w:vAlign w:val="center"/>
          </w:tcPr>
          <w:p w14:paraId="26FF5C30" w14:textId="2242DC90" w:rsidR="008D568F" w:rsidRPr="003B225C" w:rsidRDefault="008D568F" w:rsidP="001F2FFC">
            <w:pPr>
              <w:pStyle w:val="Tabletext"/>
              <w:jc w:val="center"/>
              <w:rPr>
                <w:lang w:val="es-ES"/>
              </w:rPr>
            </w:pPr>
            <w:r w:rsidRPr="003B225C">
              <w:rPr>
                <w:lang w:val="es-ES"/>
              </w:rPr>
              <w:t>GT 1B; GT</w:t>
            </w:r>
            <w:r w:rsidR="00D87C30" w:rsidRPr="003B225C">
              <w:rPr>
                <w:lang w:val="es-ES"/>
              </w:rPr>
              <w:t> </w:t>
            </w:r>
            <w:r w:rsidRPr="003B225C">
              <w:rPr>
                <w:lang w:val="es-ES"/>
              </w:rPr>
              <w:t>4C</w:t>
            </w:r>
          </w:p>
        </w:tc>
      </w:tr>
      <w:tr w:rsidR="008D568F" w:rsidRPr="00A2786A" w14:paraId="289268CA" w14:textId="77777777" w:rsidTr="001F2FFC">
        <w:trPr>
          <w:jc w:val="center"/>
        </w:trPr>
        <w:tc>
          <w:tcPr>
            <w:tcW w:w="1563" w:type="dxa"/>
            <w:vAlign w:val="center"/>
          </w:tcPr>
          <w:p w14:paraId="33D17773" w14:textId="77777777" w:rsidR="008D568F" w:rsidRPr="003B225C" w:rsidRDefault="008D568F" w:rsidP="001F2FFC">
            <w:pPr>
              <w:pStyle w:val="Tabletext"/>
              <w:jc w:val="center"/>
              <w:rPr>
                <w:lang w:val="es-ES"/>
              </w:rPr>
            </w:pPr>
            <w:r w:rsidRPr="003B225C">
              <w:rPr>
                <w:lang w:val="es-ES"/>
              </w:rPr>
              <w:t>1.6</w:t>
            </w:r>
          </w:p>
        </w:tc>
        <w:tc>
          <w:tcPr>
            <w:tcW w:w="1722" w:type="dxa"/>
            <w:vAlign w:val="center"/>
          </w:tcPr>
          <w:p w14:paraId="05E04887" w14:textId="77777777" w:rsidR="008D568F" w:rsidRPr="003B225C" w:rsidRDefault="008D568F" w:rsidP="001F2FFC">
            <w:pPr>
              <w:pStyle w:val="Tabletext"/>
              <w:jc w:val="center"/>
              <w:rPr>
                <w:lang w:val="es-ES"/>
              </w:rPr>
            </w:pPr>
            <w:r w:rsidRPr="003B225C">
              <w:rPr>
                <w:lang w:val="es-ES"/>
              </w:rPr>
              <w:t>131 (CMR</w:t>
            </w:r>
            <w:r w:rsidRPr="003B225C">
              <w:rPr>
                <w:lang w:val="es-ES"/>
              </w:rPr>
              <w:noBreakHyphen/>
              <w:t>23)</w:t>
            </w:r>
          </w:p>
        </w:tc>
        <w:tc>
          <w:tcPr>
            <w:tcW w:w="1512" w:type="dxa"/>
            <w:vAlign w:val="center"/>
          </w:tcPr>
          <w:p w14:paraId="084B1D0B" w14:textId="77777777" w:rsidR="008D568F" w:rsidRPr="003B225C" w:rsidRDefault="008D568F" w:rsidP="001F2FFC">
            <w:pPr>
              <w:pStyle w:val="Tabletext"/>
              <w:jc w:val="center"/>
              <w:rPr>
                <w:lang w:val="es-ES"/>
              </w:rPr>
            </w:pPr>
            <w:r w:rsidRPr="003B225C">
              <w:rPr>
                <w:lang w:val="es-ES"/>
              </w:rPr>
              <w:t>GT 4A</w:t>
            </w:r>
          </w:p>
        </w:tc>
        <w:tc>
          <w:tcPr>
            <w:tcW w:w="4832" w:type="dxa"/>
            <w:vAlign w:val="center"/>
          </w:tcPr>
          <w:p w14:paraId="44A5D2BD" w14:textId="28649044" w:rsidR="008D568F" w:rsidRPr="00A2786A" w:rsidRDefault="008D568F" w:rsidP="001F2FFC">
            <w:pPr>
              <w:pStyle w:val="Tabletext"/>
              <w:jc w:val="center"/>
              <w:rPr>
                <w:lang w:val="fr-FR"/>
              </w:rPr>
            </w:pPr>
            <w:r w:rsidRPr="00A2786A">
              <w:rPr>
                <w:lang w:val="fr-FR"/>
              </w:rPr>
              <w:t>GT</w:t>
            </w:r>
            <w:r w:rsidR="00D87C30" w:rsidRPr="00A2786A">
              <w:rPr>
                <w:lang w:val="fr-FR"/>
              </w:rPr>
              <w:t> </w:t>
            </w:r>
            <w:proofErr w:type="gramStart"/>
            <w:r w:rsidRPr="00A2786A">
              <w:rPr>
                <w:lang w:val="fr-FR"/>
              </w:rPr>
              <w:t>3M;</w:t>
            </w:r>
            <w:proofErr w:type="gramEnd"/>
            <w:r w:rsidRPr="00A2786A">
              <w:rPr>
                <w:lang w:val="fr-FR"/>
              </w:rPr>
              <w:t xml:space="preserve"> GT</w:t>
            </w:r>
            <w:r w:rsidR="00D87C30" w:rsidRPr="00A2786A">
              <w:rPr>
                <w:lang w:val="fr-FR"/>
              </w:rPr>
              <w:t> </w:t>
            </w:r>
            <w:r w:rsidRPr="00A2786A">
              <w:rPr>
                <w:lang w:val="fr-FR"/>
              </w:rPr>
              <w:t>4B; GT</w:t>
            </w:r>
            <w:r w:rsidR="00D87C30" w:rsidRPr="00A2786A">
              <w:rPr>
                <w:lang w:val="fr-FR"/>
              </w:rPr>
              <w:t> </w:t>
            </w:r>
            <w:r w:rsidRPr="00A2786A">
              <w:rPr>
                <w:lang w:val="fr-FR"/>
              </w:rPr>
              <w:t>4C; GT</w:t>
            </w:r>
            <w:r w:rsidR="00D87C30" w:rsidRPr="00A2786A">
              <w:rPr>
                <w:lang w:val="fr-FR"/>
              </w:rPr>
              <w:t> </w:t>
            </w:r>
            <w:r w:rsidRPr="00A2786A">
              <w:rPr>
                <w:lang w:val="fr-FR"/>
              </w:rPr>
              <w:t>5A; GT</w:t>
            </w:r>
            <w:r w:rsidR="00D87C30" w:rsidRPr="00A2786A">
              <w:rPr>
                <w:lang w:val="fr-FR"/>
              </w:rPr>
              <w:t> </w:t>
            </w:r>
            <w:r w:rsidRPr="00A2786A">
              <w:rPr>
                <w:lang w:val="fr-FR"/>
              </w:rPr>
              <w:t>5B; GT 5C; GT 5D; GT 6A; GT</w:t>
            </w:r>
            <w:r w:rsidR="00D87C30" w:rsidRPr="00A2786A">
              <w:rPr>
                <w:lang w:val="fr-FR"/>
              </w:rPr>
              <w:t> </w:t>
            </w:r>
            <w:r w:rsidRPr="00A2786A">
              <w:rPr>
                <w:lang w:val="fr-FR"/>
              </w:rPr>
              <w:t>7B; GT</w:t>
            </w:r>
            <w:r w:rsidR="00D87C30" w:rsidRPr="00A2786A">
              <w:rPr>
                <w:lang w:val="fr-FR"/>
              </w:rPr>
              <w:t> </w:t>
            </w:r>
            <w:r w:rsidRPr="00A2786A">
              <w:rPr>
                <w:lang w:val="fr-FR"/>
              </w:rPr>
              <w:t>7C; GT</w:t>
            </w:r>
            <w:r w:rsidR="00D87C30" w:rsidRPr="00A2786A">
              <w:rPr>
                <w:lang w:val="fr-FR"/>
              </w:rPr>
              <w:t> </w:t>
            </w:r>
            <w:r w:rsidRPr="00A2786A">
              <w:rPr>
                <w:lang w:val="fr-FR"/>
              </w:rPr>
              <w:t>7D</w:t>
            </w:r>
          </w:p>
        </w:tc>
      </w:tr>
      <w:tr w:rsidR="008D568F" w:rsidRPr="00A2786A" w14:paraId="45DFD5A0" w14:textId="77777777" w:rsidTr="001F2FFC">
        <w:trPr>
          <w:jc w:val="center"/>
        </w:trPr>
        <w:tc>
          <w:tcPr>
            <w:tcW w:w="1563" w:type="dxa"/>
            <w:vAlign w:val="center"/>
          </w:tcPr>
          <w:p w14:paraId="13CAD5D7" w14:textId="77777777" w:rsidR="008D568F" w:rsidRPr="003B225C" w:rsidRDefault="008D568F" w:rsidP="00CA0778">
            <w:pPr>
              <w:pStyle w:val="Tabletext"/>
              <w:keepNext/>
              <w:jc w:val="center"/>
              <w:rPr>
                <w:lang w:val="es-ES"/>
              </w:rPr>
            </w:pPr>
            <w:r w:rsidRPr="003B225C">
              <w:rPr>
                <w:lang w:val="es-ES"/>
              </w:rPr>
              <w:lastRenderedPageBreak/>
              <w:t>1.7</w:t>
            </w:r>
          </w:p>
        </w:tc>
        <w:tc>
          <w:tcPr>
            <w:tcW w:w="1722" w:type="dxa"/>
            <w:vAlign w:val="center"/>
          </w:tcPr>
          <w:p w14:paraId="677A6561" w14:textId="77777777" w:rsidR="008D568F" w:rsidRPr="003B225C" w:rsidRDefault="008D568F" w:rsidP="00CA0778">
            <w:pPr>
              <w:pStyle w:val="Tabletext"/>
              <w:keepNext/>
              <w:jc w:val="center"/>
              <w:rPr>
                <w:lang w:val="es-ES"/>
              </w:rPr>
            </w:pPr>
            <w:r w:rsidRPr="003B225C">
              <w:rPr>
                <w:lang w:val="es-ES"/>
              </w:rPr>
              <w:t>256 (CMR</w:t>
            </w:r>
            <w:r w:rsidRPr="003B225C">
              <w:rPr>
                <w:lang w:val="es-ES"/>
              </w:rPr>
              <w:noBreakHyphen/>
              <w:t>23)</w:t>
            </w:r>
          </w:p>
        </w:tc>
        <w:tc>
          <w:tcPr>
            <w:tcW w:w="1512" w:type="dxa"/>
            <w:vAlign w:val="center"/>
          </w:tcPr>
          <w:p w14:paraId="5D9036FE" w14:textId="4B58627C" w:rsidR="008D568F" w:rsidRPr="003B225C" w:rsidRDefault="008D568F" w:rsidP="00CA0778">
            <w:pPr>
              <w:pStyle w:val="Tabletext"/>
              <w:keepNext/>
              <w:jc w:val="center"/>
              <w:rPr>
                <w:lang w:val="es-ES"/>
              </w:rPr>
            </w:pPr>
            <w:r w:rsidRPr="003B225C">
              <w:rPr>
                <w:lang w:val="es-ES"/>
              </w:rPr>
              <w:t>GT</w:t>
            </w:r>
            <w:r w:rsidR="00D87C30" w:rsidRPr="003B225C">
              <w:rPr>
                <w:lang w:val="es-ES"/>
              </w:rPr>
              <w:t> </w:t>
            </w:r>
            <w:r w:rsidRPr="003B225C">
              <w:rPr>
                <w:lang w:val="es-ES"/>
              </w:rPr>
              <w:t>5D</w:t>
            </w:r>
          </w:p>
        </w:tc>
        <w:tc>
          <w:tcPr>
            <w:tcW w:w="4832" w:type="dxa"/>
            <w:vAlign w:val="center"/>
          </w:tcPr>
          <w:p w14:paraId="009A98AD" w14:textId="3B590D8B" w:rsidR="008D568F" w:rsidRPr="00A2786A" w:rsidRDefault="008D568F" w:rsidP="00CA0778">
            <w:pPr>
              <w:pStyle w:val="Tabletext"/>
              <w:keepNext/>
              <w:jc w:val="center"/>
              <w:rPr>
                <w:lang w:val="fr-FR"/>
              </w:rPr>
            </w:pPr>
            <w:r w:rsidRPr="00A2786A">
              <w:rPr>
                <w:lang w:val="fr-FR"/>
              </w:rPr>
              <w:t>GT</w:t>
            </w:r>
            <w:r w:rsidR="00D87C30" w:rsidRPr="00A2786A">
              <w:rPr>
                <w:lang w:val="fr-FR"/>
              </w:rPr>
              <w:t> </w:t>
            </w:r>
            <w:r w:rsidRPr="00A2786A">
              <w:rPr>
                <w:lang w:val="fr-FR"/>
              </w:rPr>
              <w:t>3</w:t>
            </w:r>
            <w:proofErr w:type="gramStart"/>
            <w:r w:rsidRPr="00A2786A">
              <w:rPr>
                <w:lang w:val="fr-FR"/>
              </w:rPr>
              <w:t>K;</w:t>
            </w:r>
            <w:proofErr w:type="gramEnd"/>
            <w:r w:rsidRPr="00A2786A">
              <w:rPr>
                <w:lang w:val="fr-FR"/>
              </w:rPr>
              <w:t xml:space="preserve"> GT</w:t>
            </w:r>
            <w:r w:rsidR="00D87C30" w:rsidRPr="00A2786A">
              <w:rPr>
                <w:lang w:val="fr-FR"/>
              </w:rPr>
              <w:t> </w:t>
            </w:r>
            <w:r w:rsidRPr="00A2786A">
              <w:rPr>
                <w:lang w:val="fr-FR"/>
              </w:rPr>
              <w:t>3M; GT</w:t>
            </w:r>
            <w:r w:rsidR="00D87C30" w:rsidRPr="00A2786A">
              <w:rPr>
                <w:lang w:val="fr-FR"/>
              </w:rPr>
              <w:t> </w:t>
            </w:r>
            <w:r w:rsidRPr="00A2786A">
              <w:rPr>
                <w:lang w:val="fr-FR"/>
              </w:rPr>
              <w:t>4A; GT</w:t>
            </w:r>
            <w:r w:rsidR="001F2FFC" w:rsidRPr="00A2786A">
              <w:rPr>
                <w:lang w:val="fr-FR"/>
              </w:rPr>
              <w:t> </w:t>
            </w:r>
            <w:r w:rsidRPr="00A2786A">
              <w:rPr>
                <w:lang w:val="fr-FR"/>
              </w:rPr>
              <w:t>4C; GT</w:t>
            </w:r>
            <w:r w:rsidR="001F2FFC" w:rsidRPr="00A2786A">
              <w:rPr>
                <w:lang w:val="fr-FR"/>
              </w:rPr>
              <w:t> </w:t>
            </w:r>
            <w:r w:rsidRPr="00A2786A">
              <w:rPr>
                <w:lang w:val="fr-FR"/>
              </w:rPr>
              <w:t>5A; GT</w:t>
            </w:r>
            <w:r w:rsidR="001F2FFC" w:rsidRPr="00A2786A">
              <w:rPr>
                <w:lang w:val="fr-FR"/>
              </w:rPr>
              <w:t> </w:t>
            </w:r>
            <w:r w:rsidRPr="00A2786A">
              <w:rPr>
                <w:lang w:val="fr-FR"/>
              </w:rPr>
              <w:t>5B; GT 5C; GT 7B; GT</w:t>
            </w:r>
            <w:r w:rsidR="00D87C30" w:rsidRPr="00A2786A">
              <w:rPr>
                <w:lang w:val="fr-FR"/>
              </w:rPr>
              <w:t> </w:t>
            </w:r>
            <w:r w:rsidRPr="00A2786A">
              <w:rPr>
                <w:lang w:val="fr-FR"/>
              </w:rPr>
              <w:t>7C; GT</w:t>
            </w:r>
            <w:r w:rsidR="00D87C30" w:rsidRPr="00A2786A">
              <w:rPr>
                <w:lang w:val="fr-FR"/>
              </w:rPr>
              <w:t> </w:t>
            </w:r>
            <w:r w:rsidRPr="00A2786A">
              <w:rPr>
                <w:lang w:val="fr-FR"/>
              </w:rPr>
              <w:t>7D</w:t>
            </w:r>
          </w:p>
        </w:tc>
      </w:tr>
      <w:tr w:rsidR="008D568F" w:rsidRPr="00A2786A" w14:paraId="561B941B" w14:textId="77777777" w:rsidTr="001F2FFC">
        <w:trPr>
          <w:jc w:val="center"/>
        </w:trPr>
        <w:tc>
          <w:tcPr>
            <w:tcW w:w="1563" w:type="dxa"/>
            <w:vAlign w:val="center"/>
          </w:tcPr>
          <w:p w14:paraId="37133E7B" w14:textId="77777777" w:rsidR="008D568F" w:rsidRPr="003B225C" w:rsidRDefault="008D568F" w:rsidP="001F2FFC">
            <w:pPr>
              <w:pStyle w:val="Tabletext"/>
              <w:jc w:val="center"/>
              <w:rPr>
                <w:lang w:val="es-ES"/>
              </w:rPr>
            </w:pPr>
            <w:r w:rsidRPr="003B225C">
              <w:rPr>
                <w:lang w:val="es-ES"/>
              </w:rPr>
              <w:t>1.8</w:t>
            </w:r>
          </w:p>
        </w:tc>
        <w:tc>
          <w:tcPr>
            <w:tcW w:w="1722" w:type="dxa"/>
            <w:vAlign w:val="center"/>
          </w:tcPr>
          <w:p w14:paraId="7850D470" w14:textId="77777777" w:rsidR="008D568F" w:rsidRPr="003B225C" w:rsidRDefault="008D568F" w:rsidP="001F2FFC">
            <w:pPr>
              <w:pStyle w:val="Tabletext"/>
              <w:jc w:val="center"/>
              <w:rPr>
                <w:lang w:val="es-ES"/>
              </w:rPr>
            </w:pPr>
            <w:r w:rsidRPr="003B225C">
              <w:rPr>
                <w:lang w:val="es-ES"/>
              </w:rPr>
              <w:t>663 (Rev.CMR-23)</w:t>
            </w:r>
          </w:p>
        </w:tc>
        <w:tc>
          <w:tcPr>
            <w:tcW w:w="1512" w:type="dxa"/>
            <w:vAlign w:val="center"/>
          </w:tcPr>
          <w:p w14:paraId="4FF2D222" w14:textId="77777777" w:rsidR="008D568F" w:rsidRPr="003B225C" w:rsidRDefault="008D568F" w:rsidP="001F2FFC">
            <w:pPr>
              <w:pStyle w:val="Tabletext"/>
              <w:jc w:val="center"/>
              <w:rPr>
                <w:lang w:val="es-ES"/>
              </w:rPr>
            </w:pPr>
            <w:r w:rsidRPr="003B225C">
              <w:rPr>
                <w:lang w:val="es-ES"/>
              </w:rPr>
              <w:t>GT 5B</w:t>
            </w:r>
          </w:p>
        </w:tc>
        <w:tc>
          <w:tcPr>
            <w:tcW w:w="4832" w:type="dxa"/>
            <w:vAlign w:val="center"/>
          </w:tcPr>
          <w:p w14:paraId="31744F86" w14:textId="2D03D4F2" w:rsidR="008D568F" w:rsidRPr="00A2786A" w:rsidRDefault="008D568F" w:rsidP="001F2FFC">
            <w:pPr>
              <w:pStyle w:val="Tabletext"/>
              <w:jc w:val="center"/>
              <w:rPr>
                <w:lang w:val="fr-FR"/>
              </w:rPr>
            </w:pPr>
            <w:r w:rsidRPr="00A2786A">
              <w:rPr>
                <w:lang w:val="fr-FR"/>
              </w:rPr>
              <w:t>GT 3</w:t>
            </w:r>
            <w:proofErr w:type="gramStart"/>
            <w:r w:rsidRPr="00A2786A">
              <w:rPr>
                <w:lang w:val="fr-FR"/>
              </w:rPr>
              <w:t>J;</w:t>
            </w:r>
            <w:proofErr w:type="gramEnd"/>
            <w:r w:rsidRPr="00A2786A">
              <w:rPr>
                <w:lang w:val="fr-FR"/>
              </w:rPr>
              <w:t xml:space="preserve"> GT 3K; GT 3M; GT</w:t>
            </w:r>
            <w:r w:rsidR="00D87C30" w:rsidRPr="00A2786A">
              <w:rPr>
                <w:lang w:val="fr-FR"/>
              </w:rPr>
              <w:t> </w:t>
            </w:r>
            <w:r w:rsidRPr="00A2786A">
              <w:rPr>
                <w:lang w:val="fr-FR"/>
              </w:rPr>
              <w:t>4A; GT</w:t>
            </w:r>
            <w:r w:rsidR="00D87C30" w:rsidRPr="00A2786A">
              <w:rPr>
                <w:lang w:val="fr-FR"/>
              </w:rPr>
              <w:t> </w:t>
            </w:r>
            <w:r w:rsidRPr="00A2786A">
              <w:rPr>
                <w:lang w:val="fr-FR"/>
              </w:rPr>
              <w:t>4C; GT</w:t>
            </w:r>
            <w:r w:rsidR="00D87C30" w:rsidRPr="00A2786A">
              <w:rPr>
                <w:lang w:val="fr-FR"/>
              </w:rPr>
              <w:t> </w:t>
            </w:r>
            <w:r w:rsidRPr="00A2786A">
              <w:rPr>
                <w:lang w:val="fr-FR"/>
              </w:rPr>
              <w:t>5A; GT 5C; GT 7C; GT</w:t>
            </w:r>
            <w:r w:rsidR="00D87C30" w:rsidRPr="00A2786A">
              <w:rPr>
                <w:lang w:val="fr-FR"/>
              </w:rPr>
              <w:t> </w:t>
            </w:r>
            <w:r w:rsidRPr="00A2786A">
              <w:rPr>
                <w:lang w:val="fr-FR"/>
              </w:rPr>
              <w:t>7D</w:t>
            </w:r>
          </w:p>
        </w:tc>
      </w:tr>
      <w:tr w:rsidR="008D568F" w:rsidRPr="00A2786A" w14:paraId="2A0034AA" w14:textId="77777777" w:rsidTr="001F2FFC">
        <w:trPr>
          <w:jc w:val="center"/>
        </w:trPr>
        <w:tc>
          <w:tcPr>
            <w:tcW w:w="1563" w:type="dxa"/>
            <w:vAlign w:val="center"/>
          </w:tcPr>
          <w:p w14:paraId="7B0DB422" w14:textId="77777777" w:rsidR="008D568F" w:rsidRPr="003B225C" w:rsidRDefault="008D568F" w:rsidP="001F2FFC">
            <w:pPr>
              <w:pStyle w:val="Tabletext"/>
              <w:jc w:val="center"/>
              <w:rPr>
                <w:lang w:val="es-ES"/>
              </w:rPr>
            </w:pPr>
            <w:r w:rsidRPr="003B225C">
              <w:rPr>
                <w:lang w:val="es-ES"/>
              </w:rPr>
              <w:t>1.9</w:t>
            </w:r>
          </w:p>
        </w:tc>
        <w:tc>
          <w:tcPr>
            <w:tcW w:w="1722" w:type="dxa"/>
            <w:vAlign w:val="center"/>
          </w:tcPr>
          <w:p w14:paraId="57C484DF" w14:textId="77777777" w:rsidR="008D568F" w:rsidRPr="003B225C" w:rsidRDefault="008D568F" w:rsidP="001F2FFC">
            <w:pPr>
              <w:pStyle w:val="Tabletext"/>
              <w:jc w:val="center"/>
              <w:rPr>
                <w:lang w:val="es-ES"/>
              </w:rPr>
            </w:pPr>
            <w:r w:rsidRPr="003B225C">
              <w:rPr>
                <w:lang w:val="es-ES"/>
              </w:rPr>
              <w:t>411 (CMR</w:t>
            </w:r>
            <w:r w:rsidRPr="003B225C">
              <w:rPr>
                <w:lang w:val="es-ES"/>
              </w:rPr>
              <w:noBreakHyphen/>
              <w:t>23)</w:t>
            </w:r>
          </w:p>
        </w:tc>
        <w:tc>
          <w:tcPr>
            <w:tcW w:w="1512" w:type="dxa"/>
            <w:vAlign w:val="center"/>
          </w:tcPr>
          <w:p w14:paraId="292A370E" w14:textId="77777777" w:rsidR="008D568F" w:rsidRPr="003B225C" w:rsidRDefault="008D568F" w:rsidP="001F2FFC">
            <w:pPr>
              <w:pStyle w:val="Tabletext"/>
              <w:jc w:val="center"/>
              <w:rPr>
                <w:lang w:val="es-ES"/>
              </w:rPr>
            </w:pPr>
            <w:r w:rsidRPr="003B225C">
              <w:rPr>
                <w:lang w:val="es-ES"/>
              </w:rPr>
              <w:t>GT 5B</w:t>
            </w:r>
          </w:p>
        </w:tc>
        <w:tc>
          <w:tcPr>
            <w:tcW w:w="4832" w:type="dxa"/>
            <w:vAlign w:val="center"/>
          </w:tcPr>
          <w:p w14:paraId="538ED7F8" w14:textId="3AF2F79E" w:rsidR="008D568F" w:rsidRPr="00A2786A" w:rsidRDefault="008D568F" w:rsidP="001F2FFC">
            <w:pPr>
              <w:pStyle w:val="Tabletext"/>
              <w:jc w:val="center"/>
              <w:rPr>
                <w:lang w:val="fr-FR"/>
              </w:rPr>
            </w:pPr>
            <w:r w:rsidRPr="00A2786A">
              <w:rPr>
                <w:lang w:val="fr-FR"/>
              </w:rPr>
              <w:t>GT</w:t>
            </w:r>
            <w:r w:rsidR="006D5D0B" w:rsidRPr="00A2786A">
              <w:rPr>
                <w:lang w:val="fr-FR"/>
              </w:rPr>
              <w:t> </w:t>
            </w:r>
            <w:r w:rsidRPr="00A2786A">
              <w:rPr>
                <w:lang w:val="fr-FR"/>
              </w:rPr>
              <w:t>3</w:t>
            </w:r>
            <w:proofErr w:type="gramStart"/>
            <w:r w:rsidRPr="00A2786A">
              <w:rPr>
                <w:lang w:val="fr-FR"/>
              </w:rPr>
              <w:t>L;</w:t>
            </w:r>
            <w:proofErr w:type="gramEnd"/>
            <w:r w:rsidRPr="00A2786A">
              <w:rPr>
                <w:lang w:val="fr-FR"/>
              </w:rPr>
              <w:t xml:space="preserve"> GT</w:t>
            </w:r>
            <w:r w:rsidR="006D5D0B" w:rsidRPr="00A2786A">
              <w:rPr>
                <w:lang w:val="fr-FR"/>
              </w:rPr>
              <w:t> </w:t>
            </w:r>
            <w:r w:rsidRPr="00A2786A">
              <w:rPr>
                <w:lang w:val="fr-FR"/>
              </w:rPr>
              <w:t>5C; GT</w:t>
            </w:r>
            <w:r w:rsidR="006D5D0B" w:rsidRPr="00A2786A">
              <w:rPr>
                <w:lang w:val="fr-FR"/>
              </w:rPr>
              <w:t> </w:t>
            </w:r>
            <w:r w:rsidRPr="00A2786A">
              <w:rPr>
                <w:lang w:val="fr-FR"/>
              </w:rPr>
              <w:t>6A; GT</w:t>
            </w:r>
            <w:r w:rsidR="006D5D0B" w:rsidRPr="00A2786A">
              <w:rPr>
                <w:lang w:val="fr-FR"/>
              </w:rPr>
              <w:t> </w:t>
            </w:r>
            <w:r w:rsidRPr="00A2786A">
              <w:rPr>
                <w:lang w:val="fr-FR"/>
              </w:rPr>
              <w:t>7A</w:t>
            </w:r>
          </w:p>
        </w:tc>
      </w:tr>
      <w:tr w:rsidR="008D568F" w:rsidRPr="00A2786A" w14:paraId="0F79E723" w14:textId="77777777" w:rsidTr="001F2FFC">
        <w:trPr>
          <w:jc w:val="center"/>
        </w:trPr>
        <w:tc>
          <w:tcPr>
            <w:tcW w:w="1563" w:type="dxa"/>
            <w:vAlign w:val="center"/>
          </w:tcPr>
          <w:p w14:paraId="64F122FD" w14:textId="77777777" w:rsidR="008D568F" w:rsidRPr="003B225C" w:rsidRDefault="008D568F" w:rsidP="001F2FFC">
            <w:pPr>
              <w:pStyle w:val="Tabletext"/>
              <w:jc w:val="center"/>
              <w:rPr>
                <w:lang w:val="es-ES"/>
              </w:rPr>
            </w:pPr>
            <w:r w:rsidRPr="003B225C">
              <w:rPr>
                <w:lang w:val="es-ES"/>
              </w:rPr>
              <w:t>1.10</w:t>
            </w:r>
          </w:p>
        </w:tc>
        <w:tc>
          <w:tcPr>
            <w:tcW w:w="1722" w:type="dxa"/>
            <w:vAlign w:val="center"/>
          </w:tcPr>
          <w:p w14:paraId="11D83DD2" w14:textId="77777777" w:rsidR="008D568F" w:rsidRPr="003B225C" w:rsidRDefault="008D568F" w:rsidP="001F2FFC">
            <w:pPr>
              <w:pStyle w:val="Tabletext"/>
              <w:jc w:val="center"/>
              <w:rPr>
                <w:lang w:val="es-ES"/>
              </w:rPr>
            </w:pPr>
            <w:r w:rsidRPr="003B225C">
              <w:rPr>
                <w:lang w:val="es-ES"/>
              </w:rPr>
              <w:t>775 (Rev.CMR-23)</w:t>
            </w:r>
          </w:p>
        </w:tc>
        <w:tc>
          <w:tcPr>
            <w:tcW w:w="1512" w:type="dxa"/>
            <w:vAlign w:val="center"/>
          </w:tcPr>
          <w:p w14:paraId="2FC86912" w14:textId="1070EFFF" w:rsidR="008D568F" w:rsidRPr="003B225C" w:rsidRDefault="008D568F" w:rsidP="001F2FFC">
            <w:pPr>
              <w:pStyle w:val="Tabletext"/>
              <w:jc w:val="center"/>
              <w:rPr>
                <w:lang w:val="es-ES"/>
              </w:rPr>
            </w:pPr>
            <w:r w:rsidRPr="003B225C">
              <w:rPr>
                <w:lang w:val="es-ES"/>
              </w:rPr>
              <w:t>GT</w:t>
            </w:r>
            <w:r w:rsidR="006D5D0B" w:rsidRPr="003B225C">
              <w:rPr>
                <w:lang w:val="es-ES"/>
              </w:rPr>
              <w:t> </w:t>
            </w:r>
            <w:r w:rsidRPr="003B225C">
              <w:rPr>
                <w:lang w:val="es-ES"/>
              </w:rPr>
              <w:t>5C</w:t>
            </w:r>
            <w:r w:rsidR="001F2FFC" w:rsidRPr="003B225C">
              <w:rPr>
                <w:rStyle w:val="FootnoteReference"/>
                <w:lang w:val="es-ES"/>
              </w:rPr>
              <w:footnoteReference w:customMarkFollows="1" w:id="3"/>
              <w:t>*</w:t>
            </w:r>
          </w:p>
        </w:tc>
        <w:tc>
          <w:tcPr>
            <w:tcW w:w="4832" w:type="dxa"/>
            <w:vAlign w:val="center"/>
          </w:tcPr>
          <w:p w14:paraId="3673B1D4" w14:textId="21F4645D" w:rsidR="008D568F" w:rsidRPr="00A2786A" w:rsidRDefault="008D568F" w:rsidP="001F2FFC">
            <w:pPr>
              <w:pStyle w:val="Tabletext"/>
              <w:jc w:val="center"/>
              <w:rPr>
                <w:lang w:val="fr-FR"/>
              </w:rPr>
            </w:pPr>
            <w:r w:rsidRPr="00A2786A">
              <w:rPr>
                <w:lang w:val="fr-FR"/>
              </w:rPr>
              <w:t>GT</w:t>
            </w:r>
            <w:r w:rsidR="006D5D0B" w:rsidRPr="00A2786A">
              <w:rPr>
                <w:lang w:val="fr-FR"/>
              </w:rPr>
              <w:t> </w:t>
            </w:r>
            <w:r w:rsidRPr="00A2786A">
              <w:rPr>
                <w:lang w:val="fr-FR"/>
              </w:rPr>
              <w:t>3</w:t>
            </w:r>
            <w:proofErr w:type="gramStart"/>
            <w:r w:rsidRPr="00A2786A">
              <w:rPr>
                <w:lang w:val="fr-FR"/>
              </w:rPr>
              <w:t>J;</w:t>
            </w:r>
            <w:proofErr w:type="gramEnd"/>
            <w:r w:rsidRPr="00A2786A">
              <w:rPr>
                <w:lang w:val="fr-FR"/>
              </w:rPr>
              <w:t xml:space="preserve"> GT</w:t>
            </w:r>
            <w:r w:rsidR="006D5D0B" w:rsidRPr="00A2786A">
              <w:rPr>
                <w:lang w:val="fr-FR"/>
              </w:rPr>
              <w:t> </w:t>
            </w:r>
            <w:r w:rsidRPr="00A2786A">
              <w:rPr>
                <w:lang w:val="fr-FR"/>
              </w:rPr>
              <w:t>3M; GT</w:t>
            </w:r>
            <w:r w:rsidR="006D5D0B" w:rsidRPr="00A2786A">
              <w:rPr>
                <w:lang w:val="fr-FR"/>
              </w:rPr>
              <w:t> </w:t>
            </w:r>
            <w:r w:rsidRPr="00A2786A">
              <w:rPr>
                <w:lang w:val="fr-FR"/>
              </w:rPr>
              <w:t>4A*; GT</w:t>
            </w:r>
            <w:r w:rsidR="006D5D0B" w:rsidRPr="00A2786A">
              <w:rPr>
                <w:lang w:val="fr-FR"/>
              </w:rPr>
              <w:t> </w:t>
            </w:r>
            <w:r w:rsidRPr="00A2786A">
              <w:rPr>
                <w:lang w:val="fr-FR"/>
              </w:rPr>
              <w:t>4B; GT</w:t>
            </w:r>
            <w:r w:rsidR="006D5D0B" w:rsidRPr="00A2786A">
              <w:rPr>
                <w:lang w:val="fr-FR"/>
              </w:rPr>
              <w:t> </w:t>
            </w:r>
            <w:r w:rsidRPr="00A2786A">
              <w:rPr>
                <w:lang w:val="fr-FR"/>
              </w:rPr>
              <w:t>4C*; GT 5A*; GT 5B; GT</w:t>
            </w:r>
            <w:r w:rsidR="001F2FFC" w:rsidRPr="00A2786A">
              <w:rPr>
                <w:lang w:val="fr-FR"/>
              </w:rPr>
              <w:t> </w:t>
            </w:r>
            <w:r w:rsidRPr="00A2786A">
              <w:rPr>
                <w:lang w:val="fr-FR"/>
              </w:rPr>
              <w:t>6A; GT</w:t>
            </w:r>
            <w:r w:rsidR="006D5D0B" w:rsidRPr="00A2786A">
              <w:rPr>
                <w:lang w:val="fr-FR"/>
              </w:rPr>
              <w:t> </w:t>
            </w:r>
            <w:r w:rsidRPr="00A2786A">
              <w:rPr>
                <w:lang w:val="fr-FR"/>
              </w:rPr>
              <w:t>7C; GT</w:t>
            </w:r>
            <w:r w:rsidR="006D5D0B" w:rsidRPr="00A2786A">
              <w:rPr>
                <w:lang w:val="fr-FR"/>
              </w:rPr>
              <w:t> </w:t>
            </w:r>
            <w:r w:rsidRPr="00A2786A">
              <w:rPr>
                <w:lang w:val="fr-FR"/>
              </w:rPr>
              <w:t>7D</w:t>
            </w:r>
          </w:p>
        </w:tc>
      </w:tr>
      <w:tr w:rsidR="008D568F" w:rsidRPr="00A2786A" w14:paraId="531FABA5" w14:textId="77777777" w:rsidTr="001F2FFC">
        <w:trPr>
          <w:jc w:val="center"/>
        </w:trPr>
        <w:tc>
          <w:tcPr>
            <w:tcW w:w="1563" w:type="dxa"/>
            <w:vAlign w:val="center"/>
          </w:tcPr>
          <w:p w14:paraId="52A4EA61" w14:textId="77777777" w:rsidR="008D568F" w:rsidRPr="003B225C" w:rsidRDefault="008D568F" w:rsidP="001F2FFC">
            <w:pPr>
              <w:pStyle w:val="Tabletext"/>
              <w:jc w:val="center"/>
              <w:rPr>
                <w:lang w:val="es-ES"/>
              </w:rPr>
            </w:pPr>
            <w:r w:rsidRPr="003B225C">
              <w:rPr>
                <w:lang w:val="es-ES"/>
              </w:rPr>
              <w:t>1.11</w:t>
            </w:r>
          </w:p>
        </w:tc>
        <w:tc>
          <w:tcPr>
            <w:tcW w:w="1722" w:type="dxa"/>
            <w:vAlign w:val="center"/>
          </w:tcPr>
          <w:p w14:paraId="1BC05BB7" w14:textId="77777777" w:rsidR="008D568F" w:rsidRPr="003B225C" w:rsidRDefault="008D568F" w:rsidP="001F2FFC">
            <w:pPr>
              <w:pStyle w:val="Tabletext"/>
              <w:jc w:val="center"/>
              <w:rPr>
                <w:lang w:val="es-ES"/>
              </w:rPr>
            </w:pPr>
            <w:r w:rsidRPr="003B225C">
              <w:rPr>
                <w:lang w:val="es-ES"/>
              </w:rPr>
              <w:t>249 (Rev.CMR-23)</w:t>
            </w:r>
          </w:p>
        </w:tc>
        <w:tc>
          <w:tcPr>
            <w:tcW w:w="1512" w:type="dxa"/>
            <w:vAlign w:val="center"/>
          </w:tcPr>
          <w:p w14:paraId="3D8B321B" w14:textId="77777777" w:rsidR="008D568F" w:rsidRPr="003B225C" w:rsidRDefault="008D568F" w:rsidP="001F2FFC">
            <w:pPr>
              <w:pStyle w:val="Tabletext"/>
              <w:jc w:val="center"/>
              <w:rPr>
                <w:lang w:val="es-ES"/>
              </w:rPr>
            </w:pPr>
            <w:r w:rsidRPr="003B225C">
              <w:rPr>
                <w:lang w:val="es-ES"/>
              </w:rPr>
              <w:t>GT 4C</w:t>
            </w:r>
          </w:p>
        </w:tc>
        <w:tc>
          <w:tcPr>
            <w:tcW w:w="4832" w:type="dxa"/>
            <w:vAlign w:val="center"/>
          </w:tcPr>
          <w:p w14:paraId="200DF93F" w14:textId="4DD2A603" w:rsidR="008D568F" w:rsidRPr="00A2786A" w:rsidRDefault="008D568F" w:rsidP="001F2FFC">
            <w:pPr>
              <w:pStyle w:val="Tabletext"/>
              <w:jc w:val="center"/>
              <w:rPr>
                <w:lang w:val="fr-FR"/>
              </w:rPr>
            </w:pPr>
            <w:r w:rsidRPr="00A2786A">
              <w:rPr>
                <w:lang w:val="fr-FR"/>
              </w:rPr>
              <w:t>GT 3</w:t>
            </w:r>
            <w:proofErr w:type="gramStart"/>
            <w:r w:rsidRPr="00A2786A">
              <w:rPr>
                <w:lang w:val="fr-FR"/>
              </w:rPr>
              <w:t>L;</w:t>
            </w:r>
            <w:proofErr w:type="gramEnd"/>
            <w:r w:rsidRPr="00A2786A">
              <w:rPr>
                <w:lang w:val="fr-FR"/>
              </w:rPr>
              <w:t xml:space="preserve"> GT 3M; GT</w:t>
            </w:r>
            <w:r w:rsidR="006D5D0B" w:rsidRPr="00A2786A">
              <w:rPr>
                <w:lang w:val="fr-FR"/>
              </w:rPr>
              <w:t> </w:t>
            </w:r>
            <w:r w:rsidRPr="00A2786A">
              <w:rPr>
                <w:lang w:val="fr-FR"/>
              </w:rPr>
              <w:t>4A; GT</w:t>
            </w:r>
            <w:r w:rsidR="006D5D0B" w:rsidRPr="00A2786A">
              <w:rPr>
                <w:lang w:val="fr-FR"/>
              </w:rPr>
              <w:t> </w:t>
            </w:r>
            <w:r w:rsidRPr="00A2786A">
              <w:rPr>
                <w:lang w:val="fr-FR"/>
              </w:rPr>
              <w:t>4B; GT</w:t>
            </w:r>
            <w:r w:rsidR="006D5D0B" w:rsidRPr="00A2786A">
              <w:rPr>
                <w:lang w:val="fr-FR"/>
              </w:rPr>
              <w:t> </w:t>
            </w:r>
            <w:r w:rsidRPr="00A2786A">
              <w:rPr>
                <w:lang w:val="fr-FR"/>
              </w:rPr>
              <w:t>5A; GT</w:t>
            </w:r>
            <w:r w:rsidR="006D5D0B" w:rsidRPr="00A2786A">
              <w:rPr>
                <w:lang w:val="fr-FR"/>
              </w:rPr>
              <w:t> </w:t>
            </w:r>
            <w:r w:rsidRPr="00A2786A">
              <w:rPr>
                <w:lang w:val="fr-FR"/>
              </w:rPr>
              <w:t>5B; GT 5C; GT 5D; GT</w:t>
            </w:r>
            <w:r w:rsidR="006D5D0B" w:rsidRPr="00A2786A">
              <w:rPr>
                <w:lang w:val="fr-FR"/>
              </w:rPr>
              <w:t> </w:t>
            </w:r>
            <w:r w:rsidRPr="00A2786A">
              <w:rPr>
                <w:lang w:val="fr-FR"/>
              </w:rPr>
              <w:t>7B; GT</w:t>
            </w:r>
            <w:r w:rsidR="006D5D0B" w:rsidRPr="00A2786A">
              <w:rPr>
                <w:lang w:val="fr-FR"/>
              </w:rPr>
              <w:t> </w:t>
            </w:r>
            <w:r w:rsidRPr="00A2786A">
              <w:rPr>
                <w:lang w:val="fr-FR"/>
              </w:rPr>
              <w:t>7C; GT</w:t>
            </w:r>
            <w:r w:rsidR="006D5D0B" w:rsidRPr="00A2786A">
              <w:rPr>
                <w:lang w:val="fr-FR"/>
              </w:rPr>
              <w:t> </w:t>
            </w:r>
            <w:r w:rsidRPr="00A2786A">
              <w:rPr>
                <w:lang w:val="fr-FR"/>
              </w:rPr>
              <w:t>7D</w:t>
            </w:r>
          </w:p>
        </w:tc>
      </w:tr>
      <w:tr w:rsidR="008D568F" w:rsidRPr="00A2786A" w14:paraId="63A2CD7C" w14:textId="77777777" w:rsidTr="001F2FFC">
        <w:trPr>
          <w:jc w:val="center"/>
        </w:trPr>
        <w:tc>
          <w:tcPr>
            <w:tcW w:w="1563" w:type="dxa"/>
            <w:vAlign w:val="center"/>
          </w:tcPr>
          <w:p w14:paraId="0108B6E8" w14:textId="77777777" w:rsidR="008D568F" w:rsidRPr="003B225C" w:rsidRDefault="008D568F" w:rsidP="001F2FFC">
            <w:pPr>
              <w:pStyle w:val="Tabletext"/>
              <w:jc w:val="center"/>
              <w:rPr>
                <w:lang w:val="es-ES"/>
              </w:rPr>
            </w:pPr>
            <w:r w:rsidRPr="003B225C">
              <w:rPr>
                <w:lang w:val="es-ES"/>
              </w:rPr>
              <w:t>1.12</w:t>
            </w:r>
          </w:p>
        </w:tc>
        <w:tc>
          <w:tcPr>
            <w:tcW w:w="1722" w:type="dxa"/>
            <w:vAlign w:val="center"/>
          </w:tcPr>
          <w:p w14:paraId="465D8D37" w14:textId="77777777" w:rsidR="008D568F" w:rsidRPr="003B225C" w:rsidRDefault="008D568F" w:rsidP="001F2FFC">
            <w:pPr>
              <w:pStyle w:val="Tabletext"/>
              <w:jc w:val="center"/>
              <w:rPr>
                <w:lang w:val="es-ES"/>
              </w:rPr>
            </w:pPr>
            <w:r w:rsidRPr="003B225C">
              <w:rPr>
                <w:lang w:val="es-ES"/>
              </w:rPr>
              <w:t>252 (CMR</w:t>
            </w:r>
            <w:r w:rsidRPr="003B225C">
              <w:rPr>
                <w:lang w:val="es-ES"/>
              </w:rPr>
              <w:noBreakHyphen/>
              <w:t>23)</w:t>
            </w:r>
          </w:p>
        </w:tc>
        <w:tc>
          <w:tcPr>
            <w:tcW w:w="1512" w:type="dxa"/>
            <w:vAlign w:val="center"/>
          </w:tcPr>
          <w:p w14:paraId="0DFF53E5" w14:textId="77777777" w:rsidR="008D568F" w:rsidRPr="003B225C" w:rsidRDefault="008D568F" w:rsidP="001F2FFC">
            <w:pPr>
              <w:pStyle w:val="Tabletext"/>
              <w:jc w:val="center"/>
              <w:rPr>
                <w:lang w:val="es-ES"/>
              </w:rPr>
            </w:pPr>
            <w:r w:rsidRPr="003B225C">
              <w:rPr>
                <w:lang w:val="es-ES"/>
              </w:rPr>
              <w:t>GT 4C</w:t>
            </w:r>
          </w:p>
        </w:tc>
        <w:tc>
          <w:tcPr>
            <w:tcW w:w="4832" w:type="dxa"/>
            <w:vAlign w:val="center"/>
          </w:tcPr>
          <w:p w14:paraId="17424020" w14:textId="0FDA65E6" w:rsidR="008D568F" w:rsidRPr="003B225C" w:rsidRDefault="008D568F" w:rsidP="001F2FFC">
            <w:pPr>
              <w:pStyle w:val="Tabletext"/>
              <w:jc w:val="center"/>
              <w:rPr>
                <w:lang w:val="es-ES"/>
              </w:rPr>
            </w:pPr>
            <w:r w:rsidRPr="003B225C">
              <w:rPr>
                <w:lang w:val="es-ES"/>
              </w:rPr>
              <w:t>GT</w:t>
            </w:r>
            <w:r w:rsidR="006D5D0B" w:rsidRPr="003B225C">
              <w:rPr>
                <w:lang w:val="es-ES"/>
              </w:rPr>
              <w:t> </w:t>
            </w:r>
            <w:r w:rsidRPr="003B225C">
              <w:rPr>
                <w:lang w:val="es-ES"/>
              </w:rPr>
              <w:t>3L; GT</w:t>
            </w:r>
            <w:r w:rsidR="006D5D0B" w:rsidRPr="003B225C">
              <w:rPr>
                <w:lang w:val="es-ES"/>
              </w:rPr>
              <w:t> </w:t>
            </w:r>
            <w:r w:rsidRPr="003B225C">
              <w:rPr>
                <w:lang w:val="es-ES"/>
              </w:rPr>
              <w:t>3M; GT</w:t>
            </w:r>
            <w:r w:rsidR="006D5D0B" w:rsidRPr="003B225C">
              <w:rPr>
                <w:lang w:val="es-ES"/>
              </w:rPr>
              <w:t> </w:t>
            </w:r>
            <w:r w:rsidRPr="003B225C">
              <w:rPr>
                <w:lang w:val="es-ES"/>
              </w:rPr>
              <w:t xml:space="preserve">4B </w:t>
            </w:r>
            <w:r w:rsidRPr="003B225C">
              <w:rPr>
                <w:lang w:val="es-ES"/>
              </w:rPr>
              <w:br/>
              <w:t>(</w:t>
            </w:r>
            <w:r w:rsidR="004D7896" w:rsidRPr="003B225C">
              <w:rPr>
                <w:lang w:val="es-ES"/>
              </w:rPr>
              <w:t>e</w:t>
            </w:r>
            <w:r w:rsidRPr="003B225C">
              <w:rPr>
                <w:lang w:val="es-ES"/>
              </w:rPr>
              <w:t>l GT</w:t>
            </w:r>
            <w:r w:rsidR="006D5D0B" w:rsidRPr="003B225C">
              <w:rPr>
                <w:lang w:val="es-ES"/>
              </w:rPr>
              <w:t> </w:t>
            </w:r>
            <w:r w:rsidRPr="003B225C">
              <w:rPr>
                <w:lang w:val="es-ES"/>
              </w:rPr>
              <w:t xml:space="preserve">4B debe facilitar información sobre el futuro desarrollo de sistemas no OSG del SMS de baja velocidad de datos); </w:t>
            </w:r>
            <w:r w:rsidRPr="003B225C">
              <w:rPr>
                <w:lang w:val="es-ES"/>
              </w:rPr>
              <w:br/>
              <w:t>GT</w:t>
            </w:r>
            <w:r w:rsidR="006D5D0B" w:rsidRPr="003B225C">
              <w:rPr>
                <w:lang w:val="es-ES"/>
              </w:rPr>
              <w:t> </w:t>
            </w:r>
            <w:r w:rsidRPr="003B225C">
              <w:rPr>
                <w:lang w:val="es-ES"/>
              </w:rPr>
              <w:t>5A; GT</w:t>
            </w:r>
            <w:r w:rsidR="006D5D0B" w:rsidRPr="003B225C">
              <w:rPr>
                <w:lang w:val="es-ES"/>
              </w:rPr>
              <w:t> </w:t>
            </w:r>
            <w:r w:rsidRPr="003B225C">
              <w:rPr>
                <w:lang w:val="es-ES"/>
              </w:rPr>
              <w:t>5B; GT</w:t>
            </w:r>
            <w:r w:rsidR="006D5D0B" w:rsidRPr="003B225C">
              <w:rPr>
                <w:lang w:val="es-ES"/>
              </w:rPr>
              <w:t> </w:t>
            </w:r>
            <w:r w:rsidRPr="003B225C">
              <w:rPr>
                <w:lang w:val="es-ES"/>
              </w:rPr>
              <w:t>5C; GT</w:t>
            </w:r>
            <w:r w:rsidR="006D5D0B" w:rsidRPr="003B225C">
              <w:rPr>
                <w:lang w:val="es-ES"/>
              </w:rPr>
              <w:t> </w:t>
            </w:r>
            <w:r w:rsidRPr="003B225C">
              <w:rPr>
                <w:lang w:val="es-ES"/>
              </w:rPr>
              <w:t>5D; GT</w:t>
            </w:r>
            <w:r w:rsidR="006D5D0B" w:rsidRPr="003B225C">
              <w:rPr>
                <w:lang w:val="es-ES"/>
              </w:rPr>
              <w:t> </w:t>
            </w:r>
            <w:r w:rsidRPr="003B225C">
              <w:rPr>
                <w:lang w:val="es-ES"/>
              </w:rPr>
              <w:t>7B; GT</w:t>
            </w:r>
            <w:r w:rsidR="006D5D0B" w:rsidRPr="003B225C">
              <w:rPr>
                <w:lang w:val="es-ES"/>
              </w:rPr>
              <w:t> </w:t>
            </w:r>
            <w:r w:rsidRPr="003B225C">
              <w:rPr>
                <w:lang w:val="es-ES"/>
              </w:rPr>
              <w:t>7C; GT</w:t>
            </w:r>
            <w:r w:rsidR="006D5D0B" w:rsidRPr="003B225C">
              <w:rPr>
                <w:lang w:val="es-ES"/>
              </w:rPr>
              <w:t> </w:t>
            </w:r>
            <w:r w:rsidRPr="003B225C">
              <w:rPr>
                <w:lang w:val="es-ES"/>
              </w:rPr>
              <w:t>7D</w:t>
            </w:r>
          </w:p>
        </w:tc>
      </w:tr>
      <w:tr w:rsidR="008D568F" w:rsidRPr="00A2786A" w14:paraId="5802A701" w14:textId="77777777" w:rsidTr="001F2FFC">
        <w:trPr>
          <w:jc w:val="center"/>
        </w:trPr>
        <w:tc>
          <w:tcPr>
            <w:tcW w:w="1563" w:type="dxa"/>
            <w:vAlign w:val="center"/>
          </w:tcPr>
          <w:p w14:paraId="77B20149" w14:textId="77777777" w:rsidR="008D568F" w:rsidRPr="003B225C" w:rsidRDefault="008D568F" w:rsidP="001F2FFC">
            <w:pPr>
              <w:pStyle w:val="Tabletext"/>
              <w:jc w:val="center"/>
              <w:rPr>
                <w:lang w:val="es-ES"/>
              </w:rPr>
            </w:pPr>
            <w:r w:rsidRPr="003B225C">
              <w:rPr>
                <w:lang w:val="es-ES"/>
              </w:rPr>
              <w:t>1.13</w:t>
            </w:r>
          </w:p>
        </w:tc>
        <w:tc>
          <w:tcPr>
            <w:tcW w:w="1722" w:type="dxa"/>
            <w:vAlign w:val="center"/>
          </w:tcPr>
          <w:p w14:paraId="02E8354D" w14:textId="77777777" w:rsidR="008D568F" w:rsidRPr="003B225C" w:rsidRDefault="008D568F" w:rsidP="001F2FFC">
            <w:pPr>
              <w:pStyle w:val="Tabletext"/>
              <w:jc w:val="center"/>
              <w:rPr>
                <w:lang w:val="es-ES"/>
              </w:rPr>
            </w:pPr>
            <w:r w:rsidRPr="003B225C">
              <w:rPr>
                <w:lang w:val="es-ES"/>
              </w:rPr>
              <w:t>253 (CMR</w:t>
            </w:r>
            <w:r w:rsidRPr="003B225C">
              <w:rPr>
                <w:lang w:val="es-ES"/>
              </w:rPr>
              <w:noBreakHyphen/>
              <w:t>23)</w:t>
            </w:r>
          </w:p>
        </w:tc>
        <w:tc>
          <w:tcPr>
            <w:tcW w:w="1512" w:type="dxa"/>
            <w:vAlign w:val="center"/>
          </w:tcPr>
          <w:p w14:paraId="21516E1E" w14:textId="2BEF8FC5" w:rsidR="008D568F" w:rsidRPr="003B225C" w:rsidRDefault="008D568F" w:rsidP="001F2FFC">
            <w:pPr>
              <w:pStyle w:val="Tabletext"/>
              <w:jc w:val="center"/>
              <w:rPr>
                <w:lang w:val="es-ES"/>
              </w:rPr>
            </w:pPr>
            <w:r w:rsidRPr="003B225C">
              <w:rPr>
                <w:lang w:val="es-ES"/>
              </w:rPr>
              <w:t>GT</w:t>
            </w:r>
            <w:r w:rsidR="006D5D0B" w:rsidRPr="003B225C">
              <w:rPr>
                <w:lang w:val="es-ES"/>
              </w:rPr>
              <w:t> </w:t>
            </w:r>
            <w:r w:rsidRPr="003B225C">
              <w:rPr>
                <w:lang w:val="es-ES"/>
              </w:rPr>
              <w:t>4C</w:t>
            </w:r>
            <w:r w:rsidR="001F2FFC" w:rsidRPr="003B225C">
              <w:rPr>
                <w:rStyle w:val="FootnoteReference"/>
                <w:lang w:val="es-ES"/>
              </w:rPr>
              <w:footnoteReference w:customMarkFollows="1" w:id="4"/>
              <w:t>*</w:t>
            </w:r>
          </w:p>
        </w:tc>
        <w:tc>
          <w:tcPr>
            <w:tcW w:w="4832" w:type="dxa"/>
            <w:vAlign w:val="center"/>
          </w:tcPr>
          <w:p w14:paraId="4BFA2FA5" w14:textId="6DD318DB" w:rsidR="008D568F" w:rsidRPr="00861C79" w:rsidRDefault="008D568F" w:rsidP="001F2FFC">
            <w:pPr>
              <w:pStyle w:val="Tabletext"/>
              <w:jc w:val="center"/>
              <w:rPr>
                <w:lang w:val="fr-FR"/>
              </w:rPr>
            </w:pPr>
            <w:r w:rsidRPr="00861C79">
              <w:rPr>
                <w:lang w:val="fr-FR"/>
              </w:rPr>
              <w:t>GT</w:t>
            </w:r>
            <w:r w:rsidR="006D5D0B" w:rsidRPr="00861C79">
              <w:rPr>
                <w:lang w:val="fr-FR"/>
              </w:rPr>
              <w:t> </w:t>
            </w:r>
            <w:r w:rsidRPr="00861C79">
              <w:rPr>
                <w:lang w:val="fr-FR"/>
              </w:rPr>
              <w:t>3L; GT 3M; GT</w:t>
            </w:r>
            <w:r w:rsidR="006D5D0B" w:rsidRPr="00861C79">
              <w:rPr>
                <w:lang w:val="fr-FR"/>
              </w:rPr>
              <w:t> </w:t>
            </w:r>
            <w:r w:rsidRPr="00861C79">
              <w:rPr>
                <w:lang w:val="fr-FR"/>
              </w:rPr>
              <w:t>4A; GT</w:t>
            </w:r>
            <w:r w:rsidR="006D5D0B" w:rsidRPr="00861C79">
              <w:rPr>
                <w:lang w:val="fr-FR"/>
              </w:rPr>
              <w:t> </w:t>
            </w:r>
            <w:r w:rsidRPr="00861C79">
              <w:rPr>
                <w:lang w:val="fr-FR"/>
              </w:rPr>
              <w:t>4B; GT</w:t>
            </w:r>
            <w:r w:rsidR="006D5D0B" w:rsidRPr="00861C79">
              <w:rPr>
                <w:lang w:val="fr-FR"/>
              </w:rPr>
              <w:t> </w:t>
            </w:r>
            <w:r w:rsidRPr="00861C79">
              <w:rPr>
                <w:lang w:val="fr-FR"/>
              </w:rPr>
              <w:t>5A; GT</w:t>
            </w:r>
            <w:r w:rsidR="006D5D0B" w:rsidRPr="00861C79">
              <w:rPr>
                <w:lang w:val="fr-FR"/>
              </w:rPr>
              <w:t> </w:t>
            </w:r>
            <w:r w:rsidRPr="00861C79">
              <w:rPr>
                <w:lang w:val="fr-FR"/>
              </w:rPr>
              <w:t>5B; GT 5C; GT</w:t>
            </w:r>
            <w:r w:rsidR="001F2FFC" w:rsidRPr="00861C79">
              <w:rPr>
                <w:lang w:val="fr-FR"/>
              </w:rPr>
              <w:t> </w:t>
            </w:r>
            <w:r w:rsidRPr="00861C79">
              <w:rPr>
                <w:lang w:val="fr-FR"/>
              </w:rPr>
              <w:t>5D*; GT</w:t>
            </w:r>
            <w:r w:rsidR="006D5D0B" w:rsidRPr="00861C79">
              <w:rPr>
                <w:lang w:val="fr-FR"/>
              </w:rPr>
              <w:t> </w:t>
            </w:r>
            <w:r w:rsidRPr="00861C79">
              <w:rPr>
                <w:lang w:val="fr-FR"/>
              </w:rPr>
              <w:t>6A; GT</w:t>
            </w:r>
            <w:r w:rsidR="006D5D0B" w:rsidRPr="00861C79">
              <w:rPr>
                <w:lang w:val="fr-FR"/>
              </w:rPr>
              <w:t> </w:t>
            </w:r>
            <w:r w:rsidRPr="00861C79">
              <w:rPr>
                <w:lang w:val="fr-FR"/>
              </w:rPr>
              <w:t>7B; GT</w:t>
            </w:r>
            <w:r w:rsidR="001F2FFC" w:rsidRPr="00861C79">
              <w:rPr>
                <w:lang w:val="fr-FR"/>
              </w:rPr>
              <w:t> </w:t>
            </w:r>
            <w:r w:rsidRPr="00861C79">
              <w:rPr>
                <w:lang w:val="fr-FR"/>
              </w:rPr>
              <w:t>7C; GT</w:t>
            </w:r>
            <w:r w:rsidR="001F2FFC" w:rsidRPr="00861C79">
              <w:rPr>
                <w:lang w:val="fr-FR"/>
              </w:rPr>
              <w:t> </w:t>
            </w:r>
            <w:r w:rsidRPr="00861C79">
              <w:rPr>
                <w:lang w:val="fr-FR"/>
              </w:rPr>
              <w:t>7D</w:t>
            </w:r>
          </w:p>
        </w:tc>
      </w:tr>
      <w:tr w:rsidR="008D568F" w:rsidRPr="00A2786A" w14:paraId="476E04E2" w14:textId="77777777" w:rsidTr="001F2FFC">
        <w:trPr>
          <w:jc w:val="center"/>
        </w:trPr>
        <w:tc>
          <w:tcPr>
            <w:tcW w:w="1563" w:type="dxa"/>
            <w:vAlign w:val="center"/>
          </w:tcPr>
          <w:p w14:paraId="78CDB7F0" w14:textId="77777777" w:rsidR="008D568F" w:rsidRPr="003B225C" w:rsidRDefault="008D568F" w:rsidP="001F2FFC">
            <w:pPr>
              <w:pStyle w:val="Tabletext"/>
              <w:jc w:val="center"/>
              <w:rPr>
                <w:lang w:val="es-ES"/>
              </w:rPr>
            </w:pPr>
            <w:r w:rsidRPr="003B225C">
              <w:rPr>
                <w:lang w:val="es-ES"/>
              </w:rPr>
              <w:t>1.14</w:t>
            </w:r>
          </w:p>
        </w:tc>
        <w:tc>
          <w:tcPr>
            <w:tcW w:w="1722" w:type="dxa"/>
            <w:vAlign w:val="center"/>
          </w:tcPr>
          <w:p w14:paraId="07166595" w14:textId="77777777" w:rsidR="008D568F" w:rsidRPr="003B225C" w:rsidRDefault="008D568F" w:rsidP="001F2FFC">
            <w:pPr>
              <w:pStyle w:val="Tabletext"/>
              <w:jc w:val="center"/>
              <w:rPr>
                <w:lang w:val="es-ES"/>
              </w:rPr>
            </w:pPr>
            <w:r w:rsidRPr="003B225C">
              <w:rPr>
                <w:lang w:val="es-ES"/>
              </w:rPr>
              <w:t>254 (CMR</w:t>
            </w:r>
            <w:r w:rsidRPr="003B225C">
              <w:rPr>
                <w:lang w:val="es-ES"/>
              </w:rPr>
              <w:noBreakHyphen/>
              <w:t>23)</w:t>
            </w:r>
          </w:p>
        </w:tc>
        <w:tc>
          <w:tcPr>
            <w:tcW w:w="1512" w:type="dxa"/>
            <w:vAlign w:val="center"/>
          </w:tcPr>
          <w:p w14:paraId="0143AE1E" w14:textId="77777777" w:rsidR="008D568F" w:rsidRPr="003B225C" w:rsidRDefault="008D568F" w:rsidP="001F2FFC">
            <w:pPr>
              <w:pStyle w:val="Tabletext"/>
              <w:jc w:val="center"/>
              <w:rPr>
                <w:lang w:val="es-ES"/>
              </w:rPr>
            </w:pPr>
            <w:r w:rsidRPr="003B225C">
              <w:rPr>
                <w:lang w:val="es-ES"/>
              </w:rPr>
              <w:t>GT 4C</w:t>
            </w:r>
          </w:p>
        </w:tc>
        <w:tc>
          <w:tcPr>
            <w:tcW w:w="4832" w:type="dxa"/>
            <w:vAlign w:val="center"/>
          </w:tcPr>
          <w:p w14:paraId="1C7B7617" w14:textId="6AB3268F" w:rsidR="008D568F" w:rsidRPr="00A2786A" w:rsidRDefault="008D568F" w:rsidP="001F2FFC">
            <w:pPr>
              <w:pStyle w:val="Tabletext"/>
              <w:jc w:val="center"/>
              <w:rPr>
                <w:lang w:val="fr-FR"/>
              </w:rPr>
            </w:pPr>
            <w:r w:rsidRPr="00A2786A">
              <w:rPr>
                <w:lang w:val="fr-FR"/>
              </w:rPr>
              <w:t>GT</w:t>
            </w:r>
            <w:r w:rsidR="001F2FFC" w:rsidRPr="00A2786A">
              <w:rPr>
                <w:lang w:val="fr-FR"/>
              </w:rPr>
              <w:t> </w:t>
            </w:r>
            <w:r w:rsidRPr="00A2786A">
              <w:rPr>
                <w:lang w:val="fr-FR"/>
              </w:rPr>
              <w:t>3</w:t>
            </w:r>
            <w:proofErr w:type="gramStart"/>
            <w:r w:rsidRPr="00A2786A">
              <w:rPr>
                <w:lang w:val="fr-FR"/>
              </w:rPr>
              <w:t>L;</w:t>
            </w:r>
            <w:proofErr w:type="gramEnd"/>
            <w:r w:rsidRPr="00A2786A">
              <w:rPr>
                <w:lang w:val="fr-FR"/>
              </w:rPr>
              <w:t xml:space="preserve"> GT 3M; GT</w:t>
            </w:r>
            <w:r w:rsidR="001F2FFC" w:rsidRPr="00A2786A">
              <w:rPr>
                <w:lang w:val="fr-FR"/>
              </w:rPr>
              <w:t> </w:t>
            </w:r>
            <w:r w:rsidRPr="00A2786A">
              <w:rPr>
                <w:lang w:val="fr-FR"/>
              </w:rPr>
              <w:t>4B; GT</w:t>
            </w:r>
            <w:r w:rsidR="001F2FFC" w:rsidRPr="00A2786A">
              <w:rPr>
                <w:lang w:val="fr-FR"/>
              </w:rPr>
              <w:t> </w:t>
            </w:r>
            <w:r w:rsidRPr="00A2786A">
              <w:rPr>
                <w:lang w:val="fr-FR"/>
              </w:rPr>
              <w:t>5A; GT</w:t>
            </w:r>
            <w:r w:rsidR="001F2FFC" w:rsidRPr="00A2786A">
              <w:rPr>
                <w:lang w:val="fr-FR"/>
              </w:rPr>
              <w:t> </w:t>
            </w:r>
            <w:r w:rsidRPr="00A2786A">
              <w:rPr>
                <w:lang w:val="fr-FR"/>
              </w:rPr>
              <w:t>5C; GT</w:t>
            </w:r>
            <w:r w:rsidR="001F2FFC" w:rsidRPr="00A2786A">
              <w:rPr>
                <w:lang w:val="fr-FR"/>
              </w:rPr>
              <w:t> </w:t>
            </w:r>
            <w:r w:rsidRPr="00A2786A">
              <w:rPr>
                <w:lang w:val="fr-FR"/>
              </w:rPr>
              <w:t>5D; GT</w:t>
            </w:r>
            <w:r w:rsidR="001F2FFC" w:rsidRPr="00A2786A">
              <w:rPr>
                <w:lang w:val="fr-FR"/>
              </w:rPr>
              <w:t> </w:t>
            </w:r>
            <w:r w:rsidRPr="00A2786A">
              <w:rPr>
                <w:lang w:val="fr-FR"/>
              </w:rPr>
              <w:t>7B; GT 7C</w:t>
            </w:r>
          </w:p>
        </w:tc>
      </w:tr>
      <w:tr w:rsidR="008D568F" w:rsidRPr="00A2786A" w14:paraId="262E90ED" w14:textId="77777777" w:rsidTr="001F2FFC">
        <w:trPr>
          <w:jc w:val="center"/>
        </w:trPr>
        <w:tc>
          <w:tcPr>
            <w:tcW w:w="1563" w:type="dxa"/>
            <w:vAlign w:val="center"/>
          </w:tcPr>
          <w:p w14:paraId="62BE1DBD" w14:textId="77777777" w:rsidR="008D568F" w:rsidRPr="003B225C" w:rsidRDefault="008D568F" w:rsidP="001F2FFC">
            <w:pPr>
              <w:pStyle w:val="Tabletext"/>
              <w:jc w:val="center"/>
              <w:rPr>
                <w:lang w:val="es-ES"/>
              </w:rPr>
            </w:pPr>
            <w:r w:rsidRPr="003B225C">
              <w:rPr>
                <w:lang w:val="es-ES"/>
              </w:rPr>
              <w:t>1.15</w:t>
            </w:r>
          </w:p>
        </w:tc>
        <w:tc>
          <w:tcPr>
            <w:tcW w:w="1722" w:type="dxa"/>
            <w:vAlign w:val="center"/>
          </w:tcPr>
          <w:p w14:paraId="3287D6B2" w14:textId="77777777" w:rsidR="008D568F" w:rsidRPr="003B225C" w:rsidRDefault="008D568F" w:rsidP="001F2FFC">
            <w:pPr>
              <w:pStyle w:val="Tabletext"/>
              <w:jc w:val="center"/>
              <w:rPr>
                <w:lang w:val="es-ES"/>
              </w:rPr>
            </w:pPr>
            <w:r w:rsidRPr="003B225C">
              <w:rPr>
                <w:lang w:val="es-ES"/>
              </w:rPr>
              <w:t>680 (CMR</w:t>
            </w:r>
            <w:r w:rsidRPr="003B225C">
              <w:rPr>
                <w:lang w:val="es-ES"/>
              </w:rPr>
              <w:noBreakHyphen/>
              <w:t>23)</w:t>
            </w:r>
          </w:p>
        </w:tc>
        <w:tc>
          <w:tcPr>
            <w:tcW w:w="1512" w:type="dxa"/>
            <w:vAlign w:val="center"/>
          </w:tcPr>
          <w:p w14:paraId="204427E2" w14:textId="77777777" w:rsidR="008D568F" w:rsidRPr="003B225C" w:rsidRDefault="008D568F" w:rsidP="001F2FFC">
            <w:pPr>
              <w:pStyle w:val="Tabletext"/>
              <w:jc w:val="center"/>
              <w:rPr>
                <w:lang w:val="es-ES"/>
              </w:rPr>
            </w:pPr>
            <w:r w:rsidRPr="003B225C">
              <w:rPr>
                <w:lang w:val="es-ES"/>
              </w:rPr>
              <w:t>GT 7B</w:t>
            </w:r>
          </w:p>
        </w:tc>
        <w:tc>
          <w:tcPr>
            <w:tcW w:w="4832" w:type="dxa"/>
            <w:vAlign w:val="center"/>
          </w:tcPr>
          <w:p w14:paraId="71BACBEF" w14:textId="3BF1B741" w:rsidR="008D568F" w:rsidRPr="00A2786A" w:rsidRDefault="008D568F" w:rsidP="001F2FFC">
            <w:pPr>
              <w:pStyle w:val="Tabletext"/>
              <w:jc w:val="center"/>
              <w:rPr>
                <w:lang w:val="fr-FR"/>
              </w:rPr>
            </w:pPr>
            <w:r w:rsidRPr="00A2786A">
              <w:rPr>
                <w:lang w:val="fr-FR"/>
              </w:rPr>
              <w:t>GT</w:t>
            </w:r>
            <w:r w:rsidR="001F2FFC" w:rsidRPr="00A2786A">
              <w:rPr>
                <w:lang w:val="fr-FR"/>
              </w:rPr>
              <w:t> </w:t>
            </w:r>
            <w:r w:rsidRPr="00A2786A">
              <w:rPr>
                <w:lang w:val="fr-FR"/>
              </w:rPr>
              <w:t>3</w:t>
            </w:r>
            <w:proofErr w:type="gramStart"/>
            <w:r w:rsidRPr="00A2786A">
              <w:rPr>
                <w:lang w:val="fr-FR"/>
              </w:rPr>
              <w:t>J;</w:t>
            </w:r>
            <w:proofErr w:type="gramEnd"/>
            <w:r w:rsidRPr="00A2786A">
              <w:rPr>
                <w:lang w:val="fr-FR"/>
              </w:rPr>
              <w:t xml:space="preserve"> GT</w:t>
            </w:r>
            <w:r w:rsidR="001F2FFC" w:rsidRPr="00A2786A">
              <w:rPr>
                <w:lang w:val="fr-FR"/>
              </w:rPr>
              <w:t> </w:t>
            </w:r>
            <w:r w:rsidRPr="00A2786A">
              <w:rPr>
                <w:lang w:val="fr-FR"/>
              </w:rPr>
              <w:t>4A; GT</w:t>
            </w:r>
            <w:r w:rsidR="001F2FFC" w:rsidRPr="00A2786A">
              <w:rPr>
                <w:lang w:val="fr-FR"/>
              </w:rPr>
              <w:t> </w:t>
            </w:r>
            <w:r w:rsidRPr="00A2786A">
              <w:rPr>
                <w:lang w:val="fr-FR"/>
              </w:rPr>
              <w:t>4C; GT 5A; GT 5B; GT 5C; GT 5D; GT 7A; GT</w:t>
            </w:r>
            <w:r w:rsidR="006D5D0B" w:rsidRPr="00A2786A">
              <w:rPr>
                <w:lang w:val="fr-FR"/>
              </w:rPr>
              <w:t> </w:t>
            </w:r>
            <w:r w:rsidRPr="00A2786A">
              <w:rPr>
                <w:lang w:val="fr-FR"/>
              </w:rPr>
              <w:t>7C; GT</w:t>
            </w:r>
            <w:r w:rsidR="006D5D0B" w:rsidRPr="00A2786A">
              <w:rPr>
                <w:lang w:val="fr-FR"/>
              </w:rPr>
              <w:t> </w:t>
            </w:r>
            <w:r w:rsidRPr="00A2786A">
              <w:rPr>
                <w:lang w:val="fr-FR"/>
              </w:rPr>
              <w:t>7D</w:t>
            </w:r>
          </w:p>
        </w:tc>
      </w:tr>
      <w:tr w:rsidR="008D568F" w:rsidRPr="00A2786A" w14:paraId="7F6D4999" w14:textId="77777777" w:rsidTr="001F2FFC">
        <w:trPr>
          <w:jc w:val="center"/>
        </w:trPr>
        <w:tc>
          <w:tcPr>
            <w:tcW w:w="1563" w:type="dxa"/>
            <w:vAlign w:val="center"/>
          </w:tcPr>
          <w:p w14:paraId="637AACBC" w14:textId="77777777" w:rsidR="008D568F" w:rsidRPr="003B225C" w:rsidRDefault="008D568F" w:rsidP="001F2FFC">
            <w:pPr>
              <w:pStyle w:val="Tabletext"/>
              <w:jc w:val="center"/>
              <w:rPr>
                <w:lang w:val="es-ES"/>
              </w:rPr>
            </w:pPr>
            <w:r w:rsidRPr="003B225C">
              <w:rPr>
                <w:lang w:val="es-ES"/>
              </w:rPr>
              <w:t>1.16</w:t>
            </w:r>
          </w:p>
        </w:tc>
        <w:tc>
          <w:tcPr>
            <w:tcW w:w="1722" w:type="dxa"/>
            <w:vAlign w:val="center"/>
          </w:tcPr>
          <w:p w14:paraId="7441A3ED" w14:textId="77777777" w:rsidR="008D568F" w:rsidRPr="003B225C" w:rsidRDefault="008D568F" w:rsidP="001F2FFC">
            <w:pPr>
              <w:pStyle w:val="Tabletext"/>
              <w:jc w:val="center"/>
              <w:rPr>
                <w:lang w:val="es-ES"/>
              </w:rPr>
            </w:pPr>
            <w:r w:rsidRPr="003B225C">
              <w:rPr>
                <w:lang w:val="es-ES"/>
              </w:rPr>
              <w:t>681 (CMR</w:t>
            </w:r>
            <w:r w:rsidRPr="003B225C">
              <w:rPr>
                <w:lang w:val="es-ES"/>
              </w:rPr>
              <w:noBreakHyphen/>
              <w:t>23)</w:t>
            </w:r>
          </w:p>
        </w:tc>
        <w:tc>
          <w:tcPr>
            <w:tcW w:w="1512" w:type="dxa"/>
            <w:vAlign w:val="center"/>
          </w:tcPr>
          <w:p w14:paraId="153AB010" w14:textId="77777777" w:rsidR="008D568F" w:rsidRPr="003B225C" w:rsidRDefault="008D568F" w:rsidP="001F2FFC">
            <w:pPr>
              <w:pStyle w:val="Tabletext"/>
              <w:jc w:val="center"/>
              <w:rPr>
                <w:lang w:val="es-ES"/>
              </w:rPr>
            </w:pPr>
            <w:r w:rsidRPr="003B225C">
              <w:rPr>
                <w:lang w:val="es-ES"/>
              </w:rPr>
              <w:t>GT 7D</w:t>
            </w:r>
          </w:p>
        </w:tc>
        <w:tc>
          <w:tcPr>
            <w:tcW w:w="4832" w:type="dxa"/>
            <w:vAlign w:val="center"/>
          </w:tcPr>
          <w:p w14:paraId="07811E1F" w14:textId="7025DA9D" w:rsidR="008D568F" w:rsidRPr="00861C79" w:rsidRDefault="008D568F" w:rsidP="001F2FFC">
            <w:pPr>
              <w:pStyle w:val="Tabletext"/>
              <w:jc w:val="center"/>
              <w:rPr>
                <w:lang w:val="fr-FR"/>
              </w:rPr>
            </w:pPr>
            <w:r w:rsidRPr="00861C79">
              <w:rPr>
                <w:lang w:val="fr-FR"/>
              </w:rPr>
              <w:t>GT</w:t>
            </w:r>
            <w:r w:rsidR="001F2FFC" w:rsidRPr="00861C79">
              <w:rPr>
                <w:lang w:val="fr-FR"/>
              </w:rPr>
              <w:t> </w:t>
            </w:r>
            <w:r w:rsidRPr="00861C79">
              <w:rPr>
                <w:lang w:val="fr-FR"/>
              </w:rPr>
              <w:t>3J; GT</w:t>
            </w:r>
            <w:r w:rsidR="001F2FFC" w:rsidRPr="00861C79">
              <w:rPr>
                <w:lang w:val="fr-FR"/>
              </w:rPr>
              <w:t> </w:t>
            </w:r>
            <w:r w:rsidRPr="00861C79">
              <w:rPr>
                <w:lang w:val="fr-FR"/>
              </w:rPr>
              <w:t>3M; GT</w:t>
            </w:r>
            <w:r w:rsidR="001F2FFC" w:rsidRPr="00861C79">
              <w:rPr>
                <w:lang w:val="fr-FR"/>
              </w:rPr>
              <w:t> </w:t>
            </w:r>
            <w:r w:rsidRPr="00861C79">
              <w:rPr>
                <w:lang w:val="fr-FR"/>
              </w:rPr>
              <w:t>4A; GT</w:t>
            </w:r>
            <w:r w:rsidR="001F2FFC" w:rsidRPr="00861C79">
              <w:rPr>
                <w:lang w:val="fr-FR"/>
              </w:rPr>
              <w:t> </w:t>
            </w:r>
            <w:r w:rsidRPr="00861C79">
              <w:rPr>
                <w:lang w:val="fr-FR"/>
              </w:rPr>
              <w:t>4C; GT</w:t>
            </w:r>
            <w:r w:rsidR="001F2FFC" w:rsidRPr="00861C79">
              <w:rPr>
                <w:lang w:val="fr-FR"/>
              </w:rPr>
              <w:t> </w:t>
            </w:r>
            <w:r w:rsidRPr="00861C79">
              <w:rPr>
                <w:lang w:val="fr-FR"/>
              </w:rPr>
              <w:t>5A; GT</w:t>
            </w:r>
            <w:r w:rsidR="006D5D0B" w:rsidRPr="00861C79">
              <w:rPr>
                <w:lang w:val="fr-FR"/>
              </w:rPr>
              <w:t> </w:t>
            </w:r>
            <w:r w:rsidRPr="00861C79">
              <w:rPr>
                <w:lang w:val="fr-FR"/>
              </w:rPr>
              <w:t>5B; GT 5D</w:t>
            </w:r>
          </w:p>
        </w:tc>
      </w:tr>
      <w:tr w:rsidR="008D568F" w:rsidRPr="00A2786A" w14:paraId="3645CB5B" w14:textId="77777777" w:rsidTr="001F2FFC">
        <w:trPr>
          <w:jc w:val="center"/>
        </w:trPr>
        <w:tc>
          <w:tcPr>
            <w:tcW w:w="1563" w:type="dxa"/>
            <w:vAlign w:val="center"/>
          </w:tcPr>
          <w:p w14:paraId="1EAD7795" w14:textId="77777777" w:rsidR="008D568F" w:rsidRPr="003B225C" w:rsidRDefault="008D568F" w:rsidP="001F2FFC">
            <w:pPr>
              <w:pStyle w:val="Tabletext"/>
              <w:jc w:val="center"/>
              <w:rPr>
                <w:lang w:val="es-ES"/>
              </w:rPr>
            </w:pPr>
            <w:r w:rsidRPr="003B225C">
              <w:rPr>
                <w:lang w:val="es-ES"/>
              </w:rPr>
              <w:t>1.17</w:t>
            </w:r>
          </w:p>
        </w:tc>
        <w:tc>
          <w:tcPr>
            <w:tcW w:w="1722" w:type="dxa"/>
            <w:vAlign w:val="center"/>
          </w:tcPr>
          <w:p w14:paraId="7FD1527C" w14:textId="77777777" w:rsidR="008D568F" w:rsidRPr="003B225C" w:rsidRDefault="008D568F" w:rsidP="001F2FFC">
            <w:pPr>
              <w:pStyle w:val="Tabletext"/>
              <w:jc w:val="center"/>
              <w:rPr>
                <w:lang w:val="es-ES"/>
              </w:rPr>
            </w:pPr>
            <w:r w:rsidRPr="003B225C">
              <w:rPr>
                <w:lang w:val="es-ES"/>
              </w:rPr>
              <w:t>682 (CMR</w:t>
            </w:r>
            <w:r w:rsidRPr="003B225C">
              <w:rPr>
                <w:lang w:val="es-ES"/>
              </w:rPr>
              <w:noBreakHyphen/>
              <w:t>23)</w:t>
            </w:r>
          </w:p>
        </w:tc>
        <w:tc>
          <w:tcPr>
            <w:tcW w:w="1512" w:type="dxa"/>
            <w:vAlign w:val="center"/>
          </w:tcPr>
          <w:p w14:paraId="1C566A91" w14:textId="77777777" w:rsidR="008D568F" w:rsidRPr="003B225C" w:rsidRDefault="008D568F" w:rsidP="001F2FFC">
            <w:pPr>
              <w:pStyle w:val="Tabletext"/>
              <w:jc w:val="center"/>
              <w:rPr>
                <w:lang w:val="es-ES"/>
              </w:rPr>
            </w:pPr>
            <w:r w:rsidRPr="003B225C">
              <w:rPr>
                <w:lang w:val="es-ES"/>
              </w:rPr>
              <w:t>GT 7C</w:t>
            </w:r>
          </w:p>
        </w:tc>
        <w:tc>
          <w:tcPr>
            <w:tcW w:w="4832" w:type="dxa"/>
            <w:vAlign w:val="center"/>
          </w:tcPr>
          <w:p w14:paraId="3A42F88B" w14:textId="331B9C9E" w:rsidR="008D568F" w:rsidRPr="00A2786A" w:rsidRDefault="008D568F" w:rsidP="001F2FFC">
            <w:pPr>
              <w:pStyle w:val="Tabletext"/>
              <w:jc w:val="center"/>
              <w:rPr>
                <w:lang w:val="fr-FR"/>
              </w:rPr>
            </w:pPr>
            <w:r w:rsidRPr="00A2786A">
              <w:rPr>
                <w:lang w:val="fr-FR"/>
              </w:rPr>
              <w:t>GT</w:t>
            </w:r>
            <w:r w:rsidR="001F2FFC" w:rsidRPr="00A2786A">
              <w:rPr>
                <w:lang w:val="fr-FR"/>
              </w:rPr>
              <w:t> </w:t>
            </w:r>
            <w:r w:rsidRPr="00A2786A">
              <w:rPr>
                <w:lang w:val="fr-FR"/>
              </w:rPr>
              <w:t>3</w:t>
            </w:r>
            <w:proofErr w:type="gramStart"/>
            <w:r w:rsidRPr="00A2786A">
              <w:rPr>
                <w:lang w:val="fr-FR"/>
              </w:rPr>
              <w:t>L;</w:t>
            </w:r>
            <w:proofErr w:type="gramEnd"/>
            <w:r w:rsidRPr="00A2786A">
              <w:rPr>
                <w:lang w:val="fr-FR"/>
              </w:rPr>
              <w:t xml:space="preserve"> GT</w:t>
            </w:r>
            <w:r w:rsidR="001F2FFC" w:rsidRPr="00A2786A">
              <w:rPr>
                <w:lang w:val="fr-FR"/>
              </w:rPr>
              <w:t> </w:t>
            </w:r>
            <w:r w:rsidRPr="00A2786A">
              <w:rPr>
                <w:lang w:val="fr-FR"/>
              </w:rPr>
              <w:t>3M; GT</w:t>
            </w:r>
            <w:r w:rsidR="001F2FFC" w:rsidRPr="00A2786A">
              <w:rPr>
                <w:lang w:val="fr-FR"/>
              </w:rPr>
              <w:t> </w:t>
            </w:r>
            <w:r w:rsidRPr="00A2786A">
              <w:rPr>
                <w:lang w:val="fr-FR"/>
              </w:rPr>
              <w:t>4C; GT</w:t>
            </w:r>
            <w:r w:rsidR="001F2FFC" w:rsidRPr="00A2786A">
              <w:rPr>
                <w:lang w:val="fr-FR"/>
              </w:rPr>
              <w:t> </w:t>
            </w:r>
            <w:r w:rsidRPr="00A2786A">
              <w:rPr>
                <w:lang w:val="fr-FR"/>
              </w:rPr>
              <w:t>5A; GT</w:t>
            </w:r>
            <w:r w:rsidR="001F2FFC" w:rsidRPr="00A2786A">
              <w:rPr>
                <w:lang w:val="fr-FR"/>
              </w:rPr>
              <w:t> </w:t>
            </w:r>
            <w:r w:rsidRPr="00A2786A">
              <w:rPr>
                <w:lang w:val="fr-FR"/>
              </w:rPr>
              <w:t>5B; GT 5C; GT 5D; GT 6A; GT</w:t>
            </w:r>
            <w:r w:rsidR="001F2FFC" w:rsidRPr="00A2786A">
              <w:rPr>
                <w:lang w:val="fr-FR"/>
              </w:rPr>
              <w:t> </w:t>
            </w:r>
            <w:r w:rsidRPr="00A2786A">
              <w:rPr>
                <w:lang w:val="fr-FR"/>
              </w:rPr>
              <w:t>7B; GT</w:t>
            </w:r>
            <w:r w:rsidR="001F2FFC" w:rsidRPr="00A2786A">
              <w:rPr>
                <w:lang w:val="fr-FR"/>
              </w:rPr>
              <w:t> </w:t>
            </w:r>
            <w:r w:rsidRPr="00A2786A">
              <w:rPr>
                <w:lang w:val="fr-FR"/>
              </w:rPr>
              <w:t>7D</w:t>
            </w:r>
          </w:p>
        </w:tc>
      </w:tr>
      <w:tr w:rsidR="008D568F" w:rsidRPr="006C4DF0" w14:paraId="6F448E95" w14:textId="77777777" w:rsidTr="001F2FFC">
        <w:trPr>
          <w:jc w:val="center"/>
        </w:trPr>
        <w:tc>
          <w:tcPr>
            <w:tcW w:w="1563" w:type="dxa"/>
            <w:vAlign w:val="center"/>
          </w:tcPr>
          <w:p w14:paraId="2E973A40" w14:textId="77777777" w:rsidR="008D568F" w:rsidRPr="003B225C" w:rsidRDefault="008D568F" w:rsidP="00CA0778">
            <w:pPr>
              <w:pStyle w:val="Tabletext"/>
              <w:keepNext/>
              <w:jc w:val="center"/>
              <w:rPr>
                <w:lang w:val="es-ES"/>
              </w:rPr>
            </w:pPr>
            <w:r w:rsidRPr="003B225C">
              <w:rPr>
                <w:lang w:val="es-ES"/>
              </w:rPr>
              <w:lastRenderedPageBreak/>
              <w:t>1.18</w:t>
            </w:r>
          </w:p>
        </w:tc>
        <w:tc>
          <w:tcPr>
            <w:tcW w:w="1722" w:type="dxa"/>
            <w:vAlign w:val="center"/>
          </w:tcPr>
          <w:p w14:paraId="7AA27B12" w14:textId="77777777" w:rsidR="008D568F" w:rsidRPr="003B225C" w:rsidRDefault="008D568F" w:rsidP="00CA0778">
            <w:pPr>
              <w:pStyle w:val="Tabletext"/>
              <w:keepNext/>
              <w:jc w:val="center"/>
              <w:rPr>
                <w:lang w:val="es-ES"/>
              </w:rPr>
            </w:pPr>
            <w:r w:rsidRPr="003B225C">
              <w:rPr>
                <w:lang w:val="es-ES"/>
              </w:rPr>
              <w:t>712 (CMR</w:t>
            </w:r>
            <w:r w:rsidRPr="003B225C">
              <w:rPr>
                <w:lang w:val="es-ES"/>
              </w:rPr>
              <w:noBreakHyphen/>
              <w:t>23)</w:t>
            </w:r>
          </w:p>
        </w:tc>
        <w:tc>
          <w:tcPr>
            <w:tcW w:w="1512" w:type="dxa"/>
            <w:vAlign w:val="center"/>
          </w:tcPr>
          <w:p w14:paraId="465848DD" w14:textId="37BB00DA" w:rsidR="008D568F" w:rsidRPr="003B225C" w:rsidRDefault="008D568F" w:rsidP="00CA0778">
            <w:pPr>
              <w:pStyle w:val="Tabletext"/>
              <w:keepNext/>
              <w:jc w:val="center"/>
              <w:rPr>
                <w:lang w:val="es-ES"/>
              </w:rPr>
            </w:pPr>
            <w:r w:rsidRPr="003B225C">
              <w:rPr>
                <w:lang w:val="es-ES"/>
              </w:rPr>
              <w:t>GT</w:t>
            </w:r>
            <w:r w:rsidR="006D5D0B" w:rsidRPr="003B225C">
              <w:rPr>
                <w:lang w:val="es-ES"/>
              </w:rPr>
              <w:t> </w:t>
            </w:r>
            <w:r w:rsidRPr="003B225C">
              <w:rPr>
                <w:lang w:val="es-ES"/>
              </w:rPr>
              <w:t>7C</w:t>
            </w:r>
            <w:r w:rsidRPr="003B225C">
              <w:rPr>
                <w:lang w:val="es-ES"/>
              </w:rPr>
              <w:br/>
              <w:t>(</w:t>
            </w:r>
            <w:r w:rsidRPr="003B225C">
              <w:rPr>
                <w:i/>
                <w:iCs/>
                <w:lang w:val="es-ES"/>
              </w:rPr>
              <w:t>resuelve</w:t>
            </w:r>
            <w:r w:rsidR="006D5D0B" w:rsidRPr="003B225C">
              <w:rPr>
                <w:lang w:val="es-ES"/>
              </w:rPr>
              <w:t> </w:t>
            </w:r>
            <w:r w:rsidRPr="003B225C">
              <w:rPr>
                <w:lang w:val="es-ES"/>
              </w:rPr>
              <w:t>1)</w:t>
            </w:r>
          </w:p>
          <w:p w14:paraId="43F032B5" w14:textId="38C4BAE6" w:rsidR="008D568F" w:rsidRPr="003B225C" w:rsidRDefault="008D568F" w:rsidP="00CA0778">
            <w:pPr>
              <w:pStyle w:val="Tabletext"/>
              <w:keepNext/>
              <w:jc w:val="center"/>
              <w:rPr>
                <w:lang w:val="es-ES"/>
              </w:rPr>
            </w:pPr>
            <w:r w:rsidRPr="003B225C">
              <w:rPr>
                <w:lang w:val="es-ES"/>
              </w:rPr>
              <w:t>GT</w:t>
            </w:r>
            <w:r w:rsidR="001F2FFC" w:rsidRPr="003B225C">
              <w:rPr>
                <w:lang w:val="es-ES"/>
              </w:rPr>
              <w:t> </w:t>
            </w:r>
            <w:r w:rsidRPr="003B225C">
              <w:rPr>
                <w:lang w:val="es-ES"/>
              </w:rPr>
              <w:t>7D</w:t>
            </w:r>
            <w:r w:rsidRPr="003B225C">
              <w:rPr>
                <w:lang w:val="es-ES"/>
              </w:rPr>
              <w:br/>
              <w:t>(</w:t>
            </w:r>
            <w:r w:rsidRPr="003B225C">
              <w:rPr>
                <w:i/>
                <w:iCs/>
                <w:lang w:val="es-ES"/>
              </w:rPr>
              <w:t>resuelve</w:t>
            </w:r>
            <w:r w:rsidR="006D5D0B" w:rsidRPr="003B225C">
              <w:rPr>
                <w:lang w:val="es-ES"/>
              </w:rPr>
              <w:t> </w:t>
            </w:r>
            <w:r w:rsidRPr="003B225C">
              <w:rPr>
                <w:lang w:val="es-ES"/>
              </w:rPr>
              <w:t>2)</w:t>
            </w:r>
          </w:p>
          <w:p w14:paraId="70D61D39" w14:textId="5350178F" w:rsidR="008D568F" w:rsidRPr="003B225C" w:rsidRDefault="008D568F" w:rsidP="00CA0778">
            <w:pPr>
              <w:pStyle w:val="Tabletext"/>
              <w:keepNext/>
              <w:jc w:val="center"/>
              <w:rPr>
                <w:lang w:val="es-ES"/>
              </w:rPr>
            </w:pPr>
            <w:r w:rsidRPr="003B225C">
              <w:rPr>
                <w:rStyle w:val="FootnoteReference"/>
                <w:lang w:val="es-ES"/>
              </w:rPr>
              <w:t>(</w:t>
            </w:r>
            <w:r w:rsidR="001F2FFC" w:rsidRPr="003B225C">
              <w:rPr>
                <w:rStyle w:val="FootnoteReference"/>
                <w:lang w:val="es-ES"/>
              </w:rPr>
              <w:footnoteReference w:customMarkFollows="1" w:id="5"/>
              <w:t>Nota</w:t>
            </w:r>
            <w:r w:rsidRPr="003B225C">
              <w:rPr>
                <w:rStyle w:val="FootnoteReference"/>
                <w:lang w:val="es-ES"/>
              </w:rPr>
              <w:t>)</w:t>
            </w:r>
          </w:p>
        </w:tc>
        <w:tc>
          <w:tcPr>
            <w:tcW w:w="4832" w:type="dxa"/>
            <w:vAlign w:val="center"/>
          </w:tcPr>
          <w:p w14:paraId="612BFAE2" w14:textId="50B57BC7" w:rsidR="008D568F" w:rsidRPr="00861C79" w:rsidRDefault="008D568F" w:rsidP="00CA0778">
            <w:pPr>
              <w:pStyle w:val="Tabletext"/>
              <w:keepNext/>
              <w:jc w:val="center"/>
              <w:rPr>
                <w:lang w:val="fr-FR"/>
              </w:rPr>
            </w:pPr>
            <w:r w:rsidRPr="00861C79">
              <w:rPr>
                <w:lang w:val="fr-FR"/>
              </w:rPr>
              <w:t>GT</w:t>
            </w:r>
            <w:r w:rsidR="001F2FFC" w:rsidRPr="00861C79">
              <w:rPr>
                <w:lang w:val="fr-FR"/>
              </w:rPr>
              <w:t> </w:t>
            </w:r>
            <w:r w:rsidRPr="00861C79">
              <w:rPr>
                <w:lang w:val="fr-FR"/>
              </w:rPr>
              <w:t>3J</w:t>
            </w:r>
            <w:r w:rsidR="001F2FFC" w:rsidRPr="00861C79">
              <w:rPr>
                <w:rStyle w:val="FootnoteReference"/>
                <w:lang w:val="fr-FR"/>
              </w:rPr>
              <w:footnoteReference w:customMarkFollows="1" w:id="6"/>
              <w:t>*</w:t>
            </w:r>
            <w:r w:rsidRPr="00861C79">
              <w:rPr>
                <w:lang w:val="fr-FR"/>
              </w:rPr>
              <w:t>; GT</w:t>
            </w:r>
            <w:r w:rsidR="001F2FFC" w:rsidRPr="00861C79">
              <w:rPr>
                <w:lang w:val="fr-FR"/>
              </w:rPr>
              <w:t> </w:t>
            </w:r>
            <w:r w:rsidRPr="00861C79">
              <w:rPr>
                <w:lang w:val="fr-FR"/>
              </w:rPr>
              <w:t>3M</w:t>
            </w:r>
            <w:r w:rsidRPr="00861C79">
              <w:rPr>
                <w:rStyle w:val="FootnoteReference"/>
                <w:rFonts w:eastAsia="Calibri"/>
                <w:lang w:val="fr-FR"/>
              </w:rPr>
              <w:t>*</w:t>
            </w:r>
            <w:r w:rsidRPr="00861C79">
              <w:rPr>
                <w:lang w:val="fr-FR"/>
              </w:rPr>
              <w:t>; GT 4A; GT 4C; GT 5A; GT 5B; GT 5C</w:t>
            </w:r>
          </w:p>
        </w:tc>
      </w:tr>
      <w:tr w:rsidR="008D568F" w:rsidRPr="006C4DF0" w14:paraId="30AED952" w14:textId="77777777" w:rsidTr="001F2FFC">
        <w:trPr>
          <w:jc w:val="center"/>
        </w:trPr>
        <w:tc>
          <w:tcPr>
            <w:tcW w:w="1563" w:type="dxa"/>
            <w:vAlign w:val="center"/>
          </w:tcPr>
          <w:p w14:paraId="341EEC35" w14:textId="77777777" w:rsidR="008D568F" w:rsidRPr="003B225C" w:rsidRDefault="008D568F" w:rsidP="001F2FFC">
            <w:pPr>
              <w:pStyle w:val="Tabletext"/>
              <w:jc w:val="center"/>
              <w:rPr>
                <w:lang w:val="es-ES"/>
              </w:rPr>
            </w:pPr>
            <w:r w:rsidRPr="003B225C">
              <w:rPr>
                <w:lang w:val="es-ES"/>
              </w:rPr>
              <w:t>1.19</w:t>
            </w:r>
          </w:p>
        </w:tc>
        <w:tc>
          <w:tcPr>
            <w:tcW w:w="1722" w:type="dxa"/>
            <w:vAlign w:val="center"/>
          </w:tcPr>
          <w:p w14:paraId="21586D52" w14:textId="77777777" w:rsidR="008D568F" w:rsidRPr="003B225C" w:rsidRDefault="008D568F" w:rsidP="001F2FFC">
            <w:pPr>
              <w:pStyle w:val="Tabletext"/>
              <w:jc w:val="center"/>
              <w:rPr>
                <w:lang w:val="es-ES"/>
              </w:rPr>
            </w:pPr>
            <w:r w:rsidRPr="003B225C">
              <w:rPr>
                <w:lang w:val="es-ES"/>
              </w:rPr>
              <w:t>674 (CMR</w:t>
            </w:r>
            <w:r w:rsidRPr="003B225C">
              <w:rPr>
                <w:lang w:val="es-ES"/>
              </w:rPr>
              <w:noBreakHyphen/>
              <w:t>23)</w:t>
            </w:r>
          </w:p>
        </w:tc>
        <w:tc>
          <w:tcPr>
            <w:tcW w:w="1512" w:type="dxa"/>
            <w:vAlign w:val="center"/>
          </w:tcPr>
          <w:p w14:paraId="5866A1E1" w14:textId="28D12B21" w:rsidR="008D568F" w:rsidRPr="003B225C" w:rsidRDefault="008D568F" w:rsidP="001F2FFC">
            <w:pPr>
              <w:pStyle w:val="Tabletext"/>
              <w:jc w:val="center"/>
              <w:rPr>
                <w:lang w:val="es-ES"/>
              </w:rPr>
            </w:pPr>
            <w:r w:rsidRPr="003B225C">
              <w:rPr>
                <w:lang w:val="es-ES"/>
              </w:rPr>
              <w:t>GT</w:t>
            </w:r>
            <w:r w:rsidR="001F2FFC" w:rsidRPr="003B225C">
              <w:rPr>
                <w:lang w:val="es-ES"/>
              </w:rPr>
              <w:t> </w:t>
            </w:r>
            <w:r w:rsidRPr="003B225C">
              <w:rPr>
                <w:lang w:val="es-ES"/>
              </w:rPr>
              <w:t>7C</w:t>
            </w:r>
          </w:p>
        </w:tc>
        <w:tc>
          <w:tcPr>
            <w:tcW w:w="4832" w:type="dxa"/>
            <w:vAlign w:val="center"/>
          </w:tcPr>
          <w:p w14:paraId="745D0C54" w14:textId="0D0014D0" w:rsidR="008D568F" w:rsidRPr="006C4DF0" w:rsidRDefault="008D568F" w:rsidP="001F2FFC">
            <w:pPr>
              <w:pStyle w:val="Tabletext"/>
              <w:jc w:val="center"/>
              <w:rPr>
                <w:lang w:val="fr-FR"/>
              </w:rPr>
            </w:pPr>
            <w:r w:rsidRPr="006C4DF0">
              <w:rPr>
                <w:lang w:val="fr-FR"/>
              </w:rPr>
              <w:t>GT</w:t>
            </w:r>
            <w:r w:rsidR="001F2FFC" w:rsidRPr="006C4DF0">
              <w:rPr>
                <w:lang w:val="fr-FR"/>
              </w:rPr>
              <w:t> </w:t>
            </w:r>
            <w:r w:rsidRPr="006C4DF0">
              <w:rPr>
                <w:lang w:val="fr-FR"/>
              </w:rPr>
              <w:t>3</w:t>
            </w:r>
            <w:proofErr w:type="gramStart"/>
            <w:r w:rsidRPr="006C4DF0">
              <w:rPr>
                <w:lang w:val="fr-FR"/>
              </w:rPr>
              <w:t>J;</w:t>
            </w:r>
            <w:proofErr w:type="gramEnd"/>
            <w:r w:rsidRPr="006C4DF0">
              <w:rPr>
                <w:lang w:val="fr-FR"/>
              </w:rPr>
              <w:t xml:space="preserve"> GT</w:t>
            </w:r>
            <w:r w:rsidR="001F2FFC" w:rsidRPr="006C4DF0">
              <w:rPr>
                <w:lang w:val="fr-FR"/>
              </w:rPr>
              <w:t> </w:t>
            </w:r>
            <w:r w:rsidRPr="006C4DF0">
              <w:rPr>
                <w:lang w:val="fr-FR"/>
              </w:rPr>
              <w:t>3M; GT</w:t>
            </w:r>
            <w:r w:rsidR="001F2FFC" w:rsidRPr="006C4DF0">
              <w:rPr>
                <w:lang w:val="fr-FR"/>
              </w:rPr>
              <w:t> </w:t>
            </w:r>
            <w:r w:rsidRPr="006C4DF0">
              <w:rPr>
                <w:lang w:val="fr-FR"/>
              </w:rPr>
              <w:t>4A; GT</w:t>
            </w:r>
            <w:r w:rsidR="001F2FFC" w:rsidRPr="006C4DF0">
              <w:rPr>
                <w:lang w:val="fr-FR"/>
              </w:rPr>
              <w:t> </w:t>
            </w:r>
            <w:r w:rsidRPr="006C4DF0">
              <w:rPr>
                <w:lang w:val="fr-FR"/>
              </w:rPr>
              <w:t>5A; GT</w:t>
            </w:r>
            <w:r w:rsidR="001F2FFC" w:rsidRPr="006C4DF0">
              <w:rPr>
                <w:lang w:val="fr-FR"/>
              </w:rPr>
              <w:t> </w:t>
            </w:r>
            <w:r w:rsidRPr="006C4DF0">
              <w:rPr>
                <w:lang w:val="fr-FR"/>
              </w:rPr>
              <w:t>5B; GT</w:t>
            </w:r>
            <w:r w:rsidR="001F2FFC" w:rsidRPr="006C4DF0">
              <w:rPr>
                <w:lang w:val="fr-FR"/>
              </w:rPr>
              <w:t> </w:t>
            </w:r>
            <w:r w:rsidRPr="006C4DF0">
              <w:rPr>
                <w:lang w:val="fr-FR"/>
              </w:rPr>
              <w:t>5C; GT</w:t>
            </w:r>
            <w:r w:rsidR="001F2FFC" w:rsidRPr="006C4DF0">
              <w:rPr>
                <w:lang w:val="fr-FR"/>
              </w:rPr>
              <w:t> </w:t>
            </w:r>
            <w:r w:rsidRPr="006C4DF0">
              <w:rPr>
                <w:lang w:val="fr-FR"/>
              </w:rPr>
              <w:t>5D; GT 7B</w:t>
            </w:r>
          </w:p>
        </w:tc>
      </w:tr>
      <w:tr w:rsidR="008D568F" w:rsidRPr="003B225C" w14:paraId="3B373011" w14:textId="77777777" w:rsidTr="001F2FFC">
        <w:trPr>
          <w:jc w:val="center"/>
        </w:trPr>
        <w:tc>
          <w:tcPr>
            <w:tcW w:w="1563" w:type="dxa"/>
            <w:vAlign w:val="center"/>
          </w:tcPr>
          <w:p w14:paraId="3ED3DA5C" w14:textId="77777777" w:rsidR="008D568F" w:rsidRPr="003B225C" w:rsidRDefault="008D568F" w:rsidP="001F2FFC">
            <w:pPr>
              <w:pStyle w:val="Tabletext"/>
              <w:jc w:val="center"/>
              <w:rPr>
                <w:lang w:val="es-ES"/>
              </w:rPr>
            </w:pPr>
            <w:r w:rsidRPr="003B225C">
              <w:rPr>
                <w:lang w:val="es-ES"/>
              </w:rPr>
              <w:t>2</w:t>
            </w:r>
          </w:p>
        </w:tc>
        <w:tc>
          <w:tcPr>
            <w:tcW w:w="1722" w:type="dxa"/>
            <w:vAlign w:val="center"/>
          </w:tcPr>
          <w:p w14:paraId="606CBE68" w14:textId="77777777" w:rsidR="008D568F" w:rsidRPr="003B225C" w:rsidRDefault="008D568F" w:rsidP="001F2FFC">
            <w:pPr>
              <w:pStyle w:val="Tabletext"/>
              <w:jc w:val="center"/>
              <w:rPr>
                <w:lang w:val="es-ES"/>
              </w:rPr>
            </w:pPr>
            <w:r w:rsidRPr="003B225C">
              <w:rPr>
                <w:lang w:val="es-ES"/>
              </w:rPr>
              <w:t>27 (Rev.CMR-19)</w:t>
            </w:r>
          </w:p>
        </w:tc>
        <w:tc>
          <w:tcPr>
            <w:tcW w:w="1512" w:type="dxa"/>
            <w:vAlign w:val="center"/>
          </w:tcPr>
          <w:p w14:paraId="46D18475" w14:textId="77777777" w:rsidR="008D568F" w:rsidRPr="003B225C" w:rsidRDefault="008D568F" w:rsidP="001F2FFC">
            <w:pPr>
              <w:pStyle w:val="Tabletext"/>
              <w:jc w:val="center"/>
              <w:rPr>
                <w:lang w:val="es-ES"/>
              </w:rPr>
            </w:pPr>
            <w:r w:rsidRPr="003B225C">
              <w:rPr>
                <w:lang w:val="es-ES"/>
              </w:rPr>
              <w:t>RPC27</w:t>
            </w:r>
            <w:r w:rsidRPr="003B225C">
              <w:rPr>
                <w:lang w:val="es-ES"/>
              </w:rPr>
              <w:noBreakHyphen/>
              <w:t>2</w:t>
            </w:r>
          </w:p>
        </w:tc>
        <w:tc>
          <w:tcPr>
            <w:tcW w:w="4832" w:type="dxa"/>
            <w:vAlign w:val="center"/>
          </w:tcPr>
          <w:p w14:paraId="6ED34CD3" w14:textId="77777777" w:rsidR="008D568F" w:rsidRPr="003B225C" w:rsidRDefault="008D568F" w:rsidP="001F2FFC">
            <w:pPr>
              <w:pStyle w:val="Tabletext"/>
              <w:jc w:val="center"/>
              <w:rPr>
                <w:lang w:val="es-ES"/>
              </w:rPr>
            </w:pPr>
            <w:r w:rsidRPr="003B225C">
              <w:rPr>
                <w:lang w:val="es-ES"/>
              </w:rPr>
              <w:t>–</w:t>
            </w:r>
          </w:p>
        </w:tc>
      </w:tr>
      <w:tr w:rsidR="008D568F" w:rsidRPr="003B225C" w14:paraId="27AB7A98" w14:textId="77777777" w:rsidTr="001F2FFC">
        <w:trPr>
          <w:jc w:val="center"/>
        </w:trPr>
        <w:tc>
          <w:tcPr>
            <w:tcW w:w="1563" w:type="dxa"/>
            <w:vAlign w:val="center"/>
          </w:tcPr>
          <w:p w14:paraId="4F3BC7ED" w14:textId="77777777" w:rsidR="008D568F" w:rsidRPr="003B225C" w:rsidRDefault="008D568F" w:rsidP="001F2FFC">
            <w:pPr>
              <w:pStyle w:val="Tabletext"/>
              <w:jc w:val="center"/>
              <w:rPr>
                <w:lang w:val="es-ES"/>
              </w:rPr>
            </w:pPr>
            <w:r w:rsidRPr="003B225C">
              <w:rPr>
                <w:lang w:val="es-ES"/>
              </w:rPr>
              <w:t>3</w:t>
            </w:r>
          </w:p>
        </w:tc>
        <w:tc>
          <w:tcPr>
            <w:tcW w:w="1722" w:type="dxa"/>
            <w:vAlign w:val="center"/>
          </w:tcPr>
          <w:p w14:paraId="4371C170" w14:textId="77777777" w:rsidR="008D568F" w:rsidRPr="003B225C" w:rsidRDefault="008D568F" w:rsidP="001F2FFC">
            <w:pPr>
              <w:pStyle w:val="Tabletext"/>
              <w:jc w:val="center"/>
              <w:rPr>
                <w:lang w:val="es-ES"/>
              </w:rPr>
            </w:pPr>
            <w:r w:rsidRPr="003B225C">
              <w:rPr>
                <w:lang w:val="es-ES"/>
              </w:rPr>
              <w:t>–</w:t>
            </w:r>
          </w:p>
        </w:tc>
        <w:tc>
          <w:tcPr>
            <w:tcW w:w="1512" w:type="dxa"/>
            <w:vAlign w:val="center"/>
          </w:tcPr>
          <w:p w14:paraId="7E16C691" w14:textId="77777777" w:rsidR="008D568F" w:rsidRPr="003B225C" w:rsidRDefault="008D568F" w:rsidP="001F2FFC">
            <w:pPr>
              <w:pStyle w:val="Tabletext"/>
              <w:jc w:val="center"/>
              <w:rPr>
                <w:lang w:val="es-ES"/>
              </w:rPr>
            </w:pPr>
            <w:r w:rsidRPr="003B225C">
              <w:rPr>
                <w:lang w:val="es-ES"/>
              </w:rPr>
              <w:t>–</w:t>
            </w:r>
          </w:p>
        </w:tc>
        <w:tc>
          <w:tcPr>
            <w:tcW w:w="4832" w:type="dxa"/>
            <w:vAlign w:val="center"/>
          </w:tcPr>
          <w:p w14:paraId="4ACCA38F" w14:textId="77777777" w:rsidR="008D568F" w:rsidRPr="003B225C" w:rsidRDefault="008D568F" w:rsidP="001F2FFC">
            <w:pPr>
              <w:pStyle w:val="Tabletext"/>
              <w:jc w:val="center"/>
              <w:rPr>
                <w:lang w:val="es-ES"/>
              </w:rPr>
            </w:pPr>
            <w:r w:rsidRPr="003B225C">
              <w:rPr>
                <w:lang w:val="es-ES"/>
              </w:rPr>
              <w:t>–</w:t>
            </w:r>
          </w:p>
        </w:tc>
      </w:tr>
      <w:tr w:rsidR="008D568F" w:rsidRPr="003B225C" w14:paraId="17707525" w14:textId="77777777" w:rsidTr="001F2FFC">
        <w:trPr>
          <w:jc w:val="center"/>
        </w:trPr>
        <w:tc>
          <w:tcPr>
            <w:tcW w:w="1563" w:type="dxa"/>
            <w:vAlign w:val="center"/>
          </w:tcPr>
          <w:p w14:paraId="788AE44B" w14:textId="77777777" w:rsidR="008D568F" w:rsidRPr="003B225C" w:rsidRDefault="008D568F" w:rsidP="001F2FFC">
            <w:pPr>
              <w:pStyle w:val="Tabletext"/>
              <w:jc w:val="center"/>
              <w:rPr>
                <w:lang w:val="es-ES"/>
              </w:rPr>
            </w:pPr>
            <w:r w:rsidRPr="003B225C">
              <w:rPr>
                <w:lang w:val="es-ES"/>
              </w:rPr>
              <w:t>4</w:t>
            </w:r>
          </w:p>
        </w:tc>
        <w:tc>
          <w:tcPr>
            <w:tcW w:w="1722" w:type="dxa"/>
            <w:vAlign w:val="center"/>
          </w:tcPr>
          <w:p w14:paraId="0365119A" w14:textId="77777777" w:rsidR="008D568F" w:rsidRPr="003B225C" w:rsidRDefault="008D568F" w:rsidP="001F2FFC">
            <w:pPr>
              <w:pStyle w:val="Tabletext"/>
              <w:jc w:val="center"/>
              <w:rPr>
                <w:lang w:val="es-ES"/>
              </w:rPr>
            </w:pPr>
            <w:r w:rsidRPr="003B225C">
              <w:rPr>
                <w:lang w:val="es-ES"/>
              </w:rPr>
              <w:t>95 (Rev.CMR-19)</w:t>
            </w:r>
          </w:p>
        </w:tc>
        <w:tc>
          <w:tcPr>
            <w:tcW w:w="1512" w:type="dxa"/>
            <w:vAlign w:val="center"/>
          </w:tcPr>
          <w:p w14:paraId="5760FA44" w14:textId="77777777" w:rsidR="008D568F" w:rsidRPr="003B225C" w:rsidRDefault="008D568F" w:rsidP="001F2FFC">
            <w:pPr>
              <w:pStyle w:val="Tabletext"/>
              <w:jc w:val="center"/>
              <w:rPr>
                <w:lang w:val="es-ES"/>
              </w:rPr>
            </w:pPr>
            <w:r w:rsidRPr="003B225C">
              <w:rPr>
                <w:lang w:val="es-ES"/>
              </w:rPr>
              <w:t>RPC27</w:t>
            </w:r>
            <w:r w:rsidRPr="003B225C">
              <w:rPr>
                <w:lang w:val="es-ES"/>
              </w:rPr>
              <w:noBreakHyphen/>
              <w:t>2</w:t>
            </w:r>
          </w:p>
        </w:tc>
        <w:tc>
          <w:tcPr>
            <w:tcW w:w="4832" w:type="dxa"/>
            <w:vAlign w:val="center"/>
          </w:tcPr>
          <w:p w14:paraId="3E6DDAD2" w14:textId="77777777" w:rsidR="008D568F" w:rsidRPr="003B225C" w:rsidRDefault="008D568F" w:rsidP="001F2FFC">
            <w:pPr>
              <w:pStyle w:val="Tabletext"/>
              <w:jc w:val="center"/>
              <w:rPr>
                <w:lang w:val="es-ES"/>
              </w:rPr>
            </w:pPr>
            <w:r w:rsidRPr="003B225C">
              <w:rPr>
                <w:lang w:val="es-ES"/>
              </w:rPr>
              <w:t>–</w:t>
            </w:r>
          </w:p>
        </w:tc>
      </w:tr>
      <w:tr w:rsidR="008D568F" w:rsidRPr="003B225C" w14:paraId="51183E44" w14:textId="77777777" w:rsidTr="001F2FFC">
        <w:trPr>
          <w:jc w:val="center"/>
        </w:trPr>
        <w:tc>
          <w:tcPr>
            <w:tcW w:w="1563" w:type="dxa"/>
            <w:vAlign w:val="center"/>
          </w:tcPr>
          <w:p w14:paraId="504AD186" w14:textId="77777777" w:rsidR="008D568F" w:rsidRPr="003B225C" w:rsidRDefault="008D568F" w:rsidP="001F2FFC">
            <w:pPr>
              <w:pStyle w:val="Tabletext"/>
              <w:jc w:val="center"/>
              <w:rPr>
                <w:lang w:val="es-ES"/>
              </w:rPr>
            </w:pPr>
            <w:r w:rsidRPr="003B225C">
              <w:rPr>
                <w:lang w:val="es-ES"/>
              </w:rPr>
              <w:t>5</w:t>
            </w:r>
          </w:p>
        </w:tc>
        <w:tc>
          <w:tcPr>
            <w:tcW w:w="1722" w:type="dxa"/>
            <w:vAlign w:val="center"/>
          </w:tcPr>
          <w:p w14:paraId="6154EDA6" w14:textId="77777777" w:rsidR="008D568F" w:rsidRPr="003B225C" w:rsidRDefault="008D568F" w:rsidP="001F2FFC">
            <w:pPr>
              <w:pStyle w:val="Tabletext"/>
              <w:jc w:val="center"/>
              <w:rPr>
                <w:lang w:val="es-ES"/>
              </w:rPr>
            </w:pPr>
            <w:r w:rsidRPr="003B225C">
              <w:rPr>
                <w:lang w:val="es-ES"/>
              </w:rPr>
              <w:t>–</w:t>
            </w:r>
          </w:p>
        </w:tc>
        <w:tc>
          <w:tcPr>
            <w:tcW w:w="1512" w:type="dxa"/>
            <w:vAlign w:val="center"/>
          </w:tcPr>
          <w:p w14:paraId="122DEFB2" w14:textId="77777777" w:rsidR="008D568F" w:rsidRPr="003B225C" w:rsidRDefault="008D568F" w:rsidP="001F2FFC">
            <w:pPr>
              <w:pStyle w:val="Tabletext"/>
              <w:jc w:val="center"/>
              <w:rPr>
                <w:lang w:val="es-ES"/>
              </w:rPr>
            </w:pPr>
            <w:r w:rsidRPr="003B225C">
              <w:rPr>
                <w:lang w:val="es-ES"/>
              </w:rPr>
              <w:t>–</w:t>
            </w:r>
          </w:p>
        </w:tc>
        <w:tc>
          <w:tcPr>
            <w:tcW w:w="4832" w:type="dxa"/>
            <w:vAlign w:val="center"/>
          </w:tcPr>
          <w:p w14:paraId="075132D8" w14:textId="77777777" w:rsidR="008D568F" w:rsidRPr="003B225C" w:rsidRDefault="008D568F" w:rsidP="001F2FFC">
            <w:pPr>
              <w:pStyle w:val="Tabletext"/>
              <w:jc w:val="center"/>
              <w:rPr>
                <w:lang w:val="es-ES"/>
              </w:rPr>
            </w:pPr>
            <w:r w:rsidRPr="003B225C">
              <w:rPr>
                <w:lang w:val="es-ES"/>
              </w:rPr>
              <w:t>–</w:t>
            </w:r>
          </w:p>
        </w:tc>
      </w:tr>
      <w:tr w:rsidR="008D568F" w:rsidRPr="003B225C" w14:paraId="31AF4625" w14:textId="77777777" w:rsidTr="001F2FFC">
        <w:trPr>
          <w:jc w:val="center"/>
        </w:trPr>
        <w:tc>
          <w:tcPr>
            <w:tcW w:w="1563" w:type="dxa"/>
            <w:vAlign w:val="center"/>
          </w:tcPr>
          <w:p w14:paraId="2A19A094" w14:textId="77777777" w:rsidR="008D568F" w:rsidRPr="003B225C" w:rsidRDefault="008D568F" w:rsidP="001F2FFC">
            <w:pPr>
              <w:pStyle w:val="Tabletext"/>
              <w:jc w:val="center"/>
              <w:rPr>
                <w:lang w:val="es-ES"/>
              </w:rPr>
            </w:pPr>
            <w:r w:rsidRPr="003B225C">
              <w:rPr>
                <w:lang w:val="es-ES"/>
              </w:rPr>
              <w:t>6</w:t>
            </w:r>
          </w:p>
        </w:tc>
        <w:tc>
          <w:tcPr>
            <w:tcW w:w="1722" w:type="dxa"/>
            <w:vAlign w:val="center"/>
          </w:tcPr>
          <w:p w14:paraId="34321A7E" w14:textId="77777777" w:rsidR="008D568F" w:rsidRPr="003B225C" w:rsidRDefault="008D568F" w:rsidP="001F2FFC">
            <w:pPr>
              <w:pStyle w:val="Tabletext"/>
              <w:jc w:val="center"/>
              <w:rPr>
                <w:lang w:val="es-ES"/>
              </w:rPr>
            </w:pPr>
            <w:r w:rsidRPr="003B225C">
              <w:rPr>
                <w:lang w:val="es-ES"/>
              </w:rPr>
              <w:t>–</w:t>
            </w:r>
          </w:p>
        </w:tc>
        <w:tc>
          <w:tcPr>
            <w:tcW w:w="1512" w:type="dxa"/>
            <w:vAlign w:val="center"/>
          </w:tcPr>
          <w:p w14:paraId="012F2D9E" w14:textId="77777777" w:rsidR="008D568F" w:rsidRPr="003B225C" w:rsidRDefault="008D568F" w:rsidP="001F2FFC">
            <w:pPr>
              <w:pStyle w:val="Tabletext"/>
              <w:jc w:val="center"/>
              <w:rPr>
                <w:lang w:val="es-ES"/>
              </w:rPr>
            </w:pPr>
            <w:r w:rsidRPr="003B225C">
              <w:rPr>
                <w:lang w:val="es-ES"/>
              </w:rPr>
              <w:t>–</w:t>
            </w:r>
          </w:p>
        </w:tc>
        <w:tc>
          <w:tcPr>
            <w:tcW w:w="4832" w:type="dxa"/>
            <w:vAlign w:val="center"/>
          </w:tcPr>
          <w:p w14:paraId="09F5B1B6" w14:textId="77777777" w:rsidR="008D568F" w:rsidRPr="003B225C" w:rsidRDefault="008D568F" w:rsidP="001F2FFC">
            <w:pPr>
              <w:pStyle w:val="Tabletext"/>
              <w:jc w:val="center"/>
              <w:rPr>
                <w:lang w:val="es-ES"/>
              </w:rPr>
            </w:pPr>
            <w:r w:rsidRPr="003B225C">
              <w:rPr>
                <w:lang w:val="es-ES"/>
              </w:rPr>
              <w:t>–</w:t>
            </w:r>
          </w:p>
        </w:tc>
      </w:tr>
      <w:tr w:rsidR="008D568F" w:rsidRPr="003B225C" w14:paraId="6ED2117D" w14:textId="77777777" w:rsidTr="001F2FFC">
        <w:trPr>
          <w:jc w:val="center"/>
        </w:trPr>
        <w:tc>
          <w:tcPr>
            <w:tcW w:w="1563" w:type="dxa"/>
            <w:vAlign w:val="center"/>
          </w:tcPr>
          <w:p w14:paraId="2C22D32B" w14:textId="77777777" w:rsidR="008D568F" w:rsidRPr="003B225C" w:rsidRDefault="008D568F" w:rsidP="001F2FFC">
            <w:pPr>
              <w:pStyle w:val="Tabletext"/>
              <w:jc w:val="center"/>
              <w:rPr>
                <w:lang w:val="es-ES"/>
              </w:rPr>
            </w:pPr>
            <w:r w:rsidRPr="003B225C">
              <w:rPr>
                <w:lang w:val="es-ES"/>
              </w:rPr>
              <w:t>7</w:t>
            </w:r>
          </w:p>
        </w:tc>
        <w:tc>
          <w:tcPr>
            <w:tcW w:w="1722" w:type="dxa"/>
            <w:vAlign w:val="center"/>
          </w:tcPr>
          <w:p w14:paraId="4F0BF306" w14:textId="77777777" w:rsidR="008D568F" w:rsidRPr="003B225C" w:rsidRDefault="008D568F" w:rsidP="001F2FFC">
            <w:pPr>
              <w:pStyle w:val="Tabletext"/>
              <w:jc w:val="center"/>
              <w:rPr>
                <w:lang w:val="es-ES"/>
              </w:rPr>
            </w:pPr>
            <w:r w:rsidRPr="003B225C">
              <w:rPr>
                <w:lang w:val="es-ES"/>
              </w:rPr>
              <w:t>86 (Rev.CMR-07)</w:t>
            </w:r>
          </w:p>
        </w:tc>
        <w:tc>
          <w:tcPr>
            <w:tcW w:w="1512" w:type="dxa"/>
            <w:vAlign w:val="center"/>
          </w:tcPr>
          <w:p w14:paraId="1876F992" w14:textId="77777777" w:rsidR="008D568F" w:rsidRPr="003B225C" w:rsidRDefault="008D568F" w:rsidP="001F2FFC">
            <w:pPr>
              <w:pStyle w:val="Tabletext"/>
              <w:jc w:val="center"/>
              <w:rPr>
                <w:lang w:val="es-ES"/>
              </w:rPr>
            </w:pPr>
            <w:r w:rsidRPr="003B225C">
              <w:rPr>
                <w:lang w:val="es-ES"/>
              </w:rPr>
              <w:t>GT 4A</w:t>
            </w:r>
          </w:p>
        </w:tc>
        <w:tc>
          <w:tcPr>
            <w:tcW w:w="4832" w:type="dxa"/>
            <w:vAlign w:val="center"/>
          </w:tcPr>
          <w:p w14:paraId="275123AB" w14:textId="77777777" w:rsidR="008D568F" w:rsidRPr="003B225C" w:rsidRDefault="008D568F" w:rsidP="001F2FFC">
            <w:pPr>
              <w:pStyle w:val="Tabletext"/>
              <w:jc w:val="center"/>
              <w:rPr>
                <w:lang w:val="es-ES"/>
              </w:rPr>
            </w:pPr>
            <w:r w:rsidRPr="003B225C">
              <w:rPr>
                <w:lang w:val="es-ES"/>
              </w:rPr>
              <w:t>–</w:t>
            </w:r>
          </w:p>
        </w:tc>
      </w:tr>
      <w:tr w:rsidR="008D568F" w:rsidRPr="003B225C" w14:paraId="4DF48C30" w14:textId="77777777" w:rsidTr="001F2FFC">
        <w:trPr>
          <w:jc w:val="center"/>
        </w:trPr>
        <w:tc>
          <w:tcPr>
            <w:tcW w:w="1563" w:type="dxa"/>
            <w:vAlign w:val="center"/>
          </w:tcPr>
          <w:p w14:paraId="0BF5D55C" w14:textId="77777777" w:rsidR="008D568F" w:rsidRPr="003B225C" w:rsidRDefault="008D568F" w:rsidP="001F2FFC">
            <w:pPr>
              <w:pStyle w:val="Tabletext"/>
              <w:jc w:val="center"/>
              <w:rPr>
                <w:lang w:val="es-ES"/>
              </w:rPr>
            </w:pPr>
            <w:r w:rsidRPr="003B225C">
              <w:rPr>
                <w:lang w:val="es-ES"/>
              </w:rPr>
              <w:t>8</w:t>
            </w:r>
          </w:p>
        </w:tc>
        <w:tc>
          <w:tcPr>
            <w:tcW w:w="1722" w:type="dxa"/>
            <w:vAlign w:val="center"/>
          </w:tcPr>
          <w:p w14:paraId="7106E217" w14:textId="77777777" w:rsidR="008D568F" w:rsidRPr="003B225C" w:rsidRDefault="008D568F" w:rsidP="001F2FFC">
            <w:pPr>
              <w:pStyle w:val="Tabletext"/>
              <w:jc w:val="center"/>
              <w:rPr>
                <w:lang w:val="es-ES"/>
              </w:rPr>
            </w:pPr>
            <w:r w:rsidRPr="003B225C">
              <w:rPr>
                <w:lang w:val="es-ES"/>
              </w:rPr>
              <w:t>26 (Rev.CMR-23)</w:t>
            </w:r>
          </w:p>
        </w:tc>
        <w:tc>
          <w:tcPr>
            <w:tcW w:w="1512" w:type="dxa"/>
            <w:vAlign w:val="center"/>
          </w:tcPr>
          <w:p w14:paraId="301C8AFC" w14:textId="2B928E2E" w:rsidR="008D568F" w:rsidRPr="003B225C" w:rsidRDefault="008D568F" w:rsidP="001F2FFC">
            <w:pPr>
              <w:pStyle w:val="Tabletext"/>
              <w:jc w:val="center"/>
              <w:rPr>
                <w:lang w:val="es-ES"/>
              </w:rPr>
            </w:pPr>
            <w:r w:rsidRPr="003B225C">
              <w:rPr>
                <w:lang w:val="es-ES"/>
              </w:rPr>
              <w:t>RPC27</w:t>
            </w:r>
            <w:r w:rsidRPr="003B225C">
              <w:rPr>
                <w:lang w:val="es-ES"/>
              </w:rPr>
              <w:noBreakHyphen/>
              <w:t>2</w:t>
            </w:r>
            <w:r w:rsidRPr="003B225C">
              <w:rPr>
                <w:lang w:val="es-ES"/>
              </w:rPr>
              <w:br/>
            </w:r>
            <w:r w:rsidRPr="003B225C">
              <w:rPr>
                <w:sz w:val="16"/>
                <w:szCs w:val="16"/>
                <w:lang w:val="es-ES"/>
              </w:rPr>
              <w:t>(sólo a título informativo)</w:t>
            </w:r>
          </w:p>
        </w:tc>
        <w:tc>
          <w:tcPr>
            <w:tcW w:w="4832" w:type="dxa"/>
            <w:vAlign w:val="center"/>
          </w:tcPr>
          <w:p w14:paraId="520CBE7C" w14:textId="77777777" w:rsidR="008D568F" w:rsidRPr="003B225C" w:rsidRDefault="008D568F" w:rsidP="001F2FFC">
            <w:pPr>
              <w:pStyle w:val="Tabletext"/>
              <w:jc w:val="center"/>
              <w:rPr>
                <w:lang w:val="es-ES"/>
              </w:rPr>
            </w:pPr>
            <w:r w:rsidRPr="003B225C">
              <w:rPr>
                <w:lang w:val="es-ES"/>
              </w:rPr>
              <w:t>–</w:t>
            </w:r>
          </w:p>
        </w:tc>
      </w:tr>
      <w:tr w:rsidR="008D568F" w:rsidRPr="003B225C" w14:paraId="18082710" w14:textId="77777777" w:rsidTr="001F2FFC">
        <w:trPr>
          <w:jc w:val="center"/>
        </w:trPr>
        <w:tc>
          <w:tcPr>
            <w:tcW w:w="1563" w:type="dxa"/>
            <w:vAlign w:val="center"/>
          </w:tcPr>
          <w:p w14:paraId="39B2F1EB" w14:textId="77777777" w:rsidR="008D568F" w:rsidRPr="003B225C" w:rsidRDefault="008D568F" w:rsidP="001F2FFC">
            <w:pPr>
              <w:pStyle w:val="Tabletext"/>
              <w:jc w:val="center"/>
              <w:rPr>
                <w:lang w:val="es-ES"/>
              </w:rPr>
            </w:pPr>
            <w:r w:rsidRPr="003B225C">
              <w:rPr>
                <w:lang w:val="es-ES"/>
              </w:rPr>
              <w:t>9</w:t>
            </w:r>
          </w:p>
        </w:tc>
        <w:tc>
          <w:tcPr>
            <w:tcW w:w="1722" w:type="dxa"/>
            <w:vAlign w:val="center"/>
          </w:tcPr>
          <w:p w14:paraId="20F78E1A" w14:textId="77777777" w:rsidR="008D568F" w:rsidRPr="003B225C" w:rsidRDefault="008D568F" w:rsidP="001F2FFC">
            <w:pPr>
              <w:pStyle w:val="Tabletext"/>
              <w:jc w:val="center"/>
              <w:rPr>
                <w:lang w:val="es-ES"/>
              </w:rPr>
            </w:pPr>
            <w:r w:rsidRPr="003B225C">
              <w:rPr>
                <w:lang w:val="es-ES"/>
              </w:rPr>
              <w:t>–</w:t>
            </w:r>
          </w:p>
        </w:tc>
        <w:tc>
          <w:tcPr>
            <w:tcW w:w="1512" w:type="dxa"/>
            <w:vAlign w:val="center"/>
          </w:tcPr>
          <w:p w14:paraId="54134B18" w14:textId="77777777" w:rsidR="008D568F" w:rsidRPr="003B225C" w:rsidRDefault="008D568F" w:rsidP="001F2FFC">
            <w:pPr>
              <w:pStyle w:val="Tabletext"/>
              <w:jc w:val="center"/>
              <w:rPr>
                <w:lang w:val="es-ES"/>
              </w:rPr>
            </w:pPr>
            <w:r w:rsidRPr="003B225C">
              <w:rPr>
                <w:lang w:val="es-ES"/>
              </w:rPr>
              <w:t>–</w:t>
            </w:r>
          </w:p>
        </w:tc>
        <w:tc>
          <w:tcPr>
            <w:tcW w:w="4832" w:type="dxa"/>
            <w:vAlign w:val="center"/>
          </w:tcPr>
          <w:p w14:paraId="0334B4C9" w14:textId="77777777" w:rsidR="008D568F" w:rsidRPr="003B225C" w:rsidRDefault="008D568F" w:rsidP="001F2FFC">
            <w:pPr>
              <w:pStyle w:val="Tabletext"/>
              <w:jc w:val="center"/>
              <w:rPr>
                <w:lang w:val="es-ES"/>
              </w:rPr>
            </w:pPr>
            <w:r w:rsidRPr="003B225C">
              <w:rPr>
                <w:lang w:val="es-ES"/>
              </w:rPr>
              <w:t>–</w:t>
            </w:r>
          </w:p>
        </w:tc>
      </w:tr>
      <w:tr w:rsidR="008D568F" w:rsidRPr="003B225C" w14:paraId="2088041B" w14:textId="77777777" w:rsidTr="001F2FFC">
        <w:trPr>
          <w:jc w:val="center"/>
        </w:trPr>
        <w:tc>
          <w:tcPr>
            <w:tcW w:w="1563" w:type="dxa"/>
            <w:vAlign w:val="center"/>
          </w:tcPr>
          <w:p w14:paraId="0BCF5275" w14:textId="77777777" w:rsidR="008D568F" w:rsidRPr="003B225C" w:rsidRDefault="008D568F" w:rsidP="001F2FFC">
            <w:pPr>
              <w:pStyle w:val="Tabletext"/>
              <w:jc w:val="center"/>
              <w:rPr>
                <w:lang w:val="es-ES"/>
              </w:rPr>
            </w:pPr>
            <w:r w:rsidRPr="003B225C">
              <w:rPr>
                <w:lang w:val="es-ES"/>
              </w:rPr>
              <w:t>9.1</w:t>
            </w:r>
          </w:p>
        </w:tc>
        <w:tc>
          <w:tcPr>
            <w:tcW w:w="1722" w:type="dxa"/>
            <w:vAlign w:val="center"/>
          </w:tcPr>
          <w:p w14:paraId="2B9AFB1E" w14:textId="77777777" w:rsidR="008D568F" w:rsidRPr="003B225C" w:rsidRDefault="008D568F" w:rsidP="001F2FFC">
            <w:pPr>
              <w:pStyle w:val="Tabletext"/>
              <w:jc w:val="center"/>
              <w:rPr>
                <w:lang w:val="es-ES"/>
              </w:rPr>
            </w:pPr>
            <w:r w:rsidRPr="003B225C">
              <w:rPr>
                <w:lang w:val="es-ES"/>
              </w:rPr>
              <w:t>–</w:t>
            </w:r>
          </w:p>
        </w:tc>
        <w:tc>
          <w:tcPr>
            <w:tcW w:w="1512" w:type="dxa"/>
            <w:vAlign w:val="center"/>
          </w:tcPr>
          <w:p w14:paraId="73A0729B" w14:textId="77777777" w:rsidR="008D568F" w:rsidRPr="003B225C" w:rsidRDefault="008D568F" w:rsidP="001F2FFC">
            <w:pPr>
              <w:pStyle w:val="Tabletext"/>
              <w:jc w:val="center"/>
              <w:rPr>
                <w:lang w:val="es-ES"/>
              </w:rPr>
            </w:pPr>
            <w:r w:rsidRPr="003B225C">
              <w:rPr>
                <w:lang w:val="es-ES"/>
              </w:rPr>
              <w:t>–</w:t>
            </w:r>
          </w:p>
        </w:tc>
        <w:tc>
          <w:tcPr>
            <w:tcW w:w="4832" w:type="dxa"/>
            <w:vAlign w:val="center"/>
          </w:tcPr>
          <w:p w14:paraId="6D5993CD" w14:textId="77777777" w:rsidR="008D568F" w:rsidRPr="003B225C" w:rsidRDefault="008D568F" w:rsidP="001F2FFC">
            <w:pPr>
              <w:pStyle w:val="Tabletext"/>
              <w:jc w:val="center"/>
              <w:rPr>
                <w:lang w:val="es-ES"/>
              </w:rPr>
            </w:pPr>
            <w:r w:rsidRPr="003B225C">
              <w:rPr>
                <w:lang w:val="es-ES"/>
              </w:rPr>
              <w:t>–</w:t>
            </w:r>
          </w:p>
        </w:tc>
      </w:tr>
      <w:tr w:rsidR="008D568F" w:rsidRPr="003B225C" w14:paraId="5ADAFDF6" w14:textId="77777777" w:rsidTr="001F2FFC">
        <w:trPr>
          <w:jc w:val="center"/>
        </w:trPr>
        <w:tc>
          <w:tcPr>
            <w:tcW w:w="1563" w:type="dxa"/>
            <w:vAlign w:val="center"/>
          </w:tcPr>
          <w:p w14:paraId="1D123130" w14:textId="77777777" w:rsidR="008D568F" w:rsidRPr="003B225C" w:rsidRDefault="008D568F" w:rsidP="001F2FFC">
            <w:pPr>
              <w:pStyle w:val="Tabletext"/>
              <w:jc w:val="center"/>
              <w:rPr>
                <w:lang w:val="es-ES"/>
              </w:rPr>
            </w:pPr>
            <w:r w:rsidRPr="003B225C">
              <w:rPr>
                <w:lang w:val="es-ES"/>
              </w:rPr>
              <w:t>9.2</w:t>
            </w:r>
          </w:p>
        </w:tc>
        <w:tc>
          <w:tcPr>
            <w:tcW w:w="1722" w:type="dxa"/>
            <w:vAlign w:val="center"/>
          </w:tcPr>
          <w:p w14:paraId="5DF5CCD0" w14:textId="77777777" w:rsidR="008D568F" w:rsidRPr="003B225C" w:rsidRDefault="008D568F" w:rsidP="001F2FFC">
            <w:pPr>
              <w:pStyle w:val="Tabletext"/>
              <w:jc w:val="center"/>
              <w:rPr>
                <w:lang w:val="es-ES"/>
              </w:rPr>
            </w:pPr>
            <w:r w:rsidRPr="003B225C">
              <w:rPr>
                <w:lang w:val="es-ES"/>
              </w:rPr>
              <w:t>–</w:t>
            </w:r>
          </w:p>
        </w:tc>
        <w:tc>
          <w:tcPr>
            <w:tcW w:w="1512" w:type="dxa"/>
            <w:vAlign w:val="center"/>
          </w:tcPr>
          <w:p w14:paraId="39BF2141" w14:textId="77777777" w:rsidR="008D568F" w:rsidRPr="003B225C" w:rsidRDefault="008D568F" w:rsidP="001F2FFC">
            <w:pPr>
              <w:pStyle w:val="Tabletext"/>
              <w:jc w:val="center"/>
              <w:rPr>
                <w:lang w:val="es-ES"/>
              </w:rPr>
            </w:pPr>
            <w:r w:rsidRPr="003B225C">
              <w:rPr>
                <w:lang w:val="es-ES"/>
              </w:rPr>
              <w:t>–</w:t>
            </w:r>
          </w:p>
        </w:tc>
        <w:tc>
          <w:tcPr>
            <w:tcW w:w="4832" w:type="dxa"/>
            <w:vAlign w:val="center"/>
          </w:tcPr>
          <w:p w14:paraId="746B7E58" w14:textId="77777777" w:rsidR="008D568F" w:rsidRPr="003B225C" w:rsidRDefault="008D568F" w:rsidP="001F2FFC">
            <w:pPr>
              <w:pStyle w:val="Tabletext"/>
              <w:jc w:val="center"/>
              <w:rPr>
                <w:lang w:val="es-ES"/>
              </w:rPr>
            </w:pPr>
            <w:r w:rsidRPr="003B225C">
              <w:rPr>
                <w:lang w:val="es-ES"/>
              </w:rPr>
              <w:t>–</w:t>
            </w:r>
          </w:p>
        </w:tc>
      </w:tr>
      <w:tr w:rsidR="008D568F" w:rsidRPr="003B225C" w14:paraId="34EE3161" w14:textId="77777777" w:rsidTr="001F2FFC">
        <w:trPr>
          <w:jc w:val="center"/>
        </w:trPr>
        <w:tc>
          <w:tcPr>
            <w:tcW w:w="1563" w:type="dxa"/>
            <w:vAlign w:val="center"/>
          </w:tcPr>
          <w:p w14:paraId="1E4DBA49" w14:textId="77777777" w:rsidR="008D568F" w:rsidRPr="003B225C" w:rsidRDefault="008D568F" w:rsidP="001F2FFC">
            <w:pPr>
              <w:pStyle w:val="Tabletext"/>
              <w:jc w:val="center"/>
              <w:rPr>
                <w:lang w:val="es-ES"/>
              </w:rPr>
            </w:pPr>
            <w:r w:rsidRPr="003B225C">
              <w:rPr>
                <w:lang w:val="es-ES"/>
              </w:rPr>
              <w:t>9.3</w:t>
            </w:r>
          </w:p>
        </w:tc>
        <w:tc>
          <w:tcPr>
            <w:tcW w:w="1722" w:type="dxa"/>
            <w:vAlign w:val="center"/>
          </w:tcPr>
          <w:p w14:paraId="26F035EC" w14:textId="77777777" w:rsidR="008D568F" w:rsidRPr="003B225C" w:rsidRDefault="008D568F" w:rsidP="001F2FFC">
            <w:pPr>
              <w:pStyle w:val="Tabletext"/>
              <w:jc w:val="center"/>
              <w:rPr>
                <w:lang w:val="es-ES"/>
              </w:rPr>
            </w:pPr>
            <w:r w:rsidRPr="003B225C">
              <w:rPr>
                <w:lang w:val="es-ES"/>
              </w:rPr>
              <w:t>80 (Rev.CMR</w:t>
            </w:r>
            <w:r w:rsidRPr="003B225C">
              <w:rPr>
                <w:lang w:val="es-ES"/>
              </w:rPr>
              <w:noBreakHyphen/>
              <w:t>07)</w:t>
            </w:r>
          </w:p>
        </w:tc>
        <w:tc>
          <w:tcPr>
            <w:tcW w:w="1512" w:type="dxa"/>
            <w:vAlign w:val="center"/>
          </w:tcPr>
          <w:p w14:paraId="68516970" w14:textId="77777777" w:rsidR="008D568F" w:rsidRPr="003B225C" w:rsidRDefault="008D568F" w:rsidP="001F2FFC">
            <w:pPr>
              <w:pStyle w:val="Tabletext"/>
              <w:jc w:val="center"/>
              <w:rPr>
                <w:lang w:val="es-ES"/>
              </w:rPr>
            </w:pPr>
            <w:r w:rsidRPr="003B225C">
              <w:rPr>
                <w:lang w:val="es-ES"/>
              </w:rPr>
              <w:t>–</w:t>
            </w:r>
          </w:p>
        </w:tc>
        <w:tc>
          <w:tcPr>
            <w:tcW w:w="4832" w:type="dxa"/>
            <w:vAlign w:val="center"/>
          </w:tcPr>
          <w:p w14:paraId="1646CB33" w14:textId="38C5C9C7" w:rsidR="008D568F" w:rsidRPr="003B225C" w:rsidRDefault="008D568F" w:rsidP="001F2FFC">
            <w:pPr>
              <w:pStyle w:val="Tabletext"/>
              <w:jc w:val="center"/>
              <w:rPr>
                <w:lang w:val="es-ES"/>
              </w:rPr>
            </w:pPr>
            <w:r w:rsidRPr="003B225C">
              <w:rPr>
                <w:lang w:val="es-ES"/>
              </w:rPr>
              <w:t>GT</w:t>
            </w:r>
            <w:r w:rsidR="006D5D0B" w:rsidRPr="003B225C">
              <w:rPr>
                <w:lang w:val="es-ES"/>
              </w:rPr>
              <w:t> </w:t>
            </w:r>
            <w:r w:rsidRPr="003B225C">
              <w:rPr>
                <w:lang w:val="es-ES"/>
              </w:rPr>
              <w:t>4A</w:t>
            </w:r>
          </w:p>
        </w:tc>
      </w:tr>
      <w:tr w:rsidR="008D568F" w:rsidRPr="003B225C" w14:paraId="26F5FC13" w14:textId="77777777" w:rsidTr="001F2FFC">
        <w:trPr>
          <w:jc w:val="center"/>
        </w:trPr>
        <w:tc>
          <w:tcPr>
            <w:tcW w:w="1563" w:type="dxa"/>
            <w:vAlign w:val="center"/>
          </w:tcPr>
          <w:p w14:paraId="30E92583" w14:textId="77777777" w:rsidR="008D568F" w:rsidRPr="003B225C" w:rsidRDefault="008D568F" w:rsidP="001F2FFC">
            <w:pPr>
              <w:pStyle w:val="Tabletext"/>
              <w:jc w:val="center"/>
              <w:rPr>
                <w:lang w:val="es-ES"/>
              </w:rPr>
            </w:pPr>
            <w:r w:rsidRPr="003B225C">
              <w:rPr>
                <w:lang w:val="es-ES"/>
              </w:rPr>
              <w:t>10</w:t>
            </w:r>
          </w:p>
        </w:tc>
        <w:tc>
          <w:tcPr>
            <w:tcW w:w="1722" w:type="dxa"/>
            <w:vAlign w:val="center"/>
          </w:tcPr>
          <w:p w14:paraId="7B50F32B" w14:textId="77777777" w:rsidR="008D568F" w:rsidRPr="003B225C" w:rsidRDefault="008D568F" w:rsidP="001F2FFC">
            <w:pPr>
              <w:pStyle w:val="Tabletext"/>
              <w:jc w:val="center"/>
              <w:rPr>
                <w:lang w:val="es-ES"/>
              </w:rPr>
            </w:pPr>
            <w:r w:rsidRPr="003B225C">
              <w:rPr>
                <w:lang w:val="es-ES"/>
              </w:rPr>
              <w:t>804 (Rev.CMR-23)</w:t>
            </w:r>
            <w:r w:rsidRPr="003B225C">
              <w:rPr>
                <w:lang w:val="es-ES"/>
              </w:rPr>
              <w:br/>
              <w:t>814 (CMR-23)</w:t>
            </w:r>
          </w:p>
        </w:tc>
        <w:tc>
          <w:tcPr>
            <w:tcW w:w="1512" w:type="dxa"/>
            <w:vAlign w:val="center"/>
          </w:tcPr>
          <w:p w14:paraId="6B8DBDFE" w14:textId="77777777" w:rsidR="008D568F" w:rsidRPr="003B225C" w:rsidRDefault="008D568F" w:rsidP="001F2FFC">
            <w:pPr>
              <w:pStyle w:val="Tabletext"/>
              <w:jc w:val="center"/>
              <w:rPr>
                <w:lang w:val="es-ES"/>
              </w:rPr>
            </w:pPr>
            <w:r w:rsidRPr="003B225C">
              <w:rPr>
                <w:lang w:val="es-ES"/>
              </w:rPr>
              <w:t>RPC27</w:t>
            </w:r>
            <w:r w:rsidRPr="003B225C">
              <w:rPr>
                <w:lang w:val="es-ES"/>
              </w:rPr>
              <w:noBreakHyphen/>
              <w:t>2</w:t>
            </w:r>
            <w:r w:rsidRPr="003B225C">
              <w:rPr>
                <w:lang w:val="es-ES"/>
              </w:rPr>
              <w:br/>
            </w:r>
            <w:r w:rsidRPr="003B225C">
              <w:rPr>
                <w:sz w:val="16"/>
                <w:szCs w:val="16"/>
                <w:lang w:val="es-ES"/>
              </w:rPr>
              <w:t>(sólo a título informativo)</w:t>
            </w:r>
          </w:p>
        </w:tc>
        <w:tc>
          <w:tcPr>
            <w:tcW w:w="4832" w:type="dxa"/>
            <w:vAlign w:val="center"/>
          </w:tcPr>
          <w:p w14:paraId="37BE9F67" w14:textId="77777777" w:rsidR="008D568F" w:rsidRPr="003B225C" w:rsidRDefault="008D568F" w:rsidP="001F2FFC">
            <w:pPr>
              <w:pStyle w:val="Tabletext"/>
              <w:jc w:val="center"/>
              <w:rPr>
                <w:lang w:val="es-ES"/>
              </w:rPr>
            </w:pPr>
            <w:r w:rsidRPr="003B225C">
              <w:rPr>
                <w:lang w:val="es-ES"/>
              </w:rPr>
              <w:t>–</w:t>
            </w:r>
          </w:p>
        </w:tc>
      </w:tr>
    </w:tbl>
    <w:p w14:paraId="4DF44693" w14:textId="77777777" w:rsidR="008D568F" w:rsidRPr="003B225C" w:rsidRDefault="008D568F" w:rsidP="00411C49">
      <w:pPr>
        <w:pStyle w:val="Reasons"/>
        <w:rPr>
          <w:lang w:val="es-ES"/>
        </w:rPr>
      </w:pPr>
    </w:p>
    <w:p w14:paraId="2F446532" w14:textId="77777777" w:rsidR="008D568F" w:rsidRPr="003B225C" w:rsidRDefault="008D568F">
      <w:pPr>
        <w:jc w:val="center"/>
        <w:rPr>
          <w:lang w:val="es-ES"/>
        </w:rPr>
      </w:pPr>
      <w:r w:rsidRPr="003B225C">
        <w:rPr>
          <w:lang w:val="es-ES"/>
        </w:rPr>
        <w:t>______________</w:t>
      </w:r>
    </w:p>
    <w:sectPr w:rsidR="008D568F" w:rsidRPr="003B225C" w:rsidSect="00132DD2">
      <w:headerReference w:type="even" r:id="rId36"/>
      <w:headerReference w:type="default" r:id="rId37"/>
      <w:footerReference w:type="even" r:id="rId38"/>
      <w:footerReference w:type="default" r:id="rId39"/>
      <w:headerReference w:type="first" r:id="rId40"/>
      <w:footerReference w:type="first" r:id="rId41"/>
      <w:footnotePr>
        <w:numFmt w:val="chicago"/>
      </w:footnotePr>
      <w:pgSz w:w="11907" w:h="16834" w:code="9"/>
      <w:pgMar w:top="1134" w:right="1134" w:bottom="993" w:left="1134" w:header="567"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EEF2B" w14:textId="77777777" w:rsidR="002B7EE0" w:rsidRDefault="002B7EE0">
      <w:r>
        <w:separator/>
      </w:r>
    </w:p>
  </w:endnote>
  <w:endnote w:type="continuationSeparator" w:id="0">
    <w:p w14:paraId="77A46DFC" w14:textId="77777777" w:rsidR="002B7EE0" w:rsidRDefault="002B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550D6" w14:textId="77777777" w:rsidR="00F01833" w:rsidRDefault="00F018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4A7BD" w14:textId="77777777" w:rsidR="00F01833" w:rsidRDefault="00F018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2B5DD" w14:textId="0B9C89CE" w:rsidR="005370F0" w:rsidRPr="003B370E" w:rsidRDefault="00CF7B6D" w:rsidP="00132DD2">
    <w:pPr>
      <w:pStyle w:val="Footer"/>
      <w:spacing w:before="0" w:line="240" w:lineRule="auto"/>
      <w:jc w:val="center"/>
      <w:rPr>
        <w:sz w:val="19"/>
        <w:szCs w:val="19"/>
        <w:lang w:val="es-ES"/>
      </w:rPr>
    </w:pPr>
    <w:r w:rsidRPr="00353E34">
      <w:rPr>
        <w:color w:val="4F81BD" w:themeColor="accent1"/>
        <w:sz w:val="19"/>
        <w:szCs w:val="19"/>
        <w:lang w:val="es-ES"/>
      </w:rPr>
      <w:t>Unión Internacional de Telecomunicaciones • Place des Nations, CH-1211 Ginebra 20, Suiza</w:t>
    </w:r>
    <w:r w:rsidRPr="00353E34">
      <w:rPr>
        <w:color w:val="4F81BD" w:themeColor="accent1"/>
        <w:sz w:val="19"/>
        <w:szCs w:val="19"/>
        <w:lang w:val="es-ES"/>
      </w:rPr>
      <w:br/>
      <w:t xml:space="preserve">Tel.: +41 22 730 5111 • Correo-e: </w:t>
    </w:r>
    <w:r w:rsidR="006C4DF0">
      <w:fldChar w:fldCharType="begin"/>
    </w:r>
    <w:r w:rsidR="006C4DF0" w:rsidRPr="00A2786A">
      <w:rPr>
        <w:lang w:val="es-ES"/>
      </w:rPr>
      <w:instrText>HYPERLINK "mailto:brmail@itu.int"</w:instrText>
    </w:r>
    <w:r w:rsidR="006C4DF0">
      <w:fldChar w:fldCharType="separate"/>
    </w:r>
    <w:r w:rsidR="00353E34" w:rsidRPr="000B33D5">
      <w:rPr>
        <w:rStyle w:val="Hyperlink"/>
        <w:sz w:val="19"/>
        <w:szCs w:val="19"/>
        <w:lang w:val="es-ES"/>
      </w:rPr>
      <w:t>brmail@itu.int</w:t>
    </w:r>
    <w:r w:rsidR="006C4DF0">
      <w:rPr>
        <w:rStyle w:val="Hyperlink"/>
        <w:sz w:val="19"/>
        <w:szCs w:val="19"/>
        <w:lang w:val="es-ES"/>
      </w:rPr>
      <w:fldChar w:fldCharType="end"/>
    </w:r>
    <w:r w:rsidRPr="00353E34">
      <w:rPr>
        <w:color w:val="4F81BD" w:themeColor="accent1"/>
        <w:sz w:val="19"/>
        <w:szCs w:val="19"/>
        <w:lang w:val="es-ES"/>
      </w:rPr>
      <w:t xml:space="preserve"> </w:t>
    </w:r>
    <w:r w:rsidRPr="00353E34">
      <w:rPr>
        <w:color w:val="4F81BD"/>
        <w:sz w:val="19"/>
        <w:szCs w:val="19"/>
        <w:lang w:val="es-ES"/>
      </w:rPr>
      <w:t xml:space="preserve">• Fax: +41 22 733 7256 • </w:t>
    </w:r>
    <w:hyperlink r:id="rId1" w:history="1">
      <w:r w:rsidRPr="00353E34">
        <w:rPr>
          <w:rStyle w:val="Hyperlink"/>
          <w:sz w:val="19"/>
          <w:szCs w:val="19"/>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51E98" w14:textId="77777777" w:rsidR="002B7EE0" w:rsidRDefault="002B7EE0">
      <w:r>
        <w:t>____________________</w:t>
      </w:r>
    </w:p>
  </w:footnote>
  <w:footnote w:type="continuationSeparator" w:id="0">
    <w:p w14:paraId="1E70CB41" w14:textId="77777777" w:rsidR="002B7EE0" w:rsidRDefault="002B7EE0">
      <w:r>
        <w:continuationSeparator/>
      </w:r>
    </w:p>
  </w:footnote>
  <w:footnote w:id="1">
    <w:p w14:paraId="35BAC070" w14:textId="63CC3922" w:rsidR="007C31FD" w:rsidRPr="007C31FD" w:rsidRDefault="007C31FD" w:rsidP="00571286">
      <w:pPr>
        <w:pStyle w:val="FootnoteText"/>
        <w:spacing w:after="120"/>
        <w:rPr>
          <w:lang w:val="es-ES"/>
        </w:rPr>
      </w:pPr>
      <w:r w:rsidRPr="007C31FD">
        <w:rPr>
          <w:rStyle w:val="FootnoteReference"/>
          <w:lang w:val="es-ES"/>
        </w:rPr>
        <w:t>*</w:t>
      </w:r>
      <w:r>
        <w:rPr>
          <w:lang w:val="es-ES"/>
        </w:rPr>
        <w:tab/>
      </w:r>
      <w:r w:rsidRPr="007C31FD">
        <w:rPr>
          <w:lang w:val="es-ES"/>
        </w:rPr>
        <w:t>La fecha tentativa exacta de la RPC27-2 se determinará una vez se haya decidido la fecha de celebración de la CMR</w:t>
      </w:r>
      <w:r w:rsidR="005A3D87">
        <w:rPr>
          <w:lang w:val="es-ES"/>
        </w:rPr>
        <w:noBreakHyphen/>
      </w:r>
      <w:r w:rsidRPr="007C31FD">
        <w:rPr>
          <w:lang w:val="es-ES"/>
        </w:rPr>
        <w:t>27 y en función de la disponibilidad del CICG.</w:t>
      </w:r>
    </w:p>
  </w:footnote>
  <w:footnote w:id="2">
    <w:p w14:paraId="55A49B02" w14:textId="3069E531" w:rsidR="007C31FD" w:rsidRPr="007C31FD" w:rsidRDefault="007C31FD" w:rsidP="009B5EEC">
      <w:pPr>
        <w:pStyle w:val="FootnoteText"/>
        <w:rPr>
          <w:lang w:val="es-ES"/>
        </w:rPr>
      </w:pPr>
      <w:r w:rsidRPr="007C31FD">
        <w:rPr>
          <w:rStyle w:val="FootnoteReference"/>
          <w:lang w:val="es-ES"/>
        </w:rPr>
        <w:t>*</w:t>
      </w:r>
      <w:r>
        <w:rPr>
          <w:lang w:val="es-ES"/>
        </w:rPr>
        <w:tab/>
      </w:r>
      <w:r w:rsidRPr="007C31FD">
        <w:rPr>
          <w:lang w:val="es-ES"/>
        </w:rPr>
        <w:t>(1.2) Sobre la base de la experiencia adquirida en el estudio de esta banda de frecuencias y habida cuenta de la complejidad del asunto, debe prestarse una atención particular a la interacción entre el</w:t>
      </w:r>
      <w:r w:rsidRPr="007C31FD">
        <w:rPr>
          <w:bCs/>
          <w:lang w:val="es-ES"/>
        </w:rPr>
        <w:t xml:space="preserve"> </w:t>
      </w:r>
      <w:r w:rsidRPr="007C31FD">
        <w:rPr>
          <w:lang w:val="es-ES"/>
        </w:rPr>
        <w:t>GT</w:t>
      </w:r>
      <w:r w:rsidR="001F2FFC">
        <w:rPr>
          <w:lang w:val="es-ES"/>
        </w:rPr>
        <w:t> </w:t>
      </w:r>
      <w:r w:rsidRPr="007C31FD">
        <w:rPr>
          <w:lang w:val="es-ES"/>
        </w:rPr>
        <w:t>4A y el GT</w:t>
      </w:r>
      <w:r w:rsidR="001F2FFC">
        <w:rPr>
          <w:lang w:val="es-ES"/>
        </w:rPr>
        <w:t> </w:t>
      </w:r>
      <w:r w:rsidRPr="007C31FD">
        <w:rPr>
          <w:lang w:val="es-ES"/>
        </w:rPr>
        <w:t>5B. Por consiguiente, el GT</w:t>
      </w:r>
      <w:r w:rsidR="001F2FFC">
        <w:rPr>
          <w:lang w:val="es-ES"/>
        </w:rPr>
        <w:t> </w:t>
      </w:r>
      <w:r w:rsidRPr="007C31FD">
        <w:rPr>
          <w:lang w:val="es-ES"/>
        </w:rPr>
        <w:t>4A deberá tener en cuenta, según se reciba, toda eventual actualización de la información y las características de protección y funcionamiento del servicio de radiolocalización que le comunique el GT</w:t>
      </w:r>
      <w:r w:rsidR="001F2FFC">
        <w:rPr>
          <w:lang w:val="es-ES"/>
        </w:rPr>
        <w:t> </w:t>
      </w:r>
      <w:r w:rsidRPr="007C31FD">
        <w:rPr>
          <w:lang w:val="es-ES"/>
        </w:rPr>
        <w:t>5B a fin de realizar los estudios de compartición pertinentes. A medida que avancen los estudios del GT</w:t>
      </w:r>
      <w:r w:rsidR="001F2FFC">
        <w:rPr>
          <w:lang w:val="es-ES"/>
        </w:rPr>
        <w:t> </w:t>
      </w:r>
      <w:r w:rsidRPr="007C31FD">
        <w:rPr>
          <w:lang w:val="es-ES"/>
        </w:rPr>
        <w:t>4A, podrán organizarse, de ser necesario, reuniones conjuntas del GT</w:t>
      </w:r>
      <w:r w:rsidR="001F2FFC">
        <w:rPr>
          <w:lang w:val="es-ES"/>
        </w:rPr>
        <w:t> </w:t>
      </w:r>
      <w:r w:rsidRPr="007C31FD">
        <w:rPr>
          <w:lang w:val="es-ES"/>
        </w:rPr>
        <w:t>4A y el GT</w:t>
      </w:r>
      <w:r w:rsidR="001F2FFC">
        <w:rPr>
          <w:lang w:val="es-ES"/>
        </w:rPr>
        <w:t> </w:t>
      </w:r>
      <w:r w:rsidRPr="007C31FD">
        <w:rPr>
          <w:lang w:val="es-ES"/>
        </w:rPr>
        <w:t>5B para facilitar la colaboración entre esos GT sobre la protección del servicio de radiolocalización.</w:t>
      </w:r>
    </w:p>
  </w:footnote>
  <w:footnote w:id="3">
    <w:p w14:paraId="19BBFFF1" w14:textId="078820A8" w:rsidR="001F2FFC" w:rsidRPr="001F2FFC" w:rsidRDefault="001F2FFC" w:rsidP="001F2FFC">
      <w:pPr>
        <w:pStyle w:val="FootnoteText"/>
        <w:rPr>
          <w:lang w:val="es-ES"/>
        </w:rPr>
      </w:pPr>
      <w:r w:rsidRPr="001F2FFC">
        <w:rPr>
          <w:rStyle w:val="FootnoteReference"/>
          <w:lang w:val="es-ES"/>
        </w:rPr>
        <w:t>*</w:t>
      </w:r>
      <w:r>
        <w:rPr>
          <w:lang w:val="es-ES"/>
        </w:rPr>
        <w:tab/>
      </w:r>
      <w:r w:rsidRPr="001F2FFC">
        <w:rPr>
          <w:lang w:val="es-ES"/>
        </w:rPr>
        <w:t>(1.10) Los estudios deben llevarse a cabo en estrecha colaboración entre los GT indicados.</w:t>
      </w:r>
    </w:p>
  </w:footnote>
  <w:footnote w:id="4">
    <w:p w14:paraId="53084B53" w14:textId="0DCF1B80" w:rsidR="001F2FFC" w:rsidRPr="001F2FFC" w:rsidRDefault="001F2FFC" w:rsidP="009B5EEC">
      <w:pPr>
        <w:pStyle w:val="FootnoteText"/>
        <w:rPr>
          <w:lang w:val="es-ES"/>
        </w:rPr>
      </w:pPr>
      <w:r w:rsidRPr="001F2FFC">
        <w:rPr>
          <w:rStyle w:val="FootnoteReference"/>
          <w:lang w:val="es-ES"/>
        </w:rPr>
        <w:t>*</w:t>
      </w:r>
      <w:r>
        <w:rPr>
          <w:lang w:val="es-ES"/>
        </w:rPr>
        <w:tab/>
      </w:r>
      <w:r w:rsidRPr="001F2FFC">
        <w:rPr>
          <w:lang w:val="es-ES"/>
        </w:rPr>
        <w:t>(1.13) El GT</w:t>
      </w:r>
      <w:r>
        <w:rPr>
          <w:lang w:val="es-ES"/>
        </w:rPr>
        <w:t> </w:t>
      </w:r>
      <w:r w:rsidRPr="001F2FFC">
        <w:rPr>
          <w:lang w:val="es-ES"/>
        </w:rPr>
        <w:t>4C estudiará las posibles atribuciones al SMS en las bandas de frecuencias entre 694/698</w:t>
      </w:r>
      <w:r>
        <w:rPr>
          <w:lang w:val="es-ES"/>
        </w:rPr>
        <w:t> </w:t>
      </w:r>
      <w:r w:rsidRPr="001F2FFC">
        <w:rPr>
          <w:lang w:val="es-ES"/>
        </w:rPr>
        <w:t>MHz y 2,7</w:t>
      </w:r>
      <w:r>
        <w:rPr>
          <w:lang w:val="es-ES"/>
        </w:rPr>
        <w:t> </w:t>
      </w:r>
      <w:r w:rsidRPr="001F2FFC">
        <w:rPr>
          <w:lang w:val="es-ES"/>
        </w:rPr>
        <w:t>GHz que se presenten en las contribuciones, incluidas las del GT 5D, sobre la base de las disposiciones de frecuencias para las IMT de la versión más reciente de la Recomendación UIT-R M.1036.</w:t>
      </w:r>
    </w:p>
    <w:p w14:paraId="003E9F8D" w14:textId="77777777" w:rsidR="001F2FFC" w:rsidRPr="001F2FFC" w:rsidRDefault="001F2FFC" w:rsidP="001F2FFC">
      <w:pPr>
        <w:pStyle w:val="FootnoteText"/>
        <w:rPr>
          <w:lang w:val="es-ES"/>
        </w:rPr>
      </w:pPr>
      <w:r w:rsidRPr="001F2FFC">
        <w:rPr>
          <w:lang w:val="es-ES"/>
        </w:rPr>
        <w:tab/>
        <w:t xml:space="preserve">El GT 4C, en estrecha colaboración con el GT 5D, realizará los estudios a que se hace referencia en el </w:t>
      </w:r>
      <w:r w:rsidRPr="001F2FFC">
        <w:rPr>
          <w:i/>
          <w:iCs/>
          <w:lang w:val="es-ES"/>
        </w:rPr>
        <w:t>resuelve invitar al Sector de Radiocomunicaciones de la UIT a completar a tiempo para la Conferencia Mundial de Radiocomunicaciones de 2027</w:t>
      </w:r>
      <w:r w:rsidRPr="001F2FFC">
        <w:rPr>
          <w:lang w:val="es-ES"/>
        </w:rPr>
        <w:t xml:space="preserve"> 2.</w:t>
      </w:r>
    </w:p>
    <w:p w14:paraId="7D7B8304" w14:textId="77777777" w:rsidR="001F2FFC" w:rsidRPr="001F2FFC" w:rsidRDefault="001F2FFC" w:rsidP="001F2FFC">
      <w:pPr>
        <w:pStyle w:val="FootnoteText"/>
        <w:rPr>
          <w:lang w:val="es-ES"/>
        </w:rPr>
      </w:pPr>
      <w:r w:rsidRPr="001F2FFC">
        <w:rPr>
          <w:lang w:val="es-ES"/>
        </w:rPr>
        <w:tab/>
        <w:t xml:space="preserve">El GT 4C realizará los estudios previstos en los </w:t>
      </w:r>
      <w:r w:rsidRPr="001F2FFC">
        <w:rPr>
          <w:i/>
          <w:iCs/>
          <w:lang w:val="es-ES"/>
        </w:rPr>
        <w:t>resuelve además</w:t>
      </w:r>
      <w:r w:rsidRPr="001F2FFC">
        <w:rPr>
          <w:lang w:val="es-ES"/>
        </w:rPr>
        <w:t xml:space="preserve"> 1 y 2. Se prevé que los estudios del GT 5D integren consideraciones reglamentarias sobre la protección de la componente terrenal de las IMT.</w:t>
      </w:r>
    </w:p>
    <w:p w14:paraId="719FB84A" w14:textId="2D355B18" w:rsidR="001F2FFC" w:rsidRPr="009B5EEC" w:rsidRDefault="001F2FFC" w:rsidP="001F2FFC">
      <w:pPr>
        <w:pStyle w:val="FootnoteText"/>
        <w:rPr>
          <w:lang w:val="es-ES"/>
        </w:rPr>
      </w:pPr>
      <w:r w:rsidRPr="001F2FFC">
        <w:rPr>
          <w:lang w:val="es-ES"/>
        </w:rPr>
        <w:tab/>
        <w:t>El GT 4C asumirá la responsabilidad de redactar el proyecto de texto de la RPC incluyendo los resultados del 5D sobre las consideraciones reglamentarias sobre la protección de la componente terrenal de las IMT. Para facilitar los trabajos, los Presidentes de ambos GT coordinarán el programa de reuniones de los GT, según proceda, e informarán convenientemente a ambos GT.</w:t>
      </w:r>
    </w:p>
  </w:footnote>
  <w:footnote w:id="5">
    <w:p w14:paraId="2EA2952E" w14:textId="0D5F197D" w:rsidR="001F2FFC" w:rsidRPr="001F2FFC" w:rsidRDefault="001F2FFC" w:rsidP="001F2FFC">
      <w:pPr>
        <w:pStyle w:val="FootnoteText"/>
        <w:rPr>
          <w:lang w:val="es-ES"/>
        </w:rPr>
      </w:pPr>
      <w:r w:rsidRPr="001F2FFC">
        <w:rPr>
          <w:rStyle w:val="FootnoteReference"/>
          <w:lang w:val="es-ES"/>
        </w:rPr>
        <w:t>Nota</w:t>
      </w:r>
      <w:r w:rsidR="006D5D0B">
        <w:rPr>
          <w:lang w:val="es-ES"/>
        </w:rPr>
        <w:t xml:space="preserve"> </w:t>
      </w:r>
      <w:r w:rsidRPr="001F2FFC">
        <w:rPr>
          <w:lang w:val="es-ES"/>
        </w:rPr>
        <w:t xml:space="preserve">(1.18) </w:t>
      </w:r>
      <w:r w:rsidRPr="001F2FFC">
        <w:rPr>
          <w:bCs/>
          <w:u w:val="single"/>
          <w:lang w:val="es-ES"/>
        </w:rPr>
        <w:t>Nota</w:t>
      </w:r>
      <w:r w:rsidRPr="001F2FFC">
        <w:rPr>
          <w:bCs/>
          <w:lang w:val="es-ES"/>
        </w:rPr>
        <w:t>: el proyecto de texto de la RPC preparado por el GT</w:t>
      </w:r>
      <w:r>
        <w:rPr>
          <w:lang w:val="es-ES"/>
        </w:rPr>
        <w:t> </w:t>
      </w:r>
      <w:r w:rsidRPr="001F2FFC">
        <w:rPr>
          <w:bCs/>
          <w:lang w:val="es-ES"/>
        </w:rPr>
        <w:t>7C y el GT</w:t>
      </w:r>
      <w:r>
        <w:rPr>
          <w:lang w:val="es-ES"/>
        </w:rPr>
        <w:t> </w:t>
      </w:r>
      <w:r w:rsidRPr="001F2FFC">
        <w:rPr>
          <w:bCs/>
          <w:lang w:val="es-ES"/>
        </w:rPr>
        <w:t>7D será presentado por el GT</w:t>
      </w:r>
      <w:r>
        <w:rPr>
          <w:lang w:val="es-ES"/>
        </w:rPr>
        <w:t> </w:t>
      </w:r>
      <w:r w:rsidRPr="001F2FFC">
        <w:rPr>
          <w:bCs/>
          <w:lang w:val="es-ES"/>
        </w:rPr>
        <w:t>7C.</w:t>
      </w:r>
    </w:p>
  </w:footnote>
  <w:footnote w:id="6">
    <w:p w14:paraId="69AC97C7" w14:textId="055DB36D" w:rsidR="001F2FFC" w:rsidRPr="001F2FFC" w:rsidRDefault="001F2FFC" w:rsidP="001F2FFC">
      <w:pPr>
        <w:pStyle w:val="FootnoteText"/>
        <w:rPr>
          <w:lang w:val="es-ES"/>
        </w:rPr>
      </w:pPr>
      <w:r w:rsidRPr="001F2FFC">
        <w:rPr>
          <w:rStyle w:val="FootnoteReference"/>
          <w:lang w:val="es-ES"/>
        </w:rPr>
        <w:t>*</w:t>
      </w:r>
      <w:r>
        <w:rPr>
          <w:lang w:val="es-ES"/>
        </w:rPr>
        <w:tab/>
      </w:r>
      <w:r w:rsidRPr="001F2FFC">
        <w:rPr>
          <w:lang w:val="es-ES"/>
        </w:rPr>
        <w:t>(1.18) Los trabajos preparatorios para este punto del orden del día exigen esfuerzos para ampliar la aplicabilidad de los actuales métodos de predicción de las ondas radioeléctricas a los estudios de compartición y compatibilidad en las bandas de frecuencias hasta 235</w:t>
      </w:r>
      <w:r>
        <w:rPr>
          <w:lang w:val="es-ES"/>
        </w:rPr>
        <w:t> </w:t>
      </w:r>
      <w:r w:rsidRPr="001F2FFC">
        <w:rPr>
          <w:lang w:val="es-ES"/>
        </w:rPr>
        <w:t>GHz. Se anima a los Miembros a procurar la finalización de estas actividades fundamentales por los Grupos de Trabajo</w:t>
      </w:r>
      <w:r>
        <w:rPr>
          <w:lang w:val="es-ES"/>
        </w:rPr>
        <w:t> </w:t>
      </w:r>
      <w:r w:rsidRPr="001F2FFC">
        <w:rPr>
          <w:lang w:val="es-ES"/>
        </w:rPr>
        <w:t>3J y 3M antes de</w:t>
      </w:r>
      <w:r w:rsidR="004D7896">
        <w:rPr>
          <w:lang w:val="es-ES"/>
        </w:rPr>
        <w:t> </w:t>
      </w:r>
      <w:r w:rsidRPr="001F2FFC">
        <w:rPr>
          <w:lang w:val="es-ES"/>
        </w:rPr>
        <w:t>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AAE91" w14:textId="5E7B8DB8" w:rsidR="00E915AF" w:rsidRPr="00D239B4" w:rsidRDefault="00D97EF5" w:rsidP="008D568F">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535FEF">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A1DC5" w14:textId="7E6ABA75" w:rsidR="00E915AF" w:rsidRPr="008D568F" w:rsidRDefault="008D568F" w:rsidP="008D568F">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sz w:val="18"/>
        <w:szCs w:val="16"/>
      </w:rPr>
      <w:t>2</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D68E2" w14:textId="51F6AF7F" w:rsidR="00E915AF" w:rsidRPr="001B3D4D" w:rsidRDefault="00571286" w:rsidP="00F01833">
    <w:pPr>
      <w:pStyle w:val="Header"/>
      <w:tabs>
        <w:tab w:val="clear" w:pos="794"/>
        <w:tab w:val="clear" w:pos="4820"/>
        <w:tab w:val="clear" w:pos="9639"/>
        <w:tab w:val="left" w:pos="9720"/>
      </w:tabs>
      <w:spacing w:before="240" w:line="360" w:lineRule="auto"/>
      <w:jc w:val="center"/>
    </w:pPr>
    <w:r>
      <w:rPr>
        <w:noProof/>
        <w:lang w:val="en-GB" w:eastAsia="en-GB"/>
      </w:rPr>
      <w:drawing>
        <wp:inline distT="0" distB="0" distL="0" distR="0" wp14:anchorId="61C9BA5B" wp14:editId="12FF2DFF">
          <wp:extent cx="765175" cy="765175"/>
          <wp:effectExtent l="0" t="0" r="0" b="0"/>
          <wp:docPr id="1350946514" name="Picture 1350946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0518091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7891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mirrorMargins/>
  <w:activeWritingStyle w:appName="MSWord" w:lang="fr-CH" w:vendorID="64" w:dllVersion="6"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1572"/>
    <w:rsid w:val="00015C76"/>
    <w:rsid w:val="00026CF8"/>
    <w:rsid w:val="00030BD7"/>
    <w:rsid w:val="00031E64"/>
    <w:rsid w:val="00034340"/>
    <w:rsid w:val="00035CB3"/>
    <w:rsid w:val="000402DC"/>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2DD2"/>
    <w:rsid w:val="00134404"/>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2FFC"/>
    <w:rsid w:val="001F3948"/>
    <w:rsid w:val="001F5A49"/>
    <w:rsid w:val="00201097"/>
    <w:rsid w:val="00201B6E"/>
    <w:rsid w:val="002302B3"/>
    <w:rsid w:val="00230C66"/>
    <w:rsid w:val="00235A29"/>
    <w:rsid w:val="00241526"/>
    <w:rsid w:val="002443A2"/>
    <w:rsid w:val="00257BE7"/>
    <w:rsid w:val="00266E74"/>
    <w:rsid w:val="00283C3B"/>
    <w:rsid w:val="002861E6"/>
    <w:rsid w:val="00287D18"/>
    <w:rsid w:val="002A2618"/>
    <w:rsid w:val="002A5DD7"/>
    <w:rsid w:val="002B0CAC"/>
    <w:rsid w:val="002B7EE0"/>
    <w:rsid w:val="002D5A15"/>
    <w:rsid w:val="002D5BDD"/>
    <w:rsid w:val="002E3D27"/>
    <w:rsid w:val="002F0890"/>
    <w:rsid w:val="002F2531"/>
    <w:rsid w:val="002F4967"/>
    <w:rsid w:val="00306452"/>
    <w:rsid w:val="00311970"/>
    <w:rsid w:val="00316935"/>
    <w:rsid w:val="003266ED"/>
    <w:rsid w:val="00326C68"/>
    <w:rsid w:val="0033029C"/>
    <w:rsid w:val="003370B8"/>
    <w:rsid w:val="00337644"/>
    <w:rsid w:val="00345D38"/>
    <w:rsid w:val="00352097"/>
    <w:rsid w:val="00353E34"/>
    <w:rsid w:val="003666FF"/>
    <w:rsid w:val="0037309C"/>
    <w:rsid w:val="00380A6E"/>
    <w:rsid w:val="003836D4"/>
    <w:rsid w:val="003974CD"/>
    <w:rsid w:val="003A1F49"/>
    <w:rsid w:val="003A55ED"/>
    <w:rsid w:val="003A5D52"/>
    <w:rsid w:val="003B225C"/>
    <w:rsid w:val="003B2BDA"/>
    <w:rsid w:val="003B370E"/>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D7896"/>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364"/>
    <w:rsid w:val="00553DD7"/>
    <w:rsid w:val="005638CF"/>
    <w:rsid w:val="0056741E"/>
    <w:rsid w:val="00571286"/>
    <w:rsid w:val="0057325A"/>
    <w:rsid w:val="0057469A"/>
    <w:rsid w:val="00580814"/>
    <w:rsid w:val="00583A0B"/>
    <w:rsid w:val="005A03A3"/>
    <w:rsid w:val="005A2B92"/>
    <w:rsid w:val="005A3D87"/>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4DF0"/>
    <w:rsid w:val="006C53F8"/>
    <w:rsid w:val="006C7CDE"/>
    <w:rsid w:val="006D0ED4"/>
    <w:rsid w:val="006D467D"/>
    <w:rsid w:val="006D5D0B"/>
    <w:rsid w:val="007234B1"/>
    <w:rsid w:val="00723D08"/>
    <w:rsid w:val="00725FDA"/>
    <w:rsid w:val="00727816"/>
    <w:rsid w:val="00730B9A"/>
    <w:rsid w:val="00750CFA"/>
    <w:rsid w:val="007553DA"/>
    <w:rsid w:val="00775DB8"/>
    <w:rsid w:val="00782354"/>
    <w:rsid w:val="007921A7"/>
    <w:rsid w:val="00797C74"/>
    <w:rsid w:val="007B3DB1"/>
    <w:rsid w:val="007C31FD"/>
    <w:rsid w:val="007D183E"/>
    <w:rsid w:val="007D43D0"/>
    <w:rsid w:val="007E1833"/>
    <w:rsid w:val="007E3F13"/>
    <w:rsid w:val="007F751A"/>
    <w:rsid w:val="00800012"/>
    <w:rsid w:val="0080261F"/>
    <w:rsid w:val="00805A02"/>
    <w:rsid w:val="00806160"/>
    <w:rsid w:val="008143A4"/>
    <w:rsid w:val="0081513E"/>
    <w:rsid w:val="00854131"/>
    <w:rsid w:val="0085652D"/>
    <w:rsid w:val="00861B4E"/>
    <w:rsid w:val="00861C79"/>
    <w:rsid w:val="0087694B"/>
    <w:rsid w:val="00880F4D"/>
    <w:rsid w:val="008B35A3"/>
    <w:rsid w:val="008B37E1"/>
    <w:rsid w:val="008B45F8"/>
    <w:rsid w:val="008C2E74"/>
    <w:rsid w:val="008D5409"/>
    <w:rsid w:val="008D568F"/>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B5EEC"/>
    <w:rsid w:val="009C161F"/>
    <w:rsid w:val="009C56B4"/>
    <w:rsid w:val="009D51A2"/>
    <w:rsid w:val="009E04A8"/>
    <w:rsid w:val="009E4595"/>
    <w:rsid w:val="009E4AEC"/>
    <w:rsid w:val="009E5BD8"/>
    <w:rsid w:val="009E681E"/>
    <w:rsid w:val="009F27CA"/>
    <w:rsid w:val="009F398B"/>
    <w:rsid w:val="00A1076A"/>
    <w:rsid w:val="00A119E6"/>
    <w:rsid w:val="00A20FBC"/>
    <w:rsid w:val="00A2786A"/>
    <w:rsid w:val="00A31370"/>
    <w:rsid w:val="00A34D6F"/>
    <w:rsid w:val="00A41F91"/>
    <w:rsid w:val="00A63355"/>
    <w:rsid w:val="00A7213B"/>
    <w:rsid w:val="00A7596D"/>
    <w:rsid w:val="00A80EFE"/>
    <w:rsid w:val="00A963DF"/>
    <w:rsid w:val="00A96D3A"/>
    <w:rsid w:val="00AC0C22"/>
    <w:rsid w:val="00AC3896"/>
    <w:rsid w:val="00AC6099"/>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67D9C"/>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0778"/>
    <w:rsid w:val="00CA3F44"/>
    <w:rsid w:val="00CA4E58"/>
    <w:rsid w:val="00CB3771"/>
    <w:rsid w:val="00CB44BF"/>
    <w:rsid w:val="00CB5153"/>
    <w:rsid w:val="00CE076A"/>
    <w:rsid w:val="00CE463D"/>
    <w:rsid w:val="00CF7B6D"/>
    <w:rsid w:val="00D10BA0"/>
    <w:rsid w:val="00D21694"/>
    <w:rsid w:val="00D239B4"/>
    <w:rsid w:val="00D24EB5"/>
    <w:rsid w:val="00D35AB9"/>
    <w:rsid w:val="00D41571"/>
    <w:rsid w:val="00D416A0"/>
    <w:rsid w:val="00D44B78"/>
    <w:rsid w:val="00D47672"/>
    <w:rsid w:val="00D5123C"/>
    <w:rsid w:val="00D55560"/>
    <w:rsid w:val="00D61C5A"/>
    <w:rsid w:val="00D63BFF"/>
    <w:rsid w:val="00D6790C"/>
    <w:rsid w:val="00D73277"/>
    <w:rsid w:val="00D76586"/>
    <w:rsid w:val="00D82657"/>
    <w:rsid w:val="00D87C30"/>
    <w:rsid w:val="00D87E20"/>
    <w:rsid w:val="00D97EF5"/>
    <w:rsid w:val="00DA4037"/>
    <w:rsid w:val="00DE66A5"/>
    <w:rsid w:val="00DF2B50"/>
    <w:rsid w:val="00E01059"/>
    <w:rsid w:val="00E02956"/>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01833"/>
    <w:rsid w:val="00F24797"/>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330C465"/>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70E"/>
    <w:pPr>
      <w:tabs>
        <w:tab w:val="left" w:pos="794"/>
        <w:tab w:val="left" w:pos="1191"/>
        <w:tab w:val="left" w:pos="1588"/>
        <w:tab w:val="left" w:pos="1985"/>
      </w:tabs>
      <w:overflowPunct w:val="0"/>
      <w:autoSpaceDE w:val="0"/>
      <w:autoSpaceDN w:val="0"/>
      <w:adjustRightInd w:val="0"/>
      <w:spacing w:before="12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5A3D87"/>
    <w:pPr>
      <w:spacing w:before="80" w:line="240" w:lineRule="exact"/>
    </w:pPr>
    <w:rPr>
      <w:sz w:val="22"/>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D7896"/>
    <w:pPr>
      <w:keepNext/>
      <w:keepLines/>
      <w:spacing w:before="720" w:after="120"/>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styleId="UnresolvedMention">
    <w:name w:val="Unresolved Mention"/>
    <w:basedOn w:val="DefaultParagraphFont"/>
    <w:uiPriority w:val="99"/>
    <w:semiHidden/>
    <w:unhideWhenUsed/>
    <w:rsid w:val="00353E34"/>
    <w:rPr>
      <w:color w:val="605E5C"/>
      <w:shd w:val="clear" w:color="auto" w:fill="E1DFDD"/>
    </w:rPr>
  </w:style>
  <w:style w:type="paragraph" w:customStyle="1" w:styleId="Reasons">
    <w:name w:val="Reasons"/>
    <w:basedOn w:val="Normal"/>
    <w:qFormat/>
    <w:rsid w:val="008D568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1F2FFC"/>
    <w:rPr>
      <w:color w:val="800080" w:themeColor="followedHyperlink"/>
      <w:u w:val="single"/>
    </w:rPr>
  </w:style>
  <w:style w:type="paragraph" w:styleId="Revision">
    <w:name w:val="Revision"/>
    <w:hidden/>
    <w:uiPriority w:val="99"/>
    <w:semiHidden/>
    <w:rsid w:val="006D5D0B"/>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125/es" TargetMode="External"/><Relationship Id="rId13" Type="http://schemas.openxmlformats.org/officeDocument/2006/relationships/hyperlink" Target="https://www.itu.int/md/R23-WP1A-C-0044/en" TargetMode="External"/><Relationship Id="rId18" Type="http://schemas.openxmlformats.org/officeDocument/2006/relationships/hyperlink" Target="https://www.itu.int/md/R23-WP3m-C-0110/en" TargetMode="External"/><Relationship Id="rId26" Type="http://schemas.openxmlformats.org/officeDocument/2006/relationships/hyperlink" Target="https://www.itu.int/md/R23-WP5d-C-0246/en"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md/R23-WP4c-C-0105/en" TargetMode="External"/><Relationship Id="rId34" Type="http://schemas.openxmlformats.org/officeDocument/2006/relationships/hyperlink" Target="http://www.itu.int/ITU-R/go/rcpm"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oth/R0A0A000023/en" TargetMode="External"/><Relationship Id="rId17" Type="http://schemas.openxmlformats.org/officeDocument/2006/relationships/hyperlink" Target="https://www.itu.int/md/R23-WP3l-C-0032/en" TargetMode="External"/><Relationship Id="rId25" Type="http://schemas.openxmlformats.org/officeDocument/2006/relationships/hyperlink" Target="https://www.itu.int/md/R23-WP5c-C-0088/en" TargetMode="External"/><Relationship Id="rId33" Type="http://schemas.openxmlformats.org/officeDocument/2006/relationships/hyperlink" Target="http://www.itu.int/go/rcpm-wrc-27-studies"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R23-WP3k-C-0081/en" TargetMode="External"/><Relationship Id="rId20" Type="http://schemas.openxmlformats.org/officeDocument/2006/relationships/hyperlink" Target="https://www.itu.int/md/R23-WP4b-C-0045/en" TargetMode="External"/><Relationship Id="rId29" Type="http://schemas.openxmlformats.org/officeDocument/2006/relationships/hyperlink" Target="https://www.itu.int/md/R23-WP7a-C-0026/en"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S-R.2-9-2023/es" TargetMode="External"/><Relationship Id="rId24" Type="http://schemas.openxmlformats.org/officeDocument/2006/relationships/hyperlink" Target="https://www.itu.int/md/R23-WP5b-C-0124/en" TargetMode="External"/><Relationship Id="rId32" Type="http://schemas.openxmlformats.org/officeDocument/2006/relationships/hyperlink" Target="https://www.itu.int/md/R23-WP7d-C-0082/en"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md/R23-WP3j-C-0070/en" TargetMode="External"/><Relationship Id="rId23" Type="http://schemas.openxmlformats.org/officeDocument/2006/relationships/hyperlink" Target="https://www.itu.int/md/R23-WP5a-C-0124/en" TargetMode="External"/><Relationship Id="rId28" Type="http://schemas.openxmlformats.org/officeDocument/2006/relationships/hyperlink" Target="https://www.itu.int/md/R23-SG07-C-0018/en" TargetMode="External"/><Relationship Id="rId36" Type="http://schemas.openxmlformats.org/officeDocument/2006/relationships/header" Target="header1.xml"/><Relationship Id="rId10" Type="http://schemas.openxmlformats.org/officeDocument/2006/relationships/hyperlink" Target="https://www.itu.int/md/R00-CA-CIR-0270/es" TargetMode="External"/><Relationship Id="rId19" Type="http://schemas.openxmlformats.org/officeDocument/2006/relationships/hyperlink" Target="https://www.itu.int/md/R23-WP4a-C-0156/en" TargetMode="External"/><Relationship Id="rId31" Type="http://schemas.openxmlformats.org/officeDocument/2006/relationships/hyperlink" Target="https://www.itu.int/md/R23-WP7c-C-0094/en" TargetMode="External"/><Relationship Id="rId4" Type="http://schemas.openxmlformats.org/officeDocument/2006/relationships/settings" Target="settings.xml"/><Relationship Id="rId9" Type="http://schemas.openxmlformats.org/officeDocument/2006/relationships/hyperlink" Target="https://www.itu.int/md/S24-CL-C-0037/es" TargetMode="External"/><Relationship Id="rId14" Type="http://schemas.openxmlformats.org/officeDocument/2006/relationships/hyperlink" Target="https://www.itu.int/md/R23-WP1b-C-0034/en" TargetMode="External"/><Relationship Id="rId22" Type="http://schemas.openxmlformats.org/officeDocument/2006/relationships/hyperlink" Target="https://www.itu.int/md/R23-SG05-C-0039/en" TargetMode="External"/><Relationship Id="rId27" Type="http://schemas.openxmlformats.org/officeDocument/2006/relationships/hyperlink" Target="https://www.itu.int/md/R23-WP6a-C-0057/en" TargetMode="External"/><Relationship Id="rId30" Type="http://schemas.openxmlformats.org/officeDocument/2006/relationships/hyperlink" Target="https://www.itu.int/md/R23-WP7b-C-0067/en" TargetMode="External"/><Relationship Id="rId35" Type="http://schemas.openxmlformats.org/officeDocument/2006/relationships/hyperlink" Target="https://www.itu.int/md/R23-CPM27.1-C-0001/es" TargetMode="External"/><Relationship Id="rId43"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2387C-DC9E-461E-8AFA-8ECF22AA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5</Pages>
  <Words>1450</Words>
  <Characters>8030</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9462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Author</cp:lastModifiedBy>
  <cp:revision>14</cp:revision>
  <cp:lastPrinted>2013-03-08T10:15:00Z</cp:lastPrinted>
  <dcterms:created xsi:type="dcterms:W3CDTF">2024-07-10T08:41:00Z</dcterms:created>
  <dcterms:modified xsi:type="dcterms:W3CDTF">2024-07-12T06:29:00Z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