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4941"/>
        <w:gridCol w:w="3422"/>
      </w:tblGrid>
      <w:tr w:rsidR="00E53DCE" w:rsidRPr="003E6986" w14:paraId="64B9AF35" w14:textId="77777777" w:rsidTr="00306452">
        <w:trPr>
          <w:jc w:val="center"/>
        </w:trPr>
        <w:tc>
          <w:tcPr>
            <w:tcW w:w="9889" w:type="dxa"/>
            <w:gridSpan w:val="3"/>
            <w:shd w:val="clear" w:color="auto" w:fill="auto"/>
          </w:tcPr>
          <w:p w14:paraId="21DF8063" w14:textId="77777777" w:rsidR="00E53DCE" w:rsidRPr="003E6986" w:rsidRDefault="00A96D3A" w:rsidP="00D7162A">
            <w:pPr>
              <w:spacing w:before="0"/>
              <w:jc w:val="left"/>
              <w:rPr>
                <w:rFonts w:cstheme="minorHAnsi"/>
                <w:b/>
                <w:bCs/>
                <w:color w:val="808080"/>
                <w:sz w:val="28"/>
                <w:szCs w:val="28"/>
                <w:lang w:val="es-ES_tradnl"/>
              </w:rPr>
            </w:pPr>
            <w:r w:rsidRPr="003E6986">
              <w:rPr>
                <w:rFonts w:cstheme="minorHAnsi"/>
                <w:b/>
                <w:bCs/>
                <w:color w:val="808080"/>
                <w:sz w:val="28"/>
                <w:szCs w:val="28"/>
                <w:lang w:val="es-ES_tradnl"/>
              </w:rPr>
              <w:t>Oficina de Radiocomunicaciones (BR)</w:t>
            </w:r>
          </w:p>
          <w:p w14:paraId="164D1090" w14:textId="438540DA" w:rsidR="00E53DCE" w:rsidRPr="003E6986" w:rsidRDefault="00E53DCE" w:rsidP="00D7162A">
            <w:pPr>
              <w:spacing w:before="0"/>
              <w:jc w:val="left"/>
              <w:rPr>
                <w:rFonts w:cstheme="minorHAnsi"/>
                <w:b/>
                <w:bCs/>
                <w:color w:val="808080"/>
                <w:sz w:val="28"/>
                <w:szCs w:val="28"/>
                <w:lang w:val="es-ES_tradnl"/>
              </w:rPr>
            </w:pPr>
          </w:p>
          <w:p w14:paraId="25811970" w14:textId="77777777" w:rsidR="00E53DCE" w:rsidRPr="003E6986" w:rsidRDefault="00E53DCE" w:rsidP="00D7162A">
            <w:pPr>
              <w:spacing w:before="0"/>
              <w:jc w:val="left"/>
              <w:rPr>
                <w:rFonts w:cs="Times New Roman Bold"/>
                <w:b/>
                <w:bCs/>
                <w:color w:val="808080"/>
                <w:sz w:val="28"/>
                <w:szCs w:val="28"/>
                <w:lang w:val="es-ES_tradnl"/>
              </w:rPr>
            </w:pPr>
          </w:p>
        </w:tc>
      </w:tr>
      <w:tr w:rsidR="00E53DCE" w:rsidRPr="003E6986" w14:paraId="116D12F5" w14:textId="77777777" w:rsidTr="006F3031">
        <w:trPr>
          <w:jc w:val="center"/>
        </w:trPr>
        <w:tc>
          <w:tcPr>
            <w:tcW w:w="6467" w:type="dxa"/>
            <w:gridSpan w:val="2"/>
            <w:shd w:val="clear" w:color="auto" w:fill="auto"/>
          </w:tcPr>
          <w:p w14:paraId="42837612" w14:textId="30A8F641" w:rsidR="00E53DCE" w:rsidRPr="003E6986" w:rsidRDefault="00A96D3A" w:rsidP="00D7162A">
            <w:pPr>
              <w:spacing w:before="0"/>
              <w:jc w:val="left"/>
              <w:rPr>
                <w:szCs w:val="24"/>
                <w:lang w:val="es-ES_tradnl"/>
              </w:rPr>
            </w:pPr>
            <w:r w:rsidRPr="003E6986">
              <w:rPr>
                <w:szCs w:val="24"/>
                <w:lang w:val="es-ES_tradnl"/>
              </w:rPr>
              <w:t>Circular Administrativa</w:t>
            </w:r>
          </w:p>
          <w:p w14:paraId="48556702" w14:textId="322E04A6" w:rsidR="00E53DCE" w:rsidRPr="003E6986" w:rsidRDefault="001B3D4D" w:rsidP="00C47A62">
            <w:pPr>
              <w:spacing w:before="0"/>
              <w:jc w:val="left"/>
              <w:rPr>
                <w:b/>
                <w:bCs/>
                <w:szCs w:val="24"/>
                <w:lang w:val="es-ES_tradnl"/>
              </w:rPr>
            </w:pPr>
            <w:r w:rsidRPr="003E6986">
              <w:rPr>
                <w:b/>
                <w:bCs/>
                <w:szCs w:val="24"/>
                <w:lang w:val="es-ES_tradnl"/>
              </w:rPr>
              <w:t>CA</w:t>
            </w:r>
            <w:r w:rsidR="00EE68C8" w:rsidRPr="003E6986">
              <w:rPr>
                <w:b/>
                <w:bCs/>
                <w:szCs w:val="24"/>
                <w:lang w:val="es-ES_tradnl"/>
              </w:rPr>
              <w:t>/</w:t>
            </w:r>
            <w:r w:rsidR="00C47A62" w:rsidRPr="003E6986">
              <w:rPr>
                <w:b/>
                <w:bCs/>
                <w:szCs w:val="24"/>
                <w:lang w:val="es-ES_tradnl"/>
              </w:rPr>
              <w:t>270</w:t>
            </w:r>
          </w:p>
        </w:tc>
        <w:tc>
          <w:tcPr>
            <w:tcW w:w="3422" w:type="dxa"/>
            <w:shd w:val="clear" w:color="auto" w:fill="auto"/>
          </w:tcPr>
          <w:p w14:paraId="0F5D82BC" w14:textId="59360165" w:rsidR="00E53DCE" w:rsidRPr="003E6986" w:rsidRDefault="00C648ED" w:rsidP="00AC3B61">
            <w:pPr>
              <w:spacing w:before="0"/>
              <w:jc w:val="right"/>
              <w:rPr>
                <w:szCs w:val="24"/>
                <w:lang w:val="es-ES_tradnl"/>
              </w:rPr>
            </w:pPr>
            <w:r w:rsidRPr="003E6986">
              <w:rPr>
                <w:bCs/>
                <w:szCs w:val="24"/>
                <w:lang w:val="es-ES_tradnl"/>
              </w:rPr>
              <w:t>26</w:t>
            </w:r>
            <w:r w:rsidR="00C47A62" w:rsidRPr="003E6986">
              <w:rPr>
                <w:bCs/>
                <w:szCs w:val="24"/>
                <w:lang w:val="es-ES_tradnl"/>
              </w:rPr>
              <w:t xml:space="preserve"> de enero de 2024</w:t>
            </w:r>
          </w:p>
        </w:tc>
      </w:tr>
      <w:tr w:rsidR="00E53DCE" w:rsidRPr="003E6986" w14:paraId="76375348" w14:textId="77777777" w:rsidTr="00306452">
        <w:trPr>
          <w:jc w:val="center"/>
        </w:trPr>
        <w:tc>
          <w:tcPr>
            <w:tcW w:w="9889" w:type="dxa"/>
            <w:gridSpan w:val="3"/>
            <w:shd w:val="clear" w:color="auto" w:fill="auto"/>
          </w:tcPr>
          <w:p w14:paraId="207CFE5F" w14:textId="77777777" w:rsidR="00E53DCE" w:rsidRPr="003E6986" w:rsidRDefault="00E53DCE" w:rsidP="00D7162A">
            <w:pPr>
              <w:spacing w:before="0"/>
              <w:jc w:val="left"/>
              <w:rPr>
                <w:rFonts w:cs="Arial"/>
                <w:szCs w:val="24"/>
                <w:lang w:val="es-ES_tradnl"/>
              </w:rPr>
            </w:pPr>
          </w:p>
        </w:tc>
      </w:tr>
      <w:tr w:rsidR="00E53DCE" w:rsidRPr="003E6986" w14:paraId="105874D9" w14:textId="77777777" w:rsidTr="00306452">
        <w:trPr>
          <w:jc w:val="center"/>
        </w:trPr>
        <w:tc>
          <w:tcPr>
            <w:tcW w:w="9889" w:type="dxa"/>
            <w:gridSpan w:val="3"/>
            <w:shd w:val="clear" w:color="auto" w:fill="auto"/>
          </w:tcPr>
          <w:p w14:paraId="4382EA04" w14:textId="77777777" w:rsidR="00E53DCE" w:rsidRPr="003E6986" w:rsidRDefault="00E53DCE" w:rsidP="00D7162A">
            <w:pPr>
              <w:spacing w:before="0"/>
              <w:jc w:val="left"/>
              <w:rPr>
                <w:szCs w:val="24"/>
                <w:lang w:val="es-ES_tradnl"/>
              </w:rPr>
            </w:pPr>
          </w:p>
        </w:tc>
      </w:tr>
      <w:tr w:rsidR="00E53DCE" w:rsidRPr="008653C7" w14:paraId="60913CD9" w14:textId="77777777" w:rsidTr="00306452">
        <w:trPr>
          <w:jc w:val="center"/>
        </w:trPr>
        <w:tc>
          <w:tcPr>
            <w:tcW w:w="9889" w:type="dxa"/>
            <w:gridSpan w:val="3"/>
            <w:shd w:val="clear" w:color="auto" w:fill="auto"/>
          </w:tcPr>
          <w:p w14:paraId="2C8750B2" w14:textId="6C2A81A4" w:rsidR="00E53DCE" w:rsidRPr="003E6986" w:rsidRDefault="00EE68C8" w:rsidP="00D7162A">
            <w:pPr>
              <w:spacing w:before="0"/>
              <w:jc w:val="left"/>
              <w:rPr>
                <w:b/>
                <w:bCs/>
                <w:szCs w:val="24"/>
                <w:lang w:val="es-ES_tradnl"/>
              </w:rPr>
            </w:pPr>
            <w:r w:rsidRPr="003E6986">
              <w:rPr>
                <w:b/>
                <w:szCs w:val="24"/>
                <w:lang w:val="es-ES_tradnl"/>
              </w:rPr>
              <w:t>A las Administraciones de los Estados Miembros de la UIT y a los Miembros de</w:t>
            </w:r>
            <w:r w:rsidR="009966AD" w:rsidRPr="003E6986">
              <w:rPr>
                <w:b/>
                <w:szCs w:val="24"/>
                <w:lang w:val="es-ES_tradnl"/>
              </w:rPr>
              <w:t>l</w:t>
            </w:r>
            <w:r w:rsidRPr="003E6986">
              <w:rPr>
                <w:b/>
                <w:szCs w:val="24"/>
                <w:lang w:val="es-ES_tradnl"/>
              </w:rPr>
              <w:t xml:space="preserve"> Sector de Radiocomunicaciones</w:t>
            </w:r>
          </w:p>
          <w:p w14:paraId="5E2F886A" w14:textId="77777777" w:rsidR="00E53DCE" w:rsidRPr="003E6986" w:rsidRDefault="00E53DCE" w:rsidP="00D7162A">
            <w:pPr>
              <w:spacing w:before="0"/>
              <w:jc w:val="left"/>
              <w:rPr>
                <w:b/>
                <w:bCs/>
                <w:szCs w:val="24"/>
                <w:lang w:val="es-ES_tradnl"/>
              </w:rPr>
            </w:pPr>
          </w:p>
        </w:tc>
      </w:tr>
      <w:tr w:rsidR="00E53DCE" w:rsidRPr="008653C7" w14:paraId="06F80E01" w14:textId="77777777" w:rsidTr="00306452">
        <w:trPr>
          <w:jc w:val="center"/>
        </w:trPr>
        <w:tc>
          <w:tcPr>
            <w:tcW w:w="9889" w:type="dxa"/>
            <w:gridSpan w:val="3"/>
            <w:shd w:val="clear" w:color="auto" w:fill="auto"/>
          </w:tcPr>
          <w:p w14:paraId="3ED831B7" w14:textId="77777777" w:rsidR="00E53DCE" w:rsidRPr="003E6986" w:rsidRDefault="00E53DCE" w:rsidP="00D7162A">
            <w:pPr>
              <w:spacing w:before="0"/>
              <w:jc w:val="left"/>
              <w:rPr>
                <w:szCs w:val="24"/>
                <w:lang w:val="es-ES_tradnl"/>
              </w:rPr>
            </w:pPr>
          </w:p>
        </w:tc>
      </w:tr>
      <w:tr w:rsidR="00E53DCE" w:rsidRPr="008653C7" w14:paraId="6385E405" w14:textId="77777777" w:rsidTr="00306452">
        <w:trPr>
          <w:jc w:val="center"/>
        </w:trPr>
        <w:tc>
          <w:tcPr>
            <w:tcW w:w="9889" w:type="dxa"/>
            <w:gridSpan w:val="3"/>
            <w:shd w:val="clear" w:color="auto" w:fill="auto"/>
          </w:tcPr>
          <w:p w14:paraId="753DEBA4" w14:textId="77777777" w:rsidR="00E53DCE" w:rsidRPr="003E6986" w:rsidRDefault="00E53DCE" w:rsidP="00D7162A">
            <w:pPr>
              <w:spacing w:before="0"/>
              <w:jc w:val="left"/>
              <w:rPr>
                <w:szCs w:val="24"/>
                <w:lang w:val="es-ES_tradnl"/>
              </w:rPr>
            </w:pPr>
          </w:p>
        </w:tc>
      </w:tr>
      <w:tr w:rsidR="00E53DCE" w:rsidRPr="008653C7" w14:paraId="3B225558" w14:textId="77777777" w:rsidTr="00306452">
        <w:trPr>
          <w:jc w:val="center"/>
        </w:trPr>
        <w:tc>
          <w:tcPr>
            <w:tcW w:w="1526" w:type="dxa"/>
            <w:shd w:val="clear" w:color="auto" w:fill="auto"/>
          </w:tcPr>
          <w:p w14:paraId="22896DF5" w14:textId="77777777" w:rsidR="00E53DCE" w:rsidRPr="003E6986" w:rsidRDefault="00311970" w:rsidP="00D7162A">
            <w:pPr>
              <w:tabs>
                <w:tab w:val="clear" w:pos="1588"/>
                <w:tab w:val="left" w:pos="1560"/>
              </w:tabs>
              <w:spacing w:before="0"/>
              <w:jc w:val="left"/>
              <w:rPr>
                <w:szCs w:val="24"/>
                <w:lang w:val="es-ES_tradnl"/>
              </w:rPr>
            </w:pPr>
            <w:r w:rsidRPr="003E6986">
              <w:rPr>
                <w:szCs w:val="24"/>
                <w:lang w:val="es-ES_tradnl"/>
              </w:rPr>
              <w:t>Asunto:</w:t>
            </w:r>
          </w:p>
        </w:tc>
        <w:tc>
          <w:tcPr>
            <w:tcW w:w="8363" w:type="dxa"/>
            <w:gridSpan w:val="2"/>
            <w:vMerge w:val="restart"/>
            <w:shd w:val="clear" w:color="auto" w:fill="auto"/>
          </w:tcPr>
          <w:p w14:paraId="0D4C1730" w14:textId="41CDF22A" w:rsidR="00E53DCE" w:rsidRPr="003E6986" w:rsidRDefault="00EE68C8">
            <w:pPr>
              <w:tabs>
                <w:tab w:val="clear" w:pos="1588"/>
                <w:tab w:val="left" w:pos="1560"/>
              </w:tabs>
              <w:spacing w:before="0"/>
              <w:jc w:val="left"/>
              <w:rPr>
                <w:b/>
                <w:bCs/>
                <w:szCs w:val="24"/>
                <w:lang w:val="es-ES_tradnl"/>
              </w:rPr>
            </w:pPr>
            <w:r w:rsidRPr="003E6986">
              <w:rPr>
                <w:rFonts w:asciiTheme="minorHAnsi" w:hAnsiTheme="minorHAnsi"/>
                <w:b/>
                <w:bCs/>
                <w:lang w:val="es-ES_tradnl"/>
              </w:rPr>
              <w:t>Resultados de la primera sesión de la Reunión Preparatoria de la Conferencia para la CMR-</w:t>
            </w:r>
            <w:r w:rsidR="00D2720C" w:rsidRPr="003E6986">
              <w:rPr>
                <w:b/>
                <w:bCs/>
                <w:szCs w:val="24"/>
                <w:lang w:val="es-ES_tradnl"/>
              </w:rPr>
              <w:t xml:space="preserve">27 </w:t>
            </w:r>
            <w:r w:rsidRPr="003E6986">
              <w:rPr>
                <w:b/>
                <w:bCs/>
                <w:szCs w:val="24"/>
                <w:lang w:val="es-ES_tradnl"/>
              </w:rPr>
              <w:t>(</w:t>
            </w:r>
            <w:r w:rsidR="00A96272" w:rsidRPr="003E6986">
              <w:rPr>
                <w:b/>
                <w:bCs/>
                <w:szCs w:val="24"/>
                <w:lang w:val="es-ES_tradnl"/>
              </w:rPr>
              <w:t>RPC</w:t>
            </w:r>
            <w:r w:rsidRPr="003E6986">
              <w:rPr>
                <w:b/>
                <w:bCs/>
                <w:szCs w:val="24"/>
                <w:lang w:val="es-ES_tradnl"/>
              </w:rPr>
              <w:t>2</w:t>
            </w:r>
            <w:r w:rsidR="00D2720C" w:rsidRPr="003E6986">
              <w:rPr>
                <w:b/>
                <w:bCs/>
                <w:szCs w:val="24"/>
                <w:lang w:val="es-ES_tradnl"/>
              </w:rPr>
              <w:t>7</w:t>
            </w:r>
            <w:r w:rsidRPr="003E6986">
              <w:rPr>
                <w:rFonts w:asciiTheme="minorHAnsi" w:hAnsiTheme="minorHAnsi"/>
                <w:b/>
                <w:bCs/>
                <w:lang w:val="es-ES_tradnl"/>
              </w:rPr>
              <w:t>-1)</w:t>
            </w:r>
          </w:p>
        </w:tc>
      </w:tr>
      <w:tr w:rsidR="00E53DCE" w:rsidRPr="008653C7" w14:paraId="14E6E52A" w14:textId="77777777" w:rsidTr="00306452">
        <w:trPr>
          <w:jc w:val="center"/>
        </w:trPr>
        <w:tc>
          <w:tcPr>
            <w:tcW w:w="1526" w:type="dxa"/>
            <w:shd w:val="clear" w:color="auto" w:fill="auto"/>
          </w:tcPr>
          <w:p w14:paraId="2F30E0B2" w14:textId="77777777" w:rsidR="00E53DCE" w:rsidRPr="003E6986" w:rsidRDefault="00E53DCE" w:rsidP="00D7162A">
            <w:pPr>
              <w:tabs>
                <w:tab w:val="clear" w:pos="1588"/>
                <w:tab w:val="left" w:pos="1560"/>
              </w:tabs>
              <w:spacing w:before="0"/>
              <w:jc w:val="left"/>
              <w:rPr>
                <w:b/>
                <w:bCs/>
                <w:szCs w:val="24"/>
                <w:lang w:val="es-ES_tradnl"/>
              </w:rPr>
            </w:pPr>
          </w:p>
        </w:tc>
        <w:tc>
          <w:tcPr>
            <w:tcW w:w="8363" w:type="dxa"/>
            <w:gridSpan w:val="2"/>
            <w:vMerge/>
            <w:shd w:val="clear" w:color="auto" w:fill="auto"/>
          </w:tcPr>
          <w:p w14:paraId="0128CA56" w14:textId="77777777" w:rsidR="00E53DCE" w:rsidRPr="003E6986" w:rsidRDefault="00E53DCE" w:rsidP="00D7162A">
            <w:pPr>
              <w:tabs>
                <w:tab w:val="clear" w:pos="1588"/>
                <w:tab w:val="left" w:pos="1560"/>
              </w:tabs>
              <w:spacing w:before="0"/>
              <w:rPr>
                <w:b/>
                <w:bCs/>
                <w:szCs w:val="24"/>
                <w:lang w:val="es-ES_tradnl"/>
              </w:rPr>
            </w:pPr>
          </w:p>
        </w:tc>
      </w:tr>
      <w:tr w:rsidR="00E53DCE" w:rsidRPr="008653C7" w14:paraId="75934E74" w14:textId="77777777" w:rsidTr="00306452">
        <w:trPr>
          <w:jc w:val="center"/>
        </w:trPr>
        <w:tc>
          <w:tcPr>
            <w:tcW w:w="1526" w:type="dxa"/>
            <w:shd w:val="clear" w:color="auto" w:fill="auto"/>
          </w:tcPr>
          <w:p w14:paraId="78F23E45" w14:textId="77777777" w:rsidR="00E53DCE" w:rsidRPr="003E6986" w:rsidRDefault="00E53DCE" w:rsidP="00D7162A">
            <w:pPr>
              <w:tabs>
                <w:tab w:val="clear" w:pos="1588"/>
                <w:tab w:val="left" w:pos="1560"/>
              </w:tabs>
              <w:spacing w:before="0"/>
              <w:jc w:val="left"/>
              <w:rPr>
                <w:b/>
                <w:bCs/>
                <w:szCs w:val="24"/>
                <w:lang w:val="es-ES_tradnl"/>
              </w:rPr>
            </w:pPr>
          </w:p>
        </w:tc>
        <w:tc>
          <w:tcPr>
            <w:tcW w:w="8363" w:type="dxa"/>
            <w:gridSpan w:val="2"/>
            <w:vMerge/>
            <w:shd w:val="clear" w:color="auto" w:fill="auto"/>
          </w:tcPr>
          <w:p w14:paraId="004BC363" w14:textId="77777777" w:rsidR="00E53DCE" w:rsidRPr="003E6986" w:rsidRDefault="00E53DCE" w:rsidP="00D7162A">
            <w:pPr>
              <w:tabs>
                <w:tab w:val="clear" w:pos="1588"/>
                <w:tab w:val="left" w:pos="1560"/>
              </w:tabs>
              <w:spacing w:before="0"/>
              <w:rPr>
                <w:b/>
                <w:bCs/>
                <w:szCs w:val="24"/>
                <w:lang w:val="es-ES_tradnl"/>
              </w:rPr>
            </w:pPr>
          </w:p>
        </w:tc>
      </w:tr>
      <w:tr w:rsidR="00E53DCE" w:rsidRPr="008653C7" w14:paraId="3C0A7B39" w14:textId="77777777" w:rsidTr="00306452">
        <w:trPr>
          <w:jc w:val="center"/>
        </w:trPr>
        <w:tc>
          <w:tcPr>
            <w:tcW w:w="9889" w:type="dxa"/>
            <w:gridSpan w:val="3"/>
            <w:shd w:val="clear" w:color="auto" w:fill="auto"/>
          </w:tcPr>
          <w:p w14:paraId="2F35BFC3" w14:textId="77777777" w:rsidR="00E53DCE" w:rsidRPr="003E6986" w:rsidRDefault="00E53DCE" w:rsidP="00E53DCE">
            <w:pPr>
              <w:tabs>
                <w:tab w:val="clear" w:pos="1588"/>
                <w:tab w:val="left" w:pos="1560"/>
              </w:tabs>
              <w:spacing w:before="0"/>
              <w:jc w:val="left"/>
              <w:rPr>
                <w:szCs w:val="24"/>
                <w:lang w:val="es-ES_tradnl"/>
              </w:rPr>
            </w:pPr>
          </w:p>
        </w:tc>
      </w:tr>
      <w:tr w:rsidR="00E53DCE" w:rsidRPr="008653C7" w14:paraId="46190466" w14:textId="77777777" w:rsidTr="00306452">
        <w:trPr>
          <w:jc w:val="center"/>
        </w:trPr>
        <w:tc>
          <w:tcPr>
            <w:tcW w:w="9889" w:type="dxa"/>
            <w:gridSpan w:val="3"/>
            <w:shd w:val="clear" w:color="auto" w:fill="auto"/>
          </w:tcPr>
          <w:p w14:paraId="79261C4F" w14:textId="77777777" w:rsidR="00E53DCE" w:rsidRPr="003E6986" w:rsidRDefault="00E53DCE" w:rsidP="00D7162A">
            <w:pPr>
              <w:spacing w:before="0"/>
              <w:jc w:val="left"/>
              <w:rPr>
                <w:b/>
                <w:bCs/>
                <w:szCs w:val="24"/>
                <w:lang w:val="es-ES_tradnl"/>
              </w:rPr>
            </w:pPr>
          </w:p>
        </w:tc>
      </w:tr>
    </w:tbl>
    <w:p w14:paraId="7CA6EF62" w14:textId="77777777" w:rsidR="001457F5" w:rsidRPr="003E6986" w:rsidRDefault="001457F5" w:rsidP="007A7DF3">
      <w:pPr>
        <w:pStyle w:val="Headingb"/>
        <w:rPr>
          <w:lang w:val="es-ES_tradnl"/>
        </w:rPr>
      </w:pPr>
      <w:r w:rsidRPr="003E6986">
        <w:rPr>
          <w:lang w:val="es-ES_tradnl"/>
        </w:rPr>
        <w:t>Introducción</w:t>
      </w:r>
    </w:p>
    <w:p w14:paraId="2B3A76F8" w14:textId="28C83C2A" w:rsidR="001457F5" w:rsidRPr="003E6986" w:rsidRDefault="001457F5" w:rsidP="009966AD">
      <w:pPr>
        <w:spacing w:line="240" w:lineRule="auto"/>
        <w:rPr>
          <w:lang w:val="es-ES_tradnl"/>
        </w:rPr>
      </w:pPr>
      <w:r w:rsidRPr="003E6986">
        <w:rPr>
          <w:lang w:val="es-ES_tradnl"/>
        </w:rPr>
        <w:t>La Conferencia Mundial de Radiocomunicaciones (</w:t>
      </w:r>
      <w:r w:rsidR="009966AD" w:rsidRPr="003E6986">
        <w:rPr>
          <w:szCs w:val="24"/>
          <w:lang w:val="es-ES_tradnl"/>
        </w:rPr>
        <w:t>Dubái, 2023</w:t>
      </w:r>
      <w:r w:rsidRPr="003E6986">
        <w:rPr>
          <w:lang w:val="es-ES_tradnl"/>
        </w:rPr>
        <w:t xml:space="preserve">) decidió en sus Resoluciones </w:t>
      </w:r>
      <w:r w:rsidR="006F1107" w:rsidRPr="003E6986">
        <w:rPr>
          <w:b/>
          <w:bCs/>
          <w:lang w:val="es-ES_tradnl"/>
        </w:rPr>
        <w:t>813</w:t>
      </w:r>
      <w:r w:rsidR="009966AD" w:rsidRPr="003E6986">
        <w:rPr>
          <w:b/>
          <w:bCs/>
          <w:szCs w:val="24"/>
          <w:lang w:val="es-ES_tradnl"/>
        </w:rPr>
        <w:t xml:space="preserve"> (CMR-23)</w:t>
      </w:r>
      <w:r w:rsidR="009966AD" w:rsidRPr="003E6986">
        <w:rPr>
          <w:szCs w:val="24"/>
          <w:lang w:val="es-ES_tradnl"/>
        </w:rPr>
        <w:t xml:space="preserve"> </w:t>
      </w:r>
      <w:r w:rsidRPr="003E6986">
        <w:rPr>
          <w:lang w:val="es-ES_tradnl"/>
        </w:rPr>
        <w:t xml:space="preserve">y </w:t>
      </w:r>
      <w:r w:rsidR="006F1107" w:rsidRPr="003E6986">
        <w:rPr>
          <w:b/>
          <w:bCs/>
          <w:szCs w:val="24"/>
          <w:lang w:val="es-ES_tradnl"/>
        </w:rPr>
        <w:t>814</w:t>
      </w:r>
      <w:r w:rsidR="009966AD" w:rsidRPr="003E6986">
        <w:rPr>
          <w:b/>
          <w:bCs/>
          <w:szCs w:val="24"/>
          <w:lang w:val="es-ES_tradnl"/>
        </w:rPr>
        <w:t xml:space="preserve"> (CMR-23)</w:t>
      </w:r>
      <w:r w:rsidR="009966AD" w:rsidRPr="003E6986">
        <w:rPr>
          <w:szCs w:val="24"/>
          <w:lang w:val="es-ES_tradnl"/>
        </w:rPr>
        <w:t xml:space="preserve"> </w:t>
      </w:r>
      <w:r w:rsidRPr="003E6986">
        <w:rPr>
          <w:lang w:val="es-ES_tradnl"/>
        </w:rPr>
        <w:t xml:space="preserve">recomendar al Consejo </w:t>
      </w:r>
      <w:r w:rsidR="009966AD" w:rsidRPr="003E6986">
        <w:rPr>
          <w:lang w:val="es-ES_tradnl"/>
        </w:rPr>
        <w:t xml:space="preserve">un </w:t>
      </w:r>
      <w:r w:rsidRPr="003E6986">
        <w:rPr>
          <w:lang w:val="es-ES_tradnl"/>
        </w:rPr>
        <w:t xml:space="preserve">orden del día para la Conferencia Mundial de Radiocomunicaciones de </w:t>
      </w:r>
      <w:r w:rsidR="009966AD" w:rsidRPr="003E6986">
        <w:rPr>
          <w:szCs w:val="24"/>
          <w:lang w:val="es-ES_tradnl"/>
        </w:rPr>
        <w:t>2027</w:t>
      </w:r>
      <w:r w:rsidR="009966AD" w:rsidRPr="003E6986">
        <w:rPr>
          <w:lang w:val="es-ES_tradnl"/>
        </w:rPr>
        <w:t xml:space="preserve"> </w:t>
      </w:r>
      <w:r w:rsidRPr="003E6986">
        <w:rPr>
          <w:lang w:val="es-ES_tradnl"/>
        </w:rPr>
        <w:t>(CMR-</w:t>
      </w:r>
      <w:r w:rsidR="009966AD" w:rsidRPr="003E6986">
        <w:rPr>
          <w:lang w:val="es-ES_tradnl"/>
        </w:rPr>
        <w:t>27</w:t>
      </w:r>
      <w:r w:rsidRPr="003E6986">
        <w:rPr>
          <w:lang w:val="es-ES_tradnl"/>
        </w:rPr>
        <w:t xml:space="preserve">) y un orden del día preliminar para la Conferencia Mundial de Radiocomunicaciones de </w:t>
      </w:r>
      <w:r w:rsidR="009966AD" w:rsidRPr="003E6986">
        <w:rPr>
          <w:szCs w:val="24"/>
          <w:lang w:val="es-ES_tradnl"/>
        </w:rPr>
        <w:t>2031</w:t>
      </w:r>
      <w:r w:rsidR="009966AD" w:rsidRPr="003E6986">
        <w:rPr>
          <w:lang w:val="es-ES_tradnl"/>
        </w:rPr>
        <w:t xml:space="preserve"> </w:t>
      </w:r>
      <w:r w:rsidRPr="003E6986">
        <w:rPr>
          <w:lang w:val="es-ES_tradnl"/>
        </w:rPr>
        <w:t>(CMR-</w:t>
      </w:r>
      <w:r w:rsidR="009966AD" w:rsidRPr="003E6986">
        <w:rPr>
          <w:szCs w:val="24"/>
          <w:lang w:val="es-ES_tradnl"/>
        </w:rPr>
        <w:t>31</w:t>
      </w:r>
      <w:r w:rsidRPr="003E6986">
        <w:rPr>
          <w:lang w:val="es-ES_tradnl"/>
        </w:rPr>
        <w:t xml:space="preserve">). </w:t>
      </w:r>
      <w:r w:rsidR="009966AD" w:rsidRPr="003E6986">
        <w:rPr>
          <w:lang w:val="es-ES_tradnl"/>
        </w:rPr>
        <w:t xml:space="preserve">Dichos órdenes del día </w:t>
      </w:r>
      <w:r w:rsidRPr="003E6986">
        <w:rPr>
          <w:lang w:val="es-ES_tradnl"/>
        </w:rPr>
        <w:t>figuran en los Anexos 1 y 2 a la presente Circular</w:t>
      </w:r>
      <w:r w:rsidR="009966AD" w:rsidRPr="003E6986">
        <w:rPr>
          <w:lang w:val="es-ES_tradnl"/>
        </w:rPr>
        <w:t xml:space="preserve"> Administrativa</w:t>
      </w:r>
      <w:r w:rsidRPr="003E6986">
        <w:rPr>
          <w:lang w:val="es-ES_tradnl"/>
        </w:rPr>
        <w:t xml:space="preserve">. La lista de números provisionales </w:t>
      </w:r>
      <w:r w:rsidR="009966AD" w:rsidRPr="003E6986">
        <w:rPr>
          <w:lang w:val="es-ES_tradnl"/>
        </w:rPr>
        <w:t xml:space="preserve">de </w:t>
      </w:r>
      <w:r w:rsidRPr="003E6986">
        <w:rPr>
          <w:lang w:val="es-ES_tradnl"/>
        </w:rPr>
        <w:t>las nuevas Resoluciones de la CMR-</w:t>
      </w:r>
      <w:r w:rsidR="009966AD" w:rsidRPr="003E6986">
        <w:rPr>
          <w:lang w:val="es-ES_tradnl"/>
        </w:rPr>
        <w:t xml:space="preserve">23 </w:t>
      </w:r>
      <w:r w:rsidRPr="003E6986">
        <w:rPr>
          <w:lang w:val="es-ES_tradnl"/>
        </w:rPr>
        <w:t>figura en el Anexo 3.</w:t>
      </w:r>
    </w:p>
    <w:p w14:paraId="7CF2BF03" w14:textId="7D8625E7" w:rsidR="001457F5" w:rsidRPr="003E6986" w:rsidRDefault="001457F5" w:rsidP="009966AD">
      <w:pPr>
        <w:spacing w:line="240" w:lineRule="auto"/>
        <w:rPr>
          <w:lang w:val="es-ES_tradnl"/>
        </w:rPr>
      </w:pPr>
      <w:r w:rsidRPr="003E6986">
        <w:rPr>
          <w:lang w:val="es-ES_tradnl"/>
        </w:rPr>
        <w:t>En su Resolución UIT-R 2-</w:t>
      </w:r>
      <w:r w:rsidR="009966AD" w:rsidRPr="003E6986">
        <w:rPr>
          <w:lang w:val="es-ES_tradnl"/>
        </w:rPr>
        <w:t xml:space="preserve">9 </w:t>
      </w:r>
      <w:r w:rsidR="007B248D" w:rsidRPr="003E6986">
        <w:rPr>
          <w:lang w:val="es-ES_tradnl"/>
        </w:rPr>
        <w:t>(</w:t>
      </w:r>
      <w:hyperlink w:history="1"/>
      <w:hyperlink r:id="rId8" w:history="1">
        <w:r w:rsidR="009966AD" w:rsidRPr="003E6986">
          <w:rPr>
            <w:rStyle w:val="Hyperlink"/>
            <w:szCs w:val="24"/>
            <w:lang w:val="es-ES_tradnl"/>
          </w:rPr>
          <w:t>https://</w:t>
        </w:r>
        <w:proofErr w:type="spellStart"/>
        <w:r w:rsidR="009966AD" w:rsidRPr="003E6986">
          <w:rPr>
            <w:rStyle w:val="Hyperlink"/>
            <w:szCs w:val="24"/>
            <w:lang w:val="es-ES_tradnl"/>
          </w:rPr>
          <w:t>www.itu.int</w:t>
        </w:r>
        <w:proofErr w:type="spellEnd"/>
        <w:r w:rsidR="009966AD" w:rsidRPr="003E6986">
          <w:rPr>
            <w:rStyle w:val="Hyperlink"/>
            <w:szCs w:val="24"/>
            <w:lang w:val="es-ES_tradnl"/>
          </w:rPr>
          <w:t>/pub/R-RES-</w:t>
        </w:r>
        <w:proofErr w:type="spellStart"/>
        <w:r w:rsidR="009966AD" w:rsidRPr="003E6986">
          <w:rPr>
            <w:rStyle w:val="Hyperlink"/>
            <w:szCs w:val="24"/>
            <w:lang w:val="es-ES_tradnl"/>
          </w:rPr>
          <w:t>R.2</w:t>
        </w:r>
        <w:proofErr w:type="spellEnd"/>
        <w:r w:rsidR="009966AD" w:rsidRPr="003E6986">
          <w:rPr>
            <w:rStyle w:val="Hyperlink"/>
            <w:szCs w:val="24"/>
            <w:lang w:val="es-ES_tradnl"/>
          </w:rPr>
          <w:t>-9-2023</w:t>
        </w:r>
      </w:hyperlink>
      <w:r w:rsidR="007B248D" w:rsidRPr="003E6986">
        <w:rPr>
          <w:lang w:val="es-ES_tradnl"/>
        </w:rPr>
        <w:t>)</w:t>
      </w:r>
      <w:r w:rsidRPr="003E6986">
        <w:rPr>
          <w:lang w:val="es-ES_tradnl"/>
        </w:rPr>
        <w:t xml:space="preserve"> la Asamblea de Radiocomunicaciones</w:t>
      </w:r>
      <w:r w:rsidR="009966AD" w:rsidRPr="003E6986">
        <w:rPr>
          <w:lang w:val="es-ES_tradnl"/>
        </w:rPr>
        <w:t xml:space="preserve"> de 2023</w:t>
      </w:r>
      <w:r w:rsidRPr="003E6986">
        <w:rPr>
          <w:lang w:val="es-ES_tradnl"/>
        </w:rPr>
        <w:t xml:space="preserve"> (AR-</w:t>
      </w:r>
      <w:r w:rsidR="009966AD" w:rsidRPr="003E6986">
        <w:rPr>
          <w:lang w:val="es-ES_tradnl"/>
        </w:rPr>
        <w:t>23</w:t>
      </w:r>
      <w:r w:rsidRPr="003E6986">
        <w:rPr>
          <w:lang w:val="es-ES_tradnl"/>
        </w:rPr>
        <w:t xml:space="preserve">) confirmó </w:t>
      </w:r>
      <w:r w:rsidR="009966AD" w:rsidRPr="003E6986">
        <w:rPr>
          <w:lang w:val="es-ES_tradnl"/>
        </w:rPr>
        <w:t xml:space="preserve">una vez más </w:t>
      </w:r>
      <w:r w:rsidRPr="003E6986">
        <w:rPr>
          <w:lang w:val="es-ES_tradnl"/>
        </w:rPr>
        <w:t>la Reunión Preparatoria de la Conferencia (RPC)</w:t>
      </w:r>
      <w:r w:rsidR="009966AD" w:rsidRPr="003E6986">
        <w:rPr>
          <w:lang w:val="es-ES_tradnl"/>
        </w:rPr>
        <w:t xml:space="preserve"> y actualizó sus métodos de trabajo. Asimismo, la CMR-23</w:t>
      </w:r>
      <w:r w:rsidRPr="003E6986">
        <w:rPr>
          <w:lang w:val="es-ES_tradnl"/>
        </w:rPr>
        <w:t xml:space="preserve"> acordó que los estudios preparatorios para la CMR-</w:t>
      </w:r>
      <w:r w:rsidR="009966AD" w:rsidRPr="003E6986">
        <w:rPr>
          <w:lang w:val="es-ES_tradnl"/>
        </w:rPr>
        <w:t xml:space="preserve">27 </w:t>
      </w:r>
      <w:r w:rsidRPr="003E6986">
        <w:rPr>
          <w:lang w:val="es-ES_tradnl"/>
        </w:rPr>
        <w:t>se llevasen a cabo mediante el proceso de la RPC.</w:t>
      </w:r>
    </w:p>
    <w:p w14:paraId="0796DBC4" w14:textId="1BE0777A" w:rsidR="001457F5" w:rsidRPr="003E6986" w:rsidRDefault="001457F5" w:rsidP="00100121">
      <w:pPr>
        <w:pStyle w:val="Headingb"/>
        <w:rPr>
          <w:lang w:val="es-ES_tradnl"/>
        </w:rPr>
      </w:pPr>
      <w:r w:rsidRPr="003E6986">
        <w:rPr>
          <w:lang w:val="es-ES_tradnl"/>
        </w:rPr>
        <w:t>Primera sesión de la Reunión Preparatoria de la Conferencia para la CMR-</w:t>
      </w:r>
      <w:r w:rsidR="00D2720C" w:rsidRPr="003E6986">
        <w:rPr>
          <w:lang w:val="es-ES_tradnl"/>
        </w:rPr>
        <w:t xml:space="preserve">27 </w:t>
      </w:r>
      <w:r w:rsidR="007B248D" w:rsidRPr="003E6986">
        <w:rPr>
          <w:lang w:val="es-ES_tradnl"/>
        </w:rPr>
        <w:t>(</w:t>
      </w:r>
      <w:r w:rsidR="00A96272" w:rsidRPr="003E6986">
        <w:rPr>
          <w:lang w:val="es-ES_tradnl"/>
        </w:rPr>
        <w:t>RPC</w:t>
      </w:r>
      <w:r w:rsidR="00D2720C" w:rsidRPr="003E6986">
        <w:rPr>
          <w:lang w:val="es-ES_tradnl"/>
        </w:rPr>
        <w:t>2</w:t>
      </w:r>
      <w:r w:rsidR="009966AD" w:rsidRPr="003E6986">
        <w:rPr>
          <w:lang w:val="es-ES_tradnl"/>
        </w:rPr>
        <w:t>7</w:t>
      </w:r>
      <w:r w:rsidRPr="003E6986">
        <w:rPr>
          <w:lang w:val="es-ES_tradnl"/>
        </w:rPr>
        <w:t>-1)</w:t>
      </w:r>
    </w:p>
    <w:p w14:paraId="4179A37A" w14:textId="37B1222E" w:rsidR="001457F5" w:rsidRPr="003E6986" w:rsidRDefault="001457F5" w:rsidP="002F0CD8">
      <w:pPr>
        <w:spacing w:line="240" w:lineRule="auto"/>
        <w:rPr>
          <w:lang w:val="es-ES_tradnl"/>
        </w:rPr>
      </w:pPr>
      <w:r w:rsidRPr="003E6986">
        <w:rPr>
          <w:lang w:val="es-ES_tradnl"/>
        </w:rPr>
        <w:t xml:space="preserve">La </w:t>
      </w:r>
      <w:r w:rsidR="009966AD" w:rsidRPr="003E6986">
        <w:rPr>
          <w:szCs w:val="24"/>
          <w:lang w:val="es-ES_tradnl"/>
        </w:rPr>
        <w:t>RPC27</w:t>
      </w:r>
      <w:r w:rsidRPr="003E6986">
        <w:rPr>
          <w:lang w:val="es-ES_tradnl"/>
        </w:rPr>
        <w:t>-1 se celebró en</w:t>
      </w:r>
      <w:r w:rsidR="009966AD" w:rsidRPr="003E6986">
        <w:rPr>
          <w:lang w:val="es-ES_tradnl"/>
        </w:rPr>
        <w:t xml:space="preserve"> Dubái los días 18 y 19 de diciembre de 2023</w:t>
      </w:r>
      <w:r w:rsidRPr="003E6986">
        <w:rPr>
          <w:lang w:val="es-ES_tradnl"/>
        </w:rPr>
        <w:t xml:space="preserve">. </w:t>
      </w:r>
      <w:r w:rsidR="005471E9" w:rsidRPr="003E6986">
        <w:rPr>
          <w:lang w:val="es-ES_tradnl"/>
        </w:rPr>
        <w:t xml:space="preserve">En esta reunión se organizaron </w:t>
      </w:r>
      <w:r w:rsidRPr="003E6986">
        <w:rPr>
          <w:lang w:val="es-ES_tradnl"/>
        </w:rPr>
        <w:t>los estudios preparatorios para la CMR</w:t>
      </w:r>
      <w:r w:rsidRPr="003E6986">
        <w:rPr>
          <w:lang w:val="es-ES_tradnl"/>
        </w:rPr>
        <w:noBreakHyphen/>
      </w:r>
      <w:r w:rsidR="005471E9" w:rsidRPr="003E6986">
        <w:rPr>
          <w:lang w:val="es-ES_tradnl"/>
        </w:rPr>
        <w:t xml:space="preserve">27 </w:t>
      </w:r>
      <w:r w:rsidRPr="003E6986">
        <w:rPr>
          <w:lang w:val="es-ES_tradnl"/>
        </w:rPr>
        <w:t>y</w:t>
      </w:r>
      <w:r w:rsidR="005471E9" w:rsidRPr="003E6986">
        <w:rPr>
          <w:lang w:val="es-ES_tradnl"/>
        </w:rPr>
        <w:t xml:space="preserve"> se</w:t>
      </w:r>
      <w:r w:rsidRPr="003E6986">
        <w:rPr>
          <w:lang w:val="es-ES_tradnl"/>
        </w:rPr>
        <w:t xml:space="preserve"> propuso una estructura para su Informe a la CMR</w:t>
      </w:r>
      <w:r w:rsidRPr="003E6986">
        <w:rPr>
          <w:lang w:val="es-ES_tradnl"/>
        </w:rPr>
        <w:noBreakHyphen/>
      </w:r>
      <w:r w:rsidR="005471E9" w:rsidRPr="003E6986">
        <w:rPr>
          <w:lang w:val="es-ES_tradnl"/>
        </w:rPr>
        <w:t>27</w:t>
      </w:r>
      <w:r w:rsidRPr="003E6986">
        <w:rPr>
          <w:lang w:val="es-ES_tradnl"/>
        </w:rPr>
        <w:t xml:space="preserve">. Además, </w:t>
      </w:r>
      <w:r w:rsidR="00C068E7" w:rsidRPr="003E6986">
        <w:rPr>
          <w:lang w:val="es-ES_tradnl"/>
        </w:rPr>
        <w:t xml:space="preserve">se </w:t>
      </w:r>
      <w:r w:rsidRPr="003E6986">
        <w:rPr>
          <w:lang w:val="es-ES_tradnl"/>
        </w:rPr>
        <w:t xml:space="preserve">nombró </w:t>
      </w:r>
      <w:r w:rsidR="008E4AA5" w:rsidRPr="003E6986">
        <w:rPr>
          <w:lang w:val="es-ES_tradnl"/>
        </w:rPr>
        <w:t xml:space="preserve">siete </w:t>
      </w:r>
      <w:r w:rsidRPr="003E6986">
        <w:rPr>
          <w:lang w:val="es-ES_tradnl"/>
        </w:rPr>
        <w:t xml:space="preserve">Relatores </w:t>
      </w:r>
      <w:r w:rsidR="00500B55" w:rsidRPr="003E6986">
        <w:rPr>
          <w:lang w:val="es-ES_tradnl"/>
        </w:rPr>
        <w:t>y Correlatores</w:t>
      </w:r>
      <w:r w:rsidR="006F3031" w:rsidRPr="003E6986">
        <w:rPr>
          <w:szCs w:val="24"/>
          <w:lang w:val="es-ES_tradnl"/>
        </w:rPr>
        <w:t xml:space="preserve"> </w:t>
      </w:r>
      <w:r w:rsidRPr="003E6986">
        <w:rPr>
          <w:lang w:val="es-ES_tradnl"/>
        </w:rPr>
        <w:t>de Capítulo</w:t>
      </w:r>
      <w:r w:rsidR="00C068E7" w:rsidRPr="003E6986">
        <w:rPr>
          <w:lang w:val="es-ES_tradnl"/>
        </w:rPr>
        <w:t xml:space="preserve"> para la RPC-27</w:t>
      </w:r>
      <w:r w:rsidR="008E4AA5" w:rsidRPr="003E6986">
        <w:rPr>
          <w:lang w:val="es-ES_tradnl"/>
        </w:rPr>
        <w:t>,</w:t>
      </w:r>
      <w:r w:rsidRPr="003E6986">
        <w:rPr>
          <w:lang w:val="es-ES_tradnl"/>
        </w:rPr>
        <w:t xml:space="preserve"> que ayudarán </w:t>
      </w:r>
      <w:r w:rsidR="008E4AA5" w:rsidRPr="003E6986">
        <w:rPr>
          <w:lang w:val="es-ES_tradnl"/>
        </w:rPr>
        <w:t>a</w:t>
      </w:r>
      <w:r w:rsidR="00C068E7" w:rsidRPr="003E6986">
        <w:rPr>
          <w:lang w:val="es-ES_tradnl"/>
        </w:rPr>
        <w:t>l</w:t>
      </w:r>
      <w:r w:rsidR="00DA5CCB" w:rsidRPr="003E6986">
        <w:rPr>
          <w:lang w:val="es-ES_tradnl"/>
        </w:rPr>
        <w:t xml:space="preserve"> </w:t>
      </w:r>
      <w:r w:rsidR="008E4AA5" w:rsidRPr="003E6986">
        <w:rPr>
          <w:lang w:val="es-ES_tradnl"/>
        </w:rPr>
        <w:t xml:space="preserve">Presidente </w:t>
      </w:r>
      <w:r w:rsidR="00C068E7" w:rsidRPr="003E6986">
        <w:rPr>
          <w:lang w:val="es-ES_tradnl"/>
        </w:rPr>
        <w:t xml:space="preserve">de dicha reunión </w:t>
      </w:r>
      <w:r w:rsidRPr="003E6986">
        <w:rPr>
          <w:lang w:val="es-ES_tradnl"/>
        </w:rPr>
        <w:t>a gestionar la elaboración del proyecto de Informe a la CMR</w:t>
      </w:r>
      <w:r w:rsidRPr="003E6986">
        <w:rPr>
          <w:lang w:val="es-ES_tradnl"/>
        </w:rPr>
        <w:noBreakHyphen/>
      </w:r>
      <w:r w:rsidR="008E4AA5" w:rsidRPr="003E6986">
        <w:rPr>
          <w:lang w:val="es-ES_tradnl"/>
        </w:rPr>
        <w:t>27</w:t>
      </w:r>
      <w:r w:rsidRPr="003E6986">
        <w:rPr>
          <w:lang w:val="es-ES_tradnl"/>
        </w:rPr>
        <w:t xml:space="preserve">. </w:t>
      </w:r>
      <w:r w:rsidR="008E4AA5" w:rsidRPr="003E6986">
        <w:rPr>
          <w:lang w:val="es-ES_tradnl"/>
        </w:rPr>
        <w:t>T</w:t>
      </w:r>
      <w:r w:rsidRPr="003E6986">
        <w:rPr>
          <w:lang w:val="es-ES_tradnl"/>
        </w:rPr>
        <w:t xml:space="preserve">odo el trabajo preparatorio acordado por la </w:t>
      </w:r>
      <w:r w:rsidR="008E4AA5" w:rsidRPr="003E6986">
        <w:rPr>
          <w:szCs w:val="24"/>
          <w:lang w:val="es-ES_tradnl"/>
        </w:rPr>
        <w:t>RPC27</w:t>
      </w:r>
      <w:r w:rsidRPr="003E6986">
        <w:rPr>
          <w:lang w:val="es-ES_tradnl"/>
        </w:rPr>
        <w:noBreakHyphen/>
        <w:t>1 se llevará a cabo en el marco del programa de trabajo previsto y la organización de las C</w:t>
      </w:r>
      <w:r w:rsidR="002F0CD8" w:rsidRPr="003E6986">
        <w:rPr>
          <w:lang w:val="es-ES_tradnl"/>
        </w:rPr>
        <w:t>omisiones de Estudio del UIT</w:t>
      </w:r>
      <w:r w:rsidR="002F0CD8" w:rsidRPr="003E6986">
        <w:rPr>
          <w:lang w:val="es-ES_tradnl"/>
        </w:rPr>
        <w:noBreakHyphen/>
        <w:t>R.</w:t>
      </w:r>
    </w:p>
    <w:p w14:paraId="217884EE" w14:textId="72815EC7" w:rsidR="001457F5" w:rsidRPr="003E6986" w:rsidRDefault="001457F5" w:rsidP="00100121">
      <w:pPr>
        <w:rPr>
          <w:lang w:val="es-ES_tradnl"/>
        </w:rPr>
      </w:pPr>
      <w:r w:rsidRPr="003E6986">
        <w:rPr>
          <w:lang w:val="es-ES_tradnl"/>
        </w:rPr>
        <w:br w:type="page"/>
      </w:r>
    </w:p>
    <w:p w14:paraId="6BECE65A" w14:textId="4656AB66" w:rsidR="001457F5" w:rsidRPr="003E6986" w:rsidRDefault="001457F5" w:rsidP="002F0CD8">
      <w:pPr>
        <w:spacing w:after="240" w:line="240" w:lineRule="auto"/>
        <w:rPr>
          <w:lang w:val="es-ES_tradnl"/>
        </w:rPr>
      </w:pPr>
      <w:r w:rsidRPr="003E6986">
        <w:rPr>
          <w:lang w:val="es-ES_tradnl"/>
        </w:rPr>
        <w:lastRenderedPageBreak/>
        <w:t xml:space="preserve">Los resultados de la </w:t>
      </w:r>
      <w:r w:rsidR="00A96272" w:rsidRPr="003E6986">
        <w:rPr>
          <w:szCs w:val="24"/>
          <w:lang w:val="es-ES_tradnl"/>
        </w:rPr>
        <w:t>RPC</w:t>
      </w:r>
      <w:r w:rsidR="00D2720C" w:rsidRPr="003E6986">
        <w:rPr>
          <w:szCs w:val="24"/>
          <w:lang w:val="es-ES_tradnl"/>
        </w:rPr>
        <w:t>27</w:t>
      </w:r>
      <w:r w:rsidR="00F7279F" w:rsidRPr="003E6986">
        <w:rPr>
          <w:szCs w:val="24"/>
          <w:lang w:val="es-ES_tradnl"/>
        </w:rPr>
        <w:t>-</w:t>
      </w:r>
      <w:r w:rsidRPr="003E6986">
        <w:rPr>
          <w:lang w:val="es-ES_tradnl"/>
        </w:rPr>
        <w:t>1 aparecen en los siguientes Anexos: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211"/>
      </w:tblGrid>
      <w:tr w:rsidR="00100121" w:rsidRPr="008653C7" w14:paraId="6DFB3364" w14:textId="77777777" w:rsidTr="00100121">
        <w:tc>
          <w:tcPr>
            <w:tcW w:w="1418" w:type="dxa"/>
          </w:tcPr>
          <w:p w14:paraId="15577FDF" w14:textId="6F644B64" w:rsidR="00100121" w:rsidRPr="003E6986" w:rsidRDefault="00100121" w:rsidP="002F0CD8">
            <w:pPr>
              <w:spacing w:line="240" w:lineRule="auto"/>
              <w:rPr>
                <w:lang w:val="es-ES_tradnl"/>
              </w:rPr>
            </w:pPr>
            <w:r w:rsidRPr="003E6986">
              <w:rPr>
                <w:lang w:val="es-ES_tradnl"/>
              </w:rPr>
              <w:t>Anexo 1</w:t>
            </w:r>
          </w:p>
        </w:tc>
        <w:tc>
          <w:tcPr>
            <w:tcW w:w="8211" w:type="dxa"/>
          </w:tcPr>
          <w:p w14:paraId="58D13C17" w14:textId="665539A2" w:rsidR="00100121" w:rsidRPr="003E6986" w:rsidRDefault="00100121" w:rsidP="002F0CD8">
            <w:pPr>
              <w:spacing w:line="240" w:lineRule="auto"/>
              <w:jc w:val="left"/>
              <w:rPr>
                <w:lang w:val="es-ES_tradnl"/>
              </w:rPr>
            </w:pPr>
            <w:r w:rsidRPr="003E6986">
              <w:rPr>
                <w:lang w:val="es-ES_tradnl"/>
              </w:rPr>
              <w:t xml:space="preserve">Resolución </w:t>
            </w:r>
            <w:r w:rsidR="006F1107" w:rsidRPr="003E6986">
              <w:rPr>
                <w:b/>
                <w:bCs/>
                <w:lang w:val="es-ES_tradnl"/>
              </w:rPr>
              <w:t>813</w:t>
            </w:r>
            <w:r w:rsidRPr="003E6986">
              <w:rPr>
                <w:b/>
                <w:bCs/>
                <w:lang w:val="es-ES_tradnl"/>
              </w:rPr>
              <w:t xml:space="preserve"> (CMR-</w:t>
            </w:r>
            <w:r w:rsidR="008E4AA5" w:rsidRPr="003E6986">
              <w:rPr>
                <w:b/>
                <w:bCs/>
                <w:lang w:val="es-ES_tradnl"/>
              </w:rPr>
              <w:t>23</w:t>
            </w:r>
            <w:r w:rsidRPr="003E6986">
              <w:rPr>
                <w:b/>
                <w:bCs/>
                <w:lang w:val="es-ES_tradnl"/>
              </w:rPr>
              <w:t>)</w:t>
            </w:r>
            <w:r w:rsidRPr="003E6986">
              <w:rPr>
                <w:lang w:val="es-ES_tradnl"/>
              </w:rPr>
              <w:t xml:space="preserve"> – Orden del día de la Conferencia Mundial de Radiocomunicaciones de </w:t>
            </w:r>
            <w:r w:rsidR="008E4AA5" w:rsidRPr="003E6986">
              <w:rPr>
                <w:lang w:val="es-ES_tradnl"/>
              </w:rPr>
              <w:t>2027</w:t>
            </w:r>
          </w:p>
        </w:tc>
      </w:tr>
      <w:tr w:rsidR="00100121" w:rsidRPr="008653C7" w14:paraId="1D6A5E0E" w14:textId="77777777" w:rsidTr="00100121">
        <w:tc>
          <w:tcPr>
            <w:tcW w:w="1418" w:type="dxa"/>
          </w:tcPr>
          <w:p w14:paraId="58EF78E4" w14:textId="460B8387" w:rsidR="00100121" w:rsidRPr="003E6986" w:rsidRDefault="00100121" w:rsidP="002F0CD8">
            <w:pPr>
              <w:spacing w:line="240" w:lineRule="auto"/>
              <w:rPr>
                <w:lang w:val="es-ES_tradnl"/>
              </w:rPr>
            </w:pPr>
            <w:r w:rsidRPr="003E6986">
              <w:rPr>
                <w:lang w:val="es-ES_tradnl"/>
              </w:rPr>
              <w:t>Anexo 2</w:t>
            </w:r>
          </w:p>
        </w:tc>
        <w:tc>
          <w:tcPr>
            <w:tcW w:w="8211" w:type="dxa"/>
          </w:tcPr>
          <w:p w14:paraId="75FD9C84" w14:textId="7AAF3BED" w:rsidR="00100121" w:rsidRPr="003E6986" w:rsidRDefault="00100121" w:rsidP="002F0CD8">
            <w:pPr>
              <w:spacing w:line="240" w:lineRule="auto"/>
              <w:jc w:val="left"/>
              <w:rPr>
                <w:lang w:val="es-ES_tradnl"/>
              </w:rPr>
            </w:pPr>
            <w:r w:rsidRPr="003E6986">
              <w:rPr>
                <w:lang w:val="es-ES_tradnl"/>
              </w:rPr>
              <w:t xml:space="preserve">Resolución </w:t>
            </w:r>
            <w:r w:rsidR="006F1107" w:rsidRPr="003E6986">
              <w:rPr>
                <w:b/>
                <w:bCs/>
                <w:lang w:val="es-ES_tradnl"/>
              </w:rPr>
              <w:t>814</w:t>
            </w:r>
            <w:r w:rsidRPr="003E6986">
              <w:rPr>
                <w:b/>
                <w:bCs/>
                <w:lang w:val="es-ES_tradnl"/>
              </w:rPr>
              <w:t xml:space="preserve"> (CMR-</w:t>
            </w:r>
            <w:r w:rsidR="008E4AA5" w:rsidRPr="003E6986">
              <w:rPr>
                <w:b/>
                <w:bCs/>
                <w:lang w:val="es-ES_tradnl"/>
              </w:rPr>
              <w:t>23</w:t>
            </w:r>
            <w:r w:rsidRPr="003E6986">
              <w:rPr>
                <w:b/>
                <w:bCs/>
                <w:lang w:val="es-ES_tradnl"/>
              </w:rPr>
              <w:t>)</w:t>
            </w:r>
            <w:r w:rsidRPr="003E6986">
              <w:rPr>
                <w:lang w:val="es-ES_tradnl"/>
              </w:rPr>
              <w:t xml:space="preserve"> – Orden del día preliminar de la Conferencia Mundial de Radiocomunicaciones de </w:t>
            </w:r>
            <w:r w:rsidR="008E4AA5" w:rsidRPr="003E6986">
              <w:rPr>
                <w:lang w:val="es-ES_tradnl"/>
              </w:rPr>
              <w:t>2031</w:t>
            </w:r>
          </w:p>
        </w:tc>
      </w:tr>
      <w:tr w:rsidR="00100121" w:rsidRPr="008653C7" w14:paraId="64085490" w14:textId="77777777" w:rsidTr="00100121">
        <w:tc>
          <w:tcPr>
            <w:tcW w:w="1418" w:type="dxa"/>
          </w:tcPr>
          <w:p w14:paraId="14A6FA5B" w14:textId="1DC02E30" w:rsidR="00100121" w:rsidRPr="003E6986" w:rsidRDefault="00100121" w:rsidP="002F0CD8">
            <w:pPr>
              <w:spacing w:line="240" w:lineRule="auto"/>
              <w:rPr>
                <w:lang w:val="es-ES_tradnl"/>
              </w:rPr>
            </w:pPr>
            <w:r w:rsidRPr="003E6986">
              <w:rPr>
                <w:lang w:val="es-ES_tradnl"/>
              </w:rPr>
              <w:t>Anexo 3</w:t>
            </w:r>
          </w:p>
        </w:tc>
        <w:tc>
          <w:tcPr>
            <w:tcW w:w="8211" w:type="dxa"/>
          </w:tcPr>
          <w:p w14:paraId="64DF4288" w14:textId="099AB6CB" w:rsidR="00100121" w:rsidRPr="003E6986" w:rsidRDefault="00100121" w:rsidP="002F0CD8">
            <w:pPr>
              <w:spacing w:line="240" w:lineRule="auto"/>
              <w:jc w:val="left"/>
              <w:rPr>
                <w:lang w:val="es-ES_tradnl"/>
              </w:rPr>
            </w:pPr>
            <w:r w:rsidRPr="003E6986">
              <w:rPr>
                <w:lang w:val="es-ES_tradnl"/>
              </w:rPr>
              <w:t xml:space="preserve">Números provisionales </w:t>
            </w:r>
            <w:r w:rsidR="002E7525" w:rsidRPr="003E6986">
              <w:rPr>
                <w:lang w:val="es-ES_tradnl"/>
              </w:rPr>
              <w:t>de</w:t>
            </w:r>
            <w:r w:rsidRPr="003E6986">
              <w:rPr>
                <w:lang w:val="es-ES_tradnl"/>
              </w:rPr>
              <w:t xml:space="preserve"> las nuevas Resoluciones de la CMR</w:t>
            </w:r>
            <w:r w:rsidRPr="003E6986">
              <w:rPr>
                <w:lang w:val="es-ES_tradnl"/>
              </w:rPr>
              <w:noBreakHyphen/>
            </w:r>
            <w:r w:rsidR="008E4AA5" w:rsidRPr="003E6986">
              <w:rPr>
                <w:lang w:val="es-ES_tradnl"/>
              </w:rPr>
              <w:t>23</w:t>
            </w:r>
          </w:p>
        </w:tc>
      </w:tr>
      <w:tr w:rsidR="00100121" w:rsidRPr="008653C7" w14:paraId="6D777296" w14:textId="77777777" w:rsidTr="00100121">
        <w:tc>
          <w:tcPr>
            <w:tcW w:w="1418" w:type="dxa"/>
          </w:tcPr>
          <w:p w14:paraId="2EA10D80" w14:textId="74A31A1C" w:rsidR="00100121" w:rsidRPr="003E6986" w:rsidRDefault="00100121" w:rsidP="002F0CD8">
            <w:pPr>
              <w:spacing w:line="240" w:lineRule="auto"/>
              <w:rPr>
                <w:lang w:val="es-ES_tradnl"/>
              </w:rPr>
            </w:pPr>
            <w:r w:rsidRPr="003E6986">
              <w:rPr>
                <w:lang w:val="es-ES_tradnl"/>
              </w:rPr>
              <w:t>Anexo 4</w:t>
            </w:r>
          </w:p>
        </w:tc>
        <w:tc>
          <w:tcPr>
            <w:tcW w:w="8211" w:type="dxa"/>
          </w:tcPr>
          <w:p w14:paraId="738FC4A2" w14:textId="0C6C71CD" w:rsidR="00100121" w:rsidRPr="003E6986" w:rsidRDefault="00100121" w:rsidP="002F0CD8">
            <w:pPr>
              <w:spacing w:line="240" w:lineRule="auto"/>
              <w:jc w:val="left"/>
              <w:rPr>
                <w:lang w:val="es-ES_tradnl"/>
              </w:rPr>
            </w:pPr>
            <w:r w:rsidRPr="003E6986">
              <w:rPr>
                <w:lang w:val="es-ES_tradnl"/>
              </w:rPr>
              <w:t>Informe</w:t>
            </w:r>
            <w:r w:rsidR="008E4AA5" w:rsidRPr="003E6986">
              <w:rPr>
                <w:lang w:val="es-ES_tradnl"/>
              </w:rPr>
              <w:t xml:space="preserve"> del Presidente</w:t>
            </w:r>
            <w:r w:rsidRPr="003E6986">
              <w:rPr>
                <w:lang w:val="es-ES_tradnl"/>
              </w:rPr>
              <w:t xml:space="preserve"> sobre la primera sesión de la Reunión Preparatoria de la Conferencia para la CMR-</w:t>
            </w:r>
            <w:r w:rsidR="008E4AA5" w:rsidRPr="003E6986">
              <w:rPr>
                <w:lang w:val="es-ES_tradnl"/>
              </w:rPr>
              <w:t>27</w:t>
            </w:r>
          </w:p>
        </w:tc>
      </w:tr>
      <w:tr w:rsidR="00100121" w:rsidRPr="008653C7" w14:paraId="4E0FDF9D" w14:textId="77777777" w:rsidTr="00100121">
        <w:tc>
          <w:tcPr>
            <w:tcW w:w="1418" w:type="dxa"/>
          </w:tcPr>
          <w:p w14:paraId="1A73C886" w14:textId="193E781D" w:rsidR="00100121" w:rsidRPr="003E6986" w:rsidRDefault="00100121" w:rsidP="002F0CD8">
            <w:pPr>
              <w:spacing w:line="240" w:lineRule="auto"/>
              <w:rPr>
                <w:lang w:val="es-ES_tradnl"/>
              </w:rPr>
            </w:pPr>
            <w:r w:rsidRPr="003E6986">
              <w:rPr>
                <w:lang w:val="es-ES_tradnl"/>
              </w:rPr>
              <w:t>Anexo 5</w:t>
            </w:r>
          </w:p>
        </w:tc>
        <w:tc>
          <w:tcPr>
            <w:tcW w:w="8211" w:type="dxa"/>
          </w:tcPr>
          <w:p w14:paraId="66E08309" w14:textId="195BD984" w:rsidR="00100121" w:rsidRPr="003E6986" w:rsidRDefault="008E4AA5" w:rsidP="002F0CD8">
            <w:pPr>
              <w:spacing w:line="240" w:lineRule="auto"/>
              <w:jc w:val="left"/>
              <w:rPr>
                <w:lang w:val="es-ES_tradnl"/>
              </w:rPr>
            </w:pPr>
            <w:r w:rsidRPr="003E6986">
              <w:rPr>
                <w:lang w:val="es-ES_tradnl"/>
              </w:rPr>
              <w:t xml:space="preserve">Índice del proyecto de Informe de la RPC a la CMR-27 y </w:t>
            </w:r>
            <w:r w:rsidR="00100121" w:rsidRPr="003E6986">
              <w:rPr>
                <w:lang w:val="es-ES_tradnl"/>
              </w:rPr>
              <w:t xml:space="preserve">Relatores de </w:t>
            </w:r>
            <w:r w:rsidRPr="003E6986">
              <w:rPr>
                <w:lang w:val="es-ES_tradnl"/>
              </w:rPr>
              <w:t>Capítulo</w:t>
            </w:r>
          </w:p>
        </w:tc>
      </w:tr>
      <w:tr w:rsidR="00100121" w:rsidRPr="008653C7" w14:paraId="4A03F857" w14:textId="77777777" w:rsidTr="00100121">
        <w:tc>
          <w:tcPr>
            <w:tcW w:w="1418" w:type="dxa"/>
          </w:tcPr>
          <w:p w14:paraId="520260BA" w14:textId="35F19133" w:rsidR="00100121" w:rsidRPr="003E6986" w:rsidRDefault="00100121" w:rsidP="002F0CD8">
            <w:pPr>
              <w:spacing w:line="240" w:lineRule="auto"/>
              <w:rPr>
                <w:lang w:val="es-ES_tradnl"/>
              </w:rPr>
            </w:pPr>
            <w:r w:rsidRPr="003E6986">
              <w:rPr>
                <w:lang w:val="es-ES_tradnl"/>
              </w:rPr>
              <w:t>Anexo 6</w:t>
            </w:r>
          </w:p>
        </w:tc>
        <w:tc>
          <w:tcPr>
            <w:tcW w:w="8211" w:type="dxa"/>
          </w:tcPr>
          <w:p w14:paraId="40459F7B" w14:textId="759C21B9" w:rsidR="00100121" w:rsidRPr="003E6986" w:rsidRDefault="008E4AA5" w:rsidP="002F0CD8">
            <w:pPr>
              <w:spacing w:line="240" w:lineRule="auto"/>
              <w:jc w:val="left"/>
              <w:rPr>
                <w:lang w:val="es-ES_tradnl"/>
              </w:rPr>
            </w:pPr>
            <w:r w:rsidRPr="003E6986">
              <w:rPr>
                <w:lang w:val="es-ES_tradnl"/>
              </w:rPr>
              <w:t xml:space="preserve">Estructura de los </w:t>
            </w:r>
            <w:r w:rsidR="00486CD9" w:rsidRPr="003E6986">
              <w:rPr>
                <w:lang w:val="es-ES_tradnl"/>
              </w:rPr>
              <w:t>c</w:t>
            </w:r>
            <w:r w:rsidRPr="003E6986">
              <w:rPr>
                <w:lang w:val="es-ES_tradnl"/>
              </w:rPr>
              <w:t>apítulos y procedimientos de trabajo de la RPC de conformidad con la Resolución UIT-R 2-9</w:t>
            </w:r>
          </w:p>
        </w:tc>
      </w:tr>
      <w:tr w:rsidR="00100121" w:rsidRPr="008653C7" w14:paraId="6C63F14F" w14:textId="77777777" w:rsidTr="00100121">
        <w:tc>
          <w:tcPr>
            <w:tcW w:w="1418" w:type="dxa"/>
          </w:tcPr>
          <w:p w14:paraId="155B0676" w14:textId="5F406F5E" w:rsidR="00100121" w:rsidRPr="003E6986" w:rsidRDefault="00100121" w:rsidP="002F0CD8">
            <w:pPr>
              <w:spacing w:line="240" w:lineRule="auto"/>
              <w:rPr>
                <w:lang w:val="es-ES_tradnl"/>
              </w:rPr>
            </w:pPr>
            <w:r w:rsidRPr="003E6986">
              <w:rPr>
                <w:lang w:val="es-ES_tradnl"/>
              </w:rPr>
              <w:t>Anexo 7</w:t>
            </w:r>
          </w:p>
        </w:tc>
        <w:tc>
          <w:tcPr>
            <w:tcW w:w="8211" w:type="dxa"/>
          </w:tcPr>
          <w:p w14:paraId="6013A313" w14:textId="7A109647" w:rsidR="00100121" w:rsidRPr="003E6986" w:rsidRDefault="00100121" w:rsidP="002F0CD8">
            <w:pPr>
              <w:spacing w:line="240" w:lineRule="auto"/>
              <w:jc w:val="left"/>
              <w:rPr>
                <w:lang w:val="es-ES_tradnl"/>
              </w:rPr>
            </w:pPr>
            <w:r w:rsidRPr="003E6986">
              <w:rPr>
                <w:lang w:val="es-ES_tradnl"/>
              </w:rPr>
              <w:t>Atribución de los trabajos preparatorios del UIT</w:t>
            </w:r>
            <w:r w:rsidRPr="003E6986">
              <w:rPr>
                <w:lang w:val="es-ES_tradnl"/>
              </w:rPr>
              <w:noBreakHyphen/>
              <w:t>R para la CMR-</w:t>
            </w:r>
            <w:r w:rsidR="008E4AA5" w:rsidRPr="003E6986">
              <w:rPr>
                <w:lang w:val="es-ES_tradnl"/>
              </w:rPr>
              <w:t>27</w:t>
            </w:r>
          </w:p>
        </w:tc>
      </w:tr>
      <w:tr w:rsidR="00100121" w:rsidRPr="008653C7" w14:paraId="5F75C0A9" w14:textId="77777777" w:rsidTr="00100121">
        <w:tc>
          <w:tcPr>
            <w:tcW w:w="1418" w:type="dxa"/>
          </w:tcPr>
          <w:p w14:paraId="512D42A2" w14:textId="1BC8FFEC" w:rsidR="00100121" w:rsidRPr="003E6986" w:rsidRDefault="00100121" w:rsidP="002F0CD8">
            <w:pPr>
              <w:spacing w:line="240" w:lineRule="auto"/>
              <w:rPr>
                <w:lang w:val="es-ES_tradnl"/>
              </w:rPr>
            </w:pPr>
            <w:r w:rsidRPr="003E6986">
              <w:rPr>
                <w:lang w:val="es-ES_tradnl"/>
              </w:rPr>
              <w:t>Anexo 8</w:t>
            </w:r>
          </w:p>
        </w:tc>
        <w:tc>
          <w:tcPr>
            <w:tcW w:w="8211" w:type="dxa"/>
          </w:tcPr>
          <w:p w14:paraId="50622016" w14:textId="0874336B" w:rsidR="00100121" w:rsidRPr="003E6986" w:rsidRDefault="00100121" w:rsidP="002F0CD8">
            <w:pPr>
              <w:spacing w:line="240" w:lineRule="auto"/>
              <w:jc w:val="left"/>
              <w:rPr>
                <w:lang w:val="es-ES_tradnl"/>
              </w:rPr>
            </w:pPr>
            <w:r w:rsidRPr="003E6986">
              <w:rPr>
                <w:lang w:val="es-ES_tradnl"/>
              </w:rPr>
              <w:t>Atribución de los trabajos preparatorios del UIT-R para la CMR-</w:t>
            </w:r>
            <w:r w:rsidR="008E4AA5" w:rsidRPr="003E6986">
              <w:rPr>
                <w:lang w:val="es-ES_tradnl"/>
              </w:rPr>
              <w:t>31</w:t>
            </w:r>
          </w:p>
        </w:tc>
      </w:tr>
      <w:tr w:rsidR="00100121" w:rsidRPr="008653C7" w14:paraId="44239BA3" w14:textId="77777777" w:rsidTr="00100121">
        <w:tc>
          <w:tcPr>
            <w:tcW w:w="1418" w:type="dxa"/>
          </w:tcPr>
          <w:p w14:paraId="501D45AF" w14:textId="45B88EB4" w:rsidR="00100121" w:rsidRPr="003E6986" w:rsidRDefault="00100121" w:rsidP="002F0CD8">
            <w:pPr>
              <w:spacing w:line="240" w:lineRule="auto"/>
              <w:rPr>
                <w:lang w:val="es-ES_tradnl"/>
              </w:rPr>
            </w:pPr>
            <w:r w:rsidRPr="003E6986">
              <w:rPr>
                <w:lang w:val="es-ES_tradnl"/>
              </w:rPr>
              <w:t xml:space="preserve">Anexo </w:t>
            </w:r>
            <w:r w:rsidR="008E4AA5" w:rsidRPr="003E6986">
              <w:rPr>
                <w:lang w:val="es-ES_tradnl"/>
              </w:rPr>
              <w:t>9</w:t>
            </w:r>
          </w:p>
        </w:tc>
        <w:tc>
          <w:tcPr>
            <w:tcW w:w="8211" w:type="dxa"/>
          </w:tcPr>
          <w:p w14:paraId="0E072BAF" w14:textId="10F802C1" w:rsidR="00100121" w:rsidRPr="003E6986" w:rsidRDefault="00100121" w:rsidP="002F0CD8">
            <w:pPr>
              <w:spacing w:line="240" w:lineRule="auto"/>
              <w:jc w:val="left"/>
              <w:rPr>
                <w:lang w:val="es-ES_tradnl"/>
              </w:rPr>
            </w:pPr>
            <w:r w:rsidRPr="003E6986">
              <w:rPr>
                <w:lang w:val="es-ES_tradnl"/>
              </w:rPr>
              <w:t>Esquema del proyecto de Informe de la RPC a la CMR-</w:t>
            </w:r>
            <w:r w:rsidR="008E4AA5" w:rsidRPr="003E6986">
              <w:rPr>
                <w:lang w:val="es-ES_tradnl"/>
              </w:rPr>
              <w:t>27</w:t>
            </w:r>
          </w:p>
        </w:tc>
      </w:tr>
      <w:tr w:rsidR="00100121" w:rsidRPr="008653C7" w14:paraId="3A5FC2DD" w14:textId="77777777" w:rsidTr="00100121">
        <w:tc>
          <w:tcPr>
            <w:tcW w:w="1418" w:type="dxa"/>
          </w:tcPr>
          <w:p w14:paraId="739A3BD2" w14:textId="76DDEAB4" w:rsidR="00100121" w:rsidRPr="003E6986" w:rsidRDefault="00100121" w:rsidP="002F0CD8">
            <w:pPr>
              <w:spacing w:line="240" w:lineRule="auto"/>
              <w:rPr>
                <w:lang w:val="es-ES_tradnl"/>
              </w:rPr>
            </w:pPr>
            <w:r w:rsidRPr="003E6986">
              <w:rPr>
                <w:lang w:val="es-ES_tradnl"/>
              </w:rPr>
              <w:t xml:space="preserve">Anexo </w:t>
            </w:r>
            <w:r w:rsidR="008E4AA5" w:rsidRPr="003E6986">
              <w:rPr>
                <w:lang w:val="es-ES_tradnl"/>
              </w:rPr>
              <w:t>10</w:t>
            </w:r>
          </w:p>
        </w:tc>
        <w:tc>
          <w:tcPr>
            <w:tcW w:w="8211" w:type="dxa"/>
          </w:tcPr>
          <w:p w14:paraId="7EF5E504" w14:textId="7D10DC3D" w:rsidR="00100121" w:rsidRPr="003E6986" w:rsidRDefault="00100121" w:rsidP="002F0CD8">
            <w:pPr>
              <w:spacing w:line="240" w:lineRule="auto"/>
              <w:jc w:val="left"/>
              <w:rPr>
                <w:lang w:val="es-ES_tradnl"/>
              </w:rPr>
            </w:pPr>
            <w:r w:rsidRPr="003E6986">
              <w:rPr>
                <w:lang w:val="es-ES_tradnl"/>
              </w:rPr>
              <w:t>Estructura detallada propuesta para el proyecto de Informe de la RPC a la CMR-</w:t>
            </w:r>
            <w:r w:rsidR="008E4AA5" w:rsidRPr="003E6986">
              <w:rPr>
                <w:lang w:val="es-ES_tradnl"/>
              </w:rPr>
              <w:t>27</w:t>
            </w:r>
          </w:p>
        </w:tc>
      </w:tr>
      <w:tr w:rsidR="00100121" w:rsidRPr="008653C7" w14:paraId="3C27B164" w14:textId="77777777" w:rsidTr="00100121">
        <w:tc>
          <w:tcPr>
            <w:tcW w:w="1418" w:type="dxa"/>
          </w:tcPr>
          <w:p w14:paraId="2007AB44" w14:textId="1C3CED96" w:rsidR="00100121" w:rsidRPr="003E6986" w:rsidRDefault="00816C3D" w:rsidP="002F0CD8">
            <w:pPr>
              <w:spacing w:line="240" w:lineRule="auto"/>
              <w:rPr>
                <w:lang w:val="es-ES_tradnl"/>
              </w:rPr>
            </w:pPr>
            <w:r w:rsidRPr="003E6986">
              <w:rPr>
                <w:lang w:val="es-ES_tradnl"/>
              </w:rPr>
              <w:t>Anexo 11</w:t>
            </w:r>
          </w:p>
        </w:tc>
        <w:tc>
          <w:tcPr>
            <w:tcW w:w="8211" w:type="dxa"/>
          </w:tcPr>
          <w:p w14:paraId="614200DB" w14:textId="7B617C4D" w:rsidR="00100121" w:rsidRPr="003E6986" w:rsidRDefault="00100121" w:rsidP="002F0CD8">
            <w:pPr>
              <w:spacing w:line="240" w:lineRule="auto"/>
              <w:jc w:val="left"/>
              <w:rPr>
                <w:lang w:val="es-ES_tradnl"/>
              </w:rPr>
            </w:pPr>
            <w:r w:rsidRPr="003E6986">
              <w:rPr>
                <w:lang w:val="es-ES_tradnl"/>
              </w:rPr>
              <w:t xml:space="preserve">Información de contacto </w:t>
            </w:r>
            <w:r w:rsidR="008E4AA5" w:rsidRPr="003E6986">
              <w:rPr>
                <w:lang w:val="es-ES_tradnl"/>
              </w:rPr>
              <w:t>d</w:t>
            </w:r>
            <w:r w:rsidRPr="003E6986">
              <w:rPr>
                <w:lang w:val="es-ES_tradnl"/>
              </w:rPr>
              <w:t>el Presidente, los Vicepresidentes y los Relatores de Capítulo de la RPC</w:t>
            </w:r>
            <w:r w:rsidRPr="003E6986">
              <w:rPr>
                <w:lang w:val="es-ES_tradnl"/>
              </w:rPr>
              <w:noBreakHyphen/>
            </w:r>
            <w:r w:rsidR="008E4AA5" w:rsidRPr="003E6986">
              <w:rPr>
                <w:lang w:val="es-ES_tradnl"/>
              </w:rPr>
              <w:t>27</w:t>
            </w:r>
          </w:p>
        </w:tc>
      </w:tr>
    </w:tbl>
    <w:p w14:paraId="23C2C7B4" w14:textId="5424C935" w:rsidR="001457F5" w:rsidRPr="003E6986" w:rsidRDefault="00E55F50" w:rsidP="008653C7">
      <w:pPr>
        <w:spacing w:before="1200" w:line="240" w:lineRule="auto"/>
        <w:jc w:val="left"/>
        <w:rPr>
          <w:lang w:val="es-ES_tradnl"/>
        </w:rPr>
      </w:pPr>
      <w:r w:rsidRPr="003E6986">
        <w:rPr>
          <w:lang w:val="es-ES_tradnl"/>
        </w:rPr>
        <w:t>Mario Maniewicz</w:t>
      </w:r>
      <w:r w:rsidR="001457F5" w:rsidRPr="003E6986">
        <w:rPr>
          <w:rFonts w:ascii="MingLiU" w:eastAsia="MingLiU" w:hAnsi="MingLiU" w:cs="MingLiU"/>
          <w:lang w:val="es-ES_tradnl"/>
        </w:rPr>
        <w:br/>
      </w:r>
      <w:r w:rsidR="001457F5" w:rsidRPr="003E6986">
        <w:rPr>
          <w:lang w:val="es-ES_tradnl"/>
        </w:rPr>
        <w:t>Director</w:t>
      </w:r>
    </w:p>
    <w:p w14:paraId="5787F9C2" w14:textId="77777777" w:rsidR="001457F5" w:rsidRPr="003E6986" w:rsidRDefault="001457F5" w:rsidP="008653C7">
      <w:pPr>
        <w:tabs>
          <w:tab w:val="left" w:pos="284"/>
          <w:tab w:val="left" w:pos="568"/>
        </w:tabs>
        <w:spacing w:before="2280" w:after="120" w:line="240" w:lineRule="auto"/>
        <w:rPr>
          <w:b/>
          <w:bCs/>
          <w:sz w:val="18"/>
          <w:szCs w:val="18"/>
          <w:lang w:val="es-ES_tradnl"/>
        </w:rPr>
      </w:pPr>
      <w:bookmarkStart w:id="0" w:name="ddistribution"/>
      <w:bookmarkEnd w:id="0"/>
      <w:r w:rsidRPr="003E6986">
        <w:rPr>
          <w:b/>
          <w:bCs/>
          <w:sz w:val="18"/>
          <w:szCs w:val="18"/>
          <w:lang w:val="es-ES_tradnl"/>
        </w:rPr>
        <w:t>Distribución:</w:t>
      </w:r>
    </w:p>
    <w:p w14:paraId="16857031" w14:textId="77777777" w:rsidR="001457F5" w:rsidRPr="003E6986" w:rsidRDefault="001457F5" w:rsidP="008E4AA5">
      <w:pPr>
        <w:tabs>
          <w:tab w:val="clear" w:pos="794"/>
          <w:tab w:val="left" w:pos="567"/>
        </w:tabs>
        <w:spacing w:before="0" w:line="240" w:lineRule="auto"/>
        <w:ind w:left="567" w:hanging="567"/>
        <w:rPr>
          <w:sz w:val="18"/>
          <w:szCs w:val="18"/>
          <w:lang w:val="es-ES_tradnl"/>
        </w:rPr>
      </w:pPr>
      <w:r w:rsidRPr="003E6986">
        <w:rPr>
          <w:sz w:val="18"/>
          <w:szCs w:val="18"/>
          <w:lang w:val="es-ES_tradnl"/>
        </w:rPr>
        <w:sym w:font="Symbol" w:char="F02D"/>
      </w:r>
      <w:r w:rsidRPr="003E6986">
        <w:rPr>
          <w:sz w:val="18"/>
          <w:szCs w:val="18"/>
          <w:lang w:val="es-ES_tradnl"/>
        </w:rPr>
        <w:tab/>
        <w:t>Administraciones de los Estados Miembros de la UIT</w:t>
      </w:r>
    </w:p>
    <w:p w14:paraId="182DC864" w14:textId="77777777" w:rsidR="001457F5" w:rsidRPr="003E6986" w:rsidRDefault="001457F5" w:rsidP="008E4AA5">
      <w:pPr>
        <w:tabs>
          <w:tab w:val="clear" w:pos="794"/>
          <w:tab w:val="left" w:pos="567"/>
        </w:tabs>
        <w:spacing w:before="0" w:line="240" w:lineRule="auto"/>
        <w:ind w:left="567" w:hanging="567"/>
        <w:rPr>
          <w:sz w:val="18"/>
          <w:szCs w:val="18"/>
          <w:lang w:val="es-ES_tradnl"/>
        </w:rPr>
      </w:pPr>
      <w:r w:rsidRPr="003E6986">
        <w:rPr>
          <w:sz w:val="18"/>
          <w:szCs w:val="18"/>
          <w:lang w:val="es-ES_tradnl"/>
        </w:rPr>
        <w:sym w:font="Symbol" w:char="F02D"/>
      </w:r>
      <w:r w:rsidRPr="003E6986">
        <w:rPr>
          <w:sz w:val="18"/>
          <w:szCs w:val="18"/>
          <w:lang w:val="es-ES_tradnl"/>
        </w:rPr>
        <w:tab/>
        <w:t>Miembros del Sector de Radiocomunicaciones</w:t>
      </w:r>
    </w:p>
    <w:p w14:paraId="2F6D6DD6" w14:textId="53528EF7" w:rsidR="001457F5" w:rsidRPr="003E6986" w:rsidRDefault="001457F5" w:rsidP="008E4AA5">
      <w:pPr>
        <w:tabs>
          <w:tab w:val="clear" w:pos="794"/>
          <w:tab w:val="left" w:pos="567"/>
        </w:tabs>
        <w:spacing w:before="0" w:line="240" w:lineRule="auto"/>
        <w:ind w:left="567" w:hanging="567"/>
        <w:rPr>
          <w:sz w:val="18"/>
          <w:szCs w:val="18"/>
          <w:lang w:val="es-ES_tradnl"/>
        </w:rPr>
      </w:pPr>
      <w:r w:rsidRPr="003E6986">
        <w:rPr>
          <w:sz w:val="18"/>
          <w:szCs w:val="18"/>
          <w:lang w:val="es-ES_tradnl"/>
        </w:rPr>
        <w:sym w:font="Symbol" w:char="F02D"/>
      </w:r>
      <w:r w:rsidRPr="003E6986">
        <w:rPr>
          <w:sz w:val="18"/>
          <w:szCs w:val="18"/>
          <w:lang w:val="es-ES_tradnl"/>
        </w:rPr>
        <w:tab/>
        <w:t>Presidentes y Vicepresidentes de las Comisiones de Estudio</w:t>
      </w:r>
      <w:r w:rsidR="00C52998" w:rsidRPr="003E6986">
        <w:rPr>
          <w:sz w:val="18"/>
          <w:szCs w:val="18"/>
          <w:lang w:val="es-ES_tradnl"/>
        </w:rPr>
        <w:t xml:space="preserve"> de Radiocomunicaciones</w:t>
      </w:r>
    </w:p>
    <w:p w14:paraId="141B657D" w14:textId="78A588C9" w:rsidR="001457F5" w:rsidRPr="003E6986" w:rsidRDefault="001457F5" w:rsidP="008E4AA5">
      <w:pPr>
        <w:tabs>
          <w:tab w:val="clear" w:pos="794"/>
          <w:tab w:val="left" w:pos="567"/>
        </w:tabs>
        <w:spacing w:before="0" w:line="240" w:lineRule="auto"/>
        <w:ind w:left="567" w:hanging="567"/>
        <w:rPr>
          <w:sz w:val="18"/>
          <w:szCs w:val="18"/>
          <w:lang w:val="es-ES_tradnl"/>
        </w:rPr>
      </w:pPr>
      <w:r w:rsidRPr="003E6986">
        <w:rPr>
          <w:sz w:val="18"/>
          <w:szCs w:val="18"/>
          <w:lang w:val="es-ES_tradnl"/>
        </w:rPr>
        <w:sym w:font="Symbol" w:char="F02D"/>
      </w:r>
      <w:r w:rsidRPr="003E6986">
        <w:rPr>
          <w:sz w:val="18"/>
          <w:szCs w:val="18"/>
          <w:lang w:val="es-ES_tradnl"/>
        </w:rPr>
        <w:tab/>
        <w:t>Presidente y Vicepresidentes del Grupo Asesor de Radiocomunicaciones</w:t>
      </w:r>
    </w:p>
    <w:p w14:paraId="09C08D7E" w14:textId="664BED38" w:rsidR="00FB264C" w:rsidRPr="003E6986" w:rsidRDefault="00FB264C" w:rsidP="008E4AA5">
      <w:pPr>
        <w:tabs>
          <w:tab w:val="clear" w:pos="794"/>
          <w:tab w:val="left" w:pos="567"/>
        </w:tabs>
        <w:spacing w:before="0" w:line="240" w:lineRule="auto"/>
        <w:ind w:left="567" w:hanging="567"/>
        <w:rPr>
          <w:sz w:val="18"/>
          <w:szCs w:val="18"/>
          <w:lang w:val="es-ES_tradnl"/>
        </w:rPr>
      </w:pPr>
      <w:r w:rsidRPr="003E6986">
        <w:rPr>
          <w:sz w:val="18"/>
          <w:szCs w:val="18"/>
          <w:lang w:val="es-ES_tradnl"/>
        </w:rPr>
        <w:sym w:font="Symbol" w:char="F02D"/>
      </w:r>
      <w:r w:rsidRPr="003E6986">
        <w:rPr>
          <w:sz w:val="18"/>
          <w:szCs w:val="18"/>
          <w:lang w:val="es-ES_tradnl"/>
        </w:rPr>
        <w:tab/>
        <w:t>Presidente y Vicepresidentes de la Reunión Preparatoria de la Conferencia</w:t>
      </w:r>
    </w:p>
    <w:p w14:paraId="09D86A5E" w14:textId="2F15FE4F" w:rsidR="00FB264C" w:rsidRPr="003E6986" w:rsidRDefault="00FB264C" w:rsidP="008E4AA5">
      <w:pPr>
        <w:tabs>
          <w:tab w:val="clear" w:pos="794"/>
          <w:tab w:val="left" w:pos="567"/>
        </w:tabs>
        <w:spacing w:before="0" w:line="240" w:lineRule="auto"/>
        <w:ind w:left="567" w:hanging="567"/>
        <w:rPr>
          <w:sz w:val="18"/>
          <w:szCs w:val="18"/>
          <w:lang w:val="es-ES_tradnl"/>
        </w:rPr>
      </w:pPr>
      <w:r w:rsidRPr="003E6986">
        <w:rPr>
          <w:sz w:val="18"/>
          <w:szCs w:val="18"/>
          <w:lang w:val="es-ES_tradnl"/>
        </w:rPr>
        <w:sym w:font="Symbol" w:char="F02D"/>
      </w:r>
      <w:r w:rsidRPr="003E6986">
        <w:rPr>
          <w:sz w:val="18"/>
          <w:szCs w:val="18"/>
          <w:lang w:val="es-ES_tradnl"/>
        </w:rPr>
        <w:tab/>
        <w:t>Miembros de la junta del Reglamento de Radiocomunicaciones</w:t>
      </w:r>
    </w:p>
    <w:p w14:paraId="79C9F0D7" w14:textId="3C394B07" w:rsidR="00FB264C" w:rsidRPr="003E6986" w:rsidRDefault="00FB264C" w:rsidP="008E4AA5">
      <w:pPr>
        <w:tabs>
          <w:tab w:val="clear" w:pos="794"/>
          <w:tab w:val="left" w:pos="567"/>
        </w:tabs>
        <w:spacing w:before="0" w:line="240" w:lineRule="auto"/>
        <w:ind w:left="567" w:hanging="567"/>
        <w:rPr>
          <w:sz w:val="18"/>
          <w:szCs w:val="18"/>
          <w:lang w:val="es-ES_tradnl"/>
        </w:rPr>
      </w:pPr>
      <w:r w:rsidRPr="003E6986">
        <w:rPr>
          <w:sz w:val="18"/>
          <w:szCs w:val="18"/>
          <w:lang w:val="es-ES_tradnl"/>
        </w:rPr>
        <w:sym w:font="Symbol" w:char="F02D"/>
      </w:r>
      <w:r w:rsidRPr="003E6986">
        <w:rPr>
          <w:sz w:val="18"/>
          <w:szCs w:val="18"/>
          <w:lang w:val="es-ES_tradnl"/>
        </w:rPr>
        <w:tab/>
        <w:t>Secretaria General de la UIT, Director de la Oficina de Normalización de las Telecomunicaciones, Director de la Oficina de Desarrollo de las Telecomunicaciones</w:t>
      </w:r>
    </w:p>
    <w:p w14:paraId="338C1CF4" w14:textId="609BAD55" w:rsidR="001457F5" w:rsidRPr="003E6986" w:rsidRDefault="001457F5" w:rsidP="00FB264C">
      <w:pPr>
        <w:tabs>
          <w:tab w:val="clear" w:pos="794"/>
          <w:tab w:val="left" w:pos="567"/>
        </w:tabs>
        <w:spacing w:before="0" w:line="240" w:lineRule="auto"/>
        <w:ind w:left="567" w:hanging="567"/>
        <w:rPr>
          <w:sz w:val="18"/>
          <w:szCs w:val="18"/>
          <w:lang w:val="es-ES_tradnl"/>
        </w:rPr>
      </w:pPr>
      <w:r w:rsidRPr="003E6986">
        <w:rPr>
          <w:sz w:val="18"/>
          <w:szCs w:val="18"/>
          <w:lang w:val="es-ES_tradnl"/>
        </w:rPr>
        <w:br w:type="page"/>
      </w:r>
    </w:p>
    <w:p w14:paraId="70B73A71" w14:textId="39AD8761" w:rsidR="001457F5" w:rsidRPr="003E6986" w:rsidRDefault="00100121" w:rsidP="00284251">
      <w:pPr>
        <w:pStyle w:val="AnnexNo"/>
        <w:rPr>
          <w:szCs w:val="28"/>
          <w:lang w:val="es-ES_tradnl"/>
        </w:rPr>
      </w:pPr>
      <w:r w:rsidRPr="003E6986">
        <w:rPr>
          <w:szCs w:val="28"/>
          <w:lang w:val="es-ES_tradnl"/>
        </w:rPr>
        <w:lastRenderedPageBreak/>
        <w:t xml:space="preserve">ANEXO </w:t>
      </w:r>
      <w:r w:rsidR="001457F5" w:rsidRPr="003E6986">
        <w:rPr>
          <w:szCs w:val="28"/>
          <w:lang w:val="es-ES_tradnl"/>
        </w:rPr>
        <w:t>1</w:t>
      </w:r>
      <w:r w:rsidR="001457F5" w:rsidRPr="003E6986">
        <w:rPr>
          <w:rStyle w:val="FootnoteReference"/>
          <w:lang w:val="es-ES_tradnl"/>
        </w:rPr>
        <w:footnoteReference w:customMarkFollows="1" w:id="1"/>
        <w:t>*</w:t>
      </w:r>
    </w:p>
    <w:p w14:paraId="289ABC86" w14:textId="52F5A45E" w:rsidR="002C42EE" w:rsidRPr="003E6986" w:rsidRDefault="002C42EE" w:rsidP="00284251">
      <w:pPr>
        <w:keepNext/>
        <w:keepLines/>
        <w:tabs>
          <w:tab w:val="clear" w:pos="794"/>
          <w:tab w:val="clear" w:pos="1191"/>
          <w:tab w:val="clear" w:pos="1588"/>
          <w:tab w:val="clear" w:pos="1985"/>
          <w:tab w:val="left" w:pos="1134"/>
          <w:tab w:val="left" w:pos="1871"/>
          <w:tab w:val="left" w:pos="2268"/>
        </w:tabs>
        <w:spacing w:before="480" w:line="240" w:lineRule="auto"/>
        <w:jc w:val="center"/>
        <w:rPr>
          <w:rFonts w:ascii="Times New Roman" w:hAnsi="Times New Roman" w:cs="Times New Roman"/>
          <w:caps/>
          <w:sz w:val="28"/>
          <w:szCs w:val="20"/>
          <w:lang w:val="es-ES_tradnl"/>
        </w:rPr>
      </w:pPr>
      <w:r w:rsidRPr="003E6986">
        <w:rPr>
          <w:rFonts w:ascii="Times New Roman" w:hAnsi="Times New Roman" w:cs="Times New Roman"/>
          <w:caps/>
          <w:sz w:val="28"/>
          <w:szCs w:val="20"/>
          <w:lang w:val="es-ES_tradnl"/>
        </w:rPr>
        <w:t xml:space="preserve">RESOLUCIÓn </w:t>
      </w:r>
      <w:r w:rsidR="006F1107" w:rsidRPr="003E6986">
        <w:rPr>
          <w:rFonts w:ascii="Times New Roman" w:hAnsi="Times New Roman" w:cs="Times New Roman"/>
          <w:caps/>
          <w:sz w:val="28"/>
          <w:szCs w:val="20"/>
          <w:lang w:val="es-ES_tradnl"/>
        </w:rPr>
        <w:t>813</w:t>
      </w:r>
      <w:r w:rsidRPr="003E6986">
        <w:rPr>
          <w:rFonts w:ascii="Times New Roman" w:hAnsi="Times New Roman" w:cs="Times New Roman"/>
          <w:caps/>
          <w:sz w:val="28"/>
          <w:szCs w:val="20"/>
          <w:lang w:val="es-ES_tradnl"/>
        </w:rPr>
        <w:t xml:space="preserve"> (CMR-23)</w:t>
      </w:r>
    </w:p>
    <w:p w14:paraId="533F32BA" w14:textId="77777777" w:rsidR="002C42EE" w:rsidRPr="003E6986" w:rsidRDefault="002C42EE" w:rsidP="00284251">
      <w:pPr>
        <w:keepNext/>
        <w:keepLines/>
        <w:tabs>
          <w:tab w:val="clear" w:pos="794"/>
          <w:tab w:val="clear" w:pos="1191"/>
          <w:tab w:val="clear" w:pos="1588"/>
          <w:tab w:val="clear" w:pos="1985"/>
          <w:tab w:val="left" w:pos="1134"/>
          <w:tab w:val="left" w:pos="1871"/>
          <w:tab w:val="left" w:pos="2268"/>
        </w:tabs>
        <w:spacing w:before="240" w:line="240" w:lineRule="auto"/>
        <w:jc w:val="center"/>
        <w:rPr>
          <w:rFonts w:ascii="Times New Roman Bold" w:hAnsi="Times New Roman Bold" w:cs="Times New Roman"/>
          <w:b/>
          <w:sz w:val="28"/>
          <w:szCs w:val="20"/>
          <w:lang w:val="es-ES_tradnl"/>
        </w:rPr>
      </w:pPr>
      <w:r w:rsidRPr="003E6986">
        <w:rPr>
          <w:rFonts w:ascii="Times New Roman Bold" w:hAnsi="Times New Roman Bold" w:cs="Times New Roman"/>
          <w:b/>
          <w:sz w:val="28"/>
          <w:szCs w:val="20"/>
          <w:lang w:val="es-ES_tradnl"/>
        </w:rPr>
        <w:t>Orden del día de la Conferencia Mundial</w:t>
      </w:r>
      <w:r w:rsidRPr="003E6986">
        <w:rPr>
          <w:rFonts w:ascii="Times New Roman Bold" w:hAnsi="Times New Roman Bold" w:cs="Times New Roman"/>
          <w:b/>
          <w:sz w:val="28"/>
          <w:szCs w:val="20"/>
          <w:lang w:val="es-ES_tradnl"/>
        </w:rPr>
        <w:br/>
        <w:t>de Radiocomunicaciones de 2027</w:t>
      </w:r>
    </w:p>
    <w:p w14:paraId="3A89DF70"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28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La Conferencia Mundial de Radiocomunicaciones (Dubái, 2023),</w:t>
      </w:r>
    </w:p>
    <w:p w14:paraId="564DABAB" w14:textId="77777777" w:rsidR="002C42EE" w:rsidRPr="003E6986" w:rsidRDefault="002C42EE" w:rsidP="008653C7">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s-ES_tradnl"/>
        </w:rPr>
      </w:pPr>
      <w:r w:rsidRPr="003E6986">
        <w:rPr>
          <w:rFonts w:ascii="Times New Roman" w:hAnsi="Times New Roman" w:cs="Times New Roman"/>
          <w:i/>
          <w:szCs w:val="20"/>
          <w:lang w:val="es-ES_tradnl"/>
        </w:rPr>
        <w:t>considerando</w:t>
      </w:r>
    </w:p>
    <w:p w14:paraId="7CBFB31B"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i/>
          <w:iCs/>
          <w:szCs w:val="20"/>
          <w:lang w:val="es-ES_tradnl"/>
        </w:rPr>
        <w:t>a)</w:t>
      </w:r>
      <w:r w:rsidRPr="003E6986">
        <w:rPr>
          <w:rFonts w:ascii="Times New Roman" w:hAnsi="Times New Roman" w:cs="Times New Roman"/>
          <w:szCs w:val="20"/>
          <w:lang w:val="es-ES_tradnl"/>
        </w:rPr>
        <w:tab/>
        <w:t>que, de conformidad con el número 118 del Convenio de la UIT, el ámbito general del orden del día de una Conferencia Mundial de Radiocomunicaciones (CMR) debe establecerse con una antelación de cuatro a seis años y que el orden del día definitivo deberá establecerlo el Consejo dos años antes de la Conferencia;</w:t>
      </w:r>
    </w:p>
    <w:p w14:paraId="614719E7"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i/>
          <w:iCs/>
          <w:szCs w:val="20"/>
          <w:lang w:val="es-ES_tradnl"/>
        </w:rPr>
        <w:t>b)</w:t>
      </w:r>
      <w:r w:rsidRPr="003E6986">
        <w:rPr>
          <w:rFonts w:ascii="Times New Roman" w:hAnsi="Times New Roman" w:cs="Times New Roman"/>
          <w:szCs w:val="20"/>
          <w:lang w:val="es-ES_tradnl"/>
        </w:rPr>
        <w:tab/>
        <w:t>el Artículo 13 de la Constitución de la UIT, sobre competencia y calendario de las CMR, y el Artículo 7 del Convenio, relativo a sus órdenes del día;</w:t>
      </w:r>
    </w:p>
    <w:p w14:paraId="7FB99FEF"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i/>
          <w:iCs/>
          <w:szCs w:val="20"/>
          <w:lang w:val="es-ES_tradnl"/>
        </w:rPr>
        <w:t>c)</w:t>
      </w:r>
      <w:r w:rsidRPr="003E6986">
        <w:rPr>
          <w:rFonts w:ascii="Times New Roman" w:hAnsi="Times New Roman" w:cs="Times New Roman"/>
          <w:szCs w:val="20"/>
          <w:lang w:val="es-ES_tradnl"/>
        </w:rPr>
        <w:tab/>
        <w:t>las Resoluciones y Recomendaciones pertinentes de las anteriores Conferencias Administrativas Mundiales de Radiocomunicaciones (CAMR) y CMR,</w:t>
      </w:r>
    </w:p>
    <w:p w14:paraId="0F399F0B" w14:textId="77777777" w:rsidR="002C42EE" w:rsidRPr="003E6986" w:rsidRDefault="002C42EE" w:rsidP="008653C7">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s-ES_tradnl"/>
        </w:rPr>
      </w:pPr>
      <w:r w:rsidRPr="003E6986">
        <w:rPr>
          <w:rFonts w:ascii="Times New Roman" w:hAnsi="Times New Roman" w:cs="Times New Roman"/>
          <w:i/>
          <w:szCs w:val="20"/>
          <w:lang w:val="es-ES_tradnl"/>
        </w:rPr>
        <w:t>reconociendo</w:t>
      </w:r>
    </w:p>
    <w:p w14:paraId="30972F5B"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i/>
          <w:iCs/>
          <w:szCs w:val="20"/>
          <w:lang w:val="es-ES_tradnl"/>
        </w:rPr>
      </w:pPr>
      <w:r w:rsidRPr="003E6986">
        <w:rPr>
          <w:rFonts w:ascii="Times New Roman" w:hAnsi="Times New Roman" w:cs="Times New Roman"/>
          <w:i/>
          <w:iCs/>
          <w:szCs w:val="20"/>
          <w:lang w:val="es-ES_tradnl"/>
        </w:rPr>
        <w:t>a)</w:t>
      </w:r>
      <w:r w:rsidRPr="003E6986">
        <w:rPr>
          <w:rFonts w:ascii="Times New Roman" w:hAnsi="Times New Roman" w:cs="Times New Roman"/>
          <w:szCs w:val="20"/>
          <w:lang w:val="es-ES_tradnl"/>
        </w:rPr>
        <w:tab/>
        <w:t>que esta Conferencia ha identificado varias cuestiones urgentes que requieren se prosiga su examen en la CMR</w:t>
      </w:r>
      <w:r w:rsidRPr="003E6986">
        <w:rPr>
          <w:rFonts w:ascii="Times New Roman" w:hAnsi="Times New Roman" w:cs="Times New Roman"/>
          <w:szCs w:val="20"/>
          <w:lang w:val="es-ES_tradnl"/>
        </w:rPr>
        <w:noBreakHyphen/>
        <w:t>27;</w:t>
      </w:r>
    </w:p>
    <w:p w14:paraId="33007F0A"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i/>
          <w:iCs/>
          <w:szCs w:val="20"/>
          <w:lang w:val="es-ES_tradnl"/>
        </w:rPr>
        <w:t>b)</w:t>
      </w:r>
      <w:r w:rsidRPr="003E6986">
        <w:rPr>
          <w:rFonts w:ascii="Times New Roman" w:hAnsi="Times New Roman" w:cs="Times New Roman"/>
          <w:szCs w:val="20"/>
          <w:lang w:val="es-ES_tradnl"/>
        </w:rPr>
        <w:tab/>
        <w:t>que, al preparar el presente orden del día, algunos puntos propuestos por las administraciones no pudieron incluirse, debiendo posponerse para órdenes del día de futuras conferencias,</w:t>
      </w:r>
    </w:p>
    <w:p w14:paraId="35167953" w14:textId="77777777" w:rsidR="002C42EE" w:rsidRPr="003E6986" w:rsidRDefault="002C42EE" w:rsidP="008653C7">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s-ES_tradnl"/>
        </w:rPr>
      </w:pPr>
      <w:r w:rsidRPr="003E6986">
        <w:rPr>
          <w:rFonts w:ascii="Times New Roman" w:hAnsi="Times New Roman" w:cs="Times New Roman"/>
          <w:i/>
          <w:szCs w:val="20"/>
          <w:lang w:val="es-ES_tradnl"/>
        </w:rPr>
        <w:t>resuelve</w:t>
      </w:r>
    </w:p>
    <w:p w14:paraId="3A394510" w14:textId="1D87F64B"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 xml:space="preserve">recomendar al Consejo la celebración de una </w:t>
      </w:r>
      <w:r w:rsidR="008E4AA5" w:rsidRPr="003E6986">
        <w:rPr>
          <w:rFonts w:ascii="Times New Roman" w:hAnsi="Times New Roman" w:cs="Times New Roman"/>
          <w:szCs w:val="20"/>
          <w:lang w:val="es-ES_tradnl"/>
        </w:rPr>
        <w:t>CMR</w:t>
      </w:r>
      <w:r w:rsidRPr="003E6986">
        <w:rPr>
          <w:rFonts w:ascii="Times New Roman" w:hAnsi="Times New Roman" w:cs="Times New Roman"/>
          <w:szCs w:val="20"/>
          <w:lang w:val="es-ES_tradnl"/>
        </w:rPr>
        <w:t xml:space="preserve"> en 2027 con una duración de cuatro semanas, con el siguiente orden del día:</w:t>
      </w:r>
    </w:p>
    <w:p w14:paraId="421B3D78"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1</w:t>
      </w:r>
      <w:r w:rsidRPr="003E6986">
        <w:rPr>
          <w:rFonts w:ascii="Times New Roman" w:hAnsi="Times New Roman" w:cs="Times New Roman"/>
          <w:szCs w:val="20"/>
          <w:lang w:val="es-ES_tradnl"/>
        </w:rPr>
        <w:tab/>
        <w:t>sobre la base de las propuestas de las administraciones, teniendo en cuenta los resultados de la CMR</w:t>
      </w:r>
      <w:r w:rsidRPr="003E6986">
        <w:rPr>
          <w:rFonts w:ascii="Times New Roman" w:hAnsi="Times New Roman" w:cs="Times New Roman"/>
          <w:szCs w:val="20"/>
          <w:lang w:val="es-ES_tradnl"/>
        </w:rPr>
        <w:noBreakHyphen/>
        <w:t>23 y el Informe de la Reunión Preparatoria de la Conferencia, y con la debida consideración de las necesidades de los servicios existentes y futuros en las bandas de frecuencias en cuestión, considerar los siguientes asuntos y tomar las decisiones apropiadas con respecto a los mismos:</w:t>
      </w:r>
    </w:p>
    <w:p w14:paraId="2A120973"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0"/>
          <w:lang w:val="es-ES_tradnl"/>
        </w:rPr>
      </w:pPr>
      <w:r w:rsidRPr="003E6986">
        <w:rPr>
          <w:rFonts w:ascii="Times New Roman" w:eastAsia="SimSun" w:hAnsi="Times New Roman" w:cs="Times New Roman"/>
          <w:szCs w:val="20"/>
          <w:lang w:val="es-ES_tradnl"/>
        </w:rPr>
        <w:t>1.1</w:t>
      </w:r>
      <w:r w:rsidRPr="003E6986">
        <w:rPr>
          <w:rFonts w:ascii="Times New Roman" w:eastAsia="SimSun" w:hAnsi="Times New Roman" w:cs="Times New Roman"/>
          <w:szCs w:val="20"/>
          <w:lang w:val="es-ES_tradnl"/>
        </w:rPr>
        <w:tab/>
        <w:t xml:space="preserve">considerar las condiciones técnicas y operativas para la utilización de las bandas de frecuencias 47,2-50,2 GHz y 50,4-51,4 GHz (Tierra-espacio), o partes de las mismas, por estaciones terrenas en movimiento aeronáuticas y marítimas que se comunican con estaciones espaciales del servicio fijo por satélite y elaborar medidas reglamentarias, según proceda, para facilitar la utilización de las bandas de frecuencias 47,2-50,2 GHz y 50,4-51,4 GHz (Tierra-espacio), o partes de las mismas, por estaciones terrenas en movimiento aeronáuticas y marítimas que se comunican con estaciones espaciales geoestacionarias y estaciones espaciales no geoestacionarias del servicio fijo por satélite, de conformidad con la Resolución </w:t>
      </w:r>
      <w:r w:rsidRPr="003E6986">
        <w:rPr>
          <w:rFonts w:ascii="Times New Roman" w:eastAsia="SimSun" w:hAnsi="Times New Roman" w:cs="Times New Roman"/>
          <w:b/>
          <w:szCs w:val="20"/>
          <w:lang w:val="es-ES_tradnl"/>
        </w:rPr>
        <w:t>176 (Rev.CMR-23)</w:t>
      </w:r>
      <w:r w:rsidRPr="003E6986">
        <w:rPr>
          <w:rFonts w:ascii="Times New Roman" w:eastAsia="SimSun" w:hAnsi="Times New Roman" w:cs="Times New Roman"/>
          <w:szCs w:val="20"/>
          <w:lang w:val="es-ES_tradnl"/>
        </w:rPr>
        <w:t>;</w:t>
      </w:r>
    </w:p>
    <w:p w14:paraId="110146FD"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0"/>
          <w:lang w:val="es-ES_tradnl"/>
        </w:rPr>
      </w:pPr>
      <w:r w:rsidRPr="003E6986">
        <w:rPr>
          <w:rFonts w:ascii="Times New Roman" w:eastAsia="SimSun" w:hAnsi="Times New Roman" w:cs="Times New Roman"/>
          <w:szCs w:val="20"/>
          <w:lang w:val="es-ES_tradnl"/>
        </w:rPr>
        <w:br w:type="page"/>
      </w:r>
    </w:p>
    <w:p w14:paraId="790D12F3" w14:textId="34B3A0AC"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b/>
          <w:szCs w:val="20"/>
          <w:lang w:val="es-ES_tradnl"/>
        </w:rPr>
      </w:pPr>
      <w:r w:rsidRPr="003E6986">
        <w:rPr>
          <w:rFonts w:ascii="Times New Roman" w:eastAsia="SimSun" w:hAnsi="Times New Roman" w:cs="Times New Roman"/>
          <w:szCs w:val="20"/>
          <w:lang w:val="es-ES_tradnl"/>
        </w:rPr>
        <w:lastRenderedPageBreak/>
        <w:t>1.2</w:t>
      </w:r>
      <w:r w:rsidRPr="003E6986">
        <w:rPr>
          <w:rFonts w:ascii="Times New Roman" w:eastAsia="SimSun" w:hAnsi="Times New Roman" w:cs="Times New Roman"/>
          <w:szCs w:val="20"/>
          <w:lang w:val="es-ES_tradnl"/>
        </w:rPr>
        <w:tab/>
        <w:t>considerar la posible revisión de las condiciones de compartición en la banda de frecuencias 13,75-14 GHz para permitir la utilización de estaciones terrenas de enlace ascendente del servicio fijo por satélite con antenas de menor tamaño, de conformidad con la Resolución </w:t>
      </w:r>
      <w:r w:rsidR="006F1107" w:rsidRPr="003E6986">
        <w:rPr>
          <w:rFonts w:ascii="Times New Roman" w:eastAsia="SimSun" w:hAnsi="Times New Roman" w:cs="Times New Roman"/>
          <w:b/>
          <w:szCs w:val="20"/>
          <w:lang w:val="es-ES_tradnl"/>
        </w:rPr>
        <w:t>129</w:t>
      </w:r>
      <w:r w:rsidRPr="003E6986">
        <w:rPr>
          <w:rFonts w:ascii="Times New Roman" w:eastAsia="SimSun" w:hAnsi="Times New Roman" w:cs="Times New Roman"/>
          <w:b/>
          <w:szCs w:val="20"/>
          <w:lang w:val="es-ES_tradnl"/>
        </w:rPr>
        <w:t xml:space="preserve"> (</w:t>
      </w:r>
      <w:proofErr w:type="spellStart"/>
      <w:r w:rsidRPr="003E6986">
        <w:rPr>
          <w:rFonts w:ascii="Times New Roman" w:eastAsia="SimSun" w:hAnsi="Times New Roman" w:cs="Times New Roman"/>
          <w:b/>
          <w:szCs w:val="20"/>
          <w:lang w:val="es-ES_tradnl"/>
        </w:rPr>
        <w:t>CMR</w:t>
      </w:r>
      <w:proofErr w:type="spellEnd"/>
      <w:r w:rsidR="008653C7">
        <w:rPr>
          <w:rFonts w:ascii="Times New Roman" w:eastAsia="SimSun" w:hAnsi="Times New Roman" w:cs="Times New Roman"/>
          <w:b/>
          <w:szCs w:val="20"/>
          <w:lang w:val="es-ES_tradnl"/>
        </w:rPr>
        <w:noBreakHyphen/>
      </w:r>
      <w:r w:rsidRPr="003E6986">
        <w:rPr>
          <w:rFonts w:ascii="Times New Roman" w:eastAsia="SimSun" w:hAnsi="Times New Roman" w:cs="Times New Roman"/>
          <w:b/>
          <w:szCs w:val="20"/>
          <w:lang w:val="es-ES_tradnl"/>
        </w:rPr>
        <w:t>23)</w:t>
      </w:r>
      <w:r w:rsidRPr="003E6986">
        <w:rPr>
          <w:rFonts w:ascii="Times New Roman" w:eastAsia="SimSun" w:hAnsi="Times New Roman" w:cs="Times New Roman"/>
          <w:bCs/>
          <w:szCs w:val="20"/>
          <w:lang w:val="es-ES_tradnl"/>
        </w:rPr>
        <w:t>;</w:t>
      </w:r>
    </w:p>
    <w:p w14:paraId="059CF994" w14:textId="3220C650"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b/>
          <w:szCs w:val="20"/>
          <w:lang w:val="es-ES_tradnl"/>
        </w:rPr>
      </w:pPr>
      <w:r w:rsidRPr="003E6986">
        <w:rPr>
          <w:rFonts w:ascii="Times New Roman" w:eastAsia="SimSun" w:hAnsi="Times New Roman" w:cs="Times New Roman"/>
          <w:szCs w:val="20"/>
          <w:lang w:val="es-ES_tradnl"/>
        </w:rPr>
        <w:t>1.3</w:t>
      </w:r>
      <w:r w:rsidRPr="003E6986">
        <w:rPr>
          <w:rFonts w:ascii="Times New Roman" w:eastAsia="SimSun" w:hAnsi="Times New Roman" w:cs="Times New Roman"/>
          <w:szCs w:val="20"/>
          <w:lang w:val="es-ES_tradnl"/>
        </w:rPr>
        <w:tab/>
        <w:t xml:space="preserve">considerar estudios sobre la utilización de la banda de frecuencias 51,4-52,4 GHz para permitir su utilización por las estaciones terrenas de pasarela que transmitan a sistemas en la órbita de los satélites no geoestacionarios del servicio fijo por satélite (Tierra-espacio), de conformidad con la Resolución </w:t>
      </w:r>
      <w:r w:rsidR="006F1107" w:rsidRPr="003E6986">
        <w:rPr>
          <w:rFonts w:ascii="Times New Roman" w:eastAsia="SimSun" w:hAnsi="Times New Roman" w:cs="Times New Roman"/>
          <w:b/>
          <w:szCs w:val="20"/>
          <w:lang w:val="es-ES_tradnl"/>
        </w:rPr>
        <w:t>130</w:t>
      </w:r>
      <w:r w:rsidRPr="003E6986">
        <w:rPr>
          <w:rFonts w:ascii="Times New Roman" w:eastAsia="SimSun" w:hAnsi="Times New Roman" w:cs="Times New Roman"/>
          <w:b/>
          <w:szCs w:val="20"/>
          <w:lang w:val="es-ES_tradnl"/>
        </w:rPr>
        <w:t xml:space="preserve"> (CMR-23)</w:t>
      </w:r>
      <w:r w:rsidRPr="003E6986">
        <w:rPr>
          <w:rFonts w:ascii="Times New Roman" w:eastAsia="SimSun" w:hAnsi="Times New Roman" w:cs="Times New Roman"/>
          <w:bCs/>
          <w:szCs w:val="20"/>
          <w:lang w:val="es-ES_tradnl"/>
        </w:rPr>
        <w:t>;</w:t>
      </w:r>
    </w:p>
    <w:p w14:paraId="721F5BA2" w14:textId="3843D612"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b/>
          <w:szCs w:val="20"/>
          <w:lang w:val="es-ES_tradnl"/>
        </w:rPr>
      </w:pPr>
      <w:r w:rsidRPr="003E6986">
        <w:rPr>
          <w:rFonts w:ascii="Times New Roman" w:eastAsia="SimSun" w:hAnsi="Times New Roman" w:cs="Times New Roman"/>
          <w:szCs w:val="20"/>
          <w:lang w:val="es-ES_tradnl"/>
        </w:rPr>
        <w:t>1.4</w:t>
      </w:r>
      <w:r w:rsidRPr="003E6986">
        <w:rPr>
          <w:rFonts w:ascii="Times New Roman" w:eastAsia="SimSun" w:hAnsi="Times New Roman" w:cs="Times New Roman"/>
          <w:szCs w:val="20"/>
          <w:lang w:val="es-ES_tradnl"/>
        </w:rPr>
        <w:tab/>
        <w:t>considerar una posible nueva atribución a título primario al servicio fijo por satélite (espacio-Tierra) en la banda de frecuencias 17,3-17,7 GHz y una posible nueva atribución a título primario al servicio de radiodifusión por satélite (espacio-Tierra) en la banda de frecuencias 17,3</w:t>
      </w:r>
      <w:r w:rsidRPr="003E6986">
        <w:rPr>
          <w:rFonts w:ascii="Times New Roman" w:eastAsia="SimSun" w:hAnsi="Times New Roman" w:cs="Times New Roman"/>
          <w:szCs w:val="20"/>
          <w:lang w:val="es-ES_tradnl"/>
        </w:rPr>
        <w:noBreakHyphen/>
        <w:t>17,8 GHz en la Región 3, garantizando a su vez la protección de las atribuciones existentes a título primario en la misma banda de frecuencias y en las bandas de frecuencias adyacentes, y considerar los límites de densidad de flujo de potencia equivalente que habrán de aplicarse en las Regiones 1 y 3 a los sistemas de satélites no geoestacionarios del servicio fijo por satélite (espacio</w:t>
      </w:r>
      <w:r w:rsidRPr="003E6986">
        <w:rPr>
          <w:rFonts w:ascii="Times New Roman" w:eastAsia="SimSun" w:hAnsi="Times New Roman" w:cs="Times New Roman"/>
          <w:szCs w:val="20"/>
          <w:lang w:val="es-ES_tradnl"/>
        </w:rPr>
        <w:noBreakHyphen/>
        <w:t>Tierra) en la banda de frecuencias 17,3-17,7 GHz, de conformidad con la Resolución </w:t>
      </w:r>
      <w:r w:rsidR="006F1107" w:rsidRPr="003E6986">
        <w:rPr>
          <w:rFonts w:ascii="Times New Roman" w:eastAsia="SimSun" w:hAnsi="Times New Roman" w:cs="Times New Roman"/>
          <w:b/>
          <w:szCs w:val="20"/>
          <w:lang w:val="es-ES_tradnl"/>
        </w:rPr>
        <w:t>726</w:t>
      </w:r>
      <w:r w:rsidRPr="003E6986">
        <w:rPr>
          <w:rFonts w:ascii="Times New Roman" w:eastAsia="SimSun" w:hAnsi="Times New Roman" w:cs="Times New Roman"/>
          <w:b/>
          <w:szCs w:val="20"/>
          <w:lang w:val="es-ES_tradnl"/>
        </w:rPr>
        <w:t xml:space="preserve"> (CMR 23)</w:t>
      </w:r>
      <w:r w:rsidRPr="003E6986">
        <w:rPr>
          <w:rFonts w:ascii="Times New Roman" w:eastAsia="SimSun" w:hAnsi="Times New Roman" w:cs="Times New Roman"/>
          <w:bCs/>
          <w:szCs w:val="20"/>
          <w:lang w:val="es-ES_tradnl"/>
        </w:rPr>
        <w:t>;</w:t>
      </w:r>
    </w:p>
    <w:p w14:paraId="380B50E2" w14:textId="3F27022F"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bCs/>
          <w:szCs w:val="20"/>
          <w:lang w:val="es-ES_tradnl"/>
        </w:rPr>
      </w:pPr>
      <w:r w:rsidRPr="003E6986">
        <w:rPr>
          <w:rFonts w:ascii="Times New Roman" w:eastAsia="SimSun" w:hAnsi="Times New Roman" w:cs="Times New Roman"/>
          <w:szCs w:val="20"/>
          <w:lang w:val="es-ES_tradnl"/>
        </w:rPr>
        <w:t>1.5</w:t>
      </w:r>
      <w:r w:rsidRPr="003E6986">
        <w:rPr>
          <w:rFonts w:ascii="Times New Roman" w:eastAsia="SimSun" w:hAnsi="Times New Roman" w:cs="Times New Roman"/>
          <w:szCs w:val="20"/>
          <w:lang w:val="es-ES_tradnl"/>
        </w:rPr>
        <w:tab/>
        <w:t xml:space="preserve">considerar medidas reglamentarias y su aplicabilidad para limitar el funcionamiento no autorizado de estaciones terrenas en órbitas de satélites no geoestacionarios del servicio fijo por satélite y el servicio móvil por satélite y temas conexos relacionados con la zona de servicio de sistemas de satélites en órbitas de satélites no geoestacionarios del servicio fijo por satélite y el servicio móvil por satélite, de conformidad con la </w:t>
      </w:r>
      <w:r w:rsidRPr="003E6986">
        <w:rPr>
          <w:rFonts w:ascii="Times New Roman" w:eastAsia="SimSun" w:hAnsi="Times New Roman" w:cs="Times New Roman"/>
          <w:bCs/>
          <w:szCs w:val="20"/>
          <w:lang w:val="es-ES_tradnl"/>
        </w:rPr>
        <w:t>Resolución</w:t>
      </w:r>
      <w:r w:rsidRPr="003E6986">
        <w:rPr>
          <w:rFonts w:ascii="Times New Roman" w:eastAsia="SimSun" w:hAnsi="Times New Roman" w:cs="Times New Roman"/>
          <w:b/>
          <w:szCs w:val="20"/>
          <w:lang w:val="es-ES_tradnl"/>
        </w:rPr>
        <w:t xml:space="preserve"> </w:t>
      </w:r>
      <w:r w:rsidR="006F1107" w:rsidRPr="003E6986">
        <w:rPr>
          <w:rFonts w:ascii="Times New Roman" w:eastAsia="SimSun" w:hAnsi="Times New Roman" w:cs="Times New Roman"/>
          <w:b/>
          <w:szCs w:val="20"/>
          <w:lang w:val="es-ES_tradnl"/>
        </w:rPr>
        <w:t>14</w:t>
      </w:r>
      <w:r w:rsidRPr="003E6986">
        <w:rPr>
          <w:rFonts w:ascii="Times New Roman" w:eastAsia="SimSun" w:hAnsi="Times New Roman" w:cs="Times New Roman"/>
          <w:b/>
          <w:szCs w:val="20"/>
          <w:lang w:val="es-ES_tradnl"/>
        </w:rPr>
        <w:t xml:space="preserve"> (CMR-23)</w:t>
      </w:r>
      <w:r w:rsidRPr="003E6986">
        <w:rPr>
          <w:rFonts w:ascii="Times New Roman" w:eastAsia="SimSun" w:hAnsi="Times New Roman" w:cs="Times New Roman"/>
          <w:bCs/>
          <w:szCs w:val="20"/>
          <w:lang w:val="es-ES_tradnl"/>
        </w:rPr>
        <w:t>;</w:t>
      </w:r>
    </w:p>
    <w:p w14:paraId="252AD1D5" w14:textId="463DEC5B"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bCs/>
          <w:szCs w:val="20"/>
          <w:lang w:val="es-ES_tradnl"/>
        </w:rPr>
      </w:pPr>
      <w:r w:rsidRPr="003E6986">
        <w:rPr>
          <w:rFonts w:ascii="Times New Roman" w:eastAsia="SimSun" w:hAnsi="Times New Roman" w:cs="Times New Roman"/>
          <w:szCs w:val="20"/>
          <w:lang w:val="es-ES_tradnl"/>
        </w:rPr>
        <w:t>1.6</w:t>
      </w:r>
      <w:r w:rsidRPr="003E6986">
        <w:rPr>
          <w:rFonts w:ascii="Times New Roman" w:eastAsia="SimSun" w:hAnsi="Times New Roman" w:cs="Times New Roman"/>
          <w:szCs w:val="20"/>
          <w:lang w:val="es-ES_tradnl"/>
        </w:rPr>
        <w:tab/>
        <w:t>considerar las medidas técnicas y reglamentarias aplicables a las redes/sistemas de satélites del servicio fijo por satélite en las bandas de frecuencias 37,5-42,5 GHz (espacio-Tierra), 42,5-43,5 GHz (Tierra-espacio), 47,2-50,2 GHz (Tierra-espacio) y 50,4-51,4 GHz (Tierra-espacio) para lograr el acceso equitativo a estas bandas de frecuencias, de conformidad con la Resolución </w:t>
      </w:r>
      <w:r w:rsidR="00FB264C" w:rsidRPr="003E6986">
        <w:rPr>
          <w:rFonts w:ascii="Times New Roman" w:eastAsia="SimSun" w:hAnsi="Times New Roman" w:cs="Times New Roman"/>
          <w:b/>
          <w:szCs w:val="20"/>
          <w:lang w:val="es-ES_tradnl"/>
        </w:rPr>
        <w:t>131</w:t>
      </w:r>
      <w:r w:rsidRPr="003E6986">
        <w:rPr>
          <w:rFonts w:ascii="Times New Roman" w:eastAsia="SimSun" w:hAnsi="Times New Roman" w:cs="Times New Roman"/>
          <w:b/>
          <w:szCs w:val="20"/>
          <w:lang w:val="es-ES_tradnl"/>
        </w:rPr>
        <w:t xml:space="preserve"> (CMR-23)</w:t>
      </w:r>
      <w:r w:rsidRPr="003E6986">
        <w:rPr>
          <w:rFonts w:ascii="Times New Roman" w:eastAsia="SimSun" w:hAnsi="Times New Roman" w:cs="Times New Roman"/>
          <w:bCs/>
          <w:szCs w:val="20"/>
          <w:lang w:val="es-ES_tradnl"/>
        </w:rPr>
        <w:t>;</w:t>
      </w:r>
    </w:p>
    <w:p w14:paraId="76C0A926" w14:textId="347AABE9"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bCs/>
          <w:szCs w:val="20"/>
          <w:lang w:val="es-ES_tradnl"/>
        </w:rPr>
      </w:pPr>
      <w:r w:rsidRPr="003E6986">
        <w:rPr>
          <w:rFonts w:ascii="Times New Roman" w:eastAsia="SimSun" w:hAnsi="Times New Roman" w:cs="Times New Roman"/>
          <w:szCs w:val="20"/>
          <w:lang w:val="es-ES_tradnl"/>
        </w:rPr>
        <w:t>1.7</w:t>
      </w:r>
      <w:r w:rsidRPr="003E6986">
        <w:rPr>
          <w:rFonts w:ascii="Times New Roman" w:eastAsia="SimSun" w:hAnsi="Times New Roman" w:cs="Times New Roman"/>
          <w:szCs w:val="20"/>
          <w:lang w:val="es-ES_tradnl"/>
        </w:rPr>
        <w:tab/>
        <w:t xml:space="preserve">considerar estudios de compartición y compatibilidad y determinar las condiciones técnicas necesarias para la utilización de las Telecomunicaciones Móviles Internacionales (IMT) en las bandas de frecuencias 4 400-4 800 MHz, 7 125-8 400 MHz (o partes de </w:t>
      </w:r>
      <w:proofErr w:type="gramStart"/>
      <w:r w:rsidRPr="003E6986">
        <w:rPr>
          <w:rFonts w:ascii="Times New Roman" w:eastAsia="SimSun" w:hAnsi="Times New Roman" w:cs="Times New Roman"/>
          <w:szCs w:val="20"/>
          <w:lang w:val="es-ES_tradnl"/>
        </w:rPr>
        <w:t>la misma</w:t>
      </w:r>
      <w:proofErr w:type="gramEnd"/>
      <w:r w:rsidRPr="003E6986">
        <w:rPr>
          <w:rFonts w:ascii="Times New Roman" w:eastAsia="SimSun" w:hAnsi="Times New Roman" w:cs="Times New Roman"/>
          <w:szCs w:val="20"/>
          <w:lang w:val="es-ES_tradnl"/>
        </w:rPr>
        <w:t>) y 14,8</w:t>
      </w:r>
      <w:r w:rsidRPr="003E6986">
        <w:rPr>
          <w:rFonts w:ascii="Times New Roman" w:eastAsia="SimSun" w:hAnsi="Times New Roman" w:cs="Times New Roman"/>
          <w:szCs w:val="20"/>
          <w:lang w:val="es-ES_tradnl"/>
        </w:rPr>
        <w:noBreakHyphen/>
        <w:t xml:space="preserve">15,35 GHz, teniendo en cuenta los servicios primarios existentes en dichas bandas de frecuencias, así como en bandas adyacentes, de conformidad con la Resolución </w:t>
      </w:r>
      <w:r w:rsidR="006F1107" w:rsidRPr="003E6986">
        <w:rPr>
          <w:rFonts w:ascii="Times New Roman" w:eastAsia="SimSun" w:hAnsi="Times New Roman" w:cs="Times New Roman"/>
          <w:b/>
          <w:szCs w:val="20"/>
          <w:lang w:val="es-ES_tradnl"/>
        </w:rPr>
        <w:t>256</w:t>
      </w:r>
      <w:r w:rsidRPr="003E6986">
        <w:rPr>
          <w:rFonts w:ascii="Times New Roman" w:eastAsia="SimSun" w:hAnsi="Times New Roman" w:cs="Times New Roman"/>
          <w:b/>
          <w:szCs w:val="20"/>
          <w:lang w:val="es-ES_tradnl"/>
        </w:rPr>
        <w:t xml:space="preserve"> (CMR</w:t>
      </w:r>
      <w:r w:rsidRPr="003E6986">
        <w:rPr>
          <w:rFonts w:ascii="Times New Roman" w:eastAsia="SimSun" w:hAnsi="Times New Roman" w:cs="Times New Roman"/>
          <w:b/>
          <w:szCs w:val="20"/>
          <w:lang w:val="es-ES_tradnl"/>
        </w:rPr>
        <w:noBreakHyphen/>
        <w:t>23)</w:t>
      </w:r>
      <w:r w:rsidRPr="003E6986">
        <w:rPr>
          <w:rFonts w:ascii="Times New Roman" w:eastAsia="SimSun" w:hAnsi="Times New Roman" w:cs="Times New Roman"/>
          <w:bCs/>
          <w:szCs w:val="20"/>
          <w:lang w:val="es-ES_tradnl"/>
        </w:rPr>
        <w:t>;</w:t>
      </w:r>
    </w:p>
    <w:p w14:paraId="58260FAA"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0"/>
          <w:lang w:val="es-ES_tradnl"/>
        </w:rPr>
      </w:pPr>
      <w:r w:rsidRPr="003E6986">
        <w:rPr>
          <w:rFonts w:ascii="Times New Roman" w:eastAsia="SimSun" w:hAnsi="Times New Roman" w:cs="Times New Roman"/>
          <w:szCs w:val="20"/>
          <w:lang w:val="es-ES_tradnl"/>
        </w:rPr>
        <w:t>1.8</w:t>
      </w:r>
      <w:r w:rsidRPr="003E6986">
        <w:rPr>
          <w:rFonts w:ascii="Times New Roman" w:eastAsia="SimSun" w:hAnsi="Times New Roman" w:cs="Times New Roman"/>
          <w:szCs w:val="20"/>
          <w:lang w:val="es-ES_tradnl"/>
        </w:rPr>
        <w:tab/>
        <w:t xml:space="preserve">considerar posibles atribuciones adicionales de espectro al servicio de radiolocalización a título primario en la banda de frecuencias 231,5-275 GHz y posibles nuevas identificaciones para aplicaciones del servicio de radiolocalización en bandas de frecuencias dentro de la gama de frecuencias 275-700 GHz para sistemas de imágenes en ondas milimétricas y submilimétricas, de conformidad con la Resolución </w:t>
      </w:r>
      <w:r w:rsidRPr="003E6986">
        <w:rPr>
          <w:rFonts w:ascii="Times New Roman" w:eastAsia="SimSun" w:hAnsi="Times New Roman" w:cs="Times New Roman"/>
          <w:b/>
          <w:szCs w:val="20"/>
          <w:lang w:val="es-ES_tradnl"/>
        </w:rPr>
        <w:t>663 (CMR-23)</w:t>
      </w:r>
      <w:r w:rsidRPr="003E6986">
        <w:rPr>
          <w:rFonts w:ascii="Times New Roman" w:eastAsia="SimSun" w:hAnsi="Times New Roman" w:cs="Times New Roman"/>
          <w:szCs w:val="20"/>
          <w:lang w:val="es-ES_tradnl"/>
        </w:rPr>
        <w:t>;</w:t>
      </w:r>
    </w:p>
    <w:p w14:paraId="4733C626" w14:textId="7BF99BD0"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bCs/>
          <w:szCs w:val="20"/>
          <w:lang w:val="es-ES_tradnl"/>
        </w:rPr>
      </w:pPr>
      <w:r w:rsidRPr="003E6986">
        <w:rPr>
          <w:rFonts w:ascii="Times New Roman" w:eastAsia="SimSun" w:hAnsi="Times New Roman" w:cs="Times New Roman"/>
          <w:szCs w:val="20"/>
          <w:lang w:val="es-ES_tradnl"/>
        </w:rPr>
        <w:t>1.9</w:t>
      </w:r>
      <w:r w:rsidRPr="003E6986">
        <w:rPr>
          <w:rFonts w:ascii="Times New Roman" w:eastAsia="SimSun" w:hAnsi="Times New Roman" w:cs="Times New Roman"/>
          <w:szCs w:val="20"/>
          <w:lang w:val="es-ES_tradnl"/>
        </w:rPr>
        <w:tab/>
        <w:t xml:space="preserve">considerar las acciones reglamentarias pertinentes para actualizar el Apéndice </w:t>
      </w:r>
      <w:r w:rsidRPr="003E6986">
        <w:rPr>
          <w:rFonts w:ascii="Times New Roman" w:eastAsia="SimSun" w:hAnsi="Times New Roman" w:cs="Times New Roman"/>
          <w:b/>
          <w:szCs w:val="20"/>
          <w:lang w:val="es-ES_tradnl"/>
        </w:rPr>
        <w:t>26</w:t>
      </w:r>
      <w:r w:rsidRPr="003E6986">
        <w:rPr>
          <w:rFonts w:ascii="Times New Roman" w:eastAsia="SimSun" w:hAnsi="Times New Roman" w:cs="Times New Roman"/>
          <w:szCs w:val="20"/>
          <w:lang w:val="es-ES_tradnl"/>
        </w:rPr>
        <w:t xml:space="preserve"> del Reglamento de Radiocomunicaciones en pro de la modernización del servicio móvil aeronáutico (OR) en ondas decamétricas, de conformidad con la Resolución </w:t>
      </w:r>
      <w:r w:rsidR="006F1107" w:rsidRPr="003E6986">
        <w:rPr>
          <w:rFonts w:ascii="Times New Roman" w:eastAsia="SimSun" w:hAnsi="Times New Roman" w:cs="Times New Roman"/>
          <w:b/>
          <w:szCs w:val="20"/>
          <w:lang w:val="es-ES_tradnl"/>
        </w:rPr>
        <w:t>411</w:t>
      </w:r>
      <w:r w:rsidRPr="003E6986">
        <w:rPr>
          <w:rFonts w:ascii="Times New Roman" w:eastAsia="SimSun" w:hAnsi="Times New Roman" w:cs="Times New Roman"/>
          <w:b/>
          <w:szCs w:val="20"/>
          <w:lang w:val="es-ES_tradnl"/>
        </w:rPr>
        <w:t xml:space="preserve"> (CMR 23)</w:t>
      </w:r>
      <w:r w:rsidRPr="003E6986">
        <w:rPr>
          <w:rFonts w:ascii="Times New Roman" w:eastAsia="SimSun" w:hAnsi="Times New Roman" w:cs="Times New Roman"/>
          <w:bCs/>
          <w:szCs w:val="20"/>
          <w:lang w:val="es-ES_tradnl"/>
        </w:rPr>
        <w:t>;</w:t>
      </w:r>
    </w:p>
    <w:p w14:paraId="0A9AF4AA"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0"/>
          <w:lang w:val="es-ES_tradnl"/>
        </w:rPr>
      </w:pPr>
      <w:r w:rsidRPr="003E6986">
        <w:rPr>
          <w:rFonts w:ascii="Times New Roman" w:eastAsia="SimSun" w:hAnsi="Times New Roman" w:cs="Times New Roman"/>
          <w:szCs w:val="20"/>
          <w:lang w:val="es-ES_tradnl"/>
        </w:rPr>
        <w:t>1.10</w:t>
      </w:r>
      <w:r w:rsidRPr="003E6986">
        <w:rPr>
          <w:rFonts w:ascii="Times New Roman" w:eastAsia="SimSun" w:hAnsi="Times New Roman" w:cs="Times New Roman"/>
          <w:szCs w:val="20"/>
          <w:lang w:val="es-ES_tradnl"/>
        </w:rPr>
        <w:tab/>
        <w:t>considerar la determinación de límites de la densidad de flujo de potencia y de la potencia isótropa radiada equivalente (</w:t>
      </w:r>
      <w:proofErr w:type="spellStart"/>
      <w:r w:rsidRPr="003E6986">
        <w:rPr>
          <w:rFonts w:ascii="Times New Roman" w:eastAsia="SimSun" w:hAnsi="Times New Roman" w:cs="Times New Roman"/>
          <w:szCs w:val="20"/>
          <w:lang w:val="es-ES_tradnl"/>
        </w:rPr>
        <w:t>p.i.r.e</w:t>
      </w:r>
      <w:proofErr w:type="spellEnd"/>
      <w:r w:rsidRPr="003E6986">
        <w:rPr>
          <w:rFonts w:ascii="Times New Roman" w:eastAsia="SimSun" w:hAnsi="Times New Roman" w:cs="Times New Roman"/>
          <w:szCs w:val="20"/>
          <w:lang w:val="es-ES_tradnl"/>
        </w:rPr>
        <w:t xml:space="preserve">.) con miras a su inclusión en el Artículo </w:t>
      </w:r>
      <w:r w:rsidRPr="003E6986">
        <w:rPr>
          <w:rFonts w:ascii="Times New Roman" w:eastAsia="SimSun" w:hAnsi="Times New Roman" w:cs="Times New Roman"/>
          <w:b/>
          <w:szCs w:val="20"/>
          <w:lang w:val="es-ES_tradnl"/>
        </w:rPr>
        <w:t>21</w:t>
      </w:r>
      <w:r w:rsidRPr="003E6986">
        <w:rPr>
          <w:rFonts w:ascii="Times New Roman" w:eastAsia="SimSun" w:hAnsi="Times New Roman" w:cs="Times New Roman"/>
          <w:szCs w:val="20"/>
          <w:lang w:val="es-ES_tradnl"/>
        </w:rPr>
        <w:t xml:space="preserve"> del Reglamento de Radiocomunicaciones para los servicios fijo por satélite, móvil por satélite y de radiodifusión por satélite, a fin de proteger los servicios fijo y móvil en las bandas de frecuencias 71-76 GHz y 81</w:t>
      </w:r>
      <w:r w:rsidRPr="003E6986">
        <w:rPr>
          <w:rFonts w:ascii="Times New Roman" w:eastAsia="SimSun" w:hAnsi="Times New Roman" w:cs="Times New Roman"/>
          <w:szCs w:val="20"/>
          <w:lang w:val="es-ES_tradnl"/>
        </w:rPr>
        <w:noBreakHyphen/>
        <w:t>86 GHz, de conformidad con la Resolución </w:t>
      </w:r>
      <w:r w:rsidRPr="003E6986">
        <w:rPr>
          <w:rFonts w:ascii="Times New Roman" w:eastAsia="SimSun" w:hAnsi="Times New Roman" w:cs="Times New Roman"/>
          <w:b/>
          <w:szCs w:val="20"/>
          <w:lang w:val="es-ES_tradnl"/>
        </w:rPr>
        <w:t>775 (Rev.CMR-23)</w:t>
      </w:r>
      <w:r w:rsidRPr="003E6986">
        <w:rPr>
          <w:rFonts w:ascii="Times New Roman" w:eastAsia="SimSun" w:hAnsi="Times New Roman" w:cs="Times New Roman"/>
          <w:szCs w:val="20"/>
          <w:lang w:val="es-ES_tradnl"/>
        </w:rPr>
        <w:t>;</w:t>
      </w:r>
    </w:p>
    <w:p w14:paraId="7F3DE662" w14:textId="77777777" w:rsidR="008653C7" w:rsidRDefault="008653C7" w:rsidP="008653C7">
      <w:pPr>
        <w:tabs>
          <w:tab w:val="clear" w:pos="794"/>
          <w:tab w:val="clear" w:pos="1191"/>
          <w:tab w:val="clear" w:pos="1588"/>
          <w:tab w:val="clear" w:pos="1985"/>
        </w:tabs>
        <w:overflowPunct/>
        <w:autoSpaceDE/>
        <w:autoSpaceDN/>
        <w:adjustRightInd/>
        <w:spacing w:before="0" w:line="240" w:lineRule="auto"/>
        <w:textAlignment w:val="auto"/>
        <w:rPr>
          <w:rFonts w:ascii="Times New Roman" w:eastAsia="SimSun" w:hAnsi="Times New Roman" w:cs="Times New Roman"/>
          <w:szCs w:val="20"/>
          <w:lang w:val="es-ES_tradnl"/>
        </w:rPr>
      </w:pPr>
      <w:r>
        <w:rPr>
          <w:rFonts w:ascii="Times New Roman" w:eastAsia="SimSun" w:hAnsi="Times New Roman" w:cs="Times New Roman"/>
          <w:szCs w:val="20"/>
          <w:lang w:val="es-ES_tradnl"/>
        </w:rPr>
        <w:br w:type="page"/>
      </w:r>
    </w:p>
    <w:p w14:paraId="75A8C35E" w14:textId="058CA260"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bCs/>
          <w:szCs w:val="20"/>
          <w:lang w:val="es-ES_tradnl"/>
        </w:rPr>
      </w:pPr>
      <w:r w:rsidRPr="003E6986">
        <w:rPr>
          <w:rFonts w:ascii="Times New Roman" w:eastAsia="SimSun" w:hAnsi="Times New Roman" w:cs="Times New Roman"/>
          <w:szCs w:val="20"/>
          <w:lang w:val="es-ES_tradnl"/>
        </w:rPr>
        <w:lastRenderedPageBreak/>
        <w:t>1.11</w:t>
      </w:r>
      <w:r w:rsidRPr="003E6986">
        <w:rPr>
          <w:rFonts w:ascii="Times New Roman" w:eastAsia="SimSun" w:hAnsi="Times New Roman" w:cs="Times New Roman"/>
          <w:szCs w:val="20"/>
          <w:lang w:val="es-ES_tradnl"/>
        </w:rPr>
        <w:tab/>
        <w:t xml:space="preserve">considerar las cuestiones técnicas y operativas, así como las disposiciones reglamentarias, para los enlaces espacio-espacio entre satélites no geoestacionarios y geoestacionarios en las bandas de frecuencias 1 518-1 544 MHz, 1 545-1 559 MHz, 1 610-1 645,5 MHz, 1 646,5-1 660,0 MHz, 1 670,0-1 675,0 MHz y 2 483,5-2 500,0 MHz atribuidas al servicio móvil por satélite, de conformidad con la </w:t>
      </w:r>
      <w:r w:rsidRPr="003E6986">
        <w:rPr>
          <w:rFonts w:ascii="Times New Roman" w:eastAsia="SimSun" w:hAnsi="Times New Roman" w:cs="Times New Roman"/>
          <w:bCs/>
          <w:szCs w:val="20"/>
          <w:lang w:val="es-ES_tradnl"/>
        </w:rPr>
        <w:t>Resolución</w:t>
      </w:r>
      <w:r w:rsidRPr="003E6986">
        <w:rPr>
          <w:rFonts w:ascii="Times New Roman" w:eastAsia="SimSun" w:hAnsi="Times New Roman" w:cs="Times New Roman"/>
          <w:b/>
          <w:szCs w:val="20"/>
          <w:lang w:val="es-ES_tradnl"/>
        </w:rPr>
        <w:t> 249 (Rev.CMR-23)</w:t>
      </w:r>
      <w:r w:rsidRPr="003E6986">
        <w:rPr>
          <w:rFonts w:ascii="Times New Roman" w:eastAsia="SimSun" w:hAnsi="Times New Roman" w:cs="Times New Roman"/>
          <w:bCs/>
          <w:szCs w:val="20"/>
          <w:lang w:val="es-ES_tradnl"/>
        </w:rPr>
        <w:t>;</w:t>
      </w:r>
    </w:p>
    <w:p w14:paraId="665BF464" w14:textId="01501563"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0"/>
          <w:lang w:val="es-ES_tradnl"/>
        </w:rPr>
      </w:pPr>
      <w:r w:rsidRPr="003E6986">
        <w:rPr>
          <w:rFonts w:ascii="Times New Roman" w:eastAsia="SimSun" w:hAnsi="Times New Roman" w:cs="Times New Roman"/>
          <w:szCs w:val="20"/>
          <w:lang w:val="es-ES_tradnl"/>
        </w:rPr>
        <w:t>1.12</w:t>
      </w:r>
      <w:r w:rsidRPr="003E6986">
        <w:rPr>
          <w:rFonts w:ascii="Times New Roman" w:eastAsia="SimSun" w:hAnsi="Times New Roman" w:cs="Times New Roman"/>
          <w:szCs w:val="20"/>
          <w:lang w:val="es-ES_tradnl"/>
        </w:rPr>
        <w:tab/>
        <w:t>considerar, basándose en los resultados de los estudios, posibles atribuciones al servicio móvil por satélite y posibles medidas reglamentarias en las bandas de frecuencias 1 427-1 432 MHz (espacio-Tierra), 1 645,5-1 646,5 MHz (espacio-Tierra) y (Tierra-espacio), 1 880-1 920 MHz (espacio-Tierra) y (Tierra-espacio) y 2 010-2 025 MHz (espacio-Tierra) y (Tierra-espacio) necesarias para el futuro desarrollo de sistemas no geoestacionarios del servicio móvil por satélite de baja velocidad de datos, de conformidad con la Resolución </w:t>
      </w:r>
      <w:r w:rsidR="00032AC7" w:rsidRPr="003E6986">
        <w:rPr>
          <w:rFonts w:ascii="Times New Roman" w:eastAsia="SimSun" w:hAnsi="Times New Roman" w:cs="Times New Roman"/>
          <w:b/>
          <w:szCs w:val="20"/>
          <w:lang w:val="es-ES_tradnl"/>
        </w:rPr>
        <w:t>252</w:t>
      </w:r>
      <w:r w:rsidRPr="003E6986">
        <w:rPr>
          <w:rFonts w:ascii="Times New Roman" w:eastAsia="SimSun" w:hAnsi="Times New Roman" w:cs="Times New Roman"/>
          <w:b/>
          <w:szCs w:val="20"/>
          <w:lang w:val="es-ES_tradnl"/>
        </w:rPr>
        <w:t xml:space="preserve"> (CMR-23)</w:t>
      </w:r>
      <w:r w:rsidRPr="003E6986">
        <w:rPr>
          <w:rFonts w:ascii="Times New Roman" w:eastAsia="SimSun" w:hAnsi="Times New Roman" w:cs="Times New Roman"/>
          <w:szCs w:val="20"/>
          <w:lang w:val="es-ES_tradnl"/>
        </w:rPr>
        <w:t>;</w:t>
      </w:r>
    </w:p>
    <w:p w14:paraId="70BB9B48" w14:textId="52B14263"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bCs/>
          <w:szCs w:val="20"/>
          <w:lang w:val="es-ES_tradnl"/>
        </w:rPr>
      </w:pPr>
      <w:r w:rsidRPr="003E6986">
        <w:rPr>
          <w:rFonts w:ascii="Times New Roman" w:eastAsia="SimSun" w:hAnsi="Times New Roman" w:cs="Times New Roman"/>
          <w:szCs w:val="20"/>
          <w:lang w:val="es-ES_tradnl"/>
        </w:rPr>
        <w:t>1.13</w:t>
      </w:r>
      <w:r w:rsidRPr="003E6986">
        <w:rPr>
          <w:rFonts w:ascii="Times New Roman" w:eastAsia="SimSun" w:hAnsi="Times New Roman" w:cs="Times New Roman"/>
          <w:szCs w:val="20"/>
          <w:lang w:val="es-ES_tradnl"/>
        </w:rPr>
        <w:tab/>
        <w:t>considerar estudios sobre posibles nuevas atribuciones al servicio móvil por satélite para la conectividad directa entre estaciones espaciales y equipos de usuario de las Telecomunicaciones Móviles Internacionales (IMT) a fin de complementar la cobertura de la red IMT terrenal, de conformidad con la Resolución </w:t>
      </w:r>
      <w:r w:rsidR="00032AC7" w:rsidRPr="003E6986">
        <w:rPr>
          <w:rFonts w:ascii="Times New Roman" w:eastAsia="SimSun" w:hAnsi="Times New Roman" w:cs="Times New Roman"/>
          <w:b/>
          <w:szCs w:val="20"/>
          <w:lang w:val="es-ES_tradnl"/>
        </w:rPr>
        <w:t>253</w:t>
      </w:r>
      <w:r w:rsidRPr="003E6986">
        <w:rPr>
          <w:rFonts w:ascii="Times New Roman" w:eastAsia="SimSun" w:hAnsi="Times New Roman" w:cs="Times New Roman"/>
          <w:b/>
          <w:szCs w:val="20"/>
          <w:lang w:val="es-ES_tradnl"/>
        </w:rPr>
        <w:t xml:space="preserve"> (CMR-23)</w:t>
      </w:r>
      <w:r w:rsidRPr="003E6986">
        <w:rPr>
          <w:rFonts w:ascii="Times New Roman" w:eastAsia="SimSun" w:hAnsi="Times New Roman" w:cs="Times New Roman"/>
          <w:bCs/>
          <w:szCs w:val="20"/>
          <w:lang w:val="es-ES_tradnl"/>
        </w:rPr>
        <w:t>;</w:t>
      </w:r>
    </w:p>
    <w:p w14:paraId="68411C21" w14:textId="04173B7B"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0"/>
          <w:lang w:val="es-ES_tradnl"/>
        </w:rPr>
      </w:pPr>
      <w:r w:rsidRPr="003E6986">
        <w:rPr>
          <w:rFonts w:ascii="Times New Roman" w:eastAsia="SimSun" w:hAnsi="Times New Roman" w:cs="Times New Roman"/>
          <w:szCs w:val="20"/>
          <w:lang w:val="es-ES_tradnl"/>
        </w:rPr>
        <w:t>1.14</w:t>
      </w:r>
      <w:r w:rsidRPr="003E6986">
        <w:rPr>
          <w:rFonts w:ascii="Times New Roman" w:eastAsia="SimSun" w:hAnsi="Times New Roman" w:cs="Times New Roman"/>
          <w:szCs w:val="20"/>
          <w:lang w:val="es-ES_tradnl"/>
        </w:rPr>
        <w:tab/>
        <w:t>considerar la posibilidad de otorgar atribuciones adicionales al servicio móvil por satélite, de conformidad con la Resolución </w:t>
      </w:r>
      <w:r w:rsidR="00032AC7" w:rsidRPr="003E6986">
        <w:rPr>
          <w:rFonts w:ascii="Times New Roman" w:eastAsia="SimSun" w:hAnsi="Times New Roman" w:cs="Times New Roman"/>
          <w:b/>
          <w:szCs w:val="20"/>
          <w:lang w:val="es-ES_tradnl"/>
        </w:rPr>
        <w:t>254</w:t>
      </w:r>
      <w:r w:rsidRPr="003E6986">
        <w:rPr>
          <w:rFonts w:ascii="Times New Roman" w:eastAsia="SimSun" w:hAnsi="Times New Roman" w:cs="Times New Roman"/>
          <w:b/>
          <w:szCs w:val="20"/>
          <w:lang w:val="es-ES_tradnl"/>
        </w:rPr>
        <w:t xml:space="preserve"> (CMR-23)</w:t>
      </w:r>
      <w:r w:rsidRPr="003E6986">
        <w:rPr>
          <w:rFonts w:ascii="Times New Roman" w:eastAsia="SimSun" w:hAnsi="Times New Roman" w:cs="Times New Roman"/>
          <w:szCs w:val="20"/>
          <w:lang w:val="es-ES_tradnl"/>
        </w:rPr>
        <w:t>;</w:t>
      </w:r>
    </w:p>
    <w:p w14:paraId="24E10B50" w14:textId="1FF75D1E"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b/>
          <w:szCs w:val="20"/>
          <w:lang w:val="es-ES_tradnl"/>
        </w:rPr>
      </w:pPr>
      <w:r w:rsidRPr="003E6986">
        <w:rPr>
          <w:rFonts w:ascii="Times New Roman" w:eastAsia="SimSun" w:hAnsi="Times New Roman" w:cs="Times New Roman"/>
          <w:szCs w:val="20"/>
          <w:lang w:val="es-ES_tradnl"/>
        </w:rPr>
        <w:t>1.15</w:t>
      </w:r>
      <w:r w:rsidRPr="003E6986">
        <w:rPr>
          <w:rFonts w:ascii="Times New Roman" w:eastAsia="SimSun" w:hAnsi="Times New Roman" w:cs="Times New Roman"/>
          <w:szCs w:val="20"/>
          <w:lang w:val="es-ES_tradnl"/>
        </w:rPr>
        <w:tab/>
        <w:t xml:space="preserve">considerar estudios sobre asuntos relacionados con las frecuencias, incluida la posibilidad de otorgar nuevas atribuciones al servicio de investigación espacial (espacio-espacio), o de modificar las existentes, para el futuro desarrollo de las comunicaciones en la superficie lunar y entre la </w:t>
      </w:r>
      <w:proofErr w:type="gramStart"/>
      <w:r w:rsidRPr="003E6986">
        <w:rPr>
          <w:rFonts w:ascii="Times New Roman" w:eastAsia="SimSun" w:hAnsi="Times New Roman" w:cs="Times New Roman"/>
          <w:szCs w:val="20"/>
          <w:lang w:val="es-ES_tradnl"/>
        </w:rPr>
        <w:t>órbita lunar y la superficie lunar</w:t>
      </w:r>
      <w:proofErr w:type="gramEnd"/>
      <w:r w:rsidRPr="003E6986">
        <w:rPr>
          <w:rFonts w:ascii="Times New Roman" w:eastAsia="SimSun" w:hAnsi="Times New Roman" w:cs="Times New Roman"/>
          <w:szCs w:val="20"/>
          <w:lang w:val="es-ES_tradnl"/>
        </w:rPr>
        <w:t xml:space="preserve">, de conformidad con la </w:t>
      </w:r>
      <w:r w:rsidRPr="003E6986">
        <w:rPr>
          <w:rFonts w:ascii="Times New Roman" w:eastAsia="SimSun" w:hAnsi="Times New Roman" w:cs="Times New Roman"/>
          <w:bCs/>
          <w:szCs w:val="20"/>
          <w:lang w:val="es-ES_tradnl"/>
        </w:rPr>
        <w:t>Resolución </w:t>
      </w:r>
      <w:r w:rsidR="00032AC7" w:rsidRPr="003E6986">
        <w:rPr>
          <w:rFonts w:ascii="Times New Roman" w:eastAsia="SimSun" w:hAnsi="Times New Roman" w:cs="Times New Roman"/>
          <w:b/>
          <w:szCs w:val="20"/>
          <w:lang w:val="es-ES_tradnl"/>
        </w:rPr>
        <w:t>680</w:t>
      </w:r>
      <w:r w:rsidRPr="003E6986">
        <w:rPr>
          <w:rFonts w:ascii="Times New Roman" w:eastAsia="SimSun" w:hAnsi="Times New Roman" w:cs="Times New Roman"/>
          <w:b/>
          <w:szCs w:val="20"/>
          <w:lang w:val="es-ES_tradnl"/>
        </w:rPr>
        <w:t xml:space="preserve"> (CMR-23)</w:t>
      </w:r>
      <w:r w:rsidRPr="003E6986">
        <w:rPr>
          <w:rFonts w:ascii="Times New Roman" w:eastAsia="SimSun" w:hAnsi="Times New Roman" w:cs="Times New Roman"/>
          <w:szCs w:val="20"/>
          <w:lang w:val="es-ES_tradnl"/>
        </w:rPr>
        <w:t>;</w:t>
      </w:r>
    </w:p>
    <w:p w14:paraId="687BB010" w14:textId="729645D1"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0"/>
          <w:lang w:val="es-ES_tradnl"/>
        </w:rPr>
      </w:pPr>
      <w:r w:rsidRPr="003E6986">
        <w:rPr>
          <w:rFonts w:ascii="Times New Roman" w:eastAsia="SimSun" w:hAnsi="Times New Roman" w:cs="Times New Roman"/>
          <w:szCs w:val="20"/>
          <w:lang w:val="es-ES_tradnl"/>
        </w:rPr>
        <w:t>1.16</w:t>
      </w:r>
      <w:r w:rsidRPr="003E6986">
        <w:rPr>
          <w:rFonts w:ascii="Times New Roman" w:eastAsia="SimSun" w:hAnsi="Times New Roman" w:cs="Times New Roman"/>
          <w:szCs w:val="20"/>
          <w:lang w:val="es-ES_tradnl"/>
        </w:rPr>
        <w:tab/>
        <w:t>considerar estudios sobre las disposiciones técnicas y reglamentarias necesarias para proteger la radioastronomía en zonas de silencio radioeléctrico específicas y en las bandas de frecuencias atribuidas a título primario al servicio de radioastronomía a nivel mundial contra la interferencia radioeléctrica combinada causada por sistemas en órbita de satélites no geoestacionarios, de conformidad con la Resolución </w:t>
      </w:r>
      <w:r w:rsidR="00032AC7" w:rsidRPr="003E6986">
        <w:rPr>
          <w:rFonts w:ascii="Times New Roman" w:eastAsia="SimSun" w:hAnsi="Times New Roman" w:cs="Times New Roman"/>
          <w:b/>
          <w:szCs w:val="20"/>
          <w:lang w:val="es-ES_tradnl"/>
        </w:rPr>
        <w:t>681</w:t>
      </w:r>
      <w:r w:rsidRPr="003E6986">
        <w:rPr>
          <w:rFonts w:ascii="Times New Roman" w:eastAsia="SimSun" w:hAnsi="Times New Roman" w:cs="Times New Roman"/>
          <w:b/>
          <w:szCs w:val="20"/>
          <w:lang w:val="es-ES_tradnl"/>
        </w:rPr>
        <w:t xml:space="preserve"> (CMR-23)</w:t>
      </w:r>
      <w:r w:rsidRPr="003E6986">
        <w:rPr>
          <w:rFonts w:ascii="Times New Roman" w:eastAsia="SimSun" w:hAnsi="Times New Roman" w:cs="Times New Roman"/>
          <w:szCs w:val="20"/>
          <w:lang w:val="es-ES_tradnl"/>
        </w:rPr>
        <w:t>;</w:t>
      </w:r>
    </w:p>
    <w:p w14:paraId="6C1E31E6" w14:textId="3DEEF440"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0"/>
          <w:lang w:val="es-ES_tradnl"/>
        </w:rPr>
      </w:pPr>
      <w:r w:rsidRPr="003E6986">
        <w:rPr>
          <w:rFonts w:ascii="Times New Roman" w:eastAsia="SimSun" w:hAnsi="Times New Roman" w:cs="Times New Roman"/>
          <w:szCs w:val="20"/>
          <w:lang w:val="es-ES_tradnl"/>
        </w:rPr>
        <w:t>1.17</w:t>
      </w:r>
      <w:r w:rsidRPr="003E6986">
        <w:rPr>
          <w:rFonts w:ascii="Times New Roman" w:eastAsia="SimSun" w:hAnsi="Times New Roman" w:cs="Times New Roman"/>
          <w:szCs w:val="20"/>
          <w:lang w:val="es-ES_tradnl"/>
        </w:rPr>
        <w:tab/>
        <w:t>considerar las disposiciones reglamentarias para los sensores de meteorología espacial de sólo recepción y su protección en el Reglamento de Radiocomunicaciones, teniendo en cuenta los resultados de los estudios del Sector de Radiocomunicaciones de la UIT de conformidad con la Resolución </w:t>
      </w:r>
      <w:r w:rsidR="00032AC7" w:rsidRPr="003E6986">
        <w:rPr>
          <w:rFonts w:ascii="Times New Roman" w:eastAsia="SimSun" w:hAnsi="Times New Roman" w:cs="Times New Roman"/>
          <w:b/>
          <w:szCs w:val="20"/>
          <w:lang w:val="es-ES_tradnl"/>
        </w:rPr>
        <w:t>682</w:t>
      </w:r>
      <w:r w:rsidRPr="003E6986">
        <w:rPr>
          <w:rFonts w:ascii="Times New Roman" w:eastAsia="SimSun" w:hAnsi="Times New Roman" w:cs="Times New Roman"/>
          <w:b/>
          <w:szCs w:val="20"/>
          <w:lang w:val="es-ES_tradnl"/>
        </w:rPr>
        <w:t xml:space="preserve"> (CMR</w:t>
      </w:r>
      <w:r w:rsidRPr="003E6986">
        <w:rPr>
          <w:rFonts w:ascii="Times New Roman" w:eastAsia="SimSun" w:hAnsi="Times New Roman" w:cs="Times New Roman"/>
          <w:b/>
          <w:szCs w:val="20"/>
          <w:lang w:val="es-ES_tradnl"/>
        </w:rPr>
        <w:noBreakHyphen/>
        <w:t>23)</w:t>
      </w:r>
      <w:r w:rsidRPr="003E6986">
        <w:rPr>
          <w:rFonts w:ascii="Times New Roman" w:eastAsia="SimSun" w:hAnsi="Times New Roman" w:cs="Times New Roman"/>
          <w:szCs w:val="20"/>
          <w:lang w:val="es-ES_tradnl"/>
        </w:rPr>
        <w:t>;</w:t>
      </w:r>
    </w:p>
    <w:p w14:paraId="5D6D2775" w14:textId="591E23F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0"/>
          <w:lang w:val="es-ES_tradnl"/>
        </w:rPr>
      </w:pPr>
      <w:r w:rsidRPr="003E6986">
        <w:rPr>
          <w:rFonts w:ascii="Times New Roman" w:eastAsia="SimSun" w:hAnsi="Times New Roman" w:cs="Times New Roman"/>
          <w:szCs w:val="20"/>
          <w:lang w:val="es-ES_tradnl"/>
        </w:rPr>
        <w:t>1.18</w:t>
      </w:r>
      <w:r w:rsidRPr="003E6986">
        <w:rPr>
          <w:rFonts w:ascii="Times New Roman" w:eastAsia="SimSun" w:hAnsi="Times New Roman" w:cs="Times New Roman"/>
          <w:szCs w:val="20"/>
          <w:lang w:val="es-ES_tradnl"/>
        </w:rPr>
        <w:tab/>
        <w:t>considerar, basándose en los resultados de los estudios del Sector de Radiocomunicaciones de la UIT, posibles medidas reglamentarias relativas a la protección del servicio de exploración de la Tierra por satélite (pasivo) y del servicio de radioastronomía en determinadas bandas de frecuencias por encima de 76 GHz contra las emisiones no deseadas de los servicios activos, de conformidad con la Resolución </w:t>
      </w:r>
      <w:r w:rsidR="00032AC7" w:rsidRPr="003E6986">
        <w:rPr>
          <w:rFonts w:ascii="Times New Roman" w:eastAsia="SimSun" w:hAnsi="Times New Roman" w:cs="Times New Roman"/>
          <w:b/>
          <w:szCs w:val="20"/>
          <w:lang w:val="es-ES_tradnl"/>
        </w:rPr>
        <w:t>712</w:t>
      </w:r>
      <w:r w:rsidRPr="003E6986">
        <w:rPr>
          <w:rFonts w:ascii="Times New Roman" w:eastAsia="SimSun" w:hAnsi="Times New Roman" w:cs="Times New Roman"/>
          <w:b/>
          <w:szCs w:val="20"/>
          <w:lang w:val="es-ES_tradnl"/>
        </w:rPr>
        <w:t xml:space="preserve"> (CMR-23)</w:t>
      </w:r>
      <w:r w:rsidRPr="003E6986">
        <w:rPr>
          <w:rFonts w:ascii="Times New Roman" w:eastAsia="SimSun" w:hAnsi="Times New Roman" w:cs="Times New Roman"/>
          <w:szCs w:val="20"/>
          <w:lang w:val="es-ES_tradnl"/>
        </w:rPr>
        <w:t>;</w:t>
      </w:r>
    </w:p>
    <w:p w14:paraId="3F8FAAB7" w14:textId="1228B335"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0"/>
          <w:lang w:val="es-ES_tradnl"/>
        </w:rPr>
      </w:pPr>
      <w:r w:rsidRPr="003E6986">
        <w:rPr>
          <w:rFonts w:ascii="Times New Roman" w:eastAsia="SimSun" w:hAnsi="Times New Roman" w:cs="Times New Roman"/>
          <w:szCs w:val="20"/>
          <w:lang w:val="es-ES_tradnl"/>
        </w:rPr>
        <w:t>1.19</w:t>
      </w:r>
      <w:r w:rsidRPr="003E6986">
        <w:rPr>
          <w:rFonts w:ascii="Times New Roman" w:eastAsia="SimSun" w:hAnsi="Times New Roman" w:cs="Times New Roman"/>
          <w:szCs w:val="20"/>
          <w:lang w:val="es-ES_tradnl"/>
        </w:rPr>
        <w:tab/>
        <w:t>considerar la posibilidad de otorgar atribuciones a título primario en todas las Regiones al servicio de exploración de la Tierra por satélite (pasivo) en las bandas de frecuencias 4 200</w:t>
      </w:r>
      <w:r w:rsidRPr="003E6986">
        <w:rPr>
          <w:rFonts w:ascii="Times New Roman" w:eastAsia="SimSun" w:hAnsi="Times New Roman" w:cs="Times New Roman"/>
          <w:szCs w:val="20"/>
          <w:lang w:val="es-ES_tradnl"/>
        </w:rPr>
        <w:noBreakHyphen/>
        <w:t xml:space="preserve">4 400 MHz y 8 400-8 500 MHz, de conformidad con la Resolución </w:t>
      </w:r>
      <w:r w:rsidR="00032AC7" w:rsidRPr="003E6986">
        <w:rPr>
          <w:rFonts w:ascii="Times New Roman" w:eastAsia="SimSun" w:hAnsi="Times New Roman" w:cs="Times New Roman"/>
          <w:b/>
          <w:bCs/>
          <w:szCs w:val="20"/>
          <w:lang w:val="es-ES_tradnl"/>
        </w:rPr>
        <w:t>674</w:t>
      </w:r>
      <w:r w:rsidRPr="003E6986">
        <w:rPr>
          <w:rFonts w:ascii="Times New Roman" w:eastAsia="SimSun" w:hAnsi="Times New Roman" w:cs="Times New Roman"/>
          <w:b/>
          <w:bCs/>
          <w:szCs w:val="20"/>
          <w:lang w:val="es-ES_tradnl"/>
        </w:rPr>
        <w:t xml:space="preserve"> (CMR-23)</w:t>
      </w:r>
      <w:r w:rsidRPr="003E6986">
        <w:rPr>
          <w:rFonts w:ascii="Times New Roman" w:eastAsia="SimSun" w:hAnsi="Times New Roman" w:cs="Times New Roman"/>
          <w:szCs w:val="20"/>
          <w:lang w:val="es-ES_tradnl"/>
        </w:rPr>
        <w:t>;</w:t>
      </w:r>
    </w:p>
    <w:p w14:paraId="415EA41C"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eastAsia="SimSun" w:hAnsi="Times New Roman" w:cs="Times New Roman"/>
          <w:szCs w:val="20"/>
          <w:lang w:val="es-ES_tradnl"/>
        </w:rPr>
      </w:pPr>
      <w:r w:rsidRPr="003E6986">
        <w:rPr>
          <w:rFonts w:ascii="Times New Roman" w:hAnsi="Times New Roman" w:cs="Times New Roman"/>
          <w:szCs w:val="20"/>
          <w:lang w:val="es-ES_tradnl"/>
        </w:rPr>
        <w:t>2</w:t>
      </w:r>
      <w:r w:rsidRPr="003E6986">
        <w:rPr>
          <w:rFonts w:ascii="Times New Roman" w:hAnsi="Times New Roman" w:cs="Times New Roman"/>
          <w:szCs w:val="20"/>
          <w:lang w:val="es-ES_tradnl"/>
        </w:rPr>
        <w:tab/>
        <w:t>examinar las Recomendaciones del Sector de Radiocomunicaciones de la UIT incorporadas por referencia en el Reglamento de Radiocomunicaciones, comunicadas por la Asamblea de Radiocomunicaciones de acuerdo con la Resolución </w:t>
      </w:r>
      <w:r w:rsidRPr="003E6986">
        <w:rPr>
          <w:rFonts w:ascii="Times New Roman" w:hAnsi="Times New Roman" w:cs="Times New Roman"/>
          <w:b/>
          <w:bCs/>
          <w:szCs w:val="20"/>
          <w:lang w:val="es-ES_tradnl"/>
        </w:rPr>
        <w:t xml:space="preserve">27 (Rev.CMR-19), </w:t>
      </w:r>
      <w:r w:rsidRPr="003E6986">
        <w:rPr>
          <w:rFonts w:ascii="Times New Roman" w:hAnsi="Times New Roman" w:cs="Times New Roman"/>
          <w:szCs w:val="20"/>
          <w:lang w:val="es-ES_tradnl"/>
        </w:rPr>
        <w:t xml:space="preserve">y decidir si se actualizan o no las referencias correspondientes en el Reglamento de Radiocomunicaciones, con arreglo a los principios contenidos en los </w:t>
      </w:r>
      <w:r w:rsidRPr="003E6986">
        <w:rPr>
          <w:rFonts w:ascii="Times New Roman" w:hAnsi="Times New Roman" w:cs="Times New Roman"/>
          <w:i/>
          <w:iCs/>
          <w:szCs w:val="20"/>
          <w:lang w:val="es-ES_tradnl"/>
        </w:rPr>
        <w:t>resuelves</w:t>
      </w:r>
      <w:r w:rsidRPr="003E6986">
        <w:rPr>
          <w:rFonts w:ascii="Times New Roman" w:hAnsi="Times New Roman" w:cs="Times New Roman"/>
          <w:szCs w:val="20"/>
          <w:lang w:val="es-ES_tradnl"/>
        </w:rPr>
        <w:t xml:space="preserve"> de dicha Resolución;</w:t>
      </w:r>
    </w:p>
    <w:p w14:paraId="66CA8DCD"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3</w:t>
      </w:r>
      <w:r w:rsidRPr="003E6986">
        <w:rPr>
          <w:rFonts w:ascii="Times New Roman" w:hAnsi="Times New Roman" w:cs="Times New Roman"/>
          <w:szCs w:val="20"/>
          <w:lang w:val="es-ES_tradnl"/>
        </w:rPr>
        <w:tab/>
        <w:t>examinar los cambios y las modificaciones que se hayan de realizar en el Reglamento de Radiocomunicaciones como consecuencia de las decisiones de la Conferencia;</w:t>
      </w:r>
    </w:p>
    <w:p w14:paraId="17C3A3DD" w14:textId="77777777" w:rsidR="008653C7" w:rsidRDefault="008653C7" w:rsidP="008653C7">
      <w:pPr>
        <w:tabs>
          <w:tab w:val="clear" w:pos="794"/>
          <w:tab w:val="clear" w:pos="1191"/>
          <w:tab w:val="clear" w:pos="1588"/>
          <w:tab w:val="clear" w:pos="1985"/>
        </w:tabs>
        <w:overflowPunct/>
        <w:autoSpaceDE/>
        <w:autoSpaceDN/>
        <w:adjustRightInd/>
        <w:spacing w:before="0" w:line="240" w:lineRule="auto"/>
        <w:textAlignment w:val="auto"/>
        <w:rPr>
          <w:rFonts w:ascii="Times New Roman" w:hAnsi="Times New Roman" w:cs="Times New Roman"/>
          <w:szCs w:val="20"/>
          <w:lang w:val="es-ES_tradnl"/>
        </w:rPr>
      </w:pPr>
      <w:r>
        <w:rPr>
          <w:rFonts w:ascii="Times New Roman" w:hAnsi="Times New Roman" w:cs="Times New Roman"/>
          <w:szCs w:val="20"/>
          <w:lang w:val="es-ES_tradnl"/>
        </w:rPr>
        <w:br w:type="page"/>
      </w:r>
    </w:p>
    <w:p w14:paraId="03AEE431" w14:textId="438D1DF9"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color w:val="000000"/>
          <w:szCs w:val="20"/>
          <w:lang w:val="es-ES_tradnl"/>
        </w:rPr>
      </w:pPr>
      <w:r w:rsidRPr="003E6986">
        <w:rPr>
          <w:rFonts w:ascii="Times New Roman" w:hAnsi="Times New Roman" w:cs="Times New Roman"/>
          <w:szCs w:val="20"/>
          <w:lang w:val="es-ES_tradnl"/>
        </w:rPr>
        <w:lastRenderedPageBreak/>
        <w:t>4</w:t>
      </w:r>
      <w:r w:rsidRPr="003E6986">
        <w:rPr>
          <w:rFonts w:ascii="Times New Roman" w:hAnsi="Times New Roman" w:cs="Times New Roman"/>
          <w:szCs w:val="20"/>
          <w:lang w:val="es-ES_tradnl"/>
        </w:rPr>
        <w:tab/>
        <w:t>considerar, de conformidad con la Resolución </w:t>
      </w:r>
      <w:r w:rsidRPr="003E6986">
        <w:rPr>
          <w:rFonts w:ascii="Times New Roman" w:hAnsi="Times New Roman" w:cs="Times New Roman"/>
          <w:b/>
          <w:bCs/>
          <w:szCs w:val="20"/>
          <w:lang w:val="es-ES_tradnl"/>
        </w:rPr>
        <w:t>95 (Rev.CMR-19)</w:t>
      </w:r>
      <w:r w:rsidRPr="003E6986">
        <w:rPr>
          <w:rFonts w:ascii="Times New Roman" w:hAnsi="Times New Roman" w:cs="Times New Roman"/>
          <w:szCs w:val="20"/>
          <w:lang w:val="es-ES_tradnl"/>
        </w:rPr>
        <w:t>, las Resoluciones y Recomendaciones de las Conferencias anteriores para su posible revisión, sustitución o supresión;</w:t>
      </w:r>
    </w:p>
    <w:p w14:paraId="6774E2CC"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5</w:t>
      </w:r>
      <w:r w:rsidRPr="003E6986">
        <w:rPr>
          <w:rFonts w:ascii="Times New Roman" w:hAnsi="Times New Roman" w:cs="Times New Roman"/>
          <w:szCs w:val="20"/>
          <w:lang w:val="es-ES_tradnl"/>
        </w:rPr>
        <w:tab/>
        <w:t>examinar el Informe de la Asamblea de Radiocomunicaciones, presentado de acuerdo con los números 135 y 136 del Convenio de la UIT, y tomar las medidas pertinentes;</w:t>
      </w:r>
    </w:p>
    <w:p w14:paraId="0A2D9264"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6</w:t>
      </w:r>
      <w:r w:rsidRPr="003E6986">
        <w:rPr>
          <w:rFonts w:ascii="Times New Roman" w:hAnsi="Times New Roman" w:cs="Times New Roman"/>
          <w:szCs w:val="20"/>
          <w:lang w:val="es-ES_tradnl"/>
        </w:rPr>
        <w:tab/>
        <w:t>identificar los temas que exigen la intervención inmediata de las Comisiones de Estudio de Radiocomunicaciones para la preparación de la próxima Conferencia Mundial de Radiocomunicaciones;</w:t>
      </w:r>
    </w:p>
    <w:p w14:paraId="1155B77C"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7</w:t>
      </w:r>
      <w:r w:rsidRPr="003E6986">
        <w:rPr>
          <w:rFonts w:ascii="Times New Roman" w:hAnsi="Times New Roman" w:cs="Times New Roman"/>
          <w:szCs w:val="20"/>
          <w:lang w:val="es-ES_tradnl"/>
        </w:rPr>
        <w:tab/>
        <w:t xml:space="preserve">considerar, para responder a lo dispuesto en la Resolución 86 (Rev. Marrakech, 2002) de la Conferencia de Plenipotenciarios, la posibilidad de modificar los procedimientos de publicación anticipada, de coordinación, de notificación y de inscripción de asignaciones de frecuencias </w:t>
      </w:r>
      <w:r w:rsidRPr="003E6986" w:rsidDel="00EA0DC7">
        <w:rPr>
          <w:rFonts w:ascii="Times New Roman" w:hAnsi="Times New Roman" w:cs="Times New Roman"/>
          <w:szCs w:val="20"/>
          <w:lang w:val="es-ES_tradnl"/>
        </w:rPr>
        <w:t>de</w:t>
      </w:r>
      <w:r w:rsidRPr="003E6986">
        <w:rPr>
          <w:rFonts w:ascii="Times New Roman" w:hAnsi="Times New Roman" w:cs="Times New Roman"/>
          <w:szCs w:val="20"/>
          <w:lang w:val="es-ES_tradnl"/>
        </w:rPr>
        <w:t xml:space="preserve"> redes de satélites, de conformidad con la Resolución </w:t>
      </w:r>
      <w:r w:rsidRPr="003E6986">
        <w:rPr>
          <w:rFonts w:ascii="Times New Roman" w:hAnsi="Times New Roman" w:cs="Times New Roman"/>
          <w:b/>
          <w:szCs w:val="20"/>
          <w:lang w:val="es-ES_tradnl"/>
        </w:rPr>
        <w:t>86 (Rev.CMR-07)</w:t>
      </w:r>
      <w:r w:rsidRPr="003E6986">
        <w:rPr>
          <w:rFonts w:ascii="Times New Roman" w:hAnsi="Times New Roman" w:cs="Times New Roman"/>
          <w:szCs w:val="20"/>
          <w:lang w:val="es-ES_tradnl"/>
        </w:rPr>
        <w:t>, para facilitar el uso racional, eficiente y económico de las radiofrecuencias y las órbitas asociadas, incluida la órbita de los satélites geoestacionarios;</w:t>
      </w:r>
    </w:p>
    <w:p w14:paraId="206CC985"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8</w:t>
      </w:r>
      <w:r w:rsidRPr="003E6986">
        <w:rPr>
          <w:rFonts w:ascii="Times New Roman" w:hAnsi="Times New Roman" w:cs="Times New Roman"/>
          <w:szCs w:val="20"/>
          <w:lang w:val="es-ES_tradnl"/>
        </w:rPr>
        <w:tab/>
        <w:t>examinar las propuestas recibidas de las administraciones para suprimir sus notas de sus países o suprimir el nombre de sus países de las notas, cuando ya no sea necesario, tomando en cuenta la Resolución </w:t>
      </w:r>
      <w:r w:rsidRPr="003E6986">
        <w:rPr>
          <w:rFonts w:ascii="Times New Roman" w:hAnsi="Times New Roman" w:cs="Times New Roman"/>
          <w:b/>
          <w:szCs w:val="20"/>
          <w:lang w:val="es-ES_tradnl"/>
        </w:rPr>
        <w:t>26 (Rev.CMR-23)</w:t>
      </w:r>
      <w:r w:rsidRPr="003E6986">
        <w:rPr>
          <w:rFonts w:ascii="Times New Roman" w:hAnsi="Times New Roman" w:cs="Times New Roman"/>
          <w:bCs/>
          <w:szCs w:val="20"/>
          <w:lang w:val="es-ES_tradnl"/>
        </w:rPr>
        <w:t>, y tomar las medidas pertinentes</w:t>
      </w:r>
      <w:r w:rsidRPr="003E6986">
        <w:rPr>
          <w:rFonts w:ascii="Times New Roman" w:hAnsi="Times New Roman" w:cs="Times New Roman"/>
          <w:szCs w:val="20"/>
          <w:lang w:val="es-ES_tradnl"/>
        </w:rPr>
        <w:t>;</w:t>
      </w:r>
    </w:p>
    <w:p w14:paraId="087BB302"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9</w:t>
      </w:r>
      <w:r w:rsidRPr="003E6986">
        <w:rPr>
          <w:rFonts w:ascii="Times New Roman" w:hAnsi="Times New Roman" w:cs="Times New Roman"/>
          <w:szCs w:val="20"/>
          <w:lang w:val="es-ES_tradnl"/>
        </w:rPr>
        <w:tab/>
        <w:t>examinar y aprobar el Informe del Director de la Oficina de Radiocomunicaciones, de conformidad con el Artículo 7 del Convenio de la UIT:</w:t>
      </w:r>
    </w:p>
    <w:p w14:paraId="0C8F1657"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9.1</w:t>
      </w:r>
      <w:r w:rsidRPr="003E6986">
        <w:rPr>
          <w:rFonts w:ascii="Times New Roman" w:hAnsi="Times New Roman" w:cs="Times New Roman"/>
          <w:szCs w:val="20"/>
          <w:lang w:val="es-ES_tradnl"/>
        </w:rPr>
        <w:tab/>
        <w:t>sobre las actividades del Sector de Radiocomunicaciones desde la CMR</w:t>
      </w:r>
      <w:r w:rsidRPr="003E6986">
        <w:rPr>
          <w:rFonts w:ascii="Times New Roman" w:hAnsi="Times New Roman" w:cs="Times New Roman"/>
          <w:szCs w:val="20"/>
          <w:lang w:val="es-ES_tradnl"/>
        </w:rPr>
        <w:noBreakHyphen/>
        <w:t>23</w:t>
      </w:r>
      <w:r w:rsidRPr="003E6986">
        <w:rPr>
          <w:rFonts w:ascii="Times New Roman" w:hAnsi="Times New Roman" w:cs="Times New Roman"/>
          <w:position w:val="6"/>
          <w:sz w:val="18"/>
          <w:szCs w:val="20"/>
          <w:lang w:val="es-ES_tradnl"/>
        </w:rPr>
        <w:footnoteReference w:customMarkFollows="1" w:id="2"/>
        <w:t>1</w:t>
      </w:r>
      <w:r w:rsidRPr="003E6986">
        <w:rPr>
          <w:rFonts w:ascii="Times New Roman" w:hAnsi="Times New Roman" w:cs="Times New Roman"/>
          <w:szCs w:val="20"/>
          <w:lang w:val="es-ES_tradnl"/>
        </w:rPr>
        <w:t>;</w:t>
      </w:r>
    </w:p>
    <w:p w14:paraId="6858CD70"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9.2</w:t>
      </w:r>
      <w:r w:rsidRPr="003E6986">
        <w:rPr>
          <w:rFonts w:ascii="Times New Roman" w:hAnsi="Times New Roman" w:cs="Times New Roman"/>
          <w:szCs w:val="20"/>
          <w:lang w:val="es-ES_tradnl"/>
        </w:rPr>
        <w:tab/>
        <w:t>sobre las dificultades o incoherencias observadas en la aplicación del Reglamento de Radiocomunicaciones</w:t>
      </w:r>
      <w:r w:rsidRPr="003E6986">
        <w:rPr>
          <w:rFonts w:ascii="Times New Roman" w:hAnsi="Times New Roman" w:cs="Times New Roman"/>
          <w:position w:val="6"/>
          <w:sz w:val="18"/>
          <w:szCs w:val="20"/>
          <w:lang w:val="es-ES_tradnl"/>
        </w:rPr>
        <w:footnoteReference w:customMarkFollows="1" w:id="3"/>
        <w:t>2</w:t>
      </w:r>
      <w:r w:rsidRPr="003E6986">
        <w:rPr>
          <w:rFonts w:ascii="Times New Roman" w:hAnsi="Times New Roman" w:cs="Times New Roman"/>
          <w:szCs w:val="20"/>
          <w:lang w:val="es-ES_tradnl"/>
        </w:rPr>
        <w:t>; y</w:t>
      </w:r>
    </w:p>
    <w:p w14:paraId="4CAC4893"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9.3</w:t>
      </w:r>
      <w:r w:rsidRPr="003E6986">
        <w:rPr>
          <w:rFonts w:ascii="Times New Roman" w:hAnsi="Times New Roman" w:cs="Times New Roman"/>
          <w:szCs w:val="20"/>
          <w:lang w:val="es-ES_tradnl"/>
        </w:rPr>
        <w:tab/>
        <w:t>sobre las medidas adoptadas en respuesta a la Resolución </w:t>
      </w:r>
      <w:r w:rsidRPr="003E6986">
        <w:rPr>
          <w:rFonts w:ascii="Times New Roman" w:hAnsi="Times New Roman" w:cs="Times New Roman"/>
          <w:b/>
          <w:szCs w:val="20"/>
          <w:lang w:val="es-ES_tradnl"/>
        </w:rPr>
        <w:t>80 (Rev.CMR-07)</w:t>
      </w:r>
      <w:r w:rsidRPr="003E6986">
        <w:rPr>
          <w:rFonts w:ascii="Times New Roman" w:hAnsi="Times New Roman" w:cs="Times New Roman"/>
          <w:szCs w:val="20"/>
          <w:lang w:val="es-ES_tradnl"/>
        </w:rPr>
        <w:t>;</w:t>
      </w:r>
    </w:p>
    <w:p w14:paraId="08690CB1"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10</w:t>
      </w:r>
      <w:r w:rsidRPr="003E6986">
        <w:rPr>
          <w:rFonts w:ascii="Times New Roman" w:hAnsi="Times New Roman" w:cs="Times New Roman"/>
          <w:b/>
          <w:bCs/>
          <w:szCs w:val="20"/>
          <w:lang w:val="es-ES_tradnl"/>
        </w:rPr>
        <w:tab/>
      </w:r>
      <w:r w:rsidRPr="003E6986">
        <w:rPr>
          <w:rFonts w:ascii="Times New Roman" w:hAnsi="Times New Roman" w:cs="Times New Roman"/>
          <w:iCs/>
          <w:szCs w:val="20"/>
          <w:lang w:val="es-ES_tradnl"/>
        </w:rPr>
        <w:t xml:space="preserve">recomendar al Consejo los puntos que han de incluirse en el orden del día de la próxima CMR, así como los puntos del orden del día preliminar de futuras Conferencias, teniendo en cuenta el Artículo 7 del Convenio </w:t>
      </w:r>
      <w:r w:rsidRPr="003E6986">
        <w:rPr>
          <w:rFonts w:ascii="Times New Roman" w:hAnsi="Times New Roman" w:cs="Times New Roman"/>
          <w:szCs w:val="20"/>
          <w:lang w:val="es-ES_tradnl"/>
        </w:rPr>
        <w:t>de la UIT y la Resolución </w:t>
      </w:r>
      <w:r w:rsidRPr="003E6986">
        <w:rPr>
          <w:rFonts w:ascii="Times New Roman" w:hAnsi="Times New Roman" w:cs="Times New Roman"/>
          <w:b/>
          <w:bCs/>
          <w:szCs w:val="20"/>
          <w:lang w:val="es-ES_tradnl"/>
        </w:rPr>
        <w:t>804 (Rev.CMR-23)</w:t>
      </w:r>
      <w:r w:rsidRPr="003E6986">
        <w:rPr>
          <w:rFonts w:ascii="Times New Roman" w:hAnsi="Times New Roman" w:cs="Times New Roman"/>
          <w:szCs w:val="20"/>
          <w:lang w:val="es-ES_tradnl"/>
        </w:rPr>
        <w:t>,</w:t>
      </w:r>
    </w:p>
    <w:p w14:paraId="41189B3F" w14:textId="77777777" w:rsidR="002C42EE" w:rsidRPr="003E6986" w:rsidRDefault="002C42EE" w:rsidP="008653C7">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s-ES_tradnl"/>
        </w:rPr>
      </w:pPr>
      <w:proofErr w:type="gramStart"/>
      <w:r w:rsidRPr="003E6986">
        <w:rPr>
          <w:rFonts w:ascii="Times New Roman" w:hAnsi="Times New Roman" w:cs="Times New Roman"/>
          <w:i/>
          <w:szCs w:val="20"/>
          <w:lang w:val="es-ES_tradnl"/>
        </w:rPr>
        <w:t>resuelve</w:t>
      </w:r>
      <w:proofErr w:type="gramEnd"/>
      <w:r w:rsidRPr="003E6986">
        <w:rPr>
          <w:rFonts w:ascii="Times New Roman" w:hAnsi="Times New Roman" w:cs="Times New Roman"/>
          <w:i/>
          <w:szCs w:val="20"/>
          <w:lang w:val="es-ES_tradnl"/>
        </w:rPr>
        <w:t xml:space="preserve"> además</w:t>
      </w:r>
    </w:p>
    <w:p w14:paraId="68089B86"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convocar la Reunión Preparatoria de la Conferencia (RPC),</w:t>
      </w:r>
    </w:p>
    <w:p w14:paraId="2D434324" w14:textId="77777777" w:rsidR="002C42EE" w:rsidRPr="003E6986" w:rsidRDefault="002C42EE" w:rsidP="008653C7">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s-ES_tradnl"/>
        </w:rPr>
      </w:pPr>
      <w:r w:rsidRPr="003E6986">
        <w:rPr>
          <w:rFonts w:ascii="Times New Roman" w:hAnsi="Times New Roman" w:cs="Times New Roman"/>
          <w:i/>
          <w:szCs w:val="20"/>
          <w:lang w:val="es-ES_tradnl"/>
        </w:rPr>
        <w:t>invita al Consejo de la UIT</w:t>
      </w:r>
    </w:p>
    <w:p w14:paraId="08737F4B"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a que ultime el orden del día y tome las disposiciones necesarias para convocar la CMR</w:t>
      </w:r>
      <w:r w:rsidRPr="003E6986">
        <w:rPr>
          <w:rFonts w:ascii="Times New Roman" w:hAnsi="Times New Roman" w:cs="Times New Roman"/>
          <w:szCs w:val="20"/>
          <w:lang w:val="es-ES_tradnl"/>
        </w:rPr>
        <w:noBreakHyphen/>
        <w:t>27, y a que inicie a la mayor brevedad posible las consultas necesarias con los Estados Miembros,</w:t>
      </w:r>
    </w:p>
    <w:p w14:paraId="129043FE" w14:textId="77777777" w:rsidR="008653C7" w:rsidRDefault="008653C7">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hAnsi="Times New Roman" w:cs="Times New Roman"/>
          <w:i/>
          <w:szCs w:val="20"/>
          <w:lang w:val="es-ES_tradnl"/>
        </w:rPr>
      </w:pPr>
      <w:r>
        <w:rPr>
          <w:rFonts w:ascii="Times New Roman" w:hAnsi="Times New Roman" w:cs="Times New Roman"/>
          <w:i/>
          <w:szCs w:val="20"/>
          <w:lang w:val="es-ES_tradnl"/>
        </w:rPr>
        <w:br w:type="page"/>
      </w:r>
    </w:p>
    <w:p w14:paraId="51E71119" w14:textId="51B47243" w:rsidR="002C42EE" w:rsidRPr="003E6986" w:rsidRDefault="002C42EE" w:rsidP="008653C7">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s-ES_tradnl"/>
        </w:rPr>
      </w:pPr>
      <w:r w:rsidRPr="003E6986">
        <w:rPr>
          <w:rFonts w:ascii="Times New Roman" w:hAnsi="Times New Roman" w:cs="Times New Roman"/>
          <w:i/>
          <w:szCs w:val="20"/>
          <w:lang w:val="es-ES_tradnl"/>
        </w:rPr>
        <w:lastRenderedPageBreak/>
        <w:t>encarga al Director de la Oficina de Radiocomunicaciones</w:t>
      </w:r>
    </w:p>
    <w:p w14:paraId="2887D668"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1</w:t>
      </w:r>
      <w:r w:rsidRPr="003E6986">
        <w:rPr>
          <w:rFonts w:ascii="Times New Roman" w:hAnsi="Times New Roman" w:cs="Times New Roman"/>
          <w:szCs w:val="20"/>
          <w:lang w:val="es-ES_tradnl"/>
        </w:rPr>
        <w:tab/>
        <w:t>que tome las medidas necesarias para convocar las sesiones de la RPC y elabore un informe a la CMR</w:t>
      </w:r>
      <w:r w:rsidRPr="003E6986">
        <w:rPr>
          <w:rFonts w:ascii="Times New Roman" w:hAnsi="Times New Roman" w:cs="Times New Roman"/>
          <w:szCs w:val="20"/>
          <w:lang w:val="es-ES_tradnl"/>
        </w:rPr>
        <w:noBreakHyphen/>
        <w:t>27;</w:t>
      </w:r>
    </w:p>
    <w:p w14:paraId="7E3923F3" w14:textId="5D3DDE68"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i/>
          <w:iCs/>
          <w:szCs w:val="20"/>
          <w:lang w:val="es-ES_tradnl"/>
        </w:rPr>
      </w:pPr>
      <w:r w:rsidRPr="003E6986">
        <w:rPr>
          <w:rFonts w:ascii="Times New Roman" w:hAnsi="Times New Roman" w:cs="Times New Roman"/>
          <w:szCs w:val="20"/>
          <w:lang w:val="es-ES_tradnl"/>
        </w:rPr>
        <w:t>2</w:t>
      </w:r>
      <w:r w:rsidRPr="003E6986">
        <w:rPr>
          <w:rFonts w:ascii="Times New Roman" w:hAnsi="Times New Roman" w:cs="Times New Roman"/>
          <w:szCs w:val="20"/>
          <w:lang w:val="es-ES_tradnl"/>
        </w:rPr>
        <w:tab/>
        <w:t>que presente a la segunda sesión de la RPC un proyecto de Informe sobre dificultades o incoherencias observadas en la aplicación del Reglamento de Radiocomunicaciones relativas al punto</w:t>
      </w:r>
      <w:r w:rsidR="008653C7">
        <w:rPr>
          <w:rFonts w:ascii="Times New Roman" w:hAnsi="Times New Roman" w:cs="Times New Roman"/>
          <w:szCs w:val="20"/>
          <w:lang w:val="es-ES_tradnl"/>
        </w:rPr>
        <w:t> </w:t>
      </w:r>
      <w:r w:rsidRPr="003E6986">
        <w:rPr>
          <w:rFonts w:ascii="Times New Roman" w:hAnsi="Times New Roman" w:cs="Times New Roman"/>
          <w:szCs w:val="20"/>
          <w:lang w:val="es-ES_tradnl"/>
        </w:rPr>
        <w:t>9.2 del orden del día y que presente el Informe final al menos cinco meses antes de la próxima CMR,</w:t>
      </w:r>
    </w:p>
    <w:p w14:paraId="71252F1D" w14:textId="09B2E78B" w:rsidR="002C42EE" w:rsidRPr="003E6986" w:rsidRDefault="002C42EE" w:rsidP="008653C7">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s-ES_tradnl"/>
        </w:rPr>
      </w:pPr>
      <w:r w:rsidRPr="003E6986">
        <w:rPr>
          <w:rFonts w:ascii="Times New Roman" w:hAnsi="Times New Roman" w:cs="Times New Roman"/>
          <w:i/>
          <w:szCs w:val="20"/>
          <w:lang w:val="es-ES_tradnl"/>
        </w:rPr>
        <w:t>encarga a</w:t>
      </w:r>
      <w:r w:rsidR="00284251" w:rsidRPr="003E6986">
        <w:rPr>
          <w:rFonts w:ascii="Times New Roman" w:hAnsi="Times New Roman" w:cs="Times New Roman"/>
          <w:i/>
          <w:szCs w:val="20"/>
          <w:lang w:val="es-ES_tradnl"/>
        </w:rPr>
        <w:t xml:space="preserve"> </w:t>
      </w:r>
      <w:r w:rsidRPr="003E6986">
        <w:rPr>
          <w:rFonts w:ascii="Times New Roman" w:hAnsi="Times New Roman" w:cs="Times New Roman"/>
          <w:i/>
          <w:szCs w:val="20"/>
          <w:lang w:val="es-ES_tradnl"/>
        </w:rPr>
        <w:t>l</w:t>
      </w:r>
      <w:r w:rsidR="00284251" w:rsidRPr="003E6986">
        <w:rPr>
          <w:rFonts w:ascii="Times New Roman" w:hAnsi="Times New Roman" w:cs="Times New Roman"/>
          <w:i/>
          <w:szCs w:val="20"/>
          <w:lang w:val="es-ES_tradnl"/>
        </w:rPr>
        <w:t>a</w:t>
      </w:r>
      <w:r w:rsidRPr="003E6986">
        <w:rPr>
          <w:rFonts w:ascii="Times New Roman" w:hAnsi="Times New Roman" w:cs="Times New Roman"/>
          <w:i/>
          <w:szCs w:val="20"/>
          <w:lang w:val="es-ES_tradnl"/>
        </w:rPr>
        <w:t xml:space="preserve"> Secretari</w:t>
      </w:r>
      <w:r w:rsidR="00284251" w:rsidRPr="003E6986">
        <w:rPr>
          <w:rFonts w:ascii="Times New Roman" w:hAnsi="Times New Roman" w:cs="Times New Roman"/>
          <w:i/>
          <w:szCs w:val="20"/>
          <w:lang w:val="es-ES_tradnl"/>
        </w:rPr>
        <w:t>a</w:t>
      </w:r>
      <w:r w:rsidRPr="003E6986">
        <w:rPr>
          <w:rFonts w:ascii="Times New Roman" w:hAnsi="Times New Roman" w:cs="Times New Roman"/>
          <w:i/>
          <w:szCs w:val="20"/>
          <w:lang w:val="es-ES_tradnl"/>
        </w:rPr>
        <w:t xml:space="preserve"> General</w:t>
      </w:r>
    </w:p>
    <w:p w14:paraId="3A8D65E5"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que comunique la presente Resolución a las organizaciones internaciones y regionales interesadas.</w:t>
      </w:r>
    </w:p>
    <w:p w14:paraId="6F455A5B" w14:textId="08A82287" w:rsidR="00331D32" w:rsidRPr="003E6986" w:rsidRDefault="00331D32" w:rsidP="003C61BC">
      <w:pPr>
        <w:spacing w:before="120"/>
        <w:rPr>
          <w:lang w:val="es-ES_tradnl"/>
        </w:rPr>
      </w:pPr>
      <w:r w:rsidRPr="003E6986">
        <w:rPr>
          <w:lang w:val="es-ES_tradnl"/>
        </w:rPr>
        <w:br w:type="page"/>
      </w:r>
    </w:p>
    <w:p w14:paraId="76C428CF" w14:textId="3FC57070" w:rsidR="00331D32" w:rsidRPr="003E6986" w:rsidRDefault="00A65E95" w:rsidP="00284251">
      <w:pPr>
        <w:pStyle w:val="AnnexNo"/>
        <w:rPr>
          <w:caps w:val="0"/>
          <w:lang w:val="es-ES_tradnl"/>
        </w:rPr>
      </w:pPr>
      <w:r w:rsidRPr="003E6986">
        <w:rPr>
          <w:lang w:val="es-ES_tradnl"/>
        </w:rPr>
        <w:lastRenderedPageBreak/>
        <w:t xml:space="preserve">ANEXO </w:t>
      </w:r>
      <w:r w:rsidR="00331D32" w:rsidRPr="003E6986">
        <w:rPr>
          <w:caps w:val="0"/>
          <w:lang w:val="es-ES_tradnl"/>
        </w:rPr>
        <w:t>2</w:t>
      </w:r>
      <w:r w:rsidR="00331D32" w:rsidRPr="003E6986">
        <w:rPr>
          <w:caps w:val="0"/>
          <w:position w:val="6"/>
          <w:sz w:val="18"/>
          <w:lang w:val="es-ES_tradnl"/>
        </w:rPr>
        <w:footnoteReference w:customMarkFollows="1" w:id="4"/>
        <w:t>**</w:t>
      </w:r>
    </w:p>
    <w:p w14:paraId="3AC4BE88" w14:textId="4912C824" w:rsidR="002C42EE" w:rsidRPr="003E6986" w:rsidRDefault="002C42EE" w:rsidP="00284251">
      <w:pPr>
        <w:keepNext/>
        <w:keepLines/>
        <w:tabs>
          <w:tab w:val="clear" w:pos="794"/>
          <w:tab w:val="clear" w:pos="1191"/>
          <w:tab w:val="clear" w:pos="1588"/>
          <w:tab w:val="clear" w:pos="1985"/>
          <w:tab w:val="left" w:pos="1134"/>
          <w:tab w:val="left" w:pos="1871"/>
          <w:tab w:val="left" w:pos="2268"/>
        </w:tabs>
        <w:spacing w:before="480" w:line="240" w:lineRule="auto"/>
        <w:jc w:val="center"/>
        <w:rPr>
          <w:rFonts w:ascii="Times New Roman" w:hAnsi="Times New Roman" w:cs="Times New Roman"/>
          <w:caps/>
          <w:sz w:val="28"/>
          <w:szCs w:val="20"/>
          <w:lang w:val="es-ES_tradnl"/>
        </w:rPr>
      </w:pPr>
      <w:bookmarkStart w:id="1" w:name="_Toc36190360"/>
      <w:bookmarkStart w:id="2" w:name="_Toc39735103"/>
      <w:bookmarkStart w:id="3" w:name="_Hlk26866621"/>
      <w:r w:rsidRPr="003E6986">
        <w:rPr>
          <w:rFonts w:ascii="Times New Roman" w:hAnsi="Times New Roman" w:cs="Times New Roman"/>
          <w:caps/>
          <w:sz w:val="28"/>
          <w:szCs w:val="20"/>
          <w:lang w:val="es-ES_tradnl"/>
        </w:rPr>
        <w:t xml:space="preserve">RESOLUCIÓN </w:t>
      </w:r>
      <w:bookmarkStart w:id="4" w:name="_Hlk144920048"/>
      <w:bookmarkEnd w:id="1"/>
      <w:bookmarkEnd w:id="2"/>
      <w:r w:rsidR="00032AC7" w:rsidRPr="003E6986">
        <w:rPr>
          <w:rFonts w:ascii="Times New Roman" w:hAnsi="Times New Roman" w:cs="Times New Roman"/>
          <w:caps/>
          <w:sz w:val="28"/>
          <w:szCs w:val="20"/>
          <w:lang w:val="es-ES_tradnl"/>
        </w:rPr>
        <w:t>814</w:t>
      </w:r>
      <w:r w:rsidRPr="003E6986">
        <w:rPr>
          <w:rFonts w:ascii="Times New Roman" w:hAnsi="Times New Roman" w:cs="Times New Roman"/>
          <w:caps/>
          <w:sz w:val="28"/>
          <w:szCs w:val="20"/>
          <w:lang w:val="es-ES_tradnl"/>
        </w:rPr>
        <w:t xml:space="preserve"> (cmr-23)</w:t>
      </w:r>
      <w:bookmarkEnd w:id="4"/>
    </w:p>
    <w:p w14:paraId="28CE3E40" w14:textId="77777777" w:rsidR="002C42EE" w:rsidRPr="003E6986" w:rsidRDefault="002C42EE" w:rsidP="00284251">
      <w:pPr>
        <w:keepNext/>
        <w:keepLines/>
        <w:tabs>
          <w:tab w:val="clear" w:pos="794"/>
          <w:tab w:val="clear" w:pos="1191"/>
          <w:tab w:val="clear" w:pos="1588"/>
          <w:tab w:val="clear" w:pos="1985"/>
          <w:tab w:val="left" w:pos="1134"/>
          <w:tab w:val="left" w:pos="1871"/>
          <w:tab w:val="left" w:pos="2268"/>
        </w:tabs>
        <w:spacing w:before="240" w:line="240" w:lineRule="auto"/>
        <w:jc w:val="center"/>
        <w:rPr>
          <w:rFonts w:ascii="Times New Roman Bold" w:hAnsi="Times New Roman Bold" w:cs="Times New Roman"/>
          <w:b/>
          <w:sz w:val="28"/>
          <w:szCs w:val="20"/>
          <w:lang w:val="es-ES_tradnl"/>
        </w:rPr>
      </w:pPr>
      <w:bookmarkStart w:id="5" w:name="_Toc36190361"/>
      <w:bookmarkStart w:id="6" w:name="_Toc39735104"/>
      <w:r w:rsidRPr="003E6986">
        <w:rPr>
          <w:rFonts w:ascii="Times New Roman Bold" w:hAnsi="Times New Roman Bold" w:cs="Times New Roman"/>
          <w:b/>
          <w:sz w:val="28"/>
          <w:szCs w:val="20"/>
          <w:lang w:val="es-ES_tradnl"/>
        </w:rPr>
        <w:t>Orden del día preliminar de la Conferencia Mundial</w:t>
      </w:r>
      <w:r w:rsidRPr="003E6986">
        <w:rPr>
          <w:rFonts w:ascii="Times New Roman Bold" w:hAnsi="Times New Roman Bold" w:cs="Times New Roman"/>
          <w:b/>
          <w:sz w:val="28"/>
          <w:szCs w:val="20"/>
          <w:lang w:val="es-ES_tradnl"/>
        </w:rPr>
        <w:br/>
        <w:t xml:space="preserve">de Radiocomunicaciones de </w:t>
      </w:r>
      <w:bookmarkEnd w:id="5"/>
      <w:bookmarkEnd w:id="6"/>
      <w:r w:rsidRPr="003E6986">
        <w:rPr>
          <w:rFonts w:ascii="Times New Roman Bold" w:hAnsi="Times New Roman Bold" w:cs="Times New Roman"/>
          <w:b/>
          <w:sz w:val="28"/>
          <w:szCs w:val="20"/>
          <w:lang w:val="es-ES_tradnl"/>
        </w:rPr>
        <w:t>2031</w:t>
      </w:r>
      <w:r w:rsidRPr="003E6986">
        <w:rPr>
          <w:rFonts w:ascii="Times New Roman Bold" w:hAnsi="Times New Roman Bold" w:cs="Times New Roman"/>
          <w:b/>
          <w:position w:val="6"/>
          <w:sz w:val="18"/>
          <w:szCs w:val="20"/>
          <w:lang w:val="es-ES_tradnl"/>
        </w:rPr>
        <w:footnoteReference w:customMarkFollows="1" w:id="5"/>
        <w:t>*</w:t>
      </w:r>
    </w:p>
    <w:p w14:paraId="0B36E4BC" w14:textId="77777777" w:rsidR="002C42EE" w:rsidRPr="003E6986" w:rsidRDefault="002C42EE" w:rsidP="00284251">
      <w:pPr>
        <w:tabs>
          <w:tab w:val="clear" w:pos="794"/>
          <w:tab w:val="clear" w:pos="1191"/>
          <w:tab w:val="clear" w:pos="1588"/>
          <w:tab w:val="clear" w:pos="1985"/>
          <w:tab w:val="left" w:pos="1134"/>
          <w:tab w:val="left" w:pos="1871"/>
          <w:tab w:val="left" w:pos="2268"/>
        </w:tabs>
        <w:spacing w:before="280" w:line="240" w:lineRule="auto"/>
        <w:jc w:val="left"/>
        <w:rPr>
          <w:rFonts w:ascii="Times New Roman" w:hAnsi="Times New Roman" w:cs="Times New Roman"/>
          <w:szCs w:val="20"/>
          <w:lang w:val="es-ES_tradnl"/>
        </w:rPr>
      </w:pPr>
      <w:r w:rsidRPr="003E6986">
        <w:rPr>
          <w:rFonts w:ascii="Times New Roman" w:hAnsi="Times New Roman" w:cs="Times New Roman"/>
          <w:szCs w:val="20"/>
          <w:lang w:val="es-ES_tradnl"/>
        </w:rPr>
        <w:t>La Conferencia Mundial de Radiocomunicaciones (Dubái, 2023),</w:t>
      </w:r>
    </w:p>
    <w:p w14:paraId="53F1BEB6" w14:textId="77777777" w:rsidR="002C42EE" w:rsidRPr="003E6986" w:rsidRDefault="002C42EE" w:rsidP="008653C7">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s-ES_tradnl"/>
        </w:rPr>
      </w:pPr>
      <w:r w:rsidRPr="003E6986">
        <w:rPr>
          <w:rFonts w:ascii="Times New Roman" w:hAnsi="Times New Roman" w:cs="Times New Roman"/>
          <w:i/>
          <w:szCs w:val="20"/>
          <w:lang w:val="es-ES_tradnl"/>
        </w:rPr>
        <w:t>considerando</w:t>
      </w:r>
    </w:p>
    <w:p w14:paraId="7C2E31B7"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i/>
          <w:iCs/>
          <w:szCs w:val="20"/>
          <w:lang w:val="es-ES_tradnl"/>
        </w:rPr>
        <w:t>a)</w:t>
      </w:r>
      <w:r w:rsidRPr="003E6986">
        <w:rPr>
          <w:rFonts w:ascii="Times New Roman" w:hAnsi="Times New Roman" w:cs="Times New Roman"/>
          <w:szCs w:val="20"/>
          <w:lang w:val="es-ES_tradnl"/>
        </w:rPr>
        <w:tab/>
        <w:t>que, de conformidad con el número 118 del Convenio de la UIT, el alcance general del orden del día de la CMR-31 debe establecerse con una antelación de cuatro a seis años;</w:t>
      </w:r>
    </w:p>
    <w:p w14:paraId="13364560"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i/>
          <w:iCs/>
          <w:szCs w:val="20"/>
          <w:lang w:val="es-ES_tradnl"/>
        </w:rPr>
        <w:t>b)</w:t>
      </w:r>
      <w:r w:rsidRPr="003E6986">
        <w:rPr>
          <w:rFonts w:ascii="Times New Roman" w:hAnsi="Times New Roman" w:cs="Times New Roman"/>
          <w:szCs w:val="20"/>
          <w:lang w:val="es-ES_tradnl"/>
        </w:rPr>
        <w:tab/>
        <w:t>el Artículo 13 de la Constitución de la UIT, sobre competencia y calendario de las Conferencias Mundiales de Radiocomunicaciones (CMR), y el Artículo 7 del Convenio, relativo a sus órdenes del día;</w:t>
      </w:r>
    </w:p>
    <w:p w14:paraId="24102C26"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i/>
          <w:iCs/>
          <w:szCs w:val="20"/>
          <w:lang w:val="es-ES_tradnl"/>
        </w:rPr>
        <w:t>c)</w:t>
      </w:r>
      <w:r w:rsidRPr="003E6986">
        <w:rPr>
          <w:rFonts w:ascii="Times New Roman" w:hAnsi="Times New Roman" w:cs="Times New Roman"/>
          <w:szCs w:val="20"/>
          <w:lang w:val="es-ES_tradnl"/>
        </w:rPr>
        <w:tab/>
        <w:t>las Resoluciones y Recomendaciones pertinentes de las anteriores Conferencias Administrativas Mundiales de Radiocomunicaciones (CAMR) y CMR,</w:t>
      </w:r>
    </w:p>
    <w:p w14:paraId="1B7A7118" w14:textId="77777777" w:rsidR="002C42EE" w:rsidRPr="003E6986" w:rsidRDefault="002C42EE" w:rsidP="008653C7">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s-ES_tradnl"/>
        </w:rPr>
      </w:pPr>
      <w:r w:rsidRPr="003E6986">
        <w:rPr>
          <w:rFonts w:ascii="Times New Roman" w:hAnsi="Times New Roman" w:cs="Times New Roman"/>
          <w:i/>
          <w:szCs w:val="20"/>
          <w:lang w:val="es-ES_tradnl"/>
        </w:rPr>
        <w:t>resuelve manifestar la siguiente opinión</w:t>
      </w:r>
    </w:p>
    <w:p w14:paraId="43515D8A"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los siguientes puntos debieran incluirse en el orden del día preliminar de la CMR-31:</w:t>
      </w:r>
    </w:p>
    <w:p w14:paraId="237E5D56"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1</w:t>
      </w:r>
      <w:r w:rsidRPr="003E6986">
        <w:rPr>
          <w:rFonts w:ascii="Times New Roman" w:hAnsi="Times New Roman" w:cs="Times New Roman"/>
          <w:szCs w:val="20"/>
          <w:lang w:val="es-ES_tradnl"/>
        </w:rPr>
        <w:tab/>
        <w:t>tomar las medidas adecuadas con respecto a las cuestiones urgentes específicamente solicitadas por la CMR-27;</w:t>
      </w:r>
    </w:p>
    <w:p w14:paraId="41CF7CCA"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i/>
          <w:iCs/>
          <w:szCs w:val="20"/>
          <w:lang w:val="es-ES_tradnl"/>
        </w:rPr>
      </w:pPr>
      <w:r w:rsidRPr="003E6986">
        <w:rPr>
          <w:rFonts w:ascii="Times New Roman" w:hAnsi="Times New Roman" w:cs="Times New Roman"/>
          <w:szCs w:val="20"/>
          <w:lang w:val="es-ES_tradnl"/>
        </w:rPr>
        <w:t>2</w:t>
      </w:r>
      <w:r w:rsidRPr="003E6986">
        <w:rPr>
          <w:rFonts w:ascii="Times New Roman" w:hAnsi="Times New Roman" w:cs="Times New Roman"/>
          <w:szCs w:val="20"/>
          <w:lang w:val="es-ES_tradnl"/>
        </w:rPr>
        <w:tab/>
        <w:t>sobre la base de las propuestas de las administraciones y el Informe de la Reunión Preparatoria de la Conferencia, y teniendo en cuenta los resultados de la CMR-27, considerar y tomar las medidas adecuadas con respecto a los temas siguientes:</w:t>
      </w:r>
    </w:p>
    <w:p w14:paraId="4FF33556" w14:textId="7C7A2816"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2.1</w:t>
      </w:r>
      <w:r w:rsidRPr="003E6986">
        <w:rPr>
          <w:rFonts w:ascii="Times New Roman" w:hAnsi="Times New Roman" w:cs="Times New Roman"/>
          <w:szCs w:val="20"/>
          <w:lang w:val="es-ES_tradnl"/>
        </w:rPr>
        <w:tab/>
        <w:t>considerar la posibilidad de efectuar nuevas atribuciones a los servicios fijo, móvil, de radiolocalización, de aficionados, de aficionados por satélite, de radioastronomía, de exploración de la Tierra por satélite (pasivo y activo) y de investigación espacial (pasiva) en la gama de frecuencias 275-325 GHz en el Cuadro de atribución de bandas de frecuencias del Reglamento de Radiocomunicaciones, con la consiguiente actualización de los números </w:t>
      </w:r>
      <w:r w:rsidRPr="003E6986">
        <w:rPr>
          <w:rFonts w:ascii="Times New Roman" w:hAnsi="Times New Roman" w:cs="Times New Roman"/>
          <w:b/>
          <w:bCs/>
          <w:szCs w:val="20"/>
          <w:lang w:val="es-ES_tradnl"/>
        </w:rPr>
        <w:t>5.149</w:t>
      </w:r>
      <w:r w:rsidRPr="003E6986">
        <w:rPr>
          <w:rFonts w:ascii="Times New Roman" w:hAnsi="Times New Roman" w:cs="Times New Roman"/>
          <w:szCs w:val="20"/>
          <w:lang w:val="es-ES_tradnl"/>
        </w:rPr>
        <w:t xml:space="preserve">, </w:t>
      </w:r>
      <w:r w:rsidRPr="003E6986">
        <w:rPr>
          <w:rFonts w:ascii="Times New Roman" w:hAnsi="Times New Roman" w:cs="Times New Roman"/>
          <w:b/>
          <w:bCs/>
          <w:szCs w:val="20"/>
          <w:lang w:val="es-ES_tradnl"/>
        </w:rPr>
        <w:t>5.340</w:t>
      </w:r>
      <w:r w:rsidRPr="003E6986">
        <w:rPr>
          <w:rFonts w:ascii="Times New Roman" w:hAnsi="Times New Roman" w:cs="Times New Roman"/>
          <w:szCs w:val="20"/>
          <w:lang w:val="es-ES_tradnl"/>
        </w:rPr>
        <w:t xml:space="preserve">, </w:t>
      </w:r>
      <w:r w:rsidRPr="003E6986">
        <w:rPr>
          <w:rFonts w:ascii="Times New Roman" w:hAnsi="Times New Roman" w:cs="Times New Roman"/>
          <w:b/>
          <w:bCs/>
          <w:szCs w:val="20"/>
          <w:lang w:val="es-ES_tradnl"/>
        </w:rPr>
        <w:t>5.564A</w:t>
      </w:r>
      <w:r w:rsidRPr="003E6986">
        <w:rPr>
          <w:rFonts w:ascii="Times New Roman" w:hAnsi="Times New Roman" w:cs="Times New Roman"/>
          <w:szCs w:val="20"/>
          <w:lang w:val="es-ES_tradnl"/>
        </w:rPr>
        <w:t xml:space="preserve"> y </w:t>
      </w:r>
      <w:r w:rsidRPr="003E6986">
        <w:rPr>
          <w:rFonts w:ascii="Times New Roman" w:hAnsi="Times New Roman" w:cs="Times New Roman"/>
          <w:b/>
          <w:bCs/>
          <w:szCs w:val="20"/>
          <w:lang w:val="es-ES_tradnl"/>
        </w:rPr>
        <w:t>5.565</w:t>
      </w:r>
      <w:r w:rsidRPr="003E6986">
        <w:rPr>
          <w:rFonts w:ascii="Times New Roman" w:hAnsi="Times New Roman" w:cs="Times New Roman"/>
          <w:szCs w:val="20"/>
          <w:lang w:val="es-ES_tradnl"/>
        </w:rPr>
        <w:t xml:space="preserve">, de conformidad con la Resolución </w:t>
      </w:r>
      <w:r w:rsidR="00032AC7" w:rsidRPr="003E6986">
        <w:rPr>
          <w:rFonts w:ascii="Times New Roman" w:hAnsi="Times New Roman" w:cs="Times New Roman"/>
          <w:b/>
          <w:bCs/>
          <w:szCs w:val="20"/>
          <w:lang w:val="es-ES_tradnl"/>
        </w:rPr>
        <w:t>721</w:t>
      </w:r>
      <w:r w:rsidRPr="003E6986">
        <w:rPr>
          <w:rFonts w:ascii="Times New Roman" w:hAnsi="Times New Roman" w:cs="Times New Roman"/>
          <w:b/>
          <w:bCs/>
          <w:szCs w:val="20"/>
          <w:lang w:val="es-ES_tradnl"/>
        </w:rPr>
        <w:t xml:space="preserve"> (CMR-23)</w:t>
      </w:r>
      <w:r w:rsidRPr="003E6986">
        <w:rPr>
          <w:rFonts w:ascii="Times New Roman" w:hAnsi="Times New Roman" w:cs="Times New Roman"/>
          <w:szCs w:val="20"/>
          <w:lang w:val="es-ES_tradnl"/>
        </w:rPr>
        <w:t>;</w:t>
      </w:r>
    </w:p>
    <w:p w14:paraId="405209EC" w14:textId="71DE6C15"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2.2</w:t>
      </w:r>
      <w:r w:rsidRPr="003E6986">
        <w:rPr>
          <w:rFonts w:ascii="Times New Roman" w:hAnsi="Times New Roman" w:cs="Times New Roman"/>
          <w:szCs w:val="20"/>
          <w:lang w:val="es-ES_tradnl"/>
        </w:rPr>
        <w:tab/>
        <w:t xml:space="preserve">[considerar la posibilidad de asignar [bandas de frecuencias] para la transmisión inalámbrica de potencia [mediante haces y sin haces] a fin de evitar la interferencia perjudicial causada por la transmisión inalámbrica de potencia a los servicios de radiocomunicaciones, de conformidad con la Resolución </w:t>
      </w:r>
      <w:r w:rsidR="00032AC7" w:rsidRPr="003E6986">
        <w:rPr>
          <w:rFonts w:ascii="Times New Roman" w:hAnsi="Times New Roman" w:cs="Times New Roman"/>
          <w:b/>
          <w:bCs/>
          <w:szCs w:val="20"/>
          <w:lang w:val="es-ES_tradnl"/>
        </w:rPr>
        <w:t>910</w:t>
      </w:r>
      <w:r w:rsidRPr="003E6986">
        <w:rPr>
          <w:rFonts w:ascii="Times New Roman" w:hAnsi="Times New Roman" w:cs="Times New Roman"/>
          <w:b/>
          <w:bCs/>
          <w:szCs w:val="20"/>
          <w:lang w:val="es-ES_tradnl"/>
        </w:rPr>
        <w:t xml:space="preserve"> (CMR-23)</w:t>
      </w:r>
      <w:r w:rsidRPr="003E6986">
        <w:rPr>
          <w:rFonts w:ascii="Times New Roman" w:hAnsi="Times New Roman" w:cs="Times New Roman"/>
          <w:szCs w:val="20"/>
          <w:lang w:val="es-ES_tradnl"/>
        </w:rPr>
        <w:t>];</w:t>
      </w:r>
    </w:p>
    <w:p w14:paraId="68EAE716" w14:textId="13989642"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2.3</w:t>
      </w:r>
      <w:r w:rsidRPr="003E6986">
        <w:rPr>
          <w:rFonts w:ascii="Times New Roman" w:hAnsi="Times New Roman" w:cs="Times New Roman"/>
          <w:szCs w:val="20"/>
          <w:lang w:val="es-ES_tradnl"/>
        </w:rPr>
        <w:tab/>
        <w:t xml:space="preserve">considerar la utilización de estaciones terrenas en movimiento aeronáuticas y marítimas que se comunican con estaciones espaciales no geoestacionarias del servicio fijo por satélite (Tierra-espacio) en la banda de frecuencias12,75-13,25 GHz, de conformidad con la Resolución </w:t>
      </w:r>
      <w:r w:rsidR="00032AC7" w:rsidRPr="003E6986">
        <w:rPr>
          <w:rFonts w:ascii="Times New Roman" w:hAnsi="Times New Roman" w:cs="Times New Roman"/>
          <w:b/>
          <w:bCs/>
          <w:szCs w:val="20"/>
          <w:lang w:val="es-ES_tradnl"/>
        </w:rPr>
        <w:t>133</w:t>
      </w:r>
      <w:r w:rsidRPr="003E6986">
        <w:rPr>
          <w:rFonts w:ascii="Times New Roman" w:hAnsi="Times New Roman" w:cs="Times New Roman"/>
          <w:b/>
          <w:bCs/>
          <w:szCs w:val="20"/>
          <w:lang w:val="es-ES_tradnl"/>
        </w:rPr>
        <w:t xml:space="preserve"> (</w:t>
      </w:r>
      <w:proofErr w:type="spellStart"/>
      <w:r w:rsidRPr="003E6986">
        <w:rPr>
          <w:rFonts w:ascii="Times New Roman" w:hAnsi="Times New Roman" w:cs="Times New Roman"/>
          <w:b/>
          <w:bCs/>
          <w:szCs w:val="20"/>
          <w:lang w:val="es-ES_tradnl"/>
        </w:rPr>
        <w:t>CMR</w:t>
      </w:r>
      <w:proofErr w:type="spellEnd"/>
      <w:r w:rsidR="008653C7">
        <w:rPr>
          <w:rFonts w:ascii="Times New Roman" w:hAnsi="Times New Roman" w:cs="Times New Roman"/>
          <w:b/>
          <w:bCs/>
          <w:szCs w:val="20"/>
          <w:lang w:val="es-ES_tradnl"/>
        </w:rPr>
        <w:noBreakHyphen/>
      </w:r>
      <w:r w:rsidRPr="003E6986">
        <w:rPr>
          <w:rFonts w:ascii="Times New Roman" w:hAnsi="Times New Roman" w:cs="Times New Roman"/>
          <w:b/>
          <w:bCs/>
          <w:szCs w:val="20"/>
          <w:lang w:val="es-ES_tradnl"/>
        </w:rPr>
        <w:t>23)</w:t>
      </w:r>
      <w:r w:rsidRPr="003E6986">
        <w:rPr>
          <w:rFonts w:ascii="Times New Roman" w:hAnsi="Times New Roman" w:cs="Times New Roman"/>
          <w:szCs w:val="20"/>
          <w:lang w:val="es-ES_tradnl"/>
        </w:rPr>
        <w:t>;</w:t>
      </w:r>
    </w:p>
    <w:p w14:paraId="16B01A0D" w14:textId="435141FF"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lastRenderedPageBreak/>
        <w:t>2.4</w:t>
      </w:r>
      <w:r w:rsidRPr="003E6986">
        <w:rPr>
          <w:rFonts w:ascii="Times New Roman" w:hAnsi="Times New Roman" w:cs="Times New Roman"/>
          <w:szCs w:val="20"/>
          <w:lang w:val="es-ES_tradnl"/>
        </w:rPr>
        <w:tab/>
        <w:t>considerar, basándose en los resultados de los estudios del Sector de Radiocomunicaciones de la UIT, la posibilidad de apoyar la concesión de atribuciones al servicio entre satélites en las bandas de frecuencias 3 700-4 200 MHz y 5 925-6 425 MHz, y las disposiciones reglamentarias conexas, para permitir el funcionamiento de enlaces entre satélites en órbita no geoestacionaria y satélites en órbita geoestacionaria de conformidad con la Resolución </w:t>
      </w:r>
      <w:r w:rsidR="00032AC7" w:rsidRPr="003E6986">
        <w:rPr>
          <w:rFonts w:ascii="Times New Roman" w:hAnsi="Times New Roman" w:cs="Times New Roman"/>
          <w:b/>
          <w:bCs/>
          <w:szCs w:val="20"/>
          <w:lang w:val="es-ES_tradnl"/>
        </w:rPr>
        <w:t>683</w:t>
      </w:r>
      <w:r w:rsidRPr="003E6986">
        <w:rPr>
          <w:rFonts w:ascii="Times New Roman" w:hAnsi="Times New Roman" w:cs="Times New Roman"/>
          <w:b/>
          <w:bCs/>
          <w:szCs w:val="20"/>
          <w:lang w:val="es-ES_tradnl"/>
        </w:rPr>
        <w:t xml:space="preserve"> (</w:t>
      </w:r>
      <w:proofErr w:type="spellStart"/>
      <w:r w:rsidRPr="003E6986">
        <w:rPr>
          <w:rFonts w:ascii="Times New Roman" w:hAnsi="Times New Roman" w:cs="Times New Roman"/>
          <w:b/>
          <w:bCs/>
          <w:szCs w:val="20"/>
          <w:lang w:val="es-ES_tradnl"/>
        </w:rPr>
        <w:t>CMR</w:t>
      </w:r>
      <w:proofErr w:type="spellEnd"/>
      <w:r w:rsidR="008653C7">
        <w:rPr>
          <w:rFonts w:ascii="Times New Roman" w:hAnsi="Times New Roman" w:cs="Times New Roman"/>
          <w:b/>
          <w:bCs/>
          <w:szCs w:val="20"/>
          <w:lang w:val="es-ES_tradnl"/>
        </w:rPr>
        <w:noBreakHyphen/>
      </w:r>
      <w:r w:rsidRPr="003E6986">
        <w:rPr>
          <w:rFonts w:ascii="Times New Roman" w:hAnsi="Times New Roman" w:cs="Times New Roman"/>
          <w:b/>
          <w:bCs/>
          <w:szCs w:val="20"/>
          <w:lang w:val="es-ES_tradnl"/>
        </w:rPr>
        <w:t>23)</w:t>
      </w:r>
      <w:r w:rsidRPr="003E6986">
        <w:rPr>
          <w:rFonts w:ascii="Times New Roman" w:hAnsi="Times New Roman" w:cs="Times New Roman"/>
          <w:szCs w:val="20"/>
          <w:lang w:val="es-ES_tradnl"/>
        </w:rPr>
        <w:t>;</w:t>
      </w:r>
    </w:p>
    <w:p w14:paraId="7CE41D24"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2.5</w:t>
      </w:r>
      <w:r w:rsidRPr="003E6986">
        <w:rPr>
          <w:rFonts w:ascii="Times New Roman" w:hAnsi="Times New Roman" w:cs="Times New Roman"/>
          <w:szCs w:val="20"/>
          <w:lang w:val="es-ES_tradnl"/>
        </w:rPr>
        <w:tab/>
        <w:t>considerar la posibilidad de atribuir a título primario las bandas de frecuencias [694</w:t>
      </w:r>
      <w:r w:rsidRPr="003E6986">
        <w:rPr>
          <w:rFonts w:ascii="Times New Roman" w:hAnsi="Times New Roman" w:cs="Times New Roman"/>
          <w:szCs w:val="20"/>
          <w:lang w:val="es-ES_tradnl"/>
        </w:rPr>
        <w:noBreakHyphen/>
        <w:t>960 MHz o partes de la misma, en la Región 1], 890-942 MHz, o partes de la misma, en la Región 2, [3 400-3 700 MHz, o partes de la misma, en la Región 3] al servicio móvil aeronáutico para la utilización de equipos de usuario de las Telecomunicaciones Móviles Internacionales (IMT) en las redes de las IMT terrenales por aplicaciones no relacionadas con la seguridad, de conformidad con la Resolución </w:t>
      </w:r>
      <w:r w:rsidRPr="003E6986">
        <w:rPr>
          <w:rFonts w:ascii="Times New Roman" w:hAnsi="Times New Roman" w:cs="Times New Roman"/>
          <w:b/>
          <w:bCs/>
          <w:szCs w:val="20"/>
          <w:lang w:val="es-ES_tradnl"/>
        </w:rPr>
        <w:t>251 (Rev.CMR</w:t>
      </w:r>
      <w:r w:rsidRPr="003E6986">
        <w:rPr>
          <w:rFonts w:ascii="Times New Roman" w:hAnsi="Times New Roman" w:cs="Times New Roman"/>
          <w:b/>
          <w:bCs/>
          <w:szCs w:val="20"/>
          <w:lang w:val="es-ES_tradnl"/>
        </w:rPr>
        <w:noBreakHyphen/>
        <w:t>23)</w:t>
      </w:r>
      <w:r w:rsidRPr="003E6986">
        <w:rPr>
          <w:rFonts w:ascii="Times New Roman" w:hAnsi="Times New Roman" w:cs="Times New Roman"/>
          <w:szCs w:val="20"/>
          <w:lang w:val="es-ES_tradnl"/>
        </w:rPr>
        <w:t>;</w:t>
      </w:r>
    </w:p>
    <w:p w14:paraId="563EE5AA" w14:textId="7DD33AFD"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2.6</w:t>
      </w:r>
      <w:r w:rsidRPr="003E6986">
        <w:rPr>
          <w:rFonts w:ascii="Times New Roman" w:hAnsi="Times New Roman" w:cs="Times New Roman"/>
          <w:szCs w:val="20"/>
          <w:lang w:val="es-ES_tradnl"/>
        </w:rPr>
        <w:tab/>
        <w:t>considerar la identificación de las bandas de frecuencias [102-109,5 GHz, 151,5</w:t>
      </w:r>
      <w:r w:rsidRPr="003E6986">
        <w:rPr>
          <w:rFonts w:ascii="Times New Roman" w:hAnsi="Times New Roman" w:cs="Times New Roman"/>
          <w:szCs w:val="20"/>
          <w:lang w:val="es-ES_tradnl"/>
        </w:rPr>
        <w:noBreakHyphen/>
        <w:t xml:space="preserve">164 GHz, 167-174,8 GHz, 209-226 GHz y 252-275 GHz] para las Telecomunicaciones Móviles Internacionales (IMT), de conformidad con la Resolución </w:t>
      </w:r>
      <w:r w:rsidR="00032AC7" w:rsidRPr="003E6986">
        <w:rPr>
          <w:rFonts w:ascii="Times New Roman" w:hAnsi="Times New Roman" w:cs="Times New Roman"/>
          <w:b/>
          <w:bCs/>
          <w:szCs w:val="20"/>
          <w:lang w:val="es-ES_tradnl"/>
        </w:rPr>
        <w:t>255</w:t>
      </w:r>
      <w:r w:rsidRPr="003E6986">
        <w:rPr>
          <w:rFonts w:ascii="Times New Roman" w:hAnsi="Times New Roman" w:cs="Times New Roman"/>
          <w:b/>
          <w:bCs/>
          <w:szCs w:val="20"/>
          <w:lang w:val="es-ES_tradnl"/>
        </w:rPr>
        <w:t xml:space="preserve"> (CMR-23)</w:t>
      </w:r>
      <w:r w:rsidRPr="003E6986">
        <w:rPr>
          <w:rFonts w:ascii="Times New Roman" w:hAnsi="Times New Roman" w:cs="Times New Roman"/>
          <w:szCs w:val="20"/>
          <w:lang w:val="es-ES_tradnl"/>
        </w:rPr>
        <w:t>;</w:t>
      </w:r>
    </w:p>
    <w:p w14:paraId="45FD80B3" w14:textId="27ACD7EC"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highlight w:val="cyan"/>
          <w:lang w:val="es-ES_tradnl"/>
        </w:rPr>
      </w:pPr>
      <w:r w:rsidRPr="003E6986">
        <w:rPr>
          <w:rFonts w:ascii="Times New Roman" w:hAnsi="Times New Roman" w:cs="Times New Roman"/>
          <w:szCs w:val="20"/>
          <w:lang w:val="es-ES_tradnl"/>
        </w:rPr>
        <w:t>2.7</w:t>
      </w:r>
      <w:r w:rsidRPr="003E6986">
        <w:rPr>
          <w:rFonts w:ascii="Times New Roman" w:hAnsi="Times New Roman" w:cs="Times New Roman"/>
          <w:szCs w:val="20"/>
          <w:lang w:val="es-ES_tradnl"/>
        </w:rPr>
        <w:tab/>
      </w:r>
      <w:bookmarkStart w:id="7" w:name="_Hlk153399818"/>
      <w:r w:rsidRPr="003E6986">
        <w:rPr>
          <w:rFonts w:ascii="Times New Roman" w:hAnsi="Times New Roman" w:cs="Times New Roman"/>
          <w:szCs w:val="20"/>
          <w:lang w:val="es-ES_tradnl"/>
        </w:rPr>
        <w:t xml:space="preserve">considerar la posibilidad de </w:t>
      </w:r>
      <w:bookmarkEnd w:id="7"/>
      <w:r w:rsidRPr="003E6986">
        <w:rPr>
          <w:rFonts w:ascii="Times New Roman" w:hAnsi="Times New Roman" w:cs="Times New Roman"/>
          <w:szCs w:val="20"/>
          <w:lang w:val="es-ES_tradnl"/>
        </w:rPr>
        <w:t xml:space="preserve">mejorar la utilización de la radiocomunicación marítima en ondas métricas, de conformidad con la Resolución </w:t>
      </w:r>
      <w:r w:rsidR="00CC514C">
        <w:rPr>
          <w:rFonts w:ascii="Times New Roman" w:hAnsi="Times New Roman" w:cs="Times New Roman"/>
          <w:b/>
          <w:bCs/>
          <w:szCs w:val="20"/>
          <w:lang w:val="es-ES_tradnl"/>
        </w:rPr>
        <w:t>363 (Rev.</w:t>
      </w:r>
      <w:r w:rsidRPr="003E6986">
        <w:rPr>
          <w:rFonts w:ascii="Times New Roman" w:hAnsi="Times New Roman" w:cs="Times New Roman"/>
          <w:b/>
          <w:bCs/>
          <w:szCs w:val="20"/>
          <w:lang w:val="es-ES_tradnl"/>
        </w:rPr>
        <w:t>CMR-23)</w:t>
      </w:r>
      <w:r w:rsidRPr="003E6986">
        <w:rPr>
          <w:rFonts w:ascii="Times New Roman" w:hAnsi="Times New Roman" w:cs="Times New Roman"/>
          <w:szCs w:val="20"/>
          <w:lang w:val="es-ES_tradnl"/>
        </w:rPr>
        <w:t>;</w:t>
      </w:r>
    </w:p>
    <w:p w14:paraId="293F39FB" w14:textId="53A29B9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2.8</w:t>
      </w:r>
      <w:r w:rsidRPr="003E6986">
        <w:rPr>
          <w:rFonts w:ascii="Times New Roman" w:hAnsi="Times New Roman" w:cs="Times New Roman"/>
          <w:szCs w:val="20"/>
          <w:lang w:val="es-ES_tradnl"/>
        </w:rPr>
        <w:tab/>
        <w:t xml:space="preserve">considerar la posibilidad de mejorar la utilización y la disposición de canales de las radiocomunicaciones marítimas en las bandas de ondas hectométricas y </w:t>
      </w:r>
      <w:proofErr w:type="spellStart"/>
      <w:r w:rsidRPr="003E6986">
        <w:rPr>
          <w:rFonts w:ascii="Times New Roman" w:hAnsi="Times New Roman" w:cs="Times New Roman"/>
          <w:szCs w:val="20"/>
          <w:lang w:val="es-ES_tradnl"/>
        </w:rPr>
        <w:t>decamétricas</w:t>
      </w:r>
      <w:proofErr w:type="spellEnd"/>
      <w:r w:rsidRPr="003E6986">
        <w:rPr>
          <w:rFonts w:ascii="Times New Roman" w:hAnsi="Times New Roman" w:cs="Times New Roman"/>
          <w:szCs w:val="20"/>
          <w:lang w:val="es-ES_tradnl"/>
        </w:rPr>
        <w:t>, incluida la posible revisión del Artículo </w:t>
      </w:r>
      <w:r w:rsidRPr="003E6986">
        <w:rPr>
          <w:rFonts w:ascii="Times New Roman" w:hAnsi="Times New Roman" w:cs="Times New Roman"/>
          <w:b/>
          <w:bCs/>
          <w:szCs w:val="20"/>
          <w:lang w:val="es-ES_tradnl"/>
        </w:rPr>
        <w:t>52</w:t>
      </w:r>
      <w:r w:rsidRPr="003E6986">
        <w:rPr>
          <w:rFonts w:ascii="Times New Roman" w:hAnsi="Times New Roman" w:cs="Times New Roman"/>
          <w:szCs w:val="20"/>
          <w:lang w:val="es-ES_tradnl"/>
        </w:rPr>
        <w:t xml:space="preserve"> y del Apéndice </w:t>
      </w:r>
      <w:r w:rsidRPr="003E6986">
        <w:rPr>
          <w:rFonts w:ascii="Times New Roman" w:hAnsi="Times New Roman" w:cs="Times New Roman"/>
          <w:b/>
          <w:bCs/>
          <w:szCs w:val="20"/>
          <w:lang w:val="es-ES_tradnl"/>
        </w:rPr>
        <w:t>17</w:t>
      </w:r>
      <w:r w:rsidRPr="003E6986">
        <w:rPr>
          <w:rFonts w:ascii="Times New Roman" w:hAnsi="Times New Roman" w:cs="Times New Roman"/>
          <w:szCs w:val="20"/>
          <w:lang w:val="es-ES_tradnl"/>
        </w:rPr>
        <w:t xml:space="preserve">, de conformidad con la Resolución </w:t>
      </w:r>
      <w:r w:rsidR="00032AC7" w:rsidRPr="003E6986">
        <w:rPr>
          <w:rFonts w:ascii="Times New Roman" w:hAnsi="Times New Roman" w:cs="Times New Roman"/>
          <w:b/>
          <w:bCs/>
          <w:szCs w:val="20"/>
          <w:lang w:val="es-ES_tradnl"/>
        </w:rPr>
        <w:t>366</w:t>
      </w:r>
      <w:r w:rsidR="00C6600E" w:rsidRPr="003E6986">
        <w:rPr>
          <w:rFonts w:ascii="Times New Roman" w:hAnsi="Times New Roman" w:cs="Times New Roman"/>
          <w:b/>
          <w:bCs/>
          <w:szCs w:val="20"/>
          <w:lang w:val="es-ES_tradnl"/>
        </w:rPr>
        <w:t xml:space="preserve"> (CMR</w:t>
      </w:r>
      <w:r w:rsidR="00C6600E" w:rsidRPr="003E6986">
        <w:rPr>
          <w:rFonts w:ascii="Times New Roman" w:hAnsi="Times New Roman" w:cs="Times New Roman"/>
          <w:b/>
          <w:bCs/>
          <w:szCs w:val="20"/>
          <w:lang w:val="es-ES_tradnl"/>
        </w:rPr>
        <w:noBreakHyphen/>
      </w:r>
      <w:r w:rsidRPr="003E6986">
        <w:rPr>
          <w:rFonts w:ascii="Times New Roman" w:hAnsi="Times New Roman" w:cs="Times New Roman"/>
          <w:b/>
          <w:bCs/>
          <w:szCs w:val="20"/>
          <w:lang w:val="es-ES_tradnl"/>
        </w:rPr>
        <w:t>23)</w:t>
      </w:r>
      <w:r w:rsidRPr="003E6986">
        <w:rPr>
          <w:rFonts w:ascii="Times New Roman" w:hAnsi="Times New Roman" w:cs="Times New Roman"/>
          <w:szCs w:val="20"/>
          <w:lang w:val="es-ES_tradnl"/>
        </w:rPr>
        <w:t>;</w:t>
      </w:r>
    </w:p>
    <w:p w14:paraId="79A01BAF" w14:textId="34C855B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2.9</w:t>
      </w:r>
      <w:r w:rsidRPr="003E6986">
        <w:rPr>
          <w:rFonts w:ascii="Times New Roman" w:hAnsi="Times New Roman" w:cs="Times New Roman"/>
          <w:szCs w:val="20"/>
          <w:lang w:val="es-ES_tradnl"/>
        </w:rPr>
        <w:tab/>
        <w:t xml:space="preserve">considerar la posibilidad de efectuar atribuciones al servicio de radionavegación por satélite (espacio-Tierra) en las bandas de frecuencias [5 030-5 150 MHz y 5 150-5 250 MHz] o partes de </w:t>
      </w:r>
      <w:proofErr w:type="gramStart"/>
      <w:r w:rsidRPr="003E6986">
        <w:rPr>
          <w:rFonts w:ascii="Times New Roman" w:hAnsi="Times New Roman" w:cs="Times New Roman"/>
          <w:szCs w:val="20"/>
          <w:lang w:val="es-ES_tradnl"/>
        </w:rPr>
        <w:t>las mismas</w:t>
      </w:r>
      <w:proofErr w:type="gramEnd"/>
      <w:r w:rsidRPr="003E6986">
        <w:rPr>
          <w:rFonts w:ascii="Times New Roman" w:hAnsi="Times New Roman" w:cs="Times New Roman"/>
          <w:szCs w:val="20"/>
          <w:lang w:val="es-ES_tradnl"/>
        </w:rPr>
        <w:t xml:space="preserve">, de conformidad con la Resolución </w:t>
      </w:r>
      <w:r w:rsidR="00032AC7" w:rsidRPr="003E6986">
        <w:rPr>
          <w:rFonts w:ascii="Times New Roman" w:hAnsi="Times New Roman" w:cs="Times New Roman"/>
          <w:b/>
          <w:bCs/>
          <w:szCs w:val="20"/>
          <w:lang w:val="es-ES_tradnl"/>
        </w:rPr>
        <w:t>684</w:t>
      </w:r>
      <w:r w:rsidRPr="003E6986">
        <w:rPr>
          <w:rFonts w:ascii="Times New Roman" w:hAnsi="Times New Roman" w:cs="Times New Roman"/>
          <w:b/>
          <w:bCs/>
          <w:szCs w:val="20"/>
          <w:lang w:val="es-ES_tradnl"/>
        </w:rPr>
        <w:t xml:space="preserve"> (CMR-23)</w:t>
      </w:r>
      <w:r w:rsidRPr="003E6986">
        <w:rPr>
          <w:rFonts w:ascii="Times New Roman" w:hAnsi="Times New Roman" w:cs="Times New Roman"/>
          <w:szCs w:val="20"/>
          <w:lang w:val="es-ES_tradnl"/>
        </w:rPr>
        <w:t>;</w:t>
      </w:r>
    </w:p>
    <w:p w14:paraId="0E53100C"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2.10</w:t>
      </w:r>
      <w:r w:rsidRPr="003E6986">
        <w:rPr>
          <w:rFonts w:ascii="Times New Roman" w:hAnsi="Times New Roman" w:cs="Times New Roman"/>
          <w:szCs w:val="20"/>
          <w:lang w:val="es-ES_tradnl"/>
        </w:rPr>
        <w:tab/>
        <w:t>considerar la posibilidad de efectuar una nueva atribución a título primario al servicio de exploración de la Tierra por satélite (Tierra-espacio) en la banda de frecuencias 22,55</w:t>
      </w:r>
      <w:r w:rsidRPr="003E6986">
        <w:rPr>
          <w:rFonts w:ascii="Times New Roman" w:hAnsi="Times New Roman" w:cs="Times New Roman"/>
          <w:szCs w:val="20"/>
          <w:lang w:val="es-ES_tradnl"/>
        </w:rPr>
        <w:noBreakHyphen/>
        <w:t xml:space="preserve">23,15 GHz, de conformidad con la Resolución </w:t>
      </w:r>
      <w:r w:rsidRPr="003E6986">
        <w:rPr>
          <w:rFonts w:ascii="Times New Roman" w:hAnsi="Times New Roman" w:cs="Times New Roman"/>
          <w:b/>
          <w:bCs/>
          <w:szCs w:val="20"/>
          <w:lang w:val="es-ES_tradnl"/>
        </w:rPr>
        <w:t>664 (Rev.CMR-23);</w:t>
      </w:r>
    </w:p>
    <w:p w14:paraId="239B5F6C" w14:textId="10D20CB3"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2.11</w:t>
      </w:r>
      <w:r w:rsidRPr="003E6986">
        <w:rPr>
          <w:rFonts w:ascii="Times New Roman" w:hAnsi="Times New Roman" w:cs="Times New Roman"/>
          <w:szCs w:val="20"/>
          <w:lang w:val="es-ES_tradnl"/>
        </w:rPr>
        <w:tab/>
        <w:t xml:space="preserve">considerar la posibilidad de elevar a la categoría primaria la atribución secundaria al servicio de exploración de la Tierra por satélite (SETS) (espacio-Tierra) en la banda de frecuencias [37,5-40,5 GHz] o de efectuar nuevas atribuciones de frecuencias a título primario en todo el mundo al servicio de exploración de la Tierra por satélite (espacio-Tierra) en ciertas bandas de frecuencias de la gama de [40,5-52,4 GHz], de conformidad con la Resolución </w:t>
      </w:r>
      <w:r w:rsidR="00032AC7" w:rsidRPr="003E6986">
        <w:rPr>
          <w:rFonts w:ascii="Times New Roman" w:hAnsi="Times New Roman" w:cs="Times New Roman"/>
          <w:b/>
          <w:bCs/>
          <w:szCs w:val="20"/>
          <w:lang w:val="es-ES_tradnl"/>
        </w:rPr>
        <w:t>685</w:t>
      </w:r>
      <w:r w:rsidRPr="003E6986">
        <w:rPr>
          <w:rFonts w:ascii="Times New Roman" w:hAnsi="Times New Roman" w:cs="Times New Roman"/>
          <w:b/>
          <w:bCs/>
          <w:szCs w:val="20"/>
          <w:lang w:val="es-ES_tradnl"/>
        </w:rPr>
        <w:t xml:space="preserve"> (CMR</w:t>
      </w:r>
      <w:r w:rsidRPr="003E6986">
        <w:rPr>
          <w:rFonts w:ascii="Times New Roman" w:hAnsi="Times New Roman" w:cs="Times New Roman"/>
          <w:b/>
          <w:bCs/>
          <w:szCs w:val="20"/>
          <w:lang w:val="es-ES_tradnl"/>
        </w:rPr>
        <w:noBreakHyphen/>
        <w:t>23)</w:t>
      </w:r>
      <w:r w:rsidRPr="003E6986">
        <w:rPr>
          <w:rFonts w:ascii="Times New Roman" w:hAnsi="Times New Roman" w:cs="Times New Roman"/>
          <w:szCs w:val="20"/>
          <w:lang w:val="es-ES_tradnl"/>
        </w:rPr>
        <w:t>;</w:t>
      </w:r>
    </w:p>
    <w:p w14:paraId="1AA87B84" w14:textId="3F1F82B1"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2.12</w:t>
      </w:r>
      <w:r w:rsidRPr="003E6986">
        <w:rPr>
          <w:rFonts w:ascii="Times New Roman" w:hAnsi="Times New Roman" w:cs="Times New Roman"/>
          <w:szCs w:val="20"/>
          <w:lang w:val="es-ES_tradnl"/>
        </w:rPr>
        <w:tab/>
        <w:t xml:space="preserve">considerar la posibilidad de efectuar nuevas atribuciones al servicio de exploración de la Tierra por satélite (activo) en las bandas de frecuencias [3 000-3 100 MHz] y [3 300-3 400 MHz] a título secundario, de conformidad con la Resolución </w:t>
      </w:r>
      <w:r w:rsidR="00032AC7" w:rsidRPr="003E6986">
        <w:rPr>
          <w:rFonts w:ascii="Times New Roman" w:hAnsi="Times New Roman" w:cs="Times New Roman"/>
          <w:b/>
          <w:bCs/>
          <w:szCs w:val="20"/>
          <w:lang w:val="es-ES_tradnl"/>
        </w:rPr>
        <w:t>686</w:t>
      </w:r>
      <w:r w:rsidRPr="003E6986">
        <w:rPr>
          <w:rFonts w:ascii="Times New Roman" w:hAnsi="Times New Roman" w:cs="Times New Roman"/>
          <w:b/>
          <w:bCs/>
          <w:szCs w:val="20"/>
          <w:lang w:val="es-ES_tradnl"/>
        </w:rPr>
        <w:t xml:space="preserve"> (CMR-23)</w:t>
      </w:r>
      <w:r w:rsidRPr="003E6986">
        <w:rPr>
          <w:rFonts w:ascii="Times New Roman" w:hAnsi="Times New Roman" w:cs="Times New Roman"/>
          <w:szCs w:val="20"/>
          <w:lang w:val="es-ES_tradnl"/>
        </w:rPr>
        <w:t>;</w:t>
      </w:r>
    </w:p>
    <w:p w14:paraId="61F824F4" w14:textId="69B2B168"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2.13</w:t>
      </w:r>
      <w:r w:rsidRPr="003E6986">
        <w:rPr>
          <w:rFonts w:ascii="Times New Roman" w:hAnsi="Times New Roman" w:cs="Times New Roman"/>
          <w:szCs w:val="20"/>
          <w:lang w:val="es-ES_tradnl"/>
        </w:rPr>
        <w:tab/>
        <w:t xml:space="preserve">considerar estudios sobre la coexistencia de los radares de apertura sintética a bordo de vehículos espaciales del servicio de exploración de la Tierra por satélite (activo) con el servicio de radiodeterminación en la banda de frecuencias 9 200-10 400 MHz, y la adopción de otras medidas, según proceda, de conformidad con la Resolución </w:t>
      </w:r>
      <w:r w:rsidR="00032AC7" w:rsidRPr="003E6986">
        <w:rPr>
          <w:rFonts w:ascii="Times New Roman" w:hAnsi="Times New Roman" w:cs="Times New Roman"/>
          <w:b/>
          <w:bCs/>
          <w:szCs w:val="20"/>
          <w:lang w:val="es-ES_tradnl"/>
        </w:rPr>
        <w:t>722</w:t>
      </w:r>
      <w:r w:rsidRPr="003E6986">
        <w:rPr>
          <w:rFonts w:ascii="Times New Roman" w:hAnsi="Times New Roman" w:cs="Times New Roman"/>
          <w:b/>
          <w:bCs/>
          <w:szCs w:val="20"/>
          <w:lang w:val="es-ES_tradnl"/>
        </w:rPr>
        <w:t> (CMR-23)</w:t>
      </w:r>
      <w:r w:rsidRPr="003E6986">
        <w:rPr>
          <w:rFonts w:ascii="Times New Roman" w:hAnsi="Times New Roman" w:cs="Times New Roman"/>
          <w:szCs w:val="20"/>
          <w:lang w:val="es-ES_tradnl"/>
        </w:rPr>
        <w:t>;</w:t>
      </w:r>
    </w:p>
    <w:p w14:paraId="07AE932A" w14:textId="699741A5"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2.14</w:t>
      </w:r>
      <w:r w:rsidRPr="003E6986">
        <w:rPr>
          <w:rFonts w:ascii="Times New Roman" w:hAnsi="Times New Roman" w:cs="Times New Roman"/>
          <w:szCs w:val="20"/>
          <w:lang w:val="es-ES_tradnl"/>
        </w:rPr>
        <w:tab/>
        <w:t xml:space="preserve">examinar la utilización y las necesidades de espectro de las aplicaciones de los servicios móvil y de radiodifusión y considerar posibles medidas reglamentarias aplicables a la banda de frecuencias 470-694 MHz, o partes de </w:t>
      </w:r>
      <w:proofErr w:type="gramStart"/>
      <w:r w:rsidRPr="003E6986">
        <w:rPr>
          <w:rFonts w:ascii="Times New Roman" w:hAnsi="Times New Roman" w:cs="Times New Roman"/>
          <w:szCs w:val="20"/>
          <w:lang w:val="es-ES_tradnl"/>
        </w:rPr>
        <w:t>la misma</w:t>
      </w:r>
      <w:proofErr w:type="gramEnd"/>
      <w:r w:rsidRPr="003E6986">
        <w:rPr>
          <w:rFonts w:ascii="Times New Roman" w:hAnsi="Times New Roman" w:cs="Times New Roman"/>
          <w:szCs w:val="20"/>
          <w:lang w:val="es-ES_tradnl"/>
        </w:rPr>
        <w:t xml:space="preserve">, de conformidad con la Resolución </w:t>
      </w:r>
      <w:r w:rsidRPr="003E6986">
        <w:rPr>
          <w:rFonts w:ascii="Times New Roman" w:hAnsi="Times New Roman" w:cs="Times New Roman"/>
          <w:b/>
          <w:bCs/>
          <w:szCs w:val="20"/>
          <w:lang w:val="es-ES_tradnl"/>
        </w:rPr>
        <w:t>235 (</w:t>
      </w:r>
      <w:proofErr w:type="spellStart"/>
      <w:r w:rsidRPr="003E6986">
        <w:rPr>
          <w:rFonts w:ascii="Times New Roman" w:hAnsi="Times New Roman" w:cs="Times New Roman"/>
          <w:b/>
          <w:bCs/>
          <w:szCs w:val="20"/>
          <w:lang w:val="es-ES_tradnl"/>
        </w:rPr>
        <w:t>Rev.CMR</w:t>
      </w:r>
      <w:proofErr w:type="spellEnd"/>
      <w:r w:rsidR="008653C7">
        <w:rPr>
          <w:rFonts w:ascii="Times New Roman" w:hAnsi="Times New Roman" w:cs="Times New Roman"/>
          <w:b/>
          <w:bCs/>
          <w:szCs w:val="20"/>
          <w:lang w:val="es-ES_tradnl"/>
        </w:rPr>
        <w:noBreakHyphen/>
      </w:r>
      <w:r w:rsidRPr="003E6986">
        <w:rPr>
          <w:rFonts w:ascii="Times New Roman" w:hAnsi="Times New Roman" w:cs="Times New Roman"/>
          <w:b/>
          <w:bCs/>
          <w:szCs w:val="20"/>
          <w:lang w:val="es-ES_tradnl"/>
        </w:rPr>
        <w:t>23)</w:t>
      </w:r>
      <w:r w:rsidRPr="003E6986">
        <w:rPr>
          <w:rFonts w:ascii="Times New Roman" w:hAnsi="Times New Roman" w:cs="Times New Roman"/>
          <w:szCs w:val="20"/>
          <w:lang w:val="es-ES_tradnl"/>
        </w:rPr>
        <w:t>;</w:t>
      </w:r>
    </w:p>
    <w:p w14:paraId="4F5062A9"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3</w:t>
      </w:r>
      <w:r w:rsidRPr="003E6986">
        <w:rPr>
          <w:rFonts w:ascii="Times New Roman" w:hAnsi="Times New Roman" w:cs="Times New Roman"/>
          <w:szCs w:val="20"/>
          <w:lang w:val="es-ES_tradnl"/>
        </w:rPr>
        <w:tab/>
        <w:t xml:space="preserve">examinar las Recomendaciones del Sector de Radiocomunicaciones de la UIT revisadas e incorporadas por referencia en el Reglamento de Radiocomunicaciones, comunicadas por la Asamblea de Radiocomunicaciones de acuerdo con el </w:t>
      </w:r>
      <w:r w:rsidRPr="003E6986">
        <w:rPr>
          <w:rFonts w:ascii="Times New Roman" w:hAnsi="Times New Roman" w:cs="Times New Roman"/>
          <w:i/>
          <w:iCs/>
          <w:szCs w:val="20"/>
          <w:lang w:val="es-ES_tradnl"/>
        </w:rPr>
        <w:t>resuelve además</w:t>
      </w:r>
      <w:r w:rsidRPr="003E6986">
        <w:rPr>
          <w:rFonts w:ascii="Times New Roman" w:hAnsi="Times New Roman" w:cs="Times New Roman"/>
          <w:szCs w:val="20"/>
          <w:lang w:val="es-ES_tradnl"/>
        </w:rPr>
        <w:t xml:space="preserve"> de la Resolución </w:t>
      </w:r>
      <w:r w:rsidRPr="003E6986">
        <w:rPr>
          <w:rFonts w:ascii="Times New Roman" w:hAnsi="Times New Roman" w:cs="Times New Roman"/>
          <w:b/>
          <w:bCs/>
          <w:szCs w:val="20"/>
          <w:lang w:val="es-ES_tradnl"/>
        </w:rPr>
        <w:t xml:space="preserve">27 </w:t>
      </w:r>
      <w:r w:rsidRPr="003E6986">
        <w:rPr>
          <w:rFonts w:ascii="Times New Roman" w:hAnsi="Times New Roman" w:cs="Times New Roman"/>
          <w:b/>
          <w:bCs/>
          <w:szCs w:val="20"/>
          <w:lang w:val="es-ES_tradnl"/>
        </w:rPr>
        <w:lastRenderedPageBreak/>
        <w:t>(Rev.CMR-19</w:t>
      </w:r>
      <w:r w:rsidRPr="003E6986">
        <w:rPr>
          <w:rFonts w:ascii="Times New Roman" w:hAnsi="Times New Roman" w:cs="Times New Roman"/>
          <w:szCs w:val="20"/>
          <w:lang w:val="es-ES_tradnl"/>
        </w:rPr>
        <w:t xml:space="preserve">), y decidir si se actualizan o no las referencias correspondientes en el Reglamento de Radiocomunicaciones, con arreglo a los principios contenidos en el </w:t>
      </w:r>
      <w:r w:rsidRPr="003E6986">
        <w:rPr>
          <w:rFonts w:ascii="Times New Roman" w:hAnsi="Times New Roman" w:cs="Times New Roman"/>
          <w:i/>
          <w:iCs/>
          <w:szCs w:val="20"/>
          <w:lang w:val="es-ES_tradnl"/>
        </w:rPr>
        <w:t>resuelve</w:t>
      </w:r>
      <w:r w:rsidRPr="003E6986">
        <w:rPr>
          <w:rFonts w:ascii="Times New Roman" w:hAnsi="Times New Roman" w:cs="Times New Roman"/>
          <w:szCs w:val="20"/>
          <w:lang w:val="es-ES_tradnl"/>
        </w:rPr>
        <w:t xml:space="preserve"> de esa Resolución;</w:t>
      </w:r>
    </w:p>
    <w:p w14:paraId="59E5D445"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4</w:t>
      </w:r>
      <w:r w:rsidRPr="003E6986">
        <w:rPr>
          <w:rFonts w:ascii="Times New Roman" w:hAnsi="Times New Roman" w:cs="Times New Roman"/>
          <w:szCs w:val="20"/>
          <w:lang w:val="es-ES_tradnl"/>
        </w:rPr>
        <w:tab/>
        <w:t>examinar los cambios y las modificaciones que se hayan de realizar en el Reglamento de Radiocomunicaciones como consecuencia de las decisiones de la Conferencia;</w:t>
      </w:r>
    </w:p>
    <w:p w14:paraId="610D43F7"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5</w:t>
      </w:r>
      <w:r w:rsidRPr="003E6986">
        <w:rPr>
          <w:rFonts w:ascii="Times New Roman" w:hAnsi="Times New Roman" w:cs="Times New Roman"/>
          <w:szCs w:val="20"/>
          <w:lang w:val="es-ES_tradnl"/>
        </w:rPr>
        <w:tab/>
        <w:t>examinar, de conformidad con la Resolución </w:t>
      </w:r>
      <w:r w:rsidRPr="003E6986">
        <w:rPr>
          <w:rFonts w:ascii="Times New Roman" w:hAnsi="Times New Roman" w:cs="Times New Roman"/>
          <w:b/>
          <w:bCs/>
          <w:szCs w:val="20"/>
          <w:lang w:val="es-ES_tradnl"/>
        </w:rPr>
        <w:t>95 (Rev.CMR-19)</w:t>
      </w:r>
      <w:r w:rsidRPr="003E6986">
        <w:rPr>
          <w:rFonts w:ascii="Times New Roman" w:hAnsi="Times New Roman" w:cs="Times New Roman"/>
          <w:szCs w:val="20"/>
          <w:lang w:val="es-ES_tradnl"/>
        </w:rPr>
        <w:t>, las Resoluciones y Recomendaciones de las Conferencias anteriores para su posible revisión, sustitución o supresión;</w:t>
      </w:r>
    </w:p>
    <w:p w14:paraId="54F53FF5"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6</w:t>
      </w:r>
      <w:r w:rsidRPr="003E6986">
        <w:rPr>
          <w:rFonts w:ascii="Times New Roman" w:hAnsi="Times New Roman" w:cs="Times New Roman"/>
          <w:szCs w:val="20"/>
          <w:lang w:val="es-ES_tradnl"/>
        </w:rPr>
        <w:tab/>
        <w:t>examinar el Informe de la Asamblea de Radiocomunicaciones presentado con arreglo a los números 135 y 136 del Convenio de la UIT, y tomar las medidas adecuadas al respecto;</w:t>
      </w:r>
    </w:p>
    <w:p w14:paraId="5FA3830D"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7</w:t>
      </w:r>
      <w:r w:rsidRPr="003E6986">
        <w:rPr>
          <w:rFonts w:ascii="Times New Roman" w:hAnsi="Times New Roman" w:cs="Times New Roman"/>
          <w:szCs w:val="20"/>
          <w:lang w:val="es-ES_tradnl"/>
        </w:rPr>
        <w:tab/>
        <w:t>identificar los temas que exijan la intervención inmediata de las Comisiones de Estudio de Radiocomunicaciones;</w:t>
      </w:r>
    </w:p>
    <w:p w14:paraId="1EE77CE4"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8</w:t>
      </w:r>
      <w:r w:rsidRPr="003E6986">
        <w:rPr>
          <w:rFonts w:ascii="Times New Roman" w:hAnsi="Times New Roman" w:cs="Times New Roman"/>
          <w:szCs w:val="20"/>
          <w:lang w:val="es-ES_tradnl"/>
        </w:rPr>
        <w:tab/>
        <w:t>considerar, para responder a lo dispuesto en la Resolución 86 (Rev. Marrakech, 2002) de la Conferencia de Plenipotenciarios, la posibilidad de modificar los procedimientos de publicación anticipada, de coordinación, de notificación y de inscripción de asignaciones de frecuencias de redes de satélite, de conformidad con la Resolución </w:t>
      </w:r>
      <w:r w:rsidRPr="003E6986">
        <w:rPr>
          <w:rFonts w:ascii="Times New Roman" w:hAnsi="Times New Roman" w:cs="Times New Roman"/>
          <w:b/>
          <w:bCs/>
          <w:szCs w:val="20"/>
          <w:lang w:val="es-ES_tradnl"/>
        </w:rPr>
        <w:t>86 (Rev.CMR-07</w:t>
      </w:r>
      <w:r w:rsidRPr="003E6986">
        <w:rPr>
          <w:rFonts w:ascii="Times New Roman" w:hAnsi="Times New Roman" w:cs="Times New Roman"/>
          <w:b/>
          <w:szCs w:val="20"/>
          <w:lang w:val="es-ES_tradnl"/>
        </w:rPr>
        <w:t>)</w:t>
      </w:r>
      <w:r w:rsidRPr="003E6986">
        <w:rPr>
          <w:rFonts w:ascii="Times New Roman" w:hAnsi="Times New Roman" w:cs="Times New Roman"/>
          <w:b/>
          <w:bCs/>
          <w:szCs w:val="20"/>
          <w:lang w:val="es-ES_tradnl"/>
        </w:rPr>
        <w:t xml:space="preserve">, </w:t>
      </w:r>
      <w:r w:rsidRPr="003E6986">
        <w:rPr>
          <w:rFonts w:ascii="Times New Roman" w:hAnsi="Times New Roman" w:cs="Times New Roman"/>
          <w:szCs w:val="20"/>
          <w:lang w:val="es-ES_tradnl"/>
        </w:rPr>
        <w:t>para facilitar el uso</w:t>
      </w:r>
      <w:r w:rsidRPr="003E6986">
        <w:rPr>
          <w:rFonts w:ascii="Times New Roman" w:hAnsi="Times New Roman" w:cs="Times New Roman"/>
          <w:b/>
          <w:bCs/>
          <w:szCs w:val="20"/>
          <w:lang w:val="es-ES_tradnl"/>
        </w:rPr>
        <w:t xml:space="preserve"> </w:t>
      </w:r>
      <w:r w:rsidRPr="003E6986">
        <w:rPr>
          <w:rFonts w:ascii="Times New Roman" w:hAnsi="Times New Roman" w:cs="Times New Roman"/>
          <w:szCs w:val="20"/>
          <w:lang w:val="es-ES_tradnl"/>
        </w:rPr>
        <w:t>racional, eficiente y económico de las radiofrecuencias y las órbitas asociadas, incluida la órbita de los satélites geoestacionarios;</w:t>
      </w:r>
    </w:p>
    <w:p w14:paraId="31AEF146"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9</w:t>
      </w:r>
      <w:r w:rsidRPr="003E6986">
        <w:rPr>
          <w:rFonts w:ascii="Times New Roman" w:hAnsi="Times New Roman" w:cs="Times New Roman"/>
          <w:szCs w:val="20"/>
          <w:lang w:val="es-ES_tradnl"/>
        </w:rPr>
        <w:tab/>
        <w:t>examinar las peticiones de las administraciones de suprimir las notas de sus países o de suprimir el nombre de sus países de las notas, cuando ya no sea necesario, teniendo en cuenta la Resolución </w:t>
      </w:r>
      <w:r w:rsidRPr="003E6986">
        <w:rPr>
          <w:rFonts w:ascii="Times New Roman" w:hAnsi="Times New Roman" w:cs="Times New Roman"/>
          <w:b/>
          <w:bCs/>
          <w:szCs w:val="20"/>
          <w:lang w:val="es-ES_tradnl"/>
        </w:rPr>
        <w:t>26 (Rev.CMR-23)</w:t>
      </w:r>
      <w:r w:rsidRPr="003E6986">
        <w:rPr>
          <w:rFonts w:ascii="Times New Roman" w:hAnsi="Times New Roman" w:cs="Times New Roman"/>
          <w:szCs w:val="20"/>
          <w:lang w:val="es-ES_tradnl"/>
        </w:rPr>
        <w:t>, y adoptar las medidas oportunas al respecto;</w:t>
      </w:r>
    </w:p>
    <w:p w14:paraId="1F6AD7FC" w14:textId="77777777" w:rsidR="002C42EE" w:rsidRPr="003E6986" w:rsidRDefault="002C42EE" w:rsidP="008653C7">
      <w:pPr>
        <w:keepNext/>
        <w:keepLines/>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10</w:t>
      </w:r>
      <w:r w:rsidRPr="003E6986">
        <w:rPr>
          <w:rFonts w:ascii="Times New Roman" w:hAnsi="Times New Roman" w:cs="Times New Roman"/>
          <w:szCs w:val="20"/>
          <w:lang w:val="es-ES_tradnl"/>
        </w:rPr>
        <w:tab/>
        <w:t>examinar y aprobar el Informe del Director de la Oficina de Radiocomunicaciones, de conformidad con el Artículo 7 del Convenio de la UIT:</w:t>
      </w:r>
    </w:p>
    <w:p w14:paraId="60EC91F2"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10.1</w:t>
      </w:r>
      <w:r w:rsidRPr="003E6986">
        <w:rPr>
          <w:rFonts w:ascii="Times New Roman" w:hAnsi="Times New Roman" w:cs="Times New Roman"/>
          <w:szCs w:val="20"/>
          <w:lang w:val="es-ES_tradnl"/>
        </w:rPr>
        <w:tab/>
        <w:t>sobre las actividades del Sector de Radiocomunicaciones desde la CMR</w:t>
      </w:r>
      <w:r w:rsidRPr="003E6986">
        <w:rPr>
          <w:rFonts w:ascii="Times New Roman" w:hAnsi="Times New Roman" w:cs="Times New Roman"/>
          <w:szCs w:val="20"/>
          <w:lang w:val="es-ES_tradnl"/>
        </w:rPr>
        <w:noBreakHyphen/>
        <w:t>27</w:t>
      </w:r>
      <w:r w:rsidRPr="003E6986">
        <w:rPr>
          <w:rFonts w:ascii="Times New Roman" w:hAnsi="Times New Roman" w:cs="Times New Roman"/>
          <w:position w:val="6"/>
          <w:sz w:val="18"/>
          <w:szCs w:val="20"/>
          <w:lang w:val="es-ES_tradnl"/>
        </w:rPr>
        <w:footnoteReference w:customMarkFollows="1" w:id="6"/>
        <w:t>1</w:t>
      </w:r>
      <w:r w:rsidRPr="003E6986">
        <w:rPr>
          <w:rFonts w:ascii="Times New Roman" w:hAnsi="Times New Roman" w:cs="Times New Roman"/>
          <w:szCs w:val="20"/>
          <w:lang w:val="es-ES_tradnl"/>
        </w:rPr>
        <w:t>;</w:t>
      </w:r>
    </w:p>
    <w:p w14:paraId="399537B2"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10.2</w:t>
      </w:r>
      <w:r w:rsidRPr="003E6986">
        <w:rPr>
          <w:rFonts w:ascii="Times New Roman" w:hAnsi="Times New Roman" w:cs="Times New Roman"/>
          <w:szCs w:val="20"/>
          <w:lang w:val="es-ES_tradnl"/>
        </w:rPr>
        <w:tab/>
        <w:t>sobre las dificultades o incoherencias observadas en la aplicación del Reglamento de Radiocomunicaciones</w:t>
      </w:r>
      <w:r w:rsidRPr="003E6986">
        <w:rPr>
          <w:rFonts w:ascii="Times New Roman" w:hAnsi="Times New Roman" w:cs="Times New Roman"/>
          <w:position w:val="6"/>
          <w:sz w:val="18"/>
          <w:szCs w:val="20"/>
          <w:lang w:val="es-ES_tradnl"/>
        </w:rPr>
        <w:footnoteReference w:customMarkFollows="1" w:id="7"/>
        <w:t>2</w:t>
      </w:r>
      <w:r w:rsidRPr="003E6986">
        <w:rPr>
          <w:rFonts w:ascii="Times New Roman" w:hAnsi="Times New Roman" w:cs="Times New Roman"/>
          <w:szCs w:val="20"/>
          <w:lang w:val="es-ES_tradnl"/>
        </w:rPr>
        <w:t>; y</w:t>
      </w:r>
    </w:p>
    <w:p w14:paraId="2C867584"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10.3</w:t>
      </w:r>
      <w:r w:rsidRPr="003E6986">
        <w:rPr>
          <w:rFonts w:ascii="Times New Roman" w:hAnsi="Times New Roman" w:cs="Times New Roman"/>
          <w:szCs w:val="20"/>
          <w:lang w:val="es-ES_tradnl"/>
        </w:rPr>
        <w:tab/>
        <w:t xml:space="preserve">sobre las medidas adoptadas en respuesta a la Resolución </w:t>
      </w:r>
      <w:r w:rsidRPr="003E6986">
        <w:rPr>
          <w:rFonts w:ascii="Times New Roman" w:hAnsi="Times New Roman" w:cs="Times New Roman"/>
          <w:b/>
          <w:bCs/>
          <w:szCs w:val="20"/>
          <w:lang w:val="es-ES_tradnl"/>
        </w:rPr>
        <w:t>80 (Rev.CMR-07</w:t>
      </w:r>
      <w:r w:rsidRPr="003E6986">
        <w:rPr>
          <w:rFonts w:ascii="Times New Roman" w:hAnsi="Times New Roman" w:cs="Times New Roman"/>
          <w:szCs w:val="20"/>
          <w:lang w:val="es-ES_tradnl"/>
        </w:rPr>
        <w:t>);</w:t>
      </w:r>
    </w:p>
    <w:p w14:paraId="3D57183A"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11</w:t>
      </w:r>
      <w:r w:rsidRPr="003E6986">
        <w:rPr>
          <w:rFonts w:ascii="Times New Roman" w:hAnsi="Times New Roman" w:cs="Times New Roman"/>
          <w:szCs w:val="20"/>
          <w:lang w:val="es-ES_tradnl"/>
        </w:rPr>
        <w:tab/>
        <w:t>recomendar al Consejo de la UIT los puntos que debe contener el orden del día de la próxima Conferencia Mundial de Radiocomunicaciones y los temas que se han de incluir en el orden del día preliminar de futuras conferencias, de conformidad con el Artículo 7 del Convenio de la UIT y la Resolución </w:t>
      </w:r>
      <w:r w:rsidRPr="003E6986">
        <w:rPr>
          <w:rFonts w:ascii="Times New Roman" w:hAnsi="Times New Roman" w:cs="Times New Roman"/>
          <w:b/>
          <w:bCs/>
          <w:szCs w:val="20"/>
          <w:lang w:val="es-ES_tradnl"/>
        </w:rPr>
        <w:t>804 (Rev.CMR-23)</w:t>
      </w:r>
      <w:r w:rsidRPr="003E6986">
        <w:rPr>
          <w:rFonts w:ascii="Times New Roman" w:hAnsi="Times New Roman" w:cs="Times New Roman"/>
          <w:szCs w:val="20"/>
          <w:lang w:val="es-ES_tradnl"/>
        </w:rPr>
        <w:t>,</w:t>
      </w:r>
    </w:p>
    <w:p w14:paraId="514949A7" w14:textId="77777777" w:rsidR="002C42EE" w:rsidRPr="003E6986" w:rsidRDefault="002C42EE" w:rsidP="008653C7">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s-ES_tradnl"/>
        </w:rPr>
      </w:pPr>
      <w:r w:rsidRPr="003E6986">
        <w:rPr>
          <w:rFonts w:ascii="Times New Roman" w:hAnsi="Times New Roman" w:cs="Times New Roman"/>
          <w:i/>
          <w:szCs w:val="20"/>
          <w:lang w:val="es-ES_tradnl"/>
        </w:rPr>
        <w:t>invita al Consejo de la UIT</w:t>
      </w:r>
    </w:p>
    <w:p w14:paraId="039B6AAE"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a que ultime el orden del día y tome las disposiciones necesarias para convocar la CMR</w:t>
      </w:r>
      <w:r w:rsidRPr="003E6986">
        <w:rPr>
          <w:rFonts w:ascii="Times New Roman" w:hAnsi="Times New Roman" w:cs="Times New Roman"/>
          <w:szCs w:val="20"/>
          <w:lang w:val="es-ES_tradnl"/>
        </w:rPr>
        <w:noBreakHyphen/>
        <w:t>31, y a que inicie a la mayor brevedad posible las consultas necesarias con los Estados Miembros,</w:t>
      </w:r>
    </w:p>
    <w:p w14:paraId="323C92D1" w14:textId="77777777" w:rsidR="008653C7" w:rsidRDefault="008653C7">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hAnsi="Times New Roman" w:cs="Times New Roman"/>
          <w:i/>
          <w:szCs w:val="20"/>
          <w:lang w:val="es-ES_tradnl"/>
        </w:rPr>
      </w:pPr>
      <w:r>
        <w:rPr>
          <w:rFonts w:ascii="Times New Roman" w:hAnsi="Times New Roman" w:cs="Times New Roman"/>
          <w:i/>
          <w:szCs w:val="20"/>
          <w:lang w:val="es-ES_tradnl"/>
        </w:rPr>
        <w:br w:type="page"/>
      </w:r>
    </w:p>
    <w:p w14:paraId="7C5854F9" w14:textId="45CF0696" w:rsidR="002C42EE" w:rsidRPr="003E6986" w:rsidRDefault="002C42EE" w:rsidP="008653C7">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s-ES_tradnl"/>
        </w:rPr>
      </w:pPr>
      <w:r w:rsidRPr="003E6986">
        <w:rPr>
          <w:rFonts w:ascii="Times New Roman" w:hAnsi="Times New Roman" w:cs="Times New Roman"/>
          <w:i/>
          <w:szCs w:val="20"/>
          <w:lang w:val="es-ES_tradnl"/>
        </w:rPr>
        <w:lastRenderedPageBreak/>
        <w:t>encarga al Director de la Oficina de Radiocomunicaciones</w:t>
      </w:r>
    </w:p>
    <w:p w14:paraId="63C0C466"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1</w:t>
      </w:r>
      <w:r w:rsidRPr="003E6986">
        <w:rPr>
          <w:rFonts w:ascii="Times New Roman" w:hAnsi="Times New Roman" w:cs="Times New Roman"/>
          <w:szCs w:val="20"/>
          <w:lang w:val="es-ES_tradnl"/>
        </w:rPr>
        <w:tab/>
        <w:t>que tome las medidas necesarias para convocar las sesiones de la Reunión Preparatoria de la Conferencia (RPC) y elabore un informe a la CMR</w:t>
      </w:r>
      <w:r w:rsidRPr="003E6986">
        <w:rPr>
          <w:rFonts w:ascii="Times New Roman" w:hAnsi="Times New Roman" w:cs="Times New Roman"/>
          <w:szCs w:val="20"/>
          <w:lang w:val="es-ES_tradnl"/>
        </w:rPr>
        <w:noBreakHyphen/>
        <w:t>31;</w:t>
      </w:r>
    </w:p>
    <w:p w14:paraId="753B6547" w14:textId="77777777" w:rsidR="002C42EE" w:rsidRPr="003E6986" w:rsidRDefault="002C42EE" w:rsidP="008653C7">
      <w:pPr>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2</w:t>
      </w:r>
      <w:r w:rsidRPr="003E6986">
        <w:rPr>
          <w:rFonts w:ascii="Times New Roman" w:hAnsi="Times New Roman" w:cs="Times New Roman"/>
          <w:szCs w:val="20"/>
          <w:lang w:val="es-ES_tradnl"/>
        </w:rPr>
        <w:tab/>
        <w:t>que presente a la segunda sesión de la RPC un proyecto de Informe sobre las dificultades o incoherencias observadas en la aplicación del Reglamento de Radiocomunicaciones a que se refiere el punto 10.2 del orden del día y que presente el Informe final al menos cinco meses antes de la próxima CMR,</w:t>
      </w:r>
    </w:p>
    <w:p w14:paraId="02A94809" w14:textId="7EC4A8B0" w:rsidR="002C42EE" w:rsidRPr="003E6986" w:rsidRDefault="002C42EE" w:rsidP="008653C7">
      <w:pPr>
        <w:keepNext/>
        <w:keepLines/>
        <w:tabs>
          <w:tab w:val="clear" w:pos="794"/>
          <w:tab w:val="clear" w:pos="1191"/>
          <w:tab w:val="clear" w:pos="1588"/>
          <w:tab w:val="clear" w:pos="1985"/>
          <w:tab w:val="left" w:pos="1134"/>
          <w:tab w:val="left" w:pos="1871"/>
          <w:tab w:val="left" w:pos="2268"/>
        </w:tabs>
        <w:spacing w:line="240" w:lineRule="auto"/>
        <w:ind w:left="1134"/>
        <w:rPr>
          <w:rFonts w:ascii="Times New Roman" w:hAnsi="Times New Roman" w:cs="Times New Roman"/>
          <w:i/>
          <w:szCs w:val="20"/>
          <w:lang w:val="es-ES_tradnl"/>
        </w:rPr>
      </w:pPr>
      <w:r w:rsidRPr="003E6986">
        <w:rPr>
          <w:rFonts w:ascii="Times New Roman" w:hAnsi="Times New Roman" w:cs="Times New Roman"/>
          <w:i/>
          <w:szCs w:val="20"/>
          <w:lang w:val="es-ES_tradnl"/>
        </w:rPr>
        <w:t>encarga a</w:t>
      </w:r>
      <w:r w:rsidR="002E7525" w:rsidRPr="003E6986">
        <w:rPr>
          <w:rFonts w:ascii="Times New Roman" w:hAnsi="Times New Roman" w:cs="Times New Roman"/>
          <w:i/>
          <w:szCs w:val="20"/>
          <w:lang w:val="es-ES_tradnl"/>
        </w:rPr>
        <w:t xml:space="preserve"> </w:t>
      </w:r>
      <w:r w:rsidRPr="003E6986">
        <w:rPr>
          <w:rFonts w:ascii="Times New Roman" w:hAnsi="Times New Roman" w:cs="Times New Roman"/>
          <w:i/>
          <w:szCs w:val="20"/>
          <w:lang w:val="es-ES_tradnl"/>
        </w:rPr>
        <w:t>l</w:t>
      </w:r>
      <w:r w:rsidR="002E7525" w:rsidRPr="003E6986">
        <w:rPr>
          <w:rFonts w:ascii="Times New Roman" w:hAnsi="Times New Roman" w:cs="Times New Roman"/>
          <w:i/>
          <w:szCs w:val="20"/>
          <w:lang w:val="es-ES_tradnl"/>
        </w:rPr>
        <w:t>a</w:t>
      </w:r>
      <w:r w:rsidRPr="003E6986">
        <w:rPr>
          <w:rFonts w:ascii="Times New Roman" w:hAnsi="Times New Roman" w:cs="Times New Roman"/>
          <w:i/>
          <w:szCs w:val="20"/>
          <w:lang w:val="es-ES_tradnl"/>
        </w:rPr>
        <w:t xml:space="preserve"> Secretari</w:t>
      </w:r>
      <w:r w:rsidR="002E7525" w:rsidRPr="003E6986">
        <w:rPr>
          <w:rFonts w:ascii="Times New Roman" w:hAnsi="Times New Roman" w:cs="Times New Roman"/>
          <w:i/>
          <w:szCs w:val="20"/>
          <w:lang w:val="es-ES_tradnl"/>
        </w:rPr>
        <w:t>a</w:t>
      </w:r>
      <w:r w:rsidRPr="003E6986">
        <w:rPr>
          <w:rFonts w:ascii="Times New Roman" w:hAnsi="Times New Roman" w:cs="Times New Roman"/>
          <w:i/>
          <w:szCs w:val="20"/>
          <w:lang w:val="es-ES_tradnl"/>
        </w:rPr>
        <w:t xml:space="preserve"> General</w:t>
      </w:r>
    </w:p>
    <w:p w14:paraId="333D42D5" w14:textId="77777777" w:rsidR="002C42EE" w:rsidRPr="003E6986" w:rsidRDefault="002C42EE" w:rsidP="008653C7">
      <w:pPr>
        <w:keepNext/>
        <w:keepLines/>
        <w:tabs>
          <w:tab w:val="clear" w:pos="794"/>
          <w:tab w:val="clear" w:pos="1191"/>
          <w:tab w:val="clear" w:pos="1588"/>
          <w:tab w:val="clear" w:pos="1985"/>
          <w:tab w:val="left" w:pos="1134"/>
          <w:tab w:val="left" w:pos="1871"/>
          <w:tab w:val="left" w:pos="2268"/>
        </w:tabs>
        <w:spacing w:before="120" w:line="240" w:lineRule="auto"/>
        <w:rPr>
          <w:rFonts w:ascii="Times New Roman" w:hAnsi="Times New Roman" w:cs="Times New Roman"/>
          <w:szCs w:val="20"/>
          <w:lang w:val="es-ES_tradnl"/>
        </w:rPr>
      </w:pPr>
      <w:r w:rsidRPr="003E6986">
        <w:rPr>
          <w:rFonts w:ascii="Times New Roman" w:hAnsi="Times New Roman" w:cs="Times New Roman"/>
          <w:szCs w:val="20"/>
          <w:lang w:val="es-ES_tradnl"/>
        </w:rPr>
        <w:t>que comunique la presente Resolución a las organizaciones internacionales y regionales interesadas.</w:t>
      </w:r>
    </w:p>
    <w:p w14:paraId="5039BCBF" w14:textId="77777777" w:rsidR="002C42EE" w:rsidRPr="003E6986" w:rsidRDefault="002C42EE" w:rsidP="00284251">
      <w:pPr>
        <w:tabs>
          <w:tab w:val="clear" w:pos="794"/>
          <w:tab w:val="clear" w:pos="1191"/>
          <w:tab w:val="left" w:pos="1134"/>
        </w:tabs>
        <w:spacing w:before="120" w:line="240" w:lineRule="auto"/>
        <w:jc w:val="left"/>
        <w:rPr>
          <w:rFonts w:ascii="Times New Roman" w:hAnsi="Times New Roman" w:cs="Times New Roman"/>
          <w:szCs w:val="20"/>
          <w:lang w:val="es-ES_tradnl"/>
        </w:rPr>
      </w:pPr>
    </w:p>
    <w:bookmarkEnd w:id="3"/>
    <w:p w14:paraId="79AA6434" w14:textId="4BC957A5" w:rsidR="006A276C" w:rsidRPr="003E6986" w:rsidRDefault="006A276C" w:rsidP="00284251">
      <w:pPr>
        <w:spacing w:before="80" w:line="240" w:lineRule="auto"/>
        <w:rPr>
          <w:rFonts w:ascii="Times New Roman" w:hAnsi="Times New Roman" w:cs="Times New Roman"/>
          <w:lang w:val="es-ES_tradnl"/>
        </w:rPr>
      </w:pPr>
      <w:r w:rsidRPr="003E6986">
        <w:rPr>
          <w:rFonts w:ascii="Times New Roman" w:hAnsi="Times New Roman" w:cs="Times New Roman"/>
          <w:lang w:val="es-ES_tradnl"/>
        </w:rPr>
        <w:br w:type="page"/>
      </w:r>
    </w:p>
    <w:p w14:paraId="0BAFF161" w14:textId="77777777" w:rsidR="00D7162A" w:rsidRPr="003E6986" w:rsidRDefault="00D7162A" w:rsidP="00284251">
      <w:pPr>
        <w:pStyle w:val="AnnexNo"/>
        <w:rPr>
          <w:lang w:val="es-ES_tradnl"/>
        </w:rPr>
      </w:pPr>
      <w:r w:rsidRPr="003E6986">
        <w:rPr>
          <w:lang w:val="es-ES_tradnl"/>
        </w:rPr>
        <w:lastRenderedPageBreak/>
        <w:t>ANEXO 3</w:t>
      </w:r>
    </w:p>
    <w:p w14:paraId="77CBC511" w14:textId="1068A3D2" w:rsidR="00D7162A" w:rsidRPr="003E6986" w:rsidRDefault="00D7162A" w:rsidP="00284251">
      <w:pPr>
        <w:pStyle w:val="Annextitle0"/>
        <w:rPr>
          <w:lang w:val="es-ES_tradnl"/>
        </w:rPr>
      </w:pPr>
      <w:r w:rsidRPr="003E6986">
        <w:rPr>
          <w:lang w:val="es-ES_tradnl"/>
        </w:rPr>
        <w:t xml:space="preserve">Números provisionales </w:t>
      </w:r>
      <w:r w:rsidR="002E7525" w:rsidRPr="003E6986">
        <w:rPr>
          <w:lang w:val="es-ES_tradnl"/>
        </w:rPr>
        <w:t>de</w:t>
      </w:r>
      <w:r w:rsidRPr="003E6986">
        <w:rPr>
          <w:lang w:val="es-ES_tradnl"/>
        </w:rPr>
        <w:t xml:space="preserve"> las nuevas Resoluciones</w:t>
      </w:r>
      <w:r w:rsidRPr="003E6986">
        <w:rPr>
          <w:rFonts w:cstheme="minorHAnsi"/>
          <w:lang w:val="es-ES_tradnl"/>
        </w:rPr>
        <w:t xml:space="preserve"> </w:t>
      </w:r>
      <w:r w:rsidR="0015772C" w:rsidRPr="003E6986">
        <w:rPr>
          <w:rFonts w:cstheme="minorHAnsi"/>
          <w:lang w:val="es-ES_tradnl"/>
        </w:rPr>
        <w:br/>
      </w:r>
      <w:r w:rsidRPr="003E6986">
        <w:rPr>
          <w:lang w:val="es-ES_tradnl"/>
        </w:rPr>
        <w:t>de la CMR-</w:t>
      </w:r>
      <w:r w:rsidR="002C42EE" w:rsidRPr="003E6986">
        <w:rPr>
          <w:lang w:val="es-ES_tradnl"/>
        </w:rPr>
        <w:t>23</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758"/>
        <w:gridCol w:w="1502"/>
        <w:gridCol w:w="1783"/>
        <w:gridCol w:w="1477"/>
        <w:gridCol w:w="1809"/>
      </w:tblGrid>
      <w:tr w:rsidR="002E7525" w:rsidRPr="003E6986" w14:paraId="57F866AF" w14:textId="77777777" w:rsidTr="00D739F9">
        <w:trPr>
          <w:jc w:val="center"/>
        </w:trPr>
        <w:tc>
          <w:tcPr>
            <w:tcW w:w="1526" w:type="dxa"/>
          </w:tcPr>
          <w:p w14:paraId="1E2559A2" w14:textId="42361569" w:rsidR="002E7525" w:rsidRPr="003E6986" w:rsidRDefault="002E7525" w:rsidP="002E7525">
            <w:pPr>
              <w:pStyle w:val="Tablehead"/>
              <w:rPr>
                <w:lang w:val="es-ES_tradnl"/>
              </w:rPr>
            </w:pPr>
            <w:r w:rsidRPr="003E6986">
              <w:rPr>
                <w:lang w:val="es-ES_tradnl"/>
              </w:rPr>
              <w:t>Nº Resolución</w:t>
            </w:r>
          </w:p>
        </w:tc>
        <w:tc>
          <w:tcPr>
            <w:tcW w:w="1758" w:type="dxa"/>
          </w:tcPr>
          <w:p w14:paraId="19EC5E9E" w14:textId="45402F06" w:rsidR="002E7525" w:rsidRPr="003E6986" w:rsidRDefault="002E7525" w:rsidP="002E7525">
            <w:pPr>
              <w:pStyle w:val="Tablehead"/>
              <w:rPr>
                <w:lang w:val="es-ES_tradnl"/>
              </w:rPr>
            </w:pPr>
            <w:r w:rsidRPr="003E6986">
              <w:rPr>
                <w:lang w:val="es-ES_tradnl"/>
              </w:rPr>
              <w:t>Nº Provisional</w:t>
            </w:r>
          </w:p>
        </w:tc>
        <w:tc>
          <w:tcPr>
            <w:tcW w:w="1502" w:type="dxa"/>
          </w:tcPr>
          <w:p w14:paraId="1BF680CF" w14:textId="4D1FD2ED" w:rsidR="002E7525" w:rsidRPr="003E6986" w:rsidRDefault="002E7525" w:rsidP="002E7525">
            <w:pPr>
              <w:pStyle w:val="Tablehead"/>
              <w:rPr>
                <w:lang w:val="es-ES_tradnl"/>
              </w:rPr>
            </w:pPr>
            <w:r w:rsidRPr="003E6986">
              <w:rPr>
                <w:lang w:val="es-ES_tradnl"/>
              </w:rPr>
              <w:t>Nº Resolución</w:t>
            </w:r>
          </w:p>
        </w:tc>
        <w:tc>
          <w:tcPr>
            <w:tcW w:w="1783" w:type="dxa"/>
          </w:tcPr>
          <w:p w14:paraId="5AB83B85" w14:textId="65B5BB6A" w:rsidR="002E7525" w:rsidRPr="003E6986" w:rsidRDefault="002E7525" w:rsidP="002E7525">
            <w:pPr>
              <w:pStyle w:val="Tablehead"/>
              <w:rPr>
                <w:lang w:val="es-ES_tradnl"/>
              </w:rPr>
            </w:pPr>
            <w:r w:rsidRPr="003E6986">
              <w:rPr>
                <w:lang w:val="es-ES_tradnl"/>
              </w:rPr>
              <w:t>Nº Provisional</w:t>
            </w:r>
          </w:p>
        </w:tc>
        <w:tc>
          <w:tcPr>
            <w:tcW w:w="1477" w:type="dxa"/>
          </w:tcPr>
          <w:p w14:paraId="68D0519A" w14:textId="4822399C" w:rsidR="002E7525" w:rsidRPr="003E6986" w:rsidRDefault="002E7525" w:rsidP="002E7525">
            <w:pPr>
              <w:pStyle w:val="Tablehead"/>
              <w:rPr>
                <w:lang w:val="es-ES_tradnl"/>
              </w:rPr>
            </w:pPr>
            <w:r w:rsidRPr="003E6986">
              <w:rPr>
                <w:lang w:val="es-ES_tradnl"/>
              </w:rPr>
              <w:t>Nº Resolución</w:t>
            </w:r>
          </w:p>
        </w:tc>
        <w:tc>
          <w:tcPr>
            <w:tcW w:w="1809" w:type="dxa"/>
          </w:tcPr>
          <w:p w14:paraId="1AD77D8E" w14:textId="477A1382" w:rsidR="002E7525" w:rsidRPr="003E6986" w:rsidRDefault="002E7525" w:rsidP="002E7525">
            <w:pPr>
              <w:pStyle w:val="Tablehead"/>
              <w:rPr>
                <w:lang w:val="es-ES_tradnl"/>
              </w:rPr>
            </w:pPr>
            <w:r w:rsidRPr="003E6986">
              <w:rPr>
                <w:lang w:val="es-ES_tradnl"/>
              </w:rPr>
              <w:t>Nº Provisional</w:t>
            </w:r>
          </w:p>
        </w:tc>
      </w:tr>
      <w:tr w:rsidR="002E7525" w:rsidRPr="003E6986" w14:paraId="1355F708" w14:textId="77777777" w:rsidTr="00D739F9">
        <w:trPr>
          <w:jc w:val="center"/>
        </w:trPr>
        <w:tc>
          <w:tcPr>
            <w:tcW w:w="1526" w:type="dxa"/>
            <w:tcBorders>
              <w:bottom w:val="single" w:sz="4" w:space="0" w:color="auto"/>
            </w:tcBorders>
          </w:tcPr>
          <w:p w14:paraId="6F8826F5"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COM4/1</w:t>
            </w:r>
          </w:p>
        </w:tc>
        <w:tc>
          <w:tcPr>
            <w:tcW w:w="1758" w:type="dxa"/>
            <w:tcBorders>
              <w:bottom w:val="single" w:sz="4" w:space="0" w:color="auto"/>
            </w:tcBorders>
          </w:tcPr>
          <w:p w14:paraId="554B679C" w14:textId="34036C06"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u w:val="double"/>
                <w:lang w:val="es-ES_tradnl"/>
              </w:rPr>
            </w:pPr>
            <w:r w:rsidRPr="003E6986">
              <w:rPr>
                <w:rFonts w:asciiTheme="minorHAnsi" w:hAnsiTheme="minorHAnsi"/>
                <w:sz w:val="20"/>
                <w:szCs w:val="20"/>
                <w:lang w:val="es-ES_tradnl"/>
              </w:rPr>
              <w:t>364</w:t>
            </w:r>
          </w:p>
        </w:tc>
        <w:tc>
          <w:tcPr>
            <w:tcW w:w="1502" w:type="dxa"/>
            <w:tcBorders>
              <w:bottom w:val="single" w:sz="4" w:space="0" w:color="auto"/>
            </w:tcBorders>
          </w:tcPr>
          <w:p w14:paraId="48D2A702"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COM5/7</w:t>
            </w:r>
          </w:p>
        </w:tc>
        <w:tc>
          <w:tcPr>
            <w:tcW w:w="1783" w:type="dxa"/>
            <w:tcBorders>
              <w:bottom w:val="single" w:sz="4" w:space="0" w:color="auto"/>
            </w:tcBorders>
          </w:tcPr>
          <w:p w14:paraId="545DE1AD" w14:textId="0253E6E5"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678</w:t>
            </w:r>
          </w:p>
        </w:tc>
        <w:tc>
          <w:tcPr>
            <w:tcW w:w="1477" w:type="dxa"/>
          </w:tcPr>
          <w:p w14:paraId="30A77D8B"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COM6/12</w:t>
            </w:r>
          </w:p>
        </w:tc>
        <w:tc>
          <w:tcPr>
            <w:tcW w:w="1809" w:type="dxa"/>
          </w:tcPr>
          <w:p w14:paraId="24881337" w14:textId="67CD81F5"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682</w:t>
            </w:r>
          </w:p>
        </w:tc>
      </w:tr>
      <w:tr w:rsidR="002E7525" w:rsidRPr="003E6986" w14:paraId="74890C84" w14:textId="77777777" w:rsidTr="00D73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63F29D69"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COM4/2</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D8DA520" w14:textId="51FF78A2"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406</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E04B09D"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COM5/8</w:t>
            </w:r>
          </w:p>
        </w:tc>
        <w:tc>
          <w:tcPr>
            <w:tcW w:w="1783" w:type="dxa"/>
            <w:tcBorders>
              <w:top w:val="single" w:sz="4" w:space="0" w:color="auto"/>
              <w:left w:val="single" w:sz="4" w:space="0" w:color="auto"/>
              <w:bottom w:val="single" w:sz="4" w:space="0" w:color="auto"/>
              <w:right w:val="single" w:sz="4" w:space="0" w:color="auto"/>
            </w:tcBorders>
            <w:shd w:val="clear" w:color="auto" w:fill="auto"/>
          </w:tcPr>
          <w:p w14:paraId="44F857C5" w14:textId="50C3CD85"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679</w:t>
            </w:r>
          </w:p>
        </w:tc>
        <w:tc>
          <w:tcPr>
            <w:tcW w:w="1477" w:type="dxa"/>
            <w:tcBorders>
              <w:top w:val="single" w:sz="4" w:space="0" w:color="auto"/>
              <w:bottom w:val="single" w:sz="4" w:space="0" w:color="auto"/>
              <w:right w:val="single" w:sz="4" w:space="0" w:color="auto"/>
            </w:tcBorders>
          </w:tcPr>
          <w:p w14:paraId="064BE73A"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COM6/13</w:t>
            </w:r>
          </w:p>
        </w:tc>
        <w:tc>
          <w:tcPr>
            <w:tcW w:w="1809" w:type="dxa"/>
            <w:tcBorders>
              <w:top w:val="single" w:sz="4" w:space="0" w:color="auto"/>
              <w:left w:val="single" w:sz="4" w:space="0" w:color="auto"/>
              <w:bottom w:val="single" w:sz="4" w:space="0" w:color="auto"/>
              <w:right w:val="single" w:sz="4" w:space="0" w:color="auto"/>
            </w:tcBorders>
          </w:tcPr>
          <w:p w14:paraId="28F25A90" w14:textId="02B04C06"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721</w:t>
            </w:r>
          </w:p>
        </w:tc>
      </w:tr>
      <w:tr w:rsidR="002E7525" w:rsidRPr="003E6986" w14:paraId="41298028" w14:textId="77777777" w:rsidTr="00D73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48B22BB9"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COM4/3</w:t>
            </w:r>
          </w:p>
        </w:tc>
        <w:tc>
          <w:tcPr>
            <w:tcW w:w="1758" w:type="dxa"/>
            <w:tcBorders>
              <w:top w:val="single" w:sz="4" w:space="0" w:color="auto"/>
              <w:left w:val="single" w:sz="4" w:space="0" w:color="auto"/>
              <w:bottom w:val="single" w:sz="4" w:space="0" w:color="auto"/>
              <w:right w:val="single" w:sz="4" w:space="0" w:color="auto"/>
            </w:tcBorders>
          </w:tcPr>
          <w:p w14:paraId="76443723" w14:textId="40613A73"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213</w:t>
            </w:r>
          </w:p>
        </w:tc>
        <w:tc>
          <w:tcPr>
            <w:tcW w:w="1502" w:type="dxa"/>
            <w:tcBorders>
              <w:top w:val="single" w:sz="4" w:space="0" w:color="auto"/>
              <w:left w:val="single" w:sz="4" w:space="0" w:color="auto"/>
              <w:bottom w:val="single" w:sz="4" w:space="0" w:color="auto"/>
              <w:right w:val="single" w:sz="4" w:space="0" w:color="auto"/>
            </w:tcBorders>
          </w:tcPr>
          <w:p w14:paraId="32043F3D"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COM5/9</w:t>
            </w:r>
          </w:p>
        </w:tc>
        <w:tc>
          <w:tcPr>
            <w:tcW w:w="1783" w:type="dxa"/>
            <w:tcBorders>
              <w:top w:val="single" w:sz="4" w:space="0" w:color="auto"/>
              <w:left w:val="single" w:sz="4" w:space="0" w:color="auto"/>
              <w:bottom w:val="single" w:sz="4" w:space="0" w:color="auto"/>
              <w:right w:val="single" w:sz="4" w:space="0" w:color="auto"/>
            </w:tcBorders>
          </w:tcPr>
          <w:p w14:paraId="67FAD502" w14:textId="6D0C376D"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126</w:t>
            </w:r>
          </w:p>
        </w:tc>
        <w:tc>
          <w:tcPr>
            <w:tcW w:w="1477" w:type="dxa"/>
            <w:tcBorders>
              <w:top w:val="single" w:sz="4" w:space="0" w:color="auto"/>
              <w:bottom w:val="single" w:sz="4" w:space="0" w:color="auto"/>
              <w:right w:val="single" w:sz="4" w:space="0" w:color="auto"/>
            </w:tcBorders>
          </w:tcPr>
          <w:p w14:paraId="1CCAA35E"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COM6/14</w:t>
            </w:r>
          </w:p>
        </w:tc>
        <w:tc>
          <w:tcPr>
            <w:tcW w:w="1809" w:type="dxa"/>
            <w:tcBorders>
              <w:top w:val="single" w:sz="4" w:space="0" w:color="auto"/>
              <w:left w:val="single" w:sz="4" w:space="0" w:color="auto"/>
              <w:bottom w:val="single" w:sz="4" w:space="0" w:color="auto"/>
              <w:right w:val="single" w:sz="4" w:space="0" w:color="auto"/>
            </w:tcBorders>
          </w:tcPr>
          <w:p w14:paraId="24EA075F" w14:textId="752A277A" w:rsidR="002E7525" w:rsidRPr="003E6986" w:rsidRDefault="00C6600E"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910</w:t>
            </w:r>
          </w:p>
        </w:tc>
      </w:tr>
      <w:tr w:rsidR="002E7525" w:rsidRPr="003E6986" w14:paraId="4B46A197" w14:textId="77777777" w:rsidTr="00D73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702664A8"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COM4/4</w:t>
            </w:r>
          </w:p>
        </w:tc>
        <w:tc>
          <w:tcPr>
            <w:tcW w:w="1758" w:type="dxa"/>
            <w:tcBorders>
              <w:top w:val="single" w:sz="4" w:space="0" w:color="auto"/>
              <w:left w:val="single" w:sz="4" w:space="0" w:color="auto"/>
              <w:bottom w:val="single" w:sz="4" w:space="0" w:color="auto"/>
              <w:right w:val="single" w:sz="4" w:space="0" w:color="auto"/>
            </w:tcBorders>
          </w:tcPr>
          <w:p w14:paraId="0BF070FA" w14:textId="79FD0D2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218</w:t>
            </w:r>
          </w:p>
        </w:tc>
        <w:tc>
          <w:tcPr>
            <w:tcW w:w="150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22AE8AF"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p>
        </w:tc>
        <w:tc>
          <w:tcPr>
            <w:tcW w:w="178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32D4E73"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p>
        </w:tc>
        <w:tc>
          <w:tcPr>
            <w:tcW w:w="1477" w:type="dxa"/>
            <w:tcBorders>
              <w:top w:val="single" w:sz="4" w:space="0" w:color="auto"/>
              <w:bottom w:val="single" w:sz="4" w:space="0" w:color="auto"/>
              <w:right w:val="single" w:sz="4" w:space="0" w:color="auto"/>
            </w:tcBorders>
          </w:tcPr>
          <w:p w14:paraId="5C27798D"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COM6/15</w:t>
            </w:r>
          </w:p>
        </w:tc>
        <w:tc>
          <w:tcPr>
            <w:tcW w:w="1809" w:type="dxa"/>
            <w:tcBorders>
              <w:top w:val="single" w:sz="4" w:space="0" w:color="auto"/>
              <w:left w:val="single" w:sz="4" w:space="0" w:color="auto"/>
              <w:bottom w:val="single" w:sz="4" w:space="0" w:color="auto"/>
              <w:right w:val="single" w:sz="4" w:space="0" w:color="auto"/>
            </w:tcBorders>
          </w:tcPr>
          <w:p w14:paraId="716F0603" w14:textId="7BEE88E6"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133</w:t>
            </w:r>
          </w:p>
        </w:tc>
      </w:tr>
      <w:tr w:rsidR="002E7525" w:rsidRPr="003E6986" w14:paraId="0C2663CC" w14:textId="77777777" w:rsidTr="00D73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6FB20B79"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COM4/5</w:t>
            </w:r>
          </w:p>
        </w:tc>
        <w:tc>
          <w:tcPr>
            <w:tcW w:w="1758" w:type="dxa"/>
            <w:tcBorders>
              <w:top w:val="single" w:sz="4" w:space="0" w:color="auto"/>
              <w:left w:val="single" w:sz="4" w:space="0" w:color="auto"/>
              <w:bottom w:val="single" w:sz="4" w:space="0" w:color="auto"/>
              <w:right w:val="single" w:sz="4" w:space="0" w:color="auto"/>
            </w:tcBorders>
          </w:tcPr>
          <w:p w14:paraId="1C6F1732" w14:textId="4E56E1E7" w:rsidR="002E7525" w:rsidRPr="003E6986" w:rsidRDefault="00C6600E"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365</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CD9A4EA"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COM6/1</w:t>
            </w:r>
          </w:p>
        </w:tc>
        <w:tc>
          <w:tcPr>
            <w:tcW w:w="1783" w:type="dxa"/>
            <w:tcBorders>
              <w:top w:val="single" w:sz="4" w:space="0" w:color="auto"/>
              <w:left w:val="single" w:sz="4" w:space="0" w:color="auto"/>
              <w:bottom w:val="single" w:sz="4" w:space="0" w:color="auto"/>
              <w:right w:val="single" w:sz="4" w:space="0" w:color="auto"/>
            </w:tcBorders>
            <w:shd w:val="clear" w:color="auto" w:fill="auto"/>
          </w:tcPr>
          <w:p w14:paraId="74989758" w14:textId="6949D5A2"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129</w:t>
            </w:r>
          </w:p>
        </w:tc>
        <w:tc>
          <w:tcPr>
            <w:tcW w:w="1477" w:type="dxa"/>
            <w:tcBorders>
              <w:top w:val="single" w:sz="4" w:space="0" w:color="auto"/>
              <w:bottom w:val="single" w:sz="4" w:space="0" w:color="auto"/>
              <w:right w:val="single" w:sz="4" w:space="0" w:color="auto"/>
            </w:tcBorders>
          </w:tcPr>
          <w:p w14:paraId="1CF3125E"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COM6/16</w:t>
            </w:r>
          </w:p>
        </w:tc>
        <w:tc>
          <w:tcPr>
            <w:tcW w:w="1809" w:type="dxa"/>
            <w:tcBorders>
              <w:top w:val="single" w:sz="4" w:space="0" w:color="auto"/>
              <w:left w:val="single" w:sz="4" w:space="0" w:color="auto"/>
              <w:bottom w:val="single" w:sz="4" w:space="0" w:color="auto"/>
              <w:right w:val="single" w:sz="4" w:space="0" w:color="auto"/>
            </w:tcBorders>
          </w:tcPr>
          <w:p w14:paraId="34145C51" w14:textId="50959732"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683</w:t>
            </w:r>
          </w:p>
        </w:tc>
      </w:tr>
      <w:tr w:rsidR="002E7525" w:rsidRPr="003E6986" w14:paraId="521A7C99" w14:textId="77777777" w:rsidTr="00D73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37CF50D1"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COM4/6</w:t>
            </w:r>
          </w:p>
        </w:tc>
        <w:tc>
          <w:tcPr>
            <w:tcW w:w="1758" w:type="dxa"/>
            <w:tcBorders>
              <w:top w:val="single" w:sz="4" w:space="0" w:color="auto"/>
              <w:left w:val="single" w:sz="4" w:space="0" w:color="auto"/>
              <w:bottom w:val="single" w:sz="4" w:space="0" w:color="auto"/>
              <w:right w:val="single" w:sz="4" w:space="0" w:color="auto"/>
            </w:tcBorders>
          </w:tcPr>
          <w:p w14:paraId="275C353F" w14:textId="4A26D6F8" w:rsidR="002E7525" w:rsidRPr="003E6986" w:rsidRDefault="00C6600E"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219</w:t>
            </w:r>
          </w:p>
        </w:tc>
        <w:tc>
          <w:tcPr>
            <w:tcW w:w="1502" w:type="dxa"/>
            <w:tcBorders>
              <w:top w:val="single" w:sz="4" w:space="0" w:color="auto"/>
              <w:left w:val="single" w:sz="4" w:space="0" w:color="auto"/>
              <w:bottom w:val="single" w:sz="4" w:space="0" w:color="auto"/>
              <w:right w:val="single" w:sz="4" w:space="0" w:color="auto"/>
            </w:tcBorders>
          </w:tcPr>
          <w:p w14:paraId="17738B21"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COM6/2</w:t>
            </w:r>
          </w:p>
        </w:tc>
        <w:tc>
          <w:tcPr>
            <w:tcW w:w="1783" w:type="dxa"/>
            <w:tcBorders>
              <w:top w:val="single" w:sz="4" w:space="0" w:color="auto"/>
              <w:left w:val="single" w:sz="4" w:space="0" w:color="auto"/>
              <w:bottom w:val="single" w:sz="4" w:space="0" w:color="auto"/>
              <w:right w:val="single" w:sz="4" w:space="0" w:color="auto"/>
            </w:tcBorders>
          </w:tcPr>
          <w:p w14:paraId="46AD3147" w14:textId="54F6C4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411</w:t>
            </w:r>
          </w:p>
        </w:tc>
        <w:tc>
          <w:tcPr>
            <w:tcW w:w="1477" w:type="dxa"/>
            <w:tcBorders>
              <w:top w:val="single" w:sz="4" w:space="0" w:color="auto"/>
              <w:bottom w:val="single" w:sz="4" w:space="0" w:color="auto"/>
              <w:right w:val="single" w:sz="4" w:space="0" w:color="auto"/>
            </w:tcBorders>
          </w:tcPr>
          <w:p w14:paraId="7D4844C9"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COM6/17</w:t>
            </w:r>
          </w:p>
        </w:tc>
        <w:tc>
          <w:tcPr>
            <w:tcW w:w="1809" w:type="dxa"/>
            <w:tcBorders>
              <w:top w:val="single" w:sz="4" w:space="0" w:color="auto"/>
              <w:left w:val="single" w:sz="4" w:space="0" w:color="auto"/>
              <w:bottom w:val="single" w:sz="4" w:space="0" w:color="auto"/>
              <w:right w:val="single" w:sz="4" w:space="0" w:color="auto"/>
            </w:tcBorders>
          </w:tcPr>
          <w:p w14:paraId="5883C49C" w14:textId="26A3118C" w:rsidR="002E7525" w:rsidRPr="003E6986" w:rsidRDefault="00C6600E"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255</w:t>
            </w:r>
          </w:p>
        </w:tc>
      </w:tr>
      <w:tr w:rsidR="002E7525" w:rsidRPr="003E6986" w14:paraId="1A38BFB3" w14:textId="77777777" w:rsidTr="00D73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5D2AD0F2"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COM4/7</w:t>
            </w:r>
          </w:p>
        </w:tc>
        <w:tc>
          <w:tcPr>
            <w:tcW w:w="1758" w:type="dxa"/>
            <w:tcBorders>
              <w:top w:val="single" w:sz="4" w:space="0" w:color="auto"/>
              <w:left w:val="single" w:sz="4" w:space="0" w:color="auto"/>
              <w:bottom w:val="single" w:sz="4" w:space="0" w:color="auto"/>
              <w:right w:val="single" w:sz="4" w:space="0" w:color="auto"/>
            </w:tcBorders>
          </w:tcPr>
          <w:p w14:paraId="4E9ECC2C" w14:textId="37990137" w:rsidR="002E7525" w:rsidRPr="003E6986" w:rsidRDefault="00C6600E"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220</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D0BA248"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COM6/3</w:t>
            </w:r>
          </w:p>
        </w:tc>
        <w:tc>
          <w:tcPr>
            <w:tcW w:w="1783" w:type="dxa"/>
            <w:tcBorders>
              <w:top w:val="single" w:sz="4" w:space="0" w:color="auto"/>
              <w:left w:val="single" w:sz="4" w:space="0" w:color="auto"/>
              <w:bottom w:val="single" w:sz="4" w:space="0" w:color="auto"/>
              <w:right w:val="single" w:sz="4" w:space="0" w:color="auto"/>
            </w:tcBorders>
            <w:shd w:val="clear" w:color="auto" w:fill="auto"/>
          </w:tcPr>
          <w:p w14:paraId="025D6606" w14:textId="04F60405"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130</w:t>
            </w:r>
          </w:p>
        </w:tc>
        <w:tc>
          <w:tcPr>
            <w:tcW w:w="1477" w:type="dxa"/>
            <w:tcBorders>
              <w:top w:val="single" w:sz="4" w:space="0" w:color="auto"/>
              <w:bottom w:val="single" w:sz="4" w:space="0" w:color="auto"/>
              <w:right w:val="single" w:sz="4" w:space="0" w:color="auto"/>
            </w:tcBorders>
          </w:tcPr>
          <w:p w14:paraId="541F9AB1"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COM6/18</w:t>
            </w:r>
          </w:p>
        </w:tc>
        <w:tc>
          <w:tcPr>
            <w:tcW w:w="1809" w:type="dxa"/>
            <w:tcBorders>
              <w:top w:val="single" w:sz="4" w:space="0" w:color="auto"/>
              <w:left w:val="single" w:sz="4" w:space="0" w:color="auto"/>
              <w:bottom w:val="single" w:sz="4" w:space="0" w:color="auto"/>
              <w:right w:val="single" w:sz="4" w:space="0" w:color="auto"/>
            </w:tcBorders>
          </w:tcPr>
          <w:p w14:paraId="5B7E6014" w14:textId="2A6FDBA3"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36</w:t>
            </w:r>
            <w:r w:rsidR="00C6600E" w:rsidRPr="003E6986">
              <w:rPr>
                <w:rFonts w:asciiTheme="minorHAnsi" w:hAnsiTheme="minorHAnsi"/>
                <w:sz w:val="20"/>
                <w:szCs w:val="20"/>
                <w:lang w:val="es-ES_tradnl"/>
              </w:rPr>
              <w:t>6</w:t>
            </w:r>
          </w:p>
        </w:tc>
      </w:tr>
      <w:tr w:rsidR="002E7525" w:rsidRPr="003E6986" w14:paraId="2F9A22DB" w14:textId="77777777" w:rsidTr="00D73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0E1F071A"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COM4/8</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57603873" w14:textId="714C4CDA"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674</w:t>
            </w:r>
          </w:p>
        </w:tc>
        <w:tc>
          <w:tcPr>
            <w:tcW w:w="1502" w:type="dxa"/>
            <w:tcBorders>
              <w:top w:val="single" w:sz="4" w:space="0" w:color="auto"/>
              <w:left w:val="single" w:sz="4" w:space="0" w:color="auto"/>
              <w:bottom w:val="single" w:sz="4" w:space="0" w:color="auto"/>
              <w:right w:val="single" w:sz="4" w:space="0" w:color="auto"/>
            </w:tcBorders>
          </w:tcPr>
          <w:p w14:paraId="216282F9"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COM6/4</w:t>
            </w:r>
          </w:p>
        </w:tc>
        <w:tc>
          <w:tcPr>
            <w:tcW w:w="1783" w:type="dxa"/>
            <w:tcBorders>
              <w:top w:val="single" w:sz="4" w:space="0" w:color="auto"/>
              <w:left w:val="single" w:sz="4" w:space="0" w:color="auto"/>
              <w:bottom w:val="single" w:sz="4" w:space="0" w:color="auto"/>
              <w:right w:val="single" w:sz="4" w:space="0" w:color="auto"/>
            </w:tcBorders>
          </w:tcPr>
          <w:p w14:paraId="5B475336" w14:textId="172D4CCC"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680</w:t>
            </w:r>
          </w:p>
        </w:tc>
        <w:tc>
          <w:tcPr>
            <w:tcW w:w="1477" w:type="dxa"/>
            <w:tcBorders>
              <w:top w:val="single" w:sz="4" w:space="0" w:color="auto"/>
              <w:bottom w:val="single" w:sz="4" w:space="0" w:color="auto"/>
              <w:right w:val="single" w:sz="4" w:space="0" w:color="auto"/>
            </w:tcBorders>
          </w:tcPr>
          <w:p w14:paraId="5A5026C4"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COM6/19</w:t>
            </w:r>
            <w:r w:rsidRPr="003E6986" w:rsidDel="00AC1BE4">
              <w:rPr>
                <w:rFonts w:asciiTheme="minorHAnsi" w:hAnsiTheme="minorHAnsi"/>
                <w:sz w:val="20"/>
                <w:szCs w:val="20"/>
                <w:lang w:val="es-ES_tradnl"/>
              </w:rPr>
              <w:t xml:space="preserve"> </w:t>
            </w:r>
          </w:p>
        </w:tc>
        <w:tc>
          <w:tcPr>
            <w:tcW w:w="1809" w:type="dxa"/>
            <w:tcBorders>
              <w:top w:val="single" w:sz="4" w:space="0" w:color="auto"/>
              <w:left w:val="single" w:sz="4" w:space="0" w:color="auto"/>
              <w:bottom w:val="single" w:sz="4" w:space="0" w:color="auto"/>
              <w:right w:val="single" w:sz="4" w:space="0" w:color="auto"/>
            </w:tcBorders>
          </w:tcPr>
          <w:p w14:paraId="4FEC1979" w14:textId="3FE7DC7E"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684</w:t>
            </w:r>
          </w:p>
        </w:tc>
      </w:tr>
      <w:tr w:rsidR="002E7525" w:rsidRPr="003E6986" w14:paraId="08844CC3" w14:textId="77777777" w:rsidTr="00D73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737F49D"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p>
        </w:tc>
        <w:tc>
          <w:tcPr>
            <w:tcW w:w="1758"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8B008B2"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p>
        </w:tc>
        <w:tc>
          <w:tcPr>
            <w:tcW w:w="1502" w:type="dxa"/>
            <w:tcBorders>
              <w:top w:val="single" w:sz="4" w:space="0" w:color="auto"/>
              <w:left w:val="single" w:sz="4" w:space="0" w:color="auto"/>
              <w:bottom w:val="single" w:sz="4" w:space="0" w:color="auto"/>
              <w:right w:val="single" w:sz="4" w:space="0" w:color="auto"/>
            </w:tcBorders>
          </w:tcPr>
          <w:p w14:paraId="244A7074"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COM6/5</w:t>
            </w:r>
          </w:p>
        </w:tc>
        <w:tc>
          <w:tcPr>
            <w:tcW w:w="1783" w:type="dxa"/>
            <w:tcBorders>
              <w:top w:val="single" w:sz="4" w:space="0" w:color="auto"/>
              <w:left w:val="single" w:sz="4" w:space="0" w:color="auto"/>
              <w:bottom w:val="single" w:sz="4" w:space="0" w:color="auto"/>
              <w:right w:val="single" w:sz="4" w:space="0" w:color="auto"/>
            </w:tcBorders>
          </w:tcPr>
          <w:p w14:paraId="56C8D92C" w14:textId="3D0291F5"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712</w:t>
            </w:r>
          </w:p>
        </w:tc>
        <w:tc>
          <w:tcPr>
            <w:tcW w:w="1477" w:type="dxa"/>
            <w:tcBorders>
              <w:top w:val="single" w:sz="4" w:space="0" w:color="auto"/>
              <w:bottom w:val="single" w:sz="4" w:space="0" w:color="auto"/>
              <w:right w:val="single" w:sz="4" w:space="0" w:color="auto"/>
            </w:tcBorders>
            <w:shd w:val="clear" w:color="auto" w:fill="auto"/>
          </w:tcPr>
          <w:p w14:paraId="72404E50"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COM6/20</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28095165" w14:textId="26A64916"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685</w:t>
            </w:r>
          </w:p>
        </w:tc>
      </w:tr>
      <w:tr w:rsidR="002E7525" w:rsidRPr="003E6986" w14:paraId="5DDA6B17" w14:textId="77777777" w:rsidTr="00D73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568189BD"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COM5/1</w:t>
            </w:r>
          </w:p>
        </w:tc>
        <w:tc>
          <w:tcPr>
            <w:tcW w:w="1758" w:type="dxa"/>
            <w:tcBorders>
              <w:top w:val="single" w:sz="4" w:space="0" w:color="auto"/>
              <w:left w:val="single" w:sz="4" w:space="0" w:color="auto"/>
              <w:bottom w:val="single" w:sz="4" w:space="0" w:color="auto"/>
              <w:right w:val="single" w:sz="4" w:space="0" w:color="auto"/>
            </w:tcBorders>
          </w:tcPr>
          <w:p w14:paraId="428DFAA4" w14:textId="544E85BE"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675</w:t>
            </w:r>
          </w:p>
        </w:tc>
        <w:tc>
          <w:tcPr>
            <w:tcW w:w="1502" w:type="dxa"/>
            <w:tcBorders>
              <w:top w:val="single" w:sz="4" w:space="0" w:color="auto"/>
              <w:left w:val="single" w:sz="4" w:space="0" w:color="auto"/>
              <w:bottom w:val="single" w:sz="4" w:space="0" w:color="auto"/>
              <w:right w:val="single" w:sz="4" w:space="0" w:color="auto"/>
            </w:tcBorders>
          </w:tcPr>
          <w:p w14:paraId="5BD53D65"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COM6/6</w:t>
            </w:r>
          </w:p>
        </w:tc>
        <w:tc>
          <w:tcPr>
            <w:tcW w:w="1783" w:type="dxa"/>
            <w:tcBorders>
              <w:top w:val="single" w:sz="4" w:space="0" w:color="auto"/>
              <w:left w:val="single" w:sz="4" w:space="0" w:color="auto"/>
              <w:bottom w:val="single" w:sz="4" w:space="0" w:color="auto"/>
              <w:right w:val="single" w:sz="4" w:space="0" w:color="auto"/>
            </w:tcBorders>
          </w:tcPr>
          <w:p w14:paraId="1EA12109" w14:textId="636D9F11"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14</w:t>
            </w:r>
          </w:p>
        </w:tc>
        <w:tc>
          <w:tcPr>
            <w:tcW w:w="1477" w:type="dxa"/>
            <w:tcBorders>
              <w:top w:val="single" w:sz="4" w:space="0" w:color="auto"/>
              <w:bottom w:val="single" w:sz="4" w:space="0" w:color="auto"/>
              <w:right w:val="single" w:sz="4" w:space="0" w:color="auto"/>
            </w:tcBorders>
          </w:tcPr>
          <w:p w14:paraId="267D2BD7"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COM6/21</w:t>
            </w:r>
          </w:p>
        </w:tc>
        <w:tc>
          <w:tcPr>
            <w:tcW w:w="1809" w:type="dxa"/>
            <w:tcBorders>
              <w:top w:val="single" w:sz="4" w:space="0" w:color="auto"/>
              <w:left w:val="single" w:sz="4" w:space="0" w:color="auto"/>
              <w:bottom w:val="single" w:sz="4" w:space="0" w:color="auto"/>
              <w:right w:val="single" w:sz="4" w:space="0" w:color="auto"/>
            </w:tcBorders>
          </w:tcPr>
          <w:p w14:paraId="2B079B38" w14:textId="7F7C2F3B"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686</w:t>
            </w:r>
          </w:p>
        </w:tc>
      </w:tr>
      <w:tr w:rsidR="002E7525" w:rsidRPr="003E6986" w14:paraId="3412EB66" w14:textId="77777777" w:rsidTr="00D73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1F4B3097"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COM5/2</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2293E587" w14:textId="5A2CE564"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121</w:t>
            </w:r>
          </w:p>
        </w:tc>
        <w:tc>
          <w:tcPr>
            <w:tcW w:w="1502" w:type="dxa"/>
            <w:tcBorders>
              <w:top w:val="single" w:sz="4" w:space="0" w:color="auto"/>
              <w:left w:val="single" w:sz="4" w:space="0" w:color="auto"/>
              <w:bottom w:val="single" w:sz="4" w:space="0" w:color="auto"/>
              <w:right w:val="single" w:sz="4" w:space="0" w:color="auto"/>
            </w:tcBorders>
          </w:tcPr>
          <w:p w14:paraId="1ED92943"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COM6/7</w:t>
            </w:r>
          </w:p>
        </w:tc>
        <w:tc>
          <w:tcPr>
            <w:tcW w:w="1783" w:type="dxa"/>
            <w:tcBorders>
              <w:top w:val="single" w:sz="4" w:space="0" w:color="auto"/>
              <w:left w:val="single" w:sz="4" w:space="0" w:color="auto"/>
              <w:bottom w:val="single" w:sz="4" w:space="0" w:color="auto"/>
              <w:right w:val="single" w:sz="4" w:space="0" w:color="auto"/>
            </w:tcBorders>
          </w:tcPr>
          <w:p w14:paraId="0C10B22E" w14:textId="07690A05"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131</w:t>
            </w:r>
          </w:p>
        </w:tc>
        <w:tc>
          <w:tcPr>
            <w:tcW w:w="1477" w:type="dxa"/>
            <w:tcBorders>
              <w:top w:val="single" w:sz="4" w:space="0" w:color="auto"/>
              <w:bottom w:val="single" w:sz="4" w:space="0" w:color="auto"/>
              <w:right w:val="single" w:sz="4" w:space="0" w:color="auto"/>
            </w:tcBorders>
          </w:tcPr>
          <w:p w14:paraId="77904315"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COM6/22</w:t>
            </w:r>
          </w:p>
        </w:tc>
        <w:tc>
          <w:tcPr>
            <w:tcW w:w="1809" w:type="dxa"/>
            <w:tcBorders>
              <w:top w:val="single" w:sz="4" w:space="0" w:color="auto"/>
              <w:left w:val="single" w:sz="4" w:space="0" w:color="auto"/>
              <w:bottom w:val="single" w:sz="4" w:space="0" w:color="auto"/>
              <w:right w:val="single" w:sz="4" w:space="0" w:color="auto"/>
            </w:tcBorders>
          </w:tcPr>
          <w:p w14:paraId="746A7B8E" w14:textId="7B0BA444"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72</w:t>
            </w:r>
            <w:r w:rsidR="00C6600E" w:rsidRPr="003E6986">
              <w:rPr>
                <w:rFonts w:asciiTheme="minorHAnsi" w:hAnsiTheme="minorHAnsi"/>
                <w:sz w:val="20"/>
                <w:szCs w:val="20"/>
                <w:lang w:val="es-ES_tradnl"/>
              </w:rPr>
              <w:t>2</w:t>
            </w:r>
          </w:p>
        </w:tc>
      </w:tr>
      <w:tr w:rsidR="002E7525" w:rsidRPr="003E6986" w14:paraId="226CD5D2" w14:textId="77777777" w:rsidTr="00D73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54DD88C9"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COM5/3</w:t>
            </w:r>
          </w:p>
        </w:tc>
        <w:tc>
          <w:tcPr>
            <w:tcW w:w="1758" w:type="dxa"/>
            <w:tcBorders>
              <w:top w:val="single" w:sz="4" w:space="0" w:color="auto"/>
              <w:left w:val="single" w:sz="4" w:space="0" w:color="auto"/>
              <w:bottom w:val="single" w:sz="4" w:space="0" w:color="auto"/>
              <w:right w:val="single" w:sz="4" w:space="0" w:color="auto"/>
            </w:tcBorders>
          </w:tcPr>
          <w:p w14:paraId="51D573F7" w14:textId="401EA47B"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123</w:t>
            </w:r>
          </w:p>
        </w:tc>
        <w:tc>
          <w:tcPr>
            <w:tcW w:w="1502" w:type="dxa"/>
            <w:tcBorders>
              <w:top w:val="single" w:sz="4" w:space="0" w:color="auto"/>
              <w:left w:val="single" w:sz="4" w:space="0" w:color="auto"/>
              <w:bottom w:val="single" w:sz="4" w:space="0" w:color="auto"/>
              <w:right w:val="single" w:sz="4" w:space="0" w:color="auto"/>
            </w:tcBorders>
          </w:tcPr>
          <w:p w14:paraId="04CEA89F"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COM6/8</w:t>
            </w:r>
          </w:p>
        </w:tc>
        <w:tc>
          <w:tcPr>
            <w:tcW w:w="1783" w:type="dxa"/>
            <w:tcBorders>
              <w:top w:val="single" w:sz="4" w:space="0" w:color="auto"/>
              <w:left w:val="single" w:sz="4" w:space="0" w:color="auto"/>
              <w:bottom w:val="single" w:sz="4" w:space="0" w:color="auto"/>
              <w:right w:val="single" w:sz="4" w:space="0" w:color="auto"/>
            </w:tcBorders>
          </w:tcPr>
          <w:p w14:paraId="07277FBB" w14:textId="6F6EA30D"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25</w:t>
            </w:r>
            <w:r w:rsidR="00C6600E" w:rsidRPr="003E6986">
              <w:rPr>
                <w:rFonts w:asciiTheme="minorHAnsi" w:hAnsiTheme="minorHAnsi"/>
                <w:sz w:val="20"/>
                <w:szCs w:val="20"/>
                <w:lang w:val="es-ES_tradnl"/>
              </w:rPr>
              <w:t>2</w:t>
            </w:r>
          </w:p>
        </w:tc>
        <w:tc>
          <w:tcPr>
            <w:tcW w:w="1477" w:type="dxa"/>
            <w:tcBorders>
              <w:top w:val="single" w:sz="4" w:space="0" w:color="auto"/>
              <w:bottom w:val="single" w:sz="4" w:space="0" w:color="auto"/>
              <w:right w:val="single" w:sz="4" w:space="0" w:color="auto"/>
            </w:tcBorders>
            <w:shd w:val="clear" w:color="auto" w:fill="auto"/>
          </w:tcPr>
          <w:p w14:paraId="115BE39B"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COM6/23</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0D376D68" w14:textId="6DB56DD3"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813</w:t>
            </w:r>
          </w:p>
        </w:tc>
      </w:tr>
      <w:tr w:rsidR="002E7525" w:rsidRPr="003E6986" w14:paraId="4D86F996" w14:textId="77777777" w:rsidTr="00D73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4453A51E"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COM5/4</w:t>
            </w:r>
          </w:p>
        </w:tc>
        <w:tc>
          <w:tcPr>
            <w:tcW w:w="1758" w:type="dxa"/>
            <w:tcBorders>
              <w:top w:val="single" w:sz="4" w:space="0" w:color="auto"/>
              <w:left w:val="single" w:sz="4" w:space="0" w:color="auto"/>
              <w:bottom w:val="single" w:sz="4" w:space="0" w:color="auto"/>
              <w:right w:val="single" w:sz="4" w:space="0" w:color="auto"/>
            </w:tcBorders>
          </w:tcPr>
          <w:p w14:paraId="57F242D8" w14:textId="64431A55"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8</w:t>
            </w:r>
          </w:p>
        </w:tc>
        <w:tc>
          <w:tcPr>
            <w:tcW w:w="1502" w:type="dxa"/>
            <w:tcBorders>
              <w:top w:val="single" w:sz="4" w:space="0" w:color="auto"/>
              <w:left w:val="single" w:sz="4" w:space="0" w:color="auto"/>
              <w:bottom w:val="single" w:sz="4" w:space="0" w:color="auto"/>
              <w:right w:val="single" w:sz="4" w:space="0" w:color="auto"/>
            </w:tcBorders>
          </w:tcPr>
          <w:p w14:paraId="03FB353C"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COM6/9</w:t>
            </w:r>
          </w:p>
        </w:tc>
        <w:tc>
          <w:tcPr>
            <w:tcW w:w="1783" w:type="dxa"/>
            <w:tcBorders>
              <w:top w:val="single" w:sz="4" w:space="0" w:color="auto"/>
              <w:left w:val="single" w:sz="4" w:space="0" w:color="auto"/>
              <w:bottom w:val="single" w:sz="4" w:space="0" w:color="auto"/>
              <w:right w:val="single" w:sz="4" w:space="0" w:color="auto"/>
            </w:tcBorders>
          </w:tcPr>
          <w:p w14:paraId="5735ED54" w14:textId="0F31C0D0"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25</w:t>
            </w:r>
            <w:r w:rsidR="00C6600E" w:rsidRPr="003E6986">
              <w:rPr>
                <w:rFonts w:asciiTheme="minorHAnsi" w:hAnsiTheme="minorHAnsi"/>
                <w:sz w:val="20"/>
                <w:szCs w:val="20"/>
                <w:lang w:val="es-ES_tradnl"/>
              </w:rPr>
              <w:t>3</w:t>
            </w:r>
          </w:p>
        </w:tc>
        <w:tc>
          <w:tcPr>
            <w:tcW w:w="1477" w:type="dxa"/>
            <w:tcBorders>
              <w:top w:val="single" w:sz="4" w:space="0" w:color="auto"/>
              <w:bottom w:val="single" w:sz="4" w:space="0" w:color="auto"/>
              <w:right w:val="single" w:sz="4" w:space="0" w:color="auto"/>
            </w:tcBorders>
            <w:shd w:val="clear" w:color="auto" w:fill="auto"/>
          </w:tcPr>
          <w:p w14:paraId="4ADE81A3"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COM6/24</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5520270D" w14:textId="24D88C38" w:rsidR="002E7525" w:rsidRPr="003E6986" w:rsidRDefault="00C6600E"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726</w:t>
            </w:r>
          </w:p>
        </w:tc>
      </w:tr>
      <w:tr w:rsidR="002E7525" w:rsidRPr="003E6986" w14:paraId="10A1E33D" w14:textId="77777777" w:rsidTr="00D73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4E21BD7E"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COM5/5</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7F6F67FB" w14:textId="777464E0"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676</w:t>
            </w:r>
          </w:p>
        </w:tc>
        <w:tc>
          <w:tcPr>
            <w:tcW w:w="1502" w:type="dxa"/>
            <w:tcBorders>
              <w:top w:val="single" w:sz="4" w:space="0" w:color="auto"/>
              <w:left w:val="single" w:sz="4" w:space="0" w:color="auto"/>
              <w:bottom w:val="single" w:sz="4" w:space="0" w:color="auto"/>
              <w:right w:val="single" w:sz="4" w:space="0" w:color="auto"/>
            </w:tcBorders>
          </w:tcPr>
          <w:p w14:paraId="6FF506E2"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COM6/10</w:t>
            </w:r>
          </w:p>
        </w:tc>
        <w:tc>
          <w:tcPr>
            <w:tcW w:w="1783" w:type="dxa"/>
            <w:tcBorders>
              <w:top w:val="single" w:sz="4" w:space="0" w:color="auto"/>
              <w:left w:val="single" w:sz="4" w:space="0" w:color="auto"/>
              <w:bottom w:val="single" w:sz="4" w:space="0" w:color="auto"/>
              <w:right w:val="single" w:sz="4" w:space="0" w:color="auto"/>
            </w:tcBorders>
          </w:tcPr>
          <w:p w14:paraId="2616124D" w14:textId="5037B792" w:rsidR="002E7525" w:rsidRPr="003E6986" w:rsidRDefault="00C6600E"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254</w:t>
            </w:r>
          </w:p>
        </w:tc>
        <w:tc>
          <w:tcPr>
            <w:tcW w:w="1477" w:type="dxa"/>
            <w:tcBorders>
              <w:top w:val="single" w:sz="4" w:space="0" w:color="auto"/>
              <w:bottom w:val="single" w:sz="4" w:space="0" w:color="auto"/>
              <w:right w:val="single" w:sz="4" w:space="0" w:color="auto"/>
            </w:tcBorders>
          </w:tcPr>
          <w:p w14:paraId="37C8D3BD"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COM6/25</w:t>
            </w:r>
          </w:p>
        </w:tc>
        <w:tc>
          <w:tcPr>
            <w:tcW w:w="1809" w:type="dxa"/>
            <w:tcBorders>
              <w:top w:val="single" w:sz="4" w:space="0" w:color="auto"/>
              <w:left w:val="single" w:sz="4" w:space="0" w:color="auto"/>
              <w:bottom w:val="single" w:sz="4" w:space="0" w:color="auto"/>
              <w:right w:val="single" w:sz="4" w:space="0" w:color="auto"/>
            </w:tcBorders>
          </w:tcPr>
          <w:p w14:paraId="2E6FC33E" w14:textId="37B35D22"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814</w:t>
            </w:r>
          </w:p>
        </w:tc>
      </w:tr>
      <w:tr w:rsidR="002E7525" w:rsidRPr="003E6986" w14:paraId="5D93FDCB" w14:textId="77777777" w:rsidTr="00D73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26" w:type="dxa"/>
            <w:tcBorders>
              <w:top w:val="single" w:sz="4" w:space="0" w:color="auto"/>
              <w:left w:val="single" w:sz="4" w:space="0" w:color="auto"/>
              <w:bottom w:val="single" w:sz="4" w:space="0" w:color="auto"/>
              <w:right w:val="single" w:sz="4" w:space="0" w:color="auto"/>
            </w:tcBorders>
          </w:tcPr>
          <w:p w14:paraId="2D975A1A"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COM5/6</w:t>
            </w:r>
          </w:p>
        </w:tc>
        <w:tc>
          <w:tcPr>
            <w:tcW w:w="1758" w:type="dxa"/>
            <w:tcBorders>
              <w:top w:val="single" w:sz="4" w:space="0" w:color="auto"/>
              <w:left w:val="single" w:sz="4" w:space="0" w:color="auto"/>
              <w:bottom w:val="single" w:sz="4" w:space="0" w:color="auto"/>
              <w:right w:val="single" w:sz="4" w:space="0" w:color="auto"/>
            </w:tcBorders>
          </w:tcPr>
          <w:p w14:paraId="2268611A" w14:textId="7708B26C"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677</w:t>
            </w:r>
          </w:p>
        </w:tc>
        <w:tc>
          <w:tcPr>
            <w:tcW w:w="1502" w:type="dxa"/>
            <w:tcBorders>
              <w:top w:val="single" w:sz="4" w:space="0" w:color="auto"/>
              <w:left w:val="single" w:sz="4" w:space="0" w:color="auto"/>
              <w:bottom w:val="single" w:sz="4" w:space="0" w:color="auto"/>
              <w:right w:val="single" w:sz="4" w:space="0" w:color="auto"/>
            </w:tcBorders>
          </w:tcPr>
          <w:p w14:paraId="1961EB21"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COM6/11</w:t>
            </w:r>
          </w:p>
        </w:tc>
        <w:tc>
          <w:tcPr>
            <w:tcW w:w="1783" w:type="dxa"/>
            <w:tcBorders>
              <w:top w:val="single" w:sz="4" w:space="0" w:color="auto"/>
              <w:left w:val="single" w:sz="4" w:space="0" w:color="auto"/>
              <w:bottom w:val="single" w:sz="4" w:space="0" w:color="auto"/>
              <w:right w:val="single" w:sz="4" w:space="0" w:color="auto"/>
            </w:tcBorders>
          </w:tcPr>
          <w:p w14:paraId="5C860BCE" w14:textId="23B1C79B"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681</w:t>
            </w:r>
          </w:p>
        </w:tc>
        <w:tc>
          <w:tcPr>
            <w:tcW w:w="1477" w:type="dxa"/>
            <w:tcBorders>
              <w:top w:val="single" w:sz="4" w:space="0" w:color="auto"/>
              <w:bottom w:val="single" w:sz="4" w:space="0" w:color="auto"/>
              <w:right w:val="single" w:sz="4" w:space="0" w:color="auto"/>
            </w:tcBorders>
          </w:tcPr>
          <w:p w14:paraId="1D7FCE3B" w14:textId="77777777" w:rsidR="002E7525" w:rsidRPr="003E6986" w:rsidRDefault="002E7525"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COM6/26</w:t>
            </w:r>
          </w:p>
        </w:tc>
        <w:tc>
          <w:tcPr>
            <w:tcW w:w="1809" w:type="dxa"/>
            <w:tcBorders>
              <w:top w:val="single" w:sz="4" w:space="0" w:color="auto"/>
              <w:left w:val="single" w:sz="4" w:space="0" w:color="auto"/>
              <w:bottom w:val="single" w:sz="4" w:space="0" w:color="auto"/>
              <w:right w:val="single" w:sz="4" w:space="0" w:color="auto"/>
            </w:tcBorders>
          </w:tcPr>
          <w:p w14:paraId="4B177298" w14:textId="5CE15680" w:rsidR="002E7525" w:rsidRPr="003E6986" w:rsidRDefault="00C6600E" w:rsidP="00D739F9">
            <w:pPr>
              <w:tabs>
                <w:tab w:val="clear" w:pos="794"/>
                <w:tab w:val="clear" w:pos="1191"/>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sz w:val="20"/>
                <w:szCs w:val="20"/>
                <w:lang w:val="es-ES_tradnl"/>
              </w:rPr>
            </w:pPr>
            <w:r w:rsidRPr="003E6986">
              <w:rPr>
                <w:rFonts w:asciiTheme="minorHAnsi" w:hAnsiTheme="minorHAnsi"/>
                <w:sz w:val="20"/>
                <w:szCs w:val="20"/>
                <w:lang w:val="es-ES_tradnl"/>
              </w:rPr>
              <w:t>256</w:t>
            </w:r>
          </w:p>
        </w:tc>
      </w:tr>
    </w:tbl>
    <w:p w14:paraId="252272F6" w14:textId="5A4622DB" w:rsidR="002E7525" w:rsidRPr="003E6986" w:rsidRDefault="002E7525" w:rsidP="002E7525">
      <w:pPr>
        <w:rPr>
          <w:lang w:val="es-ES_tradnl"/>
        </w:rPr>
      </w:pPr>
    </w:p>
    <w:p w14:paraId="78944179" w14:textId="0A8E7AFA" w:rsidR="00EB337E" w:rsidRPr="003E6986" w:rsidRDefault="00EB337E" w:rsidP="00284251">
      <w:pPr>
        <w:spacing w:line="240" w:lineRule="auto"/>
        <w:rPr>
          <w:lang w:val="es-ES_tradnl"/>
        </w:rPr>
      </w:pPr>
      <w:r w:rsidRPr="003E6986">
        <w:rPr>
          <w:lang w:val="es-ES_tradnl"/>
        </w:rPr>
        <w:br w:type="page"/>
      </w:r>
    </w:p>
    <w:p w14:paraId="2BD9F46A" w14:textId="77777777" w:rsidR="00EB337E" w:rsidRPr="003E6986" w:rsidRDefault="00EB337E" w:rsidP="00E772DA">
      <w:pPr>
        <w:pStyle w:val="AnnexNo"/>
        <w:rPr>
          <w:rFonts w:asciiTheme="minorHAnsi" w:hAnsiTheme="minorHAnsi"/>
          <w:bCs/>
          <w:lang w:val="es-ES_tradnl"/>
        </w:rPr>
      </w:pPr>
      <w:r w:rsidRPr="003E6986">
        <w:rPr>
          <w:rFonts w:asciiTheme="minorHAnsi" w:hAnsiTheme="minorHAnsi"/>
          <w:bCs/>
          <w:lang w:val="es-ES_tradnl"/>
        </w:rPr>
        <w:lastRenderedPageBreak/>
        <w:t>ANEXO 4</w:t>
      </w:r>
    </w:p>
    <w:p w14:paraId="638253AF" w14:textId="0171EA5C" w:rsidR="00EB337E" w:rsidRPr="003E6986" w:rsidRDefault="00EB337E" w:rsidP="00C6600E">
      <w:pPr>
        <w:pStyle w:val="Annextitle0"/>
        <w:rPr>
          <w:lang w:val="es-ES_tradnl"/>
        </w:rPr>
      </w:pPr>
      <w:r w:rsidRPr="003E6986">
        <w:rPr>
          <w:lang w:val="es-ES_tradnl"/>
        </w:rPr>
        <w:t>Informe</w:t>
      </w:r>
      <w:r w:rsidR="00BC0E33" w:rsidRPr="003E6986">
        <w:rPr>
          <w:lang w:val="es-ES_tradnl"/>
        </w:rPr>
        <w:t xml:space="preserve"> del Presidente</w:t>
      </w:r>
      <w:r w:rsidRPr="003E6986">
        <w:rPr>
          <w:lang w:val="es-ES_tradnl"/>
        </w:rPr>
        <w:t xml:space="preserve"> sobre la primera sesión de la Reunión Preparatoria</w:t>
      </w:r>
      <w:r w:rsidRPr="003E6986">
        <w:rPr>
          <w:lang w:val="es-ES_tradnl"/>
        </w:rPr>
        <w:br/>
        <w:t>de la Conferencia para la CMR-</w:t>
      </w:r>
      <w:r w:rsidR="002C42EE" w:rsidRPr="003E6986">
        <w:rPr>
          <w:lang w:val="es-ES_tradnl"/>
        </w:rPr>
        <w:t>27</w:t>
      </w:r>
    </w:p>
    <w:p w14:paraId="56C402FA" w14:textId="7C8B0387" w:rsidR="00B842F9" w:rsidRPr="003E6986" w:rsidRDefault="00B842F9" w:rsidP="00B842F9">
      <w:pPr>
        <w:spacing w:before="0"/>
        <w:jc w:val="center"/>
        <w:rPr>
          <w:rFonts w:asciiTheme="minorHAnsi" w:hAnsiTheme="minorHAnsi" w:cstheme="minorHAnsi"/>
          <w:lang w:val="es-ES_tradnl" w:eastAsia="zh-CN"/>
        </w:rPr>
      </w:pPr>
      <w:r w:rsidRPr="003E6986">
        <w:rPr>
          <w:rFonts w:asciiTheme="minorHAnsi" w:hAnsiTheme="minorHAnsi" w:cstheme="minorHAnsi"/>
          <w:lang w:val="es-ES_tradnl" w:eastAsia="zh-CN"/>
        </w:rPr>
        <w:t>(Dubái, Emiratos Árabes Unidos, 18-19 de diciembre de 2023)</w:t>
      </w:r>
    </w:p>
    <w:p w14:paraId="38B310E1" w14:textId="6F59B733" w:rsidR="00B842F9" w:rsidRPr="003E6986" w:rsidRDefault="00B842F9" w:rsidP="00B842F9">
      <w:pPr>
        <w:pStyle w:val="Heading1"/>
        <w:spacing w:before="240"/>
        <w:rPr>
          <w:rStyle w:val="Heading1Char1"/>
          <w:rFonts w:asciiTheme="minorHAnsi" w:hAnsiTheme="minorHAnsi" w:cstheme="minorHAnsi"/>
          <w:b/>
          <w:bCs/>
          <w:lang w:val="es-ES_tradnl"/>
        </w:rPr>
      </w:pPr>
      <w:bookmarkStart w:id="8" w:name="_Toc120873908"/>
      <w:r w:rsidRPr="003E6986">
        <w:rPr>
          <w:rStyle w:val="Heading1Char1"/>
          <w:rFonts w:asciiTheme="minorHAnsi" w:hAnsiTheme="minorHAnsi" w:cstheme="minorHAnsi"/>
          <w:b/>
          <w:bCs/>
          <w:lang w:val="es-ES_tradnl"/>
        </w:rPr>
        <w:t>1</w:t>
      </w:r>
      <w:r w:rsidRPr="003E6986">
        <w:rPr>
          <w:rStyle w:val="Heading1Char1"/>
          <w:rFonts w:asciiTheme="minorHAnsi" w:hAnsiTheme="minorHAnsi" w:cstheme="minorHAnsi"/>
          <w:b/>
          <w:bCs/>
          <w:lang w:val="es-ES_tradnl"/>
        </w:rPr>
        <w:tab/>
      </w:r>
      <w:bookmarkStart w:id="9" w:name="s1"/>
      <w:bookmarkEnd w:id="9"/>
      <w:r w:rsidRPr="003E6986">
        <w:rPr>
          <w:rStyle w:val="Heading1Char1"/>
          <w:rFonts w:asciiTheme="minorHAnsi" w:hAnsiTheme="minorHAnsi" w:cstheme="minorHAnsi"/>
          <w:b/>
          <w:bCs/>
          <w:lang w:val="es-ES_tradnl"/>
        </w:rPr>
        <w:t>Introduc</w:t>
      </w:r>
      <w:bookmarkEnd w:id="8"/>
      <w:r w:rsidR="00FE6FFC" w:rsidRPr="003E6986">
        <w:rPr>
          <w:rStyle w:val="Heading1Char1"/>
          <w:rFonts w:asciiTheme="minorHAnsi" w:hAnsiTheme="minorHAnsi" w:cstheme="minorHAnsi"/>
          <w:b/>
          <w:bCs/>
          <w:lang w:val="es-ES_tradnl"/>
        </w:rPr>
        <w:t>ción</w:t>
      </w:r>
    </w:p>
    <w:p w14:paraId="489B5C55" w14:textId="51467114" w:rsidR="00B842F9" w:rsidRPr="003E6986" w:rsidRDefault="00FE6FFC" w:rsidP="003E6986">
      <w:pPr>
        <w:rPr>
          <w:lang w:val="es-ES_tradnl"/>
        </w:rPr>
      </w:pPr>
      <w:bookmarkStart w:id="10" w:name="_Hlk90144839"/>
      <w:bookmarkStart w:id="11" w:name="_Hlk498595625"/>
      <w:r w:rsidRPr="003E6986">
        <w:rPr>
          <w:lang w:val="es-ES_tradnl"/>
        </w:rPr>
        <w:t xml:space="preserve">La Reunión Preparatoria de la Conferencia </w:t>
      </w:r>
      <w:r w:rsidR="0066769F" w:rsidRPr="003E6986">
        <w:rPr>
          <w:lang w:val="es-ES_tradnl"/>
        </w:rPr>
        <w:t xml:space="preserve">de </w:t>
      </w:r>
      <w:r w:rsidRPr="003E6986">
        <w:rPr>
          <w:lang w:val="es-ES_tradnl"/>
        </w:rPr>
        <w:t xml:space="preserve">2027 (RPC-27), presidida por el Sr. Alexander </w:t>
      </w:r>
      <w:proofErr w:type="spellStart"/>
      <w:r w:rsidRPr="003E6986">
        <w:rPr>
          <w:lang w:val="es-ES_tradnl"/>
        </w:rPr>
        <w:t>Kühn</w:t>
      </w:r>
      <w:proofErr w:type="spellEnd"/>
      <w:r w:rsidRPr="003E6986">
        <w:rPr>
          <w:lang w:val="es-ES_tradnl"/>
        </w:rPr>
        <w:t xml:space="preserve"> (Alemania), celebró su primera sesión (RPC27-1) en Dubái, los días 18 y 19 de diciembre de 2023, por amable invitación de la Administración de los Emiratos Árabes Unidos. Asistieron </w:t>
      </w:r>
      <w:r w:rsidR="00A15E31" w:rsidRPr="003E6986">
        <w:rPr>
          <w:lang w:val="es-ES_tradnl"/>
        </w:rPr>
        <w:t>al evento</w:t>
      </w:r>
      <w:r w:rsidRPr="003E6986">
        <w:rPr>
          <w:lang w:val="es-ES_tradnl"/>
        </w:rPr>
        <w:t xml:space="preserve"> 345</w:t>
      </w:r>
      <w:r w:rsidR="008653C7">
        <w:rPr>
          <w:lang w:val="es-ES_tradnl"/>
        </w:rPr>
        <w:t> </w:t>
      </w:r>
      <w:r w:rsidRPr="003E6986">
        <w:rPr>
          <w:lang w:val="es-ES_tradnl"/>
        </w:rPr>
        <w:t>participantes en representación de 76 Estados Miembros, 10 empresas de explotación reconocidas, 15 organizaciones científicas o industriales, 1 institución financiera o de desarrollo, 4</w:t>
      </w:r>
      <w:r w:rsidR="008653C7">
        <w:rPr>
          <w:lang w:val="es-ES_tradnl"/>
        </w:rPr>
        <w:t> </w:t>
      </w:r>
      <w:r w:rsidRPr="003E6986">
        <w:rPr>
          <w:lang w:val="es-ES_tradnl"/>
        </w:rPr>
        <w:t xml:space="preserve">organizaciones regionales y otras organizaciones internacionales, 3 organizaciones regionales de telecomunicaciones, 1 organización intergubernamental </w:t>
      </w:r>
      <w:r w:rsidR="00A15E31" w:rsidRPr="003E6986">
        <w:rPr>
          <w:lang w:val="es-ES_tradnl"/>
        </w:rPr>
        <w:t>responsable de la explotación de</w:t>
      </w:r>
      <w:r w:rsidRPr="003E6986">
        <w:rPr>
          <w:lang w:val="es-ES_tradnl"/>
        </w:rPr>
        <w:t xml:space="preserve"> sistemas de satélite</w:t>
      </w:r>
      <w:r w:rsidR="0072693E" w:rsidRPr="003E6986">
        <w:rPr>
          <w:lang w:val="es-ES_tradnl"/>
        </w:rPr>
        <w:t>s</w:t>
      </w:r>
      <w:r w:rsidRPr="003E6986">
        <w:rPr>
          <w:lang w:val="es-ES_tradnl"/>
        </w:rPr>
        <w:t xml:space="preserve"> y</w:t>
      </w:r>
      <w:r w:rsidR="0072693E" w:rsidRPr="003E6986">
        <w:rPr>
          <w:lang w:val="es-ES_tradnl"/>
        </w:rPr>
        <w:t xml:space="preserve"> numerosos miembros d</w:t>
      </w:r>
      <w:r w:rsidRPr="003E6986">
        <w:rPr>
          <w:lang w:val="es-ES_tradnl"/>
        </w:rPr>
        <w:t>el personal de la UIT (véase la lista en el Documento</w:t>
      </w:r>
      <w:r w:rsidR="008653C7">
        <w:rPr>
          <w:lang w:val="es-ES_tradnl"/>
        </w:rPr>
        <w:t> </w:t>
      </w:r>
      <w:proofErr w:type="spellStart"/>
      <w:r w:rsidR="00E33D09">
        <w:fldChar w:fldCharType="begin"/>
      </w:r>
      <w:r w:rsidR="00E33D09" w:rsidRPr="008653C7">
        <w:rPr>
          <w:lang w:val="es-ES"/>
        </w:rPr>
        <w:instrText>HYPERLINK "https://www.itu.int/md/R23-CPM27.1-C-0009/es"</w:instrText>
      </w:r>
      <w:r w:rsidR="00E33D09">
        <w:fldChar w:fldCharType="separate"/>
      </w:r>
      <w:r w:rsidR="00AB29DA" w:rsidRPr="003E6986">
        <w:rPr>
          <w:rStyle w:val="Hyperlink"/>
          <w:rFonts w:asciiTheme="minorHAnsi" w:hAnsiTheme="minorHAnsi" w:cstheme="minorHAnsi"/>
          <w:spacing w:val="-4"/>
          <w:lang w:val="es-ES_tradnl"/>
        </w:rPr>
        <w:t>CPM27</w:t>
      </w:r>
      <w:proofErr w:type="spellEnd"/>
      <w:r w:rsidR="008653C7">
        <w:rPr>
          <w:rStyle w:val="Hyperlink"/>
          <w:rFonts w:asciiTheme="minorHAnsi" w:hAnsiTheme="minorHAnsi" w:cstheme="minorHAnsi"/>
          <w:spacing w:val="-4"/>
          <w:lang w:val="es-ES_tradnl"/>
        </w:rPr>
        <w:noBreakHyphen/>
      </w:r>
      <w:r w:rsidR="00AB29DA" w:rsidRPr="003E6986">
        <w:rPr>
          <w:rStyle w:val="Hyperlink"/>
          <w:rFonts w:asciiTheme="minorHAnsi" w:hAnsiTheme="minorHAnsi" w:cstheme="minorHAnsi"/>
          <w:spacing w:val="-4"/>
          <w:lang w:val="es-ES_tradnl"/>
        </w:rPr>
        <w:t>1/9(</w:t>
      </w:r>
      <w:proofErr w:type="spellStart"/>
      <w:r w:rsidR="00AB29DA" w:rsidRPr="003E6986">
        <w:rPr>
          <w:rStyle w:val="Hyperlink"/>
          <w:rFonts w:asciiTheme="minorHAnsi" w:hAnsiTheme="minorHAnsi" w:cstheme="minorHAnsi"/>
          <w:spacing w:val="-4"/>
          <w:lang w:val="es-ES_tradnl"/>
        </w:rPr>
        <w:t>Rev.</w:t>
      </w:r>
      <w:r w:rsidR="008653C7">
        <w:rPr>
          <w:rStyle w:val="Hyperlink"/>
          <w:rFonts w:asciiTheme="minorHAnsi" w:hAnsiTheme="minorHAnsi" w:cstheme="minorHAnsi"/>
          <w:spacing w:val="-4"/>
          <w:lang w:val="es-ES_tradnl"/>
        </w:rPr>
        <w:t>2</w:t>
      </w:r>
      <w:proofErr w:type="spellEnd"/>
      <w:r w:rsidR="00AB29DA" w:rsidRPr="003E6986">
        <w:rPr>
          <w:rStyle w:val="Hyperlink"/>
          <w:rFonts w:asciiTheme="minorHAnsi" w:hAnsiTheme="minorHAnsi" w:cstheme="minorHAnsi"/>
          <w:spacing w:val="-4"/>
          <w:lang w:val="es-ES_tradnl"/>
        </w:rPr>
        <w:t>)</w:t>
      </w:r>
      <w:r w:rsidR="00E33D09">
        <w:rPr>
          <w:rStyle w:val="Hyperlink"/>
          <w:rFonts w:asciiTheme="minorHAnsi" w:hAnsiTheme="minorHAnsi" w:cstheme="minorHAnsi"/>
          <w:spacing w:val="-4"/>
          <w:lang w:val="es-ES_tradnl"/>
        </w:rPr>
        <w:fldChar w:fldCharType="end"/>
      </w:r>
      <w:r w:rsidRPr="003E6986">
        <w:rPr>
          <w:lang w:val="es-ES_tradnl"/>
        </w:rPr>
        <w:t>).</w:t>
      </w:r>
    </w:p>
    <w:p w14:paraId="0B32057E" w14:textId="0E19DCCA" w:rsidR="00B842F9" w:rsidRPr="003E6986" w:rsidRDefault="00FE6FFC" w:rsidP="00100929">
      <w:pPr>
        <w:rPr>
          <w:rFonts w:asciiTheme="minorHAnsi" w:hAnsiTheme="minorHAnsi" w:cstheme="minorHAnsi"/>
          <w:lang w:val="es-ES_tradnl"/>
        </w:rPr>
      </w:pPr>
      <w:bookmarkStart w:id="12" w:name="_Hlk530056703"/>
      <w:bookmarkEnd w:id="10"/>
      <w:bookmarkEnd w:id="11"/>
      <w:r w:rsidRPr="003E6986">
        <w:rPr>
          <w:rFonts w:asciiTheme="minorHAnsi" w:hAnsiTheme="minorHAnsi" w:cstheme="minorHAnsi"/>
          <w:lang w:val="es-ES_tradnl"/>
        </w:rPr>
        <w:t xml:space="preserve">Al </w:t>
      </w:r>
      <w:r w:rsidR="0072693E" w:rsidRPr="003E6986">
        <w:rPr>
          <w:rFonts w:asciiTheme="minorHAnsi" w:hAnsiTheme="minorHAnsi" w:cstheme="minorHAnsi"/>
          <w:lang w:val="es-ES_tradnl"/>
        </w:rPr>
        <w:t>inicio</w:t>
      </w:r>
      <w:r w:rsidRPr="003E6986">
        <w:rPr>
          <w:rFonts w:asciiTheme="minorHAnsi" w:hAnsiTheme="minorHAnsi" w:cstheme="minorHAnsi"/>
          <w:lang w:val="es-ES_tradnl"/>
        </w:rPr>
        <w:t xml:space="preserve"> de la sesión plenaria de apertura de la RPC27-1,</w:t>
      </w:r>
      <w:r w:rsidR="00A15E31" w:rsidRPr="003E6986">
        <w:rPr>
          <w:rFonts w:asciiTheme="minorHAnsi" w:hAnsiTheme="minorHAnsi" w:cstheme="minorHAnsi"/>
          <w:lang w:val="es-ES_tradnl"/>
        </w:rPr>
        <w:t xml:space="preserve"> que tuvo lugar</w:t>
      </w:r>
      <w:r w:rsidRPr="003E6986">
        <w:rPr>
          <w:rFonts w:asciiTheme="minorHAnsi" w:hAnsiTheme="minorHAnsi" w:cstheme="minorHAnsi"/>
          <w:lang w:val="es-ES_tradnl"/>
        </w:rPr>
        <w:t xml:space="preserve"> el 18 de diciembre, el Director de la Oficina de Radiocomunicaciones (BR) dio la bienvenida a todos los participantes tras</w:t>
      </w:r>
      <w:r w:rsidR="0072693E" w:rsidRPr="003E6986">
        <w:rPr>
          <w:rFonts w:asciiTheme="minorHAnsi" w:hAnsiTheme="minorHAnsi" w:cstheme="minorHAnsi"/>
          <w:lang w:val="es-ES_tradnl"/>
        </w:rPr>
        <w:t xml:space="preserve"> la reciente conclusión </w:t>
      </w:r>
      <w:r w:rsidRPr="003E6986">
        <w:rPr>
          <w:rFonts w:asciiTheme="minorHAnsi" w:hAnsiTheme="minorHAnsi" w:cstheme="minorHAnsi"/>
          <w:lang w:val="es-ES_tradnl"/>
        </w:rPr>
        <w:t>de la CMR</w:t>
      </w:r>
      <w:r w:rsidR="0072693E" w:rsidRPr="003E6986">
        <w:rPr>
          <w:rFonts w:asciiTheme="minorHAnsi" w:hAnsiTheme="minorHAnsi" w:cstheme="minorHAnsi"/>
          <w:lang w:val="es-ES_tradnl"/>
        </w:rPr>
        <w:t>-</w:t>
      </w:r>
      <w:r w:rsidRPr="003E6986">
        <w:rPr>
          <w:rFonts w:asciiTheme="minorHAnsi" w:hAnsiTheme="minorHAnsi" w:cstheme="minorHAnsi"/>
          <w:lang w:val="es-ES_tradnl"/>
        </w:rPr>
        <w:t xml:space="preserve">23. </w:t>
      </w:r>
      <w:r w:rsidR="0072693E" w:rsidRPr="003E6986">
        <w:rPr>
          <w:rFonts w:asciiTheme="minorHAnsi" w:hAnsiTheme="minorHAnsi" w:cstheme="minorHAnsi"/>
          <w:lang w:val="es-ES_tradnl"/>
        </w:rPr>
        <w:t>A continuación, f</w:t>
      </w:r>
      <w:r w:rsidRPr="003E6986">
        <w:rPr>
          <w:rFonts w:asciiTheme="minorHAnsi" w:hAnsiTheme="minorHAnsi" w:cstheme="minorHAnsi"/>
          <w:lang w:val="es-ES_tradnl"/>
        </w:rPr>
        <w:t>elicitó al Presidente y destacó los resultados</w:t>
      </w:r>
      <w:r w:rsidR="0072693E" w:rsidRPr="003E6986">
        <w:rPr>
          <w:rFonts w:asciiTheme="minorHAnsi" w:hAnsiTheme="minorHAnsi" w:cstheme="minorHAnsi"/>
          <w:lang w:val="es-ES_tradnl"/>
        </w:rPr>
        <w:t xml:space="preserve"> logrados</w:t>
      </w:r>
      <w:r w:rsidRPr="003E6986">
        <w:rPr>
          <w:rFonts w:asciiTheme="minorHAnsi" w:hAnsiTheme="minorHAnsi" w:cstheme="minorHAnsi"/>
          <w:lang w:val="es-ES_tradnl"/>
        </w:rPr>
        <w:t xml:space="preserve"> y el </w:t>
      </w:r>
      <w:r w:rsidR="0072693E" w:rsidRPr="003E6986">
        <w:rPr>
          <w:rFonts w:asciiTheme="minorHAnsi" w:hAnsiTheme="minorHAnsi" w:cstheme="minorHAnsi"/>
          <w:lang w:val="es-ES_tradnl"/>
        </w:rPr>
        <w:t>excelente</w:t>
      </w:r>
      <w:r w:rsidRPr="003E6986">
        <w:rPr>
          <w:rFonts w:asciiTheme="minorHAnsi" w:hAnsiTheme="minorHAnsi" w:cstheme="minorHAnsi"/>
          <w:lang w:val="es-ES_tradnl"/>
        </w:rPr>
        <w:t xml:space="preserve"> espíritu de colaboración y cooperación</w:t>
      </w:r>
      <w:r w:rsidR="0072693E" w:rsidRPr="003E6986">
        <w:rPr>
          <w:rFonts w:asciiTheme="minorHAnsi" w:hAnsiTheme="minorHAnsi" w:cstheme="minorHAnsi"/>
          <w:lang w:val="es-ES_tradnl"/>
        </w:rPr>
        <w:t xml:space="preserve"> </w:t>
      </w:r>
      <w:r w:rsidR="00100929" w:rsidRPr="003E6986">
        <w:rPr>
          <w:rFonts w:asciiTheme="minorHAnsi" w:hAnsiTheme="minorHAnsi" w:cstheme="minorHAnsi"/>
          <w:lang w:val="es-ES_tradnl"/>
        </w:rPr>
        <w:t>de</w:t>
      </w:r>
      <w:r w:rsidRPr="003E6986">
        <w:rPr>
          <w:rFonts w:asciiTheme="minorHAnsi" w:hAnsiTheme="minorHAnsi" w:cstheme="minorHAnsi"/>
          <w:lang w:val="es-ES_tradnl"/>
        </w:rPr>
        <w:t xml:space="preserve"> la Asamblea de Radiocomunicaciones</w:t>
      </w:r>
      <w:r w:rsidR="0072693E" w:rsidRPr="003E6986">
        <w:rPr>
          <w:rFonts w:asciiTheme="minorHAnsi" w:hAnsiTheme="minorHAnsi" w:cstheme="minorHAnsi"/>
          <w:lang w:val="es-ES_tradnl"/>
        </w:rPr>
        <w:t xml:space="preserve"> de</w:t>
      </w:r>
      <w:r w:rsidRPr="003E6986">
        <w:rPr>
          <w:rFonts w:asciiTheme="minorHAnsi" w:hAnsiTheme="minorHAnsi" w:cstheme="minorHAnsi"/>
          <w:lang w:val="es-ES_tradnl"/>
        </w:rPr>
        <w:t xml:space="preserve"> 2023 (AR-23) y la Conferencia Mundial de Radiocomunicaciones </w:t>
      </w:r>
      <w:r w:rsidR="0072693E" w:rsidRPr="003E6986">
        <w:rPr>
          <w:rFonts w:asciiTheme="minorHAnsi" w:hAnsiTheme="minorHAnsi" w:cstheme="minorHAnsi"/>
          <w:lang w:val="es-ES_tradnl"/>
        </w:rPr>
        <w:t xml:space="preserve">de </w:t>
      </w:r>
      <w:r w:rsidRPr="003E6986">
        <w:rPr>
          <w:rFonts w:asciiTheme="minorHAnsi" w:hAnsiTheme="minorHAnsi" w:cstheme="minorHAnsi"/>
          <w:lang w:val="es-ES_tradnl"/>
        </w:rPr>
        <w:t>2023 (CMR-23)</w:t>
      </w:r>
      <w:r w:rsidR="00100929" w:rsidRPr="003E6986">
        <w:rPr>
          <w:rFonts w:asciiTheme="minorHAnsi" w:hAnsiTheme="minorHAnsi" w:cstheme="minorHAnsi"/>
          <w:lang w:val="es-ES_tradnl"/>
        </w:rPr>
        <w:t xml:space="preserve">, que se habían celebrado justo antes de la reunión en curso y había establecido, con la revisión </w:t>
      </w:r>
      <w:r w:rsidR="0072693E" w:rsidRPr="003E6986">
        <w:rPr>
          <w:rFonts w:asciiTheme="minorHAnsi" w:hAnsiTheme="minorHAnsi" w:cstheme="minorHAnsi"/>
          <w:lang w:val="es-ES_tradnl"/>
        </w:rPr>
        <w:t>de</w:t>
      </w:r>
      <w:r w:rsidRPr="003E6986">
        <w:rPr>
          <w:rFonts w:asciiTheme="minorHAnsi" w:hAnsiTheme="minorHAnsi" w:cstheme="minorHAnsi"/>
          <w:lang w:val="es-ES_tradnl"/>
        </w:rPr>
        <w:t xml:space="preserve"> las </w:t>
      </w:r>
      <w:r w:rsidRPr="003E6986">
        <w:rPr>
          <w:lang w:val="es-ES_tradnl"/>
        </w:rPr>
        <w:t>Resoluciones</w:t>
      </w:r>
      <w:r w:rsidRPr="003E6986">
        <w:rPr>
          <w:rFonts w:asciiTheme="minorHAnsi" w:hAnsiTheme="minorHAnsi" w:cstheme="minorHAnsi"/>
          <w:lang w:val="es-ES_tradnl"/>
        </w:rPr>
        <w:t xml:space="preserve"> UIT-R 1 y UIT-R 2, así como el</w:t>
      </w:r>
      <w:r w:rsidR="0072693E" w:rsidRPr="003E6986">
        <w:rPr>
          <w:rFonts w:asciiTheme="minorHAnsi" w:hAnsiTheme="minorHAnsi" w:cstheme="minorHAnsi"/>
          <w:lang w:val="es-ES_tradnl"/>
        </w:rPr>
        <w:t xml:space="preserve"> establecimiento del</w:t>
      </w:r>
      <w:r w:rsidRPr="003E6986">
        <w:rPr>
          <w:rFonts w:asciiTheme="minorHAnsi" w:hAnsiTheme="minorHAnsi" w:cstheme="minorHAnsi"/>
          <w:lang w:val="es-ES_tradnl"/>
        </w:rPr>
        <w:t xml:space="preserve"> orden del día de la CMR-27 y </w:t>
      </w:r>
      <w:r w:rsidR="0072693E" w:rsidRPr="003E6986">
        <w:rPr>
          <w:rFonts w:asciiTheme="minorHAnsi" w:hAnsiTheme="minorHAnsi" w:cstheme="minorHAnsi"/>
          <w:lang w:val="es-ES_tradnl"/>
        </w:rPr>
        <w:t>d</w:t>
      </w:r>
      <w:r w:rsidRPr="003E6986">
        <w:rPr>
          <w:rFonts w:asciiTheme="minorHAnsi" w:hAnsiTheme="minorHAnsi" w:cstheme="minorHAnsi"/>
          <w:lang w:val="es-ES_tradnl"/>
        </w:rPr>
        <w:t xml:space="preserve">el orden del día preliminar de la CMR-31, </w:t>
      </w:r>
      <w:r w:rsidR="00100929" w:rsidRPr="003E6986">
        <w:rPr>
          <w:rFonts w:asciiTheme="minorHAnsi" w:hAnsiTheme="minorHAnsi" w:cstheme="minorHAnsi"/>
          <w:lang w:val="es-ES_tradnl"/>
        </w:rPr>
        <w:t xml:space="preserve">el marco en el que se inscribiría </w:t>
      </w:r>
      <w:r w:rsidRPr="003E6986">
        <w:rPr>
          <w:rFonts w:asciiTheme="minorHAnsi" w:hAnsiTheme="minorHAnsi" w:cstheme="minorHAnsi"/>
          <w:lang w:val="es-ES_tradnl"/>
        </w:rPr>
        <w:t>e</w:t>
      </w:r>
      <w:r w:rsidR="0072693E" w:rsidRPr="003E6986">
        <w:rPr>
          <w:rFonts w:asciiTheme="minorHAnsi" w:hAnsiTheme="minorHAnsi" w:cstheme="minorHAnsi"/>
          <w:lang w:val="es-ES_tradnl"/>
        </w:rPr>
        <w:t>l</w:t>
      </w:r>
      <w:r w:rsidR="00A15E31" w:rsidRPr="003E6986">
        <w:rPr>
          <w:rFonts w:asciiTheme="minorHAnsi" w:hAnsiTheme="minorHAnsi" w:cstheme="minorHAnsi"/>
          <w:lang w:val="es-ES_tradnl"/>
        </w:rPr>
        <w:t xml:space="preserve"> inicio del</w:t>
      </w:r>
      <w:r w:rsidRPr="003E6986">
        <w:rPr>
          <w:rFonts w:asciiTheme="minorHAnsi" w:hAnsiTheme="minorHAnsi" w:cstheme="minorHAnsi"/>
          <w:lang w:val="es-ES_tradnl"/>
        </w:rPr>
        <w:t xml:space="preserve"> nuevo ciclo de estudios. Mencionó las </w:t>
      </w:r>
      <w:r w:rsidR="0072693E" w:rsidRPr="003E6986">
        <w:rPr>
          <w:rFonts w:asciiTheme="minorHAnsi" w:hAnsiTheme="minorHAnsi" w:cstheme="minorHAnsi"/>
          <w:lang w:val="es-ES_tradnl"/>
        </w:rPr>
        <w:t xml:space="preserve">enmiendas introducidas </w:t>
      </w:r>
      <w:r w:rsidRPr="003E6986">
        <w:rPr>
          <w:rFonts w:asciiTheme="minorHAnsi" w:hAnsiTheme="minorHAnsi" w:cstheme="minorHAnsi"/>
          <w:lang w:val="es-ES_tradnl"/>
        </w:rPr>
        <w:t>e</w:t>
      </w:r>
      <w:r w:rsidR="0072693E" w:rsidRPr="003E6986">
        <w:rPr>
          <w:rFonts w:asciiTheme="minorHAnsi" w:hAnsiTheme="minorHAnsi" w:cstheme="minorHAnsi"/>
          <w:lang w:val="es-ES_tradnl"/>
        </w:rPr>
        <w:t>n</w:t>
      </w:r>
      <w:r w:rsidRPr="003E6986">
        <w:rPr>
          <w:rFonts w:asciiTheme="minorHAnsi" w:hAnsiTheme="minorHAnsi" w:cstheme="minorHAnsi"/>
          <w:lang w:val="es-ES_tradnl"/>
        </w:rPr>
        <w:t xml:space="preserve"> la Resolución</w:t>
      </w:r>
      <w:r w:rsidRPr="003E6986">
        <w:rPr>
          <w:rFonts w:asciiTheme="minorHAnsi" w:hAnsiTheme="minorHAnsi" w:cstheme="minorHAnsi"/>
          <w:b/>
          <w:bCs/>
          <w:lang w:val="es-ES_tradnl"/>
        </w:rPr>
        <w:t xml:space="preserve"> 804 (Rev.CMR</w:t>
      </w:r>
      <w:r w:rsidR="0072693E" w:rsidRPr="003E6986">
        <w:rPr>
          <w:rFonts w:asciiTheme="minorHAnsi" w:hAnsiTheme="minorHAnsi" w:cstheme="minorHAnsi"/>
          <w:b/>
          <w:bCs/>
          <w:lang w:val="es-ES_tradnl"/>
        </w:rPr>
        <w:t>-</w:t>
      </w:r>
      <w:r w:rsidRPr="003E6986">
        <w:rPr>
          <w:rFonts w:asciiTheme="minorHAnsi" w:hAnsiTheme="minorHAnsi" w:cstheme="minorHAnsi"/>
          <w:b/>
          <w:bCs/>
          <w:lang w:val="es-ES_tradnl"/>
        </w:rPr>
        <w:t xml:space="preserve">23) </w:t>
      </w:r>
      <w:r w:rsidRPr="003E6986">
        <w:rPr>
          <w:rFonts w:asciiTheme="minorHAnsi" w:hAnsiTheme="minorHAnsi" w:cstheme="minorHAnsi"/>
          <w:lang w:val="es-ES_tradnl"/>
        </w:rPr>
        <w:t xml:space="preserve">y expresó su deseo de que, con la aplicación de ese nuevo marco, los miembros </w:t>
      </w:r>
      <w:r w:rsidR="0072693E" w:rsidRPr="003E6986">
        <w:rPr>
          <w:rFonts w:asciiTheme="minorHAnsi" w:hAnsiTheme="minorHAnsi" w:cstheme="minorHAnsi"/>
          <w:lang w:val="es-ES_tradnl"/>
        </w:rPr>
        <w:t>pudieran colaborar</w:t>
      </w:r>
      <w:r w:rsidRPr="003E6986">
        <w:rPr>
          <w:rFonts w:asciiTheme="minorHAnsi" w:hAnsiTheme="minorHAnsi" w:cstheme="minorHAnsi"/>
          <w:lang w:val="es-ES_tradnl"/>
        </w:rPr>
        <w:t xml:space="preserve"> de forma activa y coherente. </w:t>
      </w:r>
      <w:r w:rsidR="00A15E31" w:rsidRPr="003E6986">
        <w:rPr>
          <w:rFonts w:asciiTheme="minorHAnsi" w:hAnsiTheme="minorHAnsi" w:cstheme="minorHAnsi"/>
          <w:lang w:val="es-ES_tradnl"/>
        </w:rPr>
        <w:t xml:space="preserve">Mencionó también </w:t>
      </w:r>
      <w:r w:rsidRPr="003E6986">
        <w:rPr>
          <w:rFonts w:asciiTheme="minorHAnsi" w:hAnsiTheme="minorHAnsi" w:cstheme="minorHAnsi"/>
          <w:lang w:val="es-ES_tradnl"/>
        </w:rPr>
        <w:t>su confianza en que los miembros en</w:t>
      </w:r>
      <w:r w:rsidR="00100929" w:rsidRPr="003E6986">
        <w:rPr>
          <w:rFonts w:asciiTheme="minorHAnsi" w:hAnsiTheme="minorHAnsi" w:cstheme="minorHAnsi"/>
          <w:lang w:val="es-ES_tradnl"/>
        </w:rPr>
        <w:t>contraran</w:t>
      </w:r>
      <w:r w:rsidRPr="003E6986">
        <w:rPr>
          <w:rFonts w:asciiTheme="minorHAnsi" w:hAnsiTheme="minorHAnsi" w:cstheme="minorHAnsi"/>
          <w:lang w:val="es-ES_tradnl"/>
        </w:rPr>
        <w:t xml:space="preserve"> siempre</w:t>
      </w:r>
      <w:r w:rsidR="00100929" w:rsidRPr="003E6986">
        <w:rPr>
          <w:rFonts w:asciiTheme="minorHAnsi" w:hAnsiTheme="minorHAnsi" w:cstheme="minorHAnsi"/>
          <w:lang w:val="es-ES_tradnl"/>
        </w:rPr>
        <w:t xml:space="preserve"> soluciones de</w:t>
      </w:r>
      <w:r w:rsidRPr="003E6986">
        <w:rPr>
          <w:rFonts w:asciiTheme="minorHAnsi" w:hAnsiTheme="minorHAnsi" w:cstheme="minorHAnsi"/>
          <w:lang w:val="es-ES_tradnl"/>
        </w:rPr>
        <w:t xml:space="preserve"> compromiso a lo largo del ciclo de estudios. Por último, informó a la reunión </w:t>
      </w:r>
      <w:r w:rsidR="00100929" w:rsidRPr="003E6986">
        <w:rPr>
          <w:rFonts w:asciiTheme="minorHAnsi" w:hAnsiTheme="minorHAnsi" w:cstheme="minorHAnsi"/>
          <w:lang w:val="es-ES_tradnl"/>
        </w:rPr>
        <w:t xml:space="preserve">de que </w:t>
      </w:r>
      <w:r w:rsidRPr="003E6986">
        <w:rPr>
          <w:rFonts w:asciiTheme="minorHAnsi" w:hAnsiTheme="minorHAnsi" w:cstheme="minorHAnsi"/>
          <w:lang w:val="es-ES_tradnl"/>
        </w:rPr>
        <w:t xml:space="preserve">la AR-23 </w:t>
      </w:r>
      <w:r w:rsidR="00100929" w:rsidRPr="003E6986">
        <w:rPr>
          <w:rFonts w:asciiTheme="minorHAnsi" w:hAnsiTheme="minorHAnsi" w:cstheme="minorHAnsi"/>
          <w:lang w:val="es-ES_tradnl"/>
        </w:rPr>
        <w:t>había decid</w:t>
      </w:r>
      <w:r w:rsidR="000A1D4C">
        <w:rPr>
          <w:rFonts w:asciiTheme="minorHAnsi" w:hAnsiTheme="minorHAnsi" w:cstheme="minorHAnsi"/>
          <w:lang w:val="es-ES_tradnl"/>
        </w:rPr>
        <w:t>id</w:t>
      </w:r>
      <w:r w:rsidR="00100929" w:rsidRPr="003E6986">
        <w:rPr>
          <w:rFonts w:asciiTheme="minorHAnsi" w:hAnsiTheme="minorHAnsi" w:cstheme="minorHAnsi"/>
          <w:lang w:val="es-ES_tradnl"/>
        </w:rPr>
        <w:t xml:space="preserve">o </w:t>
      </w:r>
      <w:r w:rsidRPr="003E6986">
        <w:rPr>
          <w:rFonts w:asciiTheme="minorHAnsi" w:hAnsiTheme="minorHAnsi" w:cstheme="minorHAnsi"/>
          <w:lang w:val="es-ES_tradnl"/>
        </w:rPr>
        <w:t xml:space="preserve">que el Grupo Asesor de Radiocomunicaciones (GAR) </w:t>
      </w:r>
      <w:r w:rsidR="00A15E31" w:rsidRPr="003E6986">
        <w:rPr>
          <w:rFonts w:asciiTheme="minorHAnsi" w:hAnsiTheme="minorHAnsi" w:cstheme="minorHAnsi"/>
          <w:lang w:val="es-ES_tradnl"/>
        </w:rPr>
        <w:t>emprendiera una reflexión sobre una nueva revisión de la</w:t>
      </w:r>
      <w:r w:rsidR="00100929" w:rsidRPr="003E6986">
        <w:rPr>
          <w:rFonts w:asciiTheme="minorHAnsi" w:hAnsiTheme="minorHAnsi" w:cstheme="minorHAnsi"/>
          <w:lang w:val="es-ES_tradnl"/>
        </w:rPr>
        <w:t xml:space="preserve"> Re</w:t>
      </w:r>
      <w:r w:rsidRPr="003E6986">
        <w:rPr>
          <w:rFonts w:asciiTheme="minorHAnsi" w:hAnsiTheme="minorHAnsi" w:cstheme="minorHAnsi"/>
          <w:lang w:val="es-ES_tradnl"/>
        </w:rPr>
        <w:t>solución UIT-R 2, en particular</w:t>
      </w:r>
      <w:r w:rsidR="00100929" w:rsidRPr="003E6986">
        <w:rPr>
          <w:rFonts w:asciiTheme="minorHAnsi" w:hAnsiTheme="minorHAnsi" w:cstheme="minorHAnsi"/>
          <w:lang w:val="es-ES_tradnl"/>
        </w:rPr>
        <w:t>, las partes relativas a</w:t>
      </w:r>
      <w:r w:rsidRPr="003E6986">
        <w:rPr>
          <w:rFonts w:asciiTheme="minorHAnsi" w:hAnsiTheme="minorHAnsi" w:cstheme="minorHAnsi"/>
          <w:lang w:val="es-ES_tradnl"/>
        </w:rPr>
        <w:t xml:space="preserve"> la duración y el alcance de la segunda sesión de la RPC.</w:t>
      </w:r>
    </w:p>
    <w:p w14:paraId="0BAEE767" w14:textId="77777777" w:rsidR="002F0E7B" w:rsidRPr="003E6986" w:rsidRDefault="00FE6FFC" w:rsidP="003E6986">
      <w:pPr>
        <w:rPr>
          <w:rFonts w:asciiTheme="minorHAnsi" w:hAnsiTheme="minorHAnsi" w:cstheme="minorHAnsi"/>
          <w:lang w:val="es-ES_tradnl"/>
        </w:rPr>
      </w:pPr>
      <w:r w:rsidRPr="003E6986">
        <w:rPr>
          <w:rFonts w:asciiTheme="minorHAnsi" w:hAnsiTheme="minorHAnsi" w:cstheme="minorHAnsi"/>
          <w:lang w:val="es-ES_tradnl"/>
        </w:rPr>
        <w:t xml:space="preserve">El Presidente </w:t>
      </w:r>
      <w:r w:rsidR="002F0E7B" w:rsidRPr="003E6986">
        <w:rPr>
          <w:rFonts w:asciiTheme="minorHAnsi" w:hAnsiTheme="minorHAnsi" w:cstheme="minorHAnsi"/>
          <w:lang w:val="es-ES_tradnl"/>
        </w:rPr>
        <w:t>dio</w:t>
      </w:r>
      <w:r w:rsidRPr="003E6986">
        <w:rPr>
          <w:rFonts w:asciiTheme="minorHAnsi" w:hAnsiTheme="minorHAnsi" w:cstheme="minorHAnsi"/>
          <w:lang w:val="es-ES_tradnl"/>
        </w:rPr>
        <w:t xml:space="preserve"> la bienvenida a todos los participantes y</w:t>
      </w:r>
      <w:r w:rsidR="002F0E7B" w:rsidRPr="003E6986">
        <w:rPr>
          <w:rFonts w:asciiTheme="minorHAnsi" w:hAnsiTheme="minorHAnsi" w:cstheme="minorHAnsi"/>
          <w:lang w:val="es-ES_tradnl"/>
        </w:rPr>
        <w:t>,</w:t>
      </w:r>
      <w:r w:rsidRPr="003E6986">
        <w:rPr>
          <w:rFonts w:asciiTheme="minorHAnsi" w:hAnsiTheme="minorHAnsi" w:cstheme="minorHAnsi"/>
          <w:lang w:val="es-ES_tradnl"/>
        </w:rPr>
        <w:t xml:space="preserve"> en su discurso de apertura</w:t>
      </w:r>
      <w:r w:rsidR="002F0E7B" w:rsidRPr="003E6986">
        <w:rPr>
          <w:rFonts w:asciiTheme="minorHAnsi" w:hAnsiTheme="minorHAnsi" w:cstheme="minorHAnsi"/>
          <w:lang w:val="es-ES_tradnl"/>
        </w:rPr>
        <w:t xml:space="preserve">, destacó </w:t>
      </w:r>
      <w:r w:rsidRPr="003E6986">
        <w:rPr>
          <w:rFonts w:asciiTheme="minorHAnsi" w:hAnsiTheme="minorHAnsi" w:cstheme="minorHAnsi"/>
          <w:lang w:val="es-ES_tradnl"/>
        </w:rPr>
        <w:t xml:space="preserve">la necesidad de </w:t>
      </w:r>
      <w:r w:rsidR="002F0E7B" w:rsidRPr="003E6986">
        <w:rPr>
          <w:rFonts w:asciiTheme="minorHAnsi" w:hAnsiTheme="minorHAnsi" w:cstheme="minorHAnsi"/>
          <w:lang w:val="es-ES_tradnl"/>
        </w:rPr>
        <w:t>alcanz</w:t>
      </w:r>
      <w:r w:rsidRPr="003E6986">
        <w:rPr>
          <w:rFonts w:asciiTheme="minorHAnsi" w:hAnsiTheme="minorHAnsi" w:cstheme="minorHAnsi"/>
          <w:lang w:val="es-ES_tradnl"/>
        </w:rPr>
        <w:t xml:space="preserve">ar a un </w:t>
      </w:r>
      <w:r w:rsidR="002F0E7B" w:rsidRPr="003E6986">
        <w:rPr>
          <w:rFonts w:asciiTheme="minorHAnsi" w:hAnsiTheme="minorHAnsi" w:cstheme="minorHAnsi"/>
          <w:lang w:val="es-ES_tradnl"/>
        </w:rPr>
        <w:t>consenso en torno a</w:t>
      </w:r>
      <w:r w:rsidRPr="003E6986">
        <w:rPr>
          <w:rFonts w:asciiTheme="minorHAnsi" w:hAnsiTheme="minorHAnsi" w:cstheme="minorHAnsi"/>
          <w:lang w:val="es-ES_tradnl"/>
        </w:rPr>
        <w:t xml:space="preserve"> los puntos del orden del día y </w:t>
      </w:r>
      <w:r w:rsidR="002F0E7B" w:rsidRPr="003E6986">
        <w:rPr>
          <w:rFonts w:asciiTheme="minorHAnsi" w:hAnsiTheme="minorHAnsi" w:cstheme="minorHAnsi"/>
          <w:lang w:val="es-ES_tradnl"/>
        </w:rPr>
        <w:t>lo</w:t>
      </w:r>
      <w:r w:rsidRPr="003E6986">
        <w:rPr>
          <w:rFonts w:asciiTheme="minorHAnsi" w:hAnsiTheme="minorHAnsi" w:cstheme="minorHAnsi"/>
          <w:lang w:val="es-ES_tradnl"/>
        </w:rPr>
        <w:t>s estudios</w:t>
      </w:r>
      <w:r w:rsidR="002F0E7B" w:rsidRPr="003E6986">
        <w:rPr>
          <w:rFonts w:asciiTheme="minorHAnsi" w:hAnsiTheme="minorHAnsi" w:cstheme="minorHAnsi"/>
          <w:lang w:val="es-ES_tradnl"/>
        </w:rPr>
        <w:t xml:space="preserve"> conexos</w:t>
      </w:r>
      <w:r w:rsidRPr="003E6986">
        <w:rPr>
          <w:rFonts w:asciiTheme="minorHAnsi" w:hAnsiTheme="minorHAnsi" w:cstheme="minorHAnsi"/>
          <w:lang w:val="es-ES_tradnl"/>
        </w:rPr>
        <w:t xml:space="preserve">. </w:t>
      </w:r>
      <w:r w:rsidR="002F0E7B" w:rsidRPr="003E6986">
        <w:rPr>
          <w:rFonts w:asciiTheme="minorHAnsi" w:hAnsiTheme="minorHAnsi" w:cstheme="minorHAnsi"/>
          <w:lang w:val="es-ES_tradnl"/>
        </w:rPr>
        <w:t>En su opinión,</w:t>
      </w:r>
      <w:r w:rsidRPr="003E6986">
        <w:rPr>
          <w:rFonts w:asciiTheme="minorHAnsi" w:hAnsiTheme="minorHAnsi" w:cstheme="minorHAnsi"/>
          <w:lang w:val="es-ES_tradnl"/>
        </w:rPr>
        <w:t xml:space="preserve"> los miembros del UIT-R</w:t>
      </w:r>
      <w:r w:rsidR="002F0E7B" w:rsidRPr="003E6986">
        <w:rPr>
          <w:rFonts w:asciiTheme="minorHAnsi" w:hAnsiTheme="minorHAnsi" w:cstheme="minorHAnsi"/>
          <w:lang w:val="es-ES_tradnl"/>
        </w:rPr>
        <w:t xml:space="preserve"> volverían a demostrar </w:t>
      </w:r>
      <w:r w:rsidRPr="003E6986">
        <w:rPr>
          <w:rFonts w:asciiTheme="minorHAnsi" w:hAnsiTheme="minorHAnsi" w:cstheme="minorHAnsi"/>
          <w:lang w:val="es-ES_tradnl"/>
        </w:rPr>
        <w:t xml:space="preserve">su capacidad para llegar a conclusiones y </w:t>
      </w:r>
      <w:r w:rsidR="002F0E7B" w:rsidRPr="003E6986">
        <w:rPr>
          <w:rFonts w:asciiTheme="minorHAnsi" w:hAnsiTheme="minorHAnsi" w:cstheme="minorHAnsi"/>
          <w:lang w:val="es-ES_tradnl"/>
        </w:rPr>
        <w:t>acuerdos</w:t>
      </w:r>
      <w:r w:rsidRPr="003E6986">
        <w:rPr>
          <w:rFonts w:asciiTheme="minorHAnsi" w:hAnsiTheme="minorHAnsi" w:cstheme="minorHAnsi"/>
          <w:lang w:val="es-ES_tradnl"/>
        </w:rPr>
        <w:t xml:space="preserve"> sobre las diversas </w:t>
      </w:r>
      <w:r w:rsidRPr="003E6986">
        <w:rPr>
          <w:lang w:val="es-ES_tradnl"/>
        </w:rPr>
        <w:t>cuestiones</w:t>
      </w:r>
      <w:r w:rsidRPr="003E6986">
        <w:rPr>
          <w:rFonts w:asciiTheme="minorHAnsi" w:hAnsiTheme="minorHAnsi" w:cstheme="minorHAnsi"/>
          <w:lang w:val="es-ES_tradnl"/>
        </w:rPr>
        <w:t xml:space="preserve"> planteadas en el orden del día de la CMR-27</w:t>
      </w:r>
      <w:r w:rsidR="002F0E7B" w:rsidRPr="003E6986">
        <w:rPr>
          <w:rFonts w:asciiTheme="minorHAnsi" w:hAnsiTheme="minorHAnsi" w:cstheme="minorHAnsi"/>
          <w:lang w:val="es-ES_tradnl"/>
        </w:rPr>
        <w:t>,</w:t>
      </w:r>
      <w:r w:rsidRPr="003E6986">
        <w:rPr>
          <w:rFonts w:asciiTheme="minorHAnsi" w:hAnsiTheme="minorHAnsi" w:cstheme="minorHAnsi"/>
          <w:lang w:val="es-ES_tradnl"/>
        </w:rPr>
        <w:t xml:space="preserve"> señaló el papel de la RPC </w:t>
      </w:r>
      <w:r w:rsidR="002F0E7B" w:rsidRPr="003E6986">
        <w:rPr>
          <w:rFonts w:asciiTheme="minorHAnsi" w:hAnsiTheme="minorHAnsi" w:cstheme="minorHAnsi"/>
          <w:lang w:val="es-ES_tradnl"/>
        </w:rPr>
        <w:t>como fuente de</w:t>
      </w:r>
      <w:r w:rsidRPr="003E6986">
        <w:rPr>
          <w:rFonts w:asciiTheme="minorHAnsi" w:hAnsiTheme="minorHAnsi" w:cstheme="minorHAnsi"/>
          <w:lang w:val="es-ES_tradnl"/>
        </w:rPr>
        <w:t xml:space="preserve"> información sobre los estudios</w:t>
      </w:r>
      <w:r w:rsidR="002F0E7B" w:rsidRPr="003E6986">
        <w:rPr>
          <w:rFonts w:asciiTheme="minorHAnsi" w:hAnsiTheme="minorHAnsi" w:cstheme="minorHAnsi"/>
          <w:lang w:val="es-ES_tradnl"/>
        </w:rPr>
        <w:t xml:space="preserve"> correspondientes</w:t>
      </w:r>
      <w:r w:rsidRPr="003E6986">
        <w:rPr>
          <w:rFonts w:asciiTheme="minorHAnsi" w:hAnsiTheme="minorHAnsi" w:cstheme="minorHAnsi"/>
          <w:lang w:val="es-ES_tradnl"/>
        </w:rPr>
        <w:t xml:space="preserve"> y </w:t>
      </w:r>
      <w:r w:rsidR="002F0E7B" w:rsidRPr="003E6986">
        <w:rPr>
          <w:rFonts w:asciiTheme="minorHAnsi" w:hAnsiTheme="minorHAnsi" w:cstheme="minorHAnsi"/>
          <w:lang w:val="es-ES_tradnl"/>
        </w:rPr>
        <w:t xml:space="preserve">observó </w:t>
      </w:r>
      <w:r w:rsidRPr="003E6986">
        <w:rPr>
          <w:rFonts w:asciiTheme="minorHAnsi" w:hAnsiTheme="minorHAnsi" w:cstheme="minorHAnsi"/>
          <w:lang w:val="es-ES_tradnl"/>
        </w:rPr>
        <w:t>que el Informe de la RPC est</w:t>
      </w:r>
      <w:r w:rsidR="002F0E7B" w:rsidRPr="003E6986">
        <w:rPr>
          <w:rFonts w:asciiTheme="minorHAnsi" w:hAnsiTheme="minorHAnsi" w:cstheme="minorHAnsi"/>
          <w:lang w:val="es-ES_tradnl"/>
        </w:rPr>
        <w:t>aba</w:t>
      </w:r>
      <w:r w:rsidRPr="003E6986">
        <w:rPr>
          <w:rFonts w:asciiTheme="minorHAnsi" w:hAnsiTheme="minorHAnsi" w:cstheme="minorHAnsi"/>
          <w:lang w:val="es-ES_tradnl"/>
        </w:rPr>
        <w:t xml:space="preserve"> dedicado a</w:t>
      </w:r>
      <w:r w:rsidR="002F0E7B" w:rsidRPr="003E6986">
        <w:rPr>
          <w:rFonts w:asciiTheme="minorHAnsi" w:hAnsiTheme="minorHAnsi" w:cstheme="minorHAnsi"/>
          <w:lang w:val="es-ES_tradnl"/>
        </w:rPr>
        <w:t xml:space="preserve"> quienes no podían seguir todos los debates entablados en</w:t>
      </w:r>
      <w:r w:rsidRPr="003E6986">
        <w:rPr>
          <w:rFonts w:asciiTheme="minorHAnsi" w:hAnsiTheme="minorHAnsi" w:cstheme="minorHAnsi"/>
          <w:lang w:val="es-ES_tradnl"/>
        </w:rPr>
        <w:t xml:space="preserve"> los diversos Grupos de Trabajo (GT) y Comisiones de Estudio (CE) del UIT-R. </w:t>
      </w:r>
      <w:r w:rsidR="002F0E7B" w:rsidRPr="003E6986">
        <w:rPr>
          <w:rFonts w:asciiTheme="minorHAnsi" w:hAnsiTheme="minorHAnsi" w:cstheme="minorHAnsi"/>
          <w:lang w:val="es-ES_tradnl"/>
        </w:rPr>
        <w:t>Por último, i</w:t>
      </w:r>
      <w:r w:rsidRPr="003E6986">
        <w:rPr>
          <w:rFonts w:asciiTheme="minorHAnsi" w:hAnsiTheme="minorHAnsi" w:cstheme="minorHAnsi"/>
          <w:lang w:val="es-ES_tradnl"/>
        </w:rPr>
        <w:t xml:space="preserve">nvitó a todos los miembros a colaborar en la descripción de las </w:t>
      </w:r>
      <w:r w:rsidR="002F0E7B" w:rsidRPr="003E6986">
        <w:rPr>
          <w:rFonts w:asciiTheme="minorHAnsi" w:hAnsiTheme="minorHAnsi" w:cstheme="minorHAnsi"/>
          <w:lang w:val="es-ES_tradnl"/>
        </w:rPr>
        <w:t xml:space="preserve">distintas </w:t>
      </w:r>
      <w:r w:rsidRPr="003E6986">
        <w:rPr>
          <w:rFonts w:asciiTheme="minorHAnsi" w:hAnsiTheme="minorHAnsi" w:cstheme="minorHAnsi"/>
          <w:lang w:val="es-ES_tradnl"/>
        </w:rPr>
        <w:t xml:space="preserve">ideas y opiniones </w:t>
      </w:r>
      <w:r w:rsidR="002F0E7B" w:rsidRPr="003E6986">
        <w:rPr>
          <w:rFonts w:asciiTheme="minorHAnsi" w:hAnsiTheme="minorHAnsi" w:cstheme="minorHAnsi"/>
          <w:lang w:val="es-ES_tradnl"/>
        </w:rPr>
        <w:t>incluidas</w:t>
      </w:r>
      <w:r w:rsidRPr="003E6986">
        <w:rPr>
          <w:rFonts w:asciiTheme="minorHAnsi" w:hAnsiTheme="minorHAnsi" w:cstheme="minorHAnsi"/>
          <w:lang w:val="es-ES_tradnl"/>
        </w:rPr>
        <w:t xml:space="preserve"> en los proyectos de textos de la RPC.</w:t>
      </w:r>
    </w:p>
    <w:p w14:paraId="1B8FD54D" w14:textId="3314361C" w:rsidR="00B842F9" w:rsidRPr="003E6986" w:rsidRDefault="00FE6FFC" w:rsidP="003E6986">
      <w:pPr>
        <w:rPr>
          <w:rFonts w:asciiTheme="minorHAnsi" w:hAnsiTheme="minorHAnsi" w:cstheme="minorHAnsi"/>
          <w:lang w:val="es-ES_tradnl"/>
        </w:rPr>
      </w:pPr>
      <w:r w:rsidRPr="003E6986">
        <w:rPr>
          <w:rFonts w:asciiTheme="minorHAnsi" w:hAnsiTheme="minorHAnsi" w:cstheme="minorHAnsi"/>
          <w:lang w:val="es-ES_tradnl"/>
        </w:rPr>
        <w:t xml:space="preserve">Ambos felicitaron a los </w:t>
      </w:r>
      <w:r w:rsidRPr="003E6986">
        <w:rPr>
          <w:lang w:val="es-ES_tradnl"/>
        </w:rPr>
        <w:t>nuevos</w:t>
      </w:r>
      <w:r w:rsidRPr="003E6986">
        <w:rPr>
          <w:rFonts w:asciiTheme="minorHAnsi" w:hAnsiTheme="minorHAnsi" w:cstheme="minorHAnsi"/>
          <w:lang w:val="es-ES_tradnl"/>
        </w:rPr>
        <w:t xml:space="preserve"> Presidentes de las CE del UIT-R, del GAR y del Comité de Coordinación de Vocabulario (CCV) por su nombramiento.</w:t>
      </w:r>
    </w:p>
    <w:p w14:paraId="77F6A0B1" w14:textId="296CA37E" w:rsidR="00B842F9" w:rsidRPr="003E6986" w:rsidRDefault="00FE6FFC" w:rsidP="003E6986">
      <w:pPr>
        <w:rPr>
          <w:rFonts w:asciiTheme="minorHAnsi" w:hAnsiTheme="minorHAnsi" w:cstheme="minorHAnsi"/>
          <w:lang w:val="es-ES_tradnl"/>
        </w:rPr>
      </w:pPr>
      <w:bookmarkStart w:id="13" w:name="_Hlk136977760"/>
      <w:r w:rsidRPr="003E6986">
        <w:rPr>
          <w:rFonts w:asciiTheme="minorHAnsi" w:hAnsiTheme="minorHAnsi" w:cstheme="minorHAnsi"/>
          <w:lang w:val="es-ES_tradnl"/>
        </w:rPr>
        <w:t xml:space="preserve">El Consejero de la BR para la RPC y el representante de los Emiratos Árabes Unidos presentaron más información práctica </w:t>
      </w:r>
      <w:r w:rsidRPr="003E6986">
        <w:rPr>
          <w:lang w:val="es-ES_tradnl"/>
        </w:rPr>
        <w:t>sobre</w:t>
      </w:r>
      <w:r w:rsidRPr="003E6986">
        <w:rPr>
          <w:rFonts w:asciiTheme="minorHAnsi" w:hAnsiTheme="minorHAnsi" w:cstheme="minorHAnsi"/>
          <w:lang w:val="es-ES_tradnl"/>
        </w:rPr>
        <w:t xml:space="preserve"> la reunión.</w:t>
      </w:r>
    </w:p>
    <w:p w14:paraId="4B7FAF92" w14:textId="6A154C9A" w:rsidR="00B842F9" w:rsidRPr="003E6986" w:rsidRDefault="002F0E7B" w:rsidP="003E6986">
      <w:pPr>
        <w:rPr>
          <w:rFonts w:asciiTheme="minorHAnsi" w:hAnsiTheme="minorHAnsi" w:cstheme="minorHAnsi"/>
          <w:lang w:val="es-ES_tradnl"/>
        </w:rPr>
      </w:pPr>
      <w:r w:rsidRPr="003E6986">
        <w:rPr>
          <w:rFonts w:asciiTheme="minorHAnsi" w:hAnsiTheme="minorHAnsi" w:cstheme="minorHAnsi"/>
          <w:lang w:val="es-ES_tradnl"/>
        </w:rPr>
        <w:t>Se aprobó e</w:t>
      </w:r>
      <w:r w:rsidR="00FE6FFC" w:rsidRPr="003E6986">
        <w:rPr>
          <w:rFonts w:asciiTheme="minorHAnsi" w:hAnsiTheme="minorHAnsi" w:cstheme="minorHAnsi"/>
          <w:lang w:val="es-ES_tradnl"/>
        </w:rPr>
        <w:t>l orden del día de la reunión</w:t>
      </w:r>
      <w:r w:rsidRPr="003E6986">
        <w:rPr>
          <w:rFonts w:asciiTheme="minorHAnsi" w:hAnsiTheme="minorHAnsi" w:cstheme="minorHAnsi"/>
          <w:lang w:val="es-ES_tradnl"/>
        </w:rPr>
        <w:t xml:space="preserve"> incluido </w:t>
      </w:r>
      <w:r w:rsidR="00FE6FFC" w:rsidRPr="003E6986">
        <w:rPr>
          <w:rFonts w:asciiTheme="minorHAnsi" w:hAnsiTheme="minorHAnsi" w:cstheme="minorHAnsi"/>
          <w:lang w:val="es-ES_tradnl"/>
        </w:rPr>
        <w:t xml:space="preserve">en el documento </w:t>
      </w:r>
      <w:hyperlink r:id="rId9" w:history="1">
        <w:proofErr w:type="spellStart"/>
        <w:r w:rsidRPr="000A1D4C">
          <w:rPr>
            <w:rStyle w:val="Hyperlink"/>
            <w:rFonts w:asciiTheme="minorHAnsi" w:hAnsiTheme="minorHAnsi" w:cstheme="minorHAnsi"/>
            <w:lang w:val="es-ES_tradnl"/>
          </w:rPr>
          <w:t>CPM27</w:t>
        </w:r>
        <w:proofErr w:type="spellEnd"/>
        <w:r w:rsidRPr="000A1D4C">
          <w:rPr>
            <w:rStyle w:val="Hyperlink"/>
            <w:rFonts w:asciiTheme="minorHAnsi" w:hAnsiTheme="minorHAnsi" w:cstheme="minorHAnsi"/>
            <w:lang w:val="es-ES_tradnl"/>
          </w:rPr>
          <w:t>-1/ADM/1</w:t>
        </w:r>
      </w:hyperlink>
      <w:r w:rsidR="00FE6FFC" w:rsidRPr="000A1D4C">
        <w:rPr>
          <w:rFonts w:asciiTheme="minorHAnsi" w:hAnsiTheme="minorHAnsi" w:cstheme="minorHAnsi"/>
          <w:lang w:val="es-ES_tradnl"/>
        </w:rPr>
        <w:t xml:space="preserve"> y se public</w:t>
      </w:r>
      <w:r w:rsidR="00FE6FFC" w:rsidRPr="003E6986">
        <w:rPr>
          <w:rFonts w:asciiTheme="minorHAnsi" w:hAnsiTheme="minorHAnsi" w:cstheme="minorHAnsi"/>
          <w:lang w:val="es-ES_tradnl"/>
        </w:rPr>
        <w:t>ó una Revisión 1</w:t>
      </w:r>
      <w:r w:rsidRPr="003E6986">
        <w:rPr>
          <w:rFonts w:asciiTheme="minorHAnsi" w:hAnsiTheme="minorHAnsi" w:cstheme="minorHAnsi"/>
          <w:lang w:val="es-ES_tradnl"/>
        </w:rPr>
        <w:t>,</w:t>
      </w:r>
      <w:r w:rsidR="00FE6FFC" w:rsidRPr="003E6986">
        <w:rPr>
          <w:rFonts w:asciiTheme="minorHAnsi" w:hAnsiTheme="minorHAnsi" w:cstheme="minorHAnsi"/>
          <w:lang w:val="es-ES_tradnl"/>
        </w:rPr>
        <w:t xml:space="preserve"> que se aprobó al </w:t>
      </w:r>
      <w:r w:rsidRPr="003E6986">
        <w:rPr>
          <w:rFonts w:asciiTheme="minorHAnsi" w:hAnsiTheme="minorHAnsi" w:cstheme="minorHAnsi"/>
          <w:lang w:val="es-ES_tradnl"/>
        </w:rPr>
        <w:t>inicio</w:t>
      </w:r>
      <w:r w:rsidR="00FE6FFC" w:rsidRPr="003E6986">
        <w:rPr>
          <w:rFonts w:asciiTheme="minorHAnsi" w:hAnsiTheme="minorHAnsi" w:cstheme="minorHAnsi"/>
          <w:lang w:val="es-ES_tradnl"/>
        </w:rPr>
        <w:t xml:space="preserve"> del segundo día.</w:t>
      </w:r>
    </w:p>
    <w:p w14:paraId="7C7F44E2" w14:textId="0E8934A9" w:rsidR="00B842F9" w:rsidRPr="003E6986" w:rsidRDefault="00FE6FFC" w:rsidP="003E6986">
      <w:pPr>
        <w:rPr>
          <w:rFonts w:asciiTheme="minorHAnsi" w:hAnsiTheme="minorHAnsi" w:cstheme="minorHAnsi"/>
          <w:lang w:val="es-ES_tradnl"/>
        </w:rPr>
      </w:pPr>
      <w:r w:rsidRPr="003E6986">
        <w:rPr>
          <w:rFonts w:asciiTheme="minorHAnsi" w:hAnsiTheme="minorHAnsi" w:cstheme="minorHAnsi"/>
          <w:lang w:val="es-ES_tradnl"/>
        </w:rPr>
        <w:lastRenderedPageBreak/>
        <w:t xml:space="preserve">En la reunión se </w:t>
      </w:r>
      <w:r w:rsidR="002F0E7B" w:rsidRPr="003E6986">
        <w:rPr>
          <w:rFonts w:asciiTheme="minorHAnsi" w:hAnsiTheme="minorHAnsi" w:cstheme="minorHAnsi"/>
          <w:lang w:val="es-ES_tradnl"/>
        </w:rPr>
        <w:t>abordaron</w:t>
      </w:r>
      <w:r w:rsidRPr="003E6986">
        <w:rPr>
          <w:rFonts w:asciiTheme="minorHAnsi" w:hAnsiTheme="minorHAnsi" w:cstheme="minorHAnsi"/>
          <w:lang w:val="es-ES_tradnl"/>
        </w:rPr>
        <w:t xml:space="preserve"> 7 </w:t>
      </w:r>
      <w:r w:rsidR="002F0E7B" w:rsidRPr="003E6986">
        <w:rPr>
          <w:lang w:val="es-ES_tradnl"/>
        </w:rPr>
        <w:t>contribuciones</w:t>
      </w:r>
      <w:r w:rsidRPr="003E6986">
        <w:rPr>
          <w:rFonts w:asciiTheme="minorHAnsi" w:hAnsiTheme="minorHAnsi" w:cstheme="minorHAnsi"/>
          <w:lang w:val="es-ES_tradnl"/>
        </w:rPr>
        <w:t xml:space="preserve"> y, tras su examen, se aprobaron 4 documentos relativos a:</w:t>
      </w:r>
    </w:p>
    <w:p w14:paraId="6CA3E163" w14:textId="146FB085" w:rsidR="00FE6FFC" w:rsidRPr="000A1D4C" w:rsidRDefault="00B842F9" w:rsidP="000A1D4C">
      <w:pPr>
        <w:pStyle w:val="enumlev1"/>
        <w:rPr>
          <w:lang w:val="es-ES_tradnl"/>
        </w:rPr>
      </w:pPr>
      <w:r w:rsidRPr="000A1D4C">
        <w:rPr>
          <w:lang w:val="es-ES_tradnl"/>
        </w:rPr>
        <w:t>–</w:t>
      </w:r>
      <w:r w:rsidRPr="000A1D4C">
        <w:rPr>
          <w:lang w:val="es-ES_tradnl"/>
        </w:rPr>
        <w:tab/>
      </w:r>
      <w:r w:rsidR="00FE6FFC" w:rsidRPr="000A1D4C">
        <w:rPr>
          <w:lang w:val="es-ES_tradnl"/>
        </w:rPr>
        <w:t xml:space="preserve">la </w:t>
      </w:r>
      <w:r w:rsidR="002F0E7B" w:rsidRPr="000A1D4C">
        <w:rPr>
          <w:lang w:val="es-ES_tradnl"/>
        </w:rPr>
        <w:t>atribución</w:t>
      </w:r>
      <w:r w:rsidR="00FE6FFC" w:rsidRPr="000A1D4C">
        <w:rPr>
          <w:lang w:val="es-ES_tradnl"/>
        </w:rPr>
        <w:t xml:space="preserve"> de los trabajos preparat</w:t>
      </w:r>
      <w:r w:rsidR="000A1D4C">
        <w:rPr>
          <w:lang w:val="es-ES_tradnl"/>
        </w:rPr>
        <w:t>orios del UIT-R para la CMR-27;</w:t>
      </w:r>
    </w:p>
    <w:p w14:paraId="660A714C" w14:textId="27792D98" w:rsidR="00FE6FFC" w:rsidRPr="000A1D4C" w:rsidRDefault="00FE6FFC" w:rsidP="000A1D4C">
      <w:pPr>
        <w:pStyle w:val="enumlev1"/>
        <w:rPr>
          <w:lang w:val="es-ES_tradnl"/>
        </w:rPr>
      </w:pPr>
      <w:r w:rsidRPr="000A1D4C">
        <w:rPr>
          <w:lang w:val="es-ES_tradnl"/>
        </w:rPr>
        <w:t>–</w:t>
      </w:r>
      <w:r w:rsidRPr="000A1D4C">
        <w:rPr>
          <w:lang w:val="es-ES_tradnl"/>
        </w:rPr>
        <w:tab/>
        <w:t xml:space="preserve">la </w:t>
      </w:r>
      <w:r w:rsidR="002F0E7B" w:rsidRPr="000A1D4C">
        <w:rPr>
          <w:lang w:val="es-ES_tradnl"/>
        </w:rPr>
        <w:t xml:space="preserve">atribución </w:t>
      </w:r>
      <w:r w:rsidRPr="000A1D4C">
        <w:rPr>
          <w:lang w:val="es-ES_tradnl"/>
        </w:rPr>
        <w:t>de los trabajos preparat</w:t>
      </w:r>
      <w:r w:rsidR="000A1D4C">
        <w:rPr>
          <w:lang w:val="es-ES_tradnl"/>
        </w:rPr>
        <w:t>orios del UIT-R para la CMR-31;</w:t>
      </w:r>
    </w:p>
    <w:p w14:paraId="39A964D3" w14:textId="6B385A85" w:rsidR="00FE6FFC" w:rsidRPr="000A1D4C" w:rsidRDefault="00FE6FFC" w:rsidP="000A1D4C">
      <w:pPr>
        <w:pStyle w:val="enumlev1"/>
        <w:rPr>
          <w:lang w:val="es-ES_tradnl"/>
        </w:rPr>
      </w:pPr>
      <w:r w:rsidRPr="000A1D4C">
        <w:rPr>
          <w:lang w:val="es-ES_tradnl"/>
        </w:rPr>
        <w:t>–</w:t>
      </w:r>
      <w:r w:rsidRPr="000A1D4C">
        <w:rPr>
          <w:lang w:val="es-ES_tradnl"/>
        </w:rPr>
        <w:tab/>
      </w:r>
      <w:r w:rsidR="002F0E7B" w:rsidRPr="000A1D4C">
        <w:rPr>
          <w:lang w:val="es-ES_tradnl"/>
        </w:rPr>
        <w:t>el índice/</w:t>
      </w:r>
      <w:r w:rsidRPr="000A1D4C">
        <w:rPr>
          <w:lang w:val="es-ES_tradnl"/>
        </w:rPr>
        <w:t xml:space="preserve">estructura del Informe de la RPC a la CMR-27, </w:t>
      </w:r>
      <w:r w:rsidR="002F0E7B" w:rsidRPr="000A1D4C">
        <w:rPr>
          <w:lang w:val="es-ES_tradnl"/>
        </w:rPr>
        <w:t xml:space="preserve">los </w:t>
      </w:r>
      <w:r w:rsidRPr="000A1D4C">
        <w:rPr>
          <w:lang w:val="es-ES_tradnl"/>
        </w:rPr>
        <w:t>Relatores de Capítulo y</w:t>
      </w:r>
      <w:r w:rsidR="002F0E7B" w:rsidRPr="000A1D4C">
        <w:rPr>
          <w:lang w:val="es-ES_tradnl"/>
        </w:rPr>
        <w:t xml:space="preserve"> el</w:t>
      </w:r>
      <w:r w:rsidRPr="000A1D4C">
        <w:rPr>
          <w:lang w:val="es-ES_tradnl"/>
        </w:rPr>
        <w:t xml:space="preserve"> esquema del proyecto de I</w:t>
      </w:r>
      <w:r w:rsidR="000A1D4C">
        <w:rPr>
          <w:lang w:val="es-ES_tradnl"/>
        </w:rPr>
        <w:t>nforme de la RPC a la CMR-27; y</w:t>
      </w:r>
    </w:p>
    <w:p w14:paraId="026049E5" w14:textId="3FE3455F" w:rsidR="00B842F9" w:rsidRPr="000A1D4C" w:rsidRDefault="00FE6FFC" w:rsidP="000A1D4C">
      <w:pPr>
        <w:pStyle w:val="enumlev1"/>
        <w:rPr>
          <w:lang w:val="es-ES_tradnl"/>
        </w:rPr>
      </w:pPr>
      <w:r w:rsidRPr="000A1D4C">
        <w:rPr>
          <w:lang w:val="es-ES_tradnl"/>
        </w:rPr>
        <w:t>–</w:t>
      </w:r>
      <w:r w:rsidRPr="000A1D4C">
        <w:rPr>
          <w:lang w:val="es-ES_tradnl"/>
        </w:rPr>
        <w:tab/>
        <w:t xml:space="preserve">la estructura de </w:t>
      </w:r>
      <w:r w:rsidR="00D349BD" w:rsidRPr="000A1D4C">
        <w:rPr>
          <w:lang w:val="es-ES_tradnl"/>
        </w:rPr>
        <w:t xml:space="preserve">los </w:t>
      </w:r>
      <w:r w:rsidR="00486CD9" w:rsidRPr="000A1D4C">
        <w:rPr>
          <w:lang w:val="es-ES_tradnl"/>
        </w:rPr>
        <w:t>c</w:t>
      </w:r>
      <w:r w:rsidRPr="000A1D4C">
        <w:rPr>
          <w:lang w:val="es-ES_tradnl"/>
        </w:rPr>
        <w:t>apítulos y los procedimientos de trabajo propuestos para la RPC de conformidad con la Resolución UIT-R 2-9.</w:t>
      </w:r>
    </w:p>
    <w:p w14:paraId="42FF8DF0" w14:textId="1959DDBC" w:rsidR="00B842F9" w:rsidRPr="003E6986" w:rsidRDefault="00D349BD" w:rsidP="003E6986">
      <w:pPr>
        <w:rPr>
          <w:rFonts w:asciiTheme="minorHAnsi" w:hAnsiTheme="minorHAnsi" w:cstheme="minorHAnsi"/>
          <w:lang w:val="es-ES_tradnl"/>
        </w:rPr>
      </w:pPr>
      <w:r w:rsidRPr="003E6986">
        <w:rPr>
          <w:rFonts w:asciiTheme="minorHAnsi" w:hAnsiTheme="minorHAnsi" w:cstheme="minorHAnsi"/>
          <w:lang w:val="es-ES_tradnl"/>
        </w:rPr>
        <w:t>La</w:t>
      </w:r>
      <w:r w:rsidR="00FE6FFC" w:rsidRPr="003E6986">
        <w:rPr>
          <w:rFonts w:asciiTheme="minorHAnsi" w:hAnsiTheme="minorHAnsi" w:cstheme="minorHAnsi"/>
          <w:lang w:val="es-ES_tradnl"/>
        </w:rPr>
        <w:t xml:space="preserve"> reunión </w:t>
      </w:r>
      <w:r w:rsidRPr="003E6986">
        <w:rPr>
          <w:rFonts w:asciiTheme="minorHAnsi" w:hAnsiTheme="minorHAnsi" w:cstheme="minorHAnsi"/>
          <w:lang w:val="es-ES_tradnl"/>
        </w:rPr>
        <w:t>nombró</w:t>
      </w:r>
      <w:r w:rsidR="00FE6FFC" w:rsidRPr="003E6986">
        <w:rPr>
          <w:rFonts w:asciiTheme="minorHAnsi" w:hAnsiTheme="minorHAnsi" w:cstheme="minorHAnsi"/>
          <w:lang w:val="es-ES_tradnl"/>
        </w:rPr>
        <w:t xml:space="preserve"> 5 Vicepresidentes para la RPC-27, con</w:t>
      </w:r>
      <w:r w:rsidRPr="003E6986">
        <w:rPr>
          <w:rFonts w:asciiTheme="minorHAnsi" w:hAnsiTheme="minorHAnsi" w:cstheme="minorHAnsi"/>
          <w:lang w:val="es-ES_tradnl"/>
        </w:rPr>
        <w:t>forme a</w:t>
      </w:r>
      <w:r w:rsidR="00FE6FFC" w:rsidRPr="003E6986">
        <w:rPr>
          <w:rFonts w:asciiTheme="minorHAnsi" w:hAnsiTheme="minorHAnsi" w:cstheme="minorHAnsi"/>
          <w:lang w:val="es-ES_tradnl"/>
        </w:rPr>
        <w:t xml:space="preserve"> lo dispuesto </w:t>
      </w:r>
      <w:r w:rsidR="00486CD9" w:rsidRPr="003E6986">
        <w:rPr>
          <w:rFonts w:asciiTheme="minorHAnsi" w:hAnsiTheme="minorHAnsi" w:cstheme="minorHAnsi"/>
          <w:lang w:val="es-ES_tradnl"/>
        </w:rPr>
        <w:t>por</w:t>
      </w:r>
      <w:r w:rsidR="00FE6FFC" w:rsidRPr="003E6986">
        <w:rPr>
          <w:rFonts w:asciiTheme="minorHAnsi" w:hAnsiTheme="minorHAnsi" w:cstheme="minorHAnsi"/>
          <w:lang w:val="es-ES_tradnl"/>
        </w:rPr>
        <w:t xml:space="preserve"> la AR-23, tras</w:t>
      </w:r>
      <w:r w:rsidRPr="003E6986">
        <w:rPr>
          <w:rFonts w:asciiTheme="minorHAnsi" w:hAnsiTheme="minorHAnsi" w:cstheme="minorHAnsi"/>
          <w:lang w:val="es-ES_tradnl"/>
        </w:rPr>
        <w:t xml:space="preserve"> una serie de</w:t>
      </w:r>
      <w:r w:rsidR="00FE6FFC" w:rsidRPr="003E6986">
        <w:rPr>
          <w:rFonts w:asciiTheme="minorHAnsi" w:hAnsiTheme="minorHAnsi" w:cstheme="minorHAnsi"/>
          <w:lang w:val="es-ES_tradnl"/>
        </w:rPr>
        <w:t xml:space="preserve"> consultas </w:t>
      </w:r>
      <w:r w:rsidR="00FE6FFC" w:rsidRPr="003E6986">
        <w:rPr>
          <w:lang w:val="es-ES_tradnl"/>
        </w:rPr>
        <w:t>informales</w:t>
      </w:r>
      <w:r w:rsidR="00FE6FFC" w:rsidRPr="003E6986">
        <w:rPr>
          <w:rFonts w:asciiTheme="minorHAnsi" w:hAnsiTheme="minorHAnsi" w:cstheme="minorHAnsi"/>
          <w:lang w:val="es-ES_tradnl"/>
        </w:rPr>
        <w:t xml:space="preserve"> </w:t>
      </w:r>
      <w:r w:rsidRPr="003E6986">
        <w:rPr>
          <w:rFonts w:asciiTheme="minorHAnsi" w:hAnsiTheme="minorHAnsi" w:cstheme="minorHAnsi"/>
          <w:lang w:val="es-ES_tradnl"/>
        </w:rPr>
        <w:t>dirigidas</w:t>
      </w:r>
      <w:r w:rsidR="000A1D4C">
        <w:rPr>
          <w:rFonts w:asciiTheme="minorHAnsi" w:hAnsiTheme="minorHAnsi" w:cstheme="minorHAnsi"/>
          <w:lang w:val="es-ES_tradnl"/>
        </w:rPr>
        <w:t xml:space="preserve"> por el Director de la BR.</w:t>
      </w:r>
    </w:p>
    <w:p w14:paraId="60F50F6C" w14:textId="707A4650" w:rsidR="00B842F9" w:rsidRPr="003E6986" w:rsidRDefault="00FE6FFC" w:rsidP="003E6986">
      <w:pPr>
        <w:rPr>
          <w:rFonts w:asciiTheme="minorHAnsi" w:hAnsiTheme="minorHAnsi" w:cstheme="minorHAnsi"/>
          <w:lang w:val="es-ES_tradnl"/>
        </w:rPr>
      </w:pPr>
      <w:r w:rsidRPr="003E6986">
        <w:rPr>
          <w:rFonts w:asciiTheme="minorHAnsi" w:hAnsiTheme="minorHAnsi" w:cstheme="minorHAnsi"/>
          <w:lang w:val="es-ES_tradnl"/>
        </w:rPr>
        <w:t>La reunión concluyó también que los resultados de la RPC27-1 se recoger</w:t>
      </w:r>
      <w:r w:rsidR="00D349BD" w:rsidRPr="003E6986">
        <w:rPr>
          <w:rFonts w:asciiTheme="minorHAnsi" w:hAnsiTheme="minorHAnsi" w:cstheme="minorHAnsi"/>
          <w:lang w:val="es-ES_tradnl"/>
        </w:rPr>
        <w:t>ía</w:t>
      </w:r>
      <w:r w:rsidRPr="003E6986">
        <w:rPr>
          <w:rFonts w:asciiTheme="minorHAnsi" w:hAnsiTheme="minorHAnsi" w:cstheme="minorHAnsi"/>
          <w:lang w:val="es-ES_tradnl"/>
        </w:rPr>
        <w:t xml:space="preserve">n en </w:t>
      </w:r>
      <w:r w:rsidR="00D349BD" w:rsidRPr="003E6986">
        <w:rPr>
          <w:rFonts w:asciiTheme="minorHAnsi" w:hAnsiTheme="minorHAnsi" w:cstheme="minorHAnsi"/>
          <w:lang w:val="es-ES_tradnl"/>
        </w:rPr>
        <w:t>una</w:t>
      </w:r>
      <w:r w:rsidRPr="003E6986">
        <w:rPr>
          <w:rFonts w:asciiTheme="minorHAnsi" w:hAnsiTheme="minorHAnsi" w:cstheme="minorHAnsi"/>
          <w:lang w:val="es-ES_tradnl"/>
        </w:rPr>
        <w:t xml:space="preserve"> Circular Administrativa e invitó a </w:t>
      </w:r>
      <w:r w:rsidRPr="003E6986">
        <w:rPr>
          <w:lang w:val="es-ES_tradnl"/>
        </w:rPr>
        <w:t>los</w:t>
      </w:r>
      <w:r w:rsidRPr="003E6986">
        <w:rPr>
          <w:rFonts w:asciiTheme="minorHAnsi" w:hAnsiTheme="minorHAnsi" w:cstheme="minorHAnsi"/>
          <w:lang w:val="es-ES_tradnl"/>
        </w:rPr>
        <w:t xml:space="preserve"> Presidentes de las </w:t>
      </w:r>
      <w:r w:rsidR="00486CD9" w:rsidRPr="003E6986">
        <w:rPr>
          <w:rFonts w:asciiTheme="minorHAnsi" w:hAnsiTheme="minorHAnsi" w:cstheme="minorHAnsi"/>
          <w:lang w:val="es-ES_tradnl"/>
        </w:rPr>
        <w:t>CE</w:t>
      </w:r>
      <w:r w:rsidRPr="003E6986">
        <w:rPr>
          <w:rFonts w:asciiTheme="minorHAnsi" w:hAnsiTheme="minorHAnsi" w:cstheme="minorHAnsi"/>
          <w:lang w:val="es-ES_tradnl"/>
        </w:rPr>
        <w:t xml:space="preserve"> y a los Presidentes designados </w:t>
      </w:r>
      <w:r w:rsidR="00486CD9" w:rsidRPr="003E6986">
        <w:rPr>
          <w:rFonts w:asciiTheme="minorHAnsi" w:hAnsiTheme="minorHAnsi" w:cstheme="minorHAnsi"/>
          <w:lang w:val="es-ES_tradnl"/>
        </w:rPr>
        <w:t>de</w:t>
      </w:r>
      <w:r w:rsidRPr="003E6986">
        <w:rPr>
          <w:rFonts w:asciiTheme="minorHAnsi" w:hAnsiTheme="minorHAnsi" w:cstheme="minorHAnsi"/>
          <w:lang w:val="es-ES_tradnl"/>
        </w:rPr>
        <w:t xml:space="preserve"> los GT, así como a los Relatores de Capítulo</w:t>
      </w:r>
      <w:r w:rsidR="00D349BD" w:rsidRPr="003E6986">
        <w:rPr>
          <w:rFonts w:asciiTheme="minorHAnsi" w:hAnsiTheme="minorHAnsi" w:cstheme="minorHAnsi"/>
          <w:lang w:val="es-ES_tradnl"/>
        </w:rPr>
        <w:t xml:space="preserve"> de</w:t>
      </w:r>
      <w:r w:rsidRPr="003E6986">
        <w:rPr>
          <w:rFonts w:asciiTheme="minorHAnsi" w:hAnsiTheme="minorHAnsi" w:cstheme="minorHAnsi"/>
          <w:lang w:val="es-ES_tradnl"/>
        </w:rPr>
        <w:t xml:space="preserve"> la RPC</w:t>
      </w:r>
      <w:r w:rsidR="00D349BD" w:rsidRPr="003E6986">
        <w:rPr>
          <w:rFonts w:asciiTheme="minorHAnsi" w:hAnsiTheme="minorHAnsi" w:cstheme="minorHAnsi"/>
          <w:lang w:val="es-ES_tradnl"/>
        </w:rPr>
        <w:t>-</w:t>
      </w:r>
      <w:r w:rsidRPr="003E6986">
        <w:rPr>
          <w:rFonts w:asciiTheme="minorHAnsi" w:hAnsiTheme="minorHAnsi" w:cstheme="minorHAnsi"/>
          <w:lang w:val="es-ES_tradnl"/>
        </w:rPr>
        <w:t>27, a utilizar esa información y esas decisiones.</w:t>
      </w:r>
    </w:p>
    <w:bookmarkEnd w:id="12"/>
    <w:bookmarkEnd w:id="13"/>
    <w:p w14:paraId="345D8DE8" w14:textId="267C7A95" w:rsidR="00B842F9" w:rsidRPr="003E6986" w:rsidRDefault="00FE6FFC" w:rsidP="003E6986">
      <w:pPr>
        <w:rPr>
          <w:rFonts w:asciiTheme="minorHAnsi" w:hAnsiTheme="minorHAnsi" w:cstheme="minorHAnsi"/>
          <w:lang w:val="es-ES_tradnl" w:eastAsia="zh-CN"/>
        </w:rPr>
      </w:pPr>
      <w:r w:rsidRPr="003E6986">
        <w:rPr>
          <w:rFonts w:asciiTheme="minorHAnsi" w:hAnsiTheme="minorHAnsi" w:cstheme="minorHAnsi"/>
          <w:lang w:val="es-ES_tradnl"/>
        </w:rPr>
        <w:t xml:space="preserve">Por último, el Consejero </w:t>
      </w:r>
      <w:r w:rsidRPr="003E6986">
        <w:rPr>
          <w:lang w:val="es-ES_tradnl"/>
        </w:rPr>
        <w:t>facilitó</w:t>
      </w:r>
      <w:r w:rsidRPr="003E6986">
        <w:rPr>
          <w:rFonts w:asciiTheme="minorHAnsi" w:hAnsiTheme="minorHAnsi" w:cstheme="minorHAnsi"/>
          <w:lang w:val="es-ES_tradnl"/>
        </w:rPr>
        <w:t xml:space="preserve"> información </w:t>
      </w:r>
      <w:r w:rsidR="00D349BD" w:rsidRPr="003E6986">
        <w:rPr>
          <w:rFonts w:asciiTheme="minorHAnsi" w:hAnsiTheme="minorHAnsi" w:cstheme="minorHAnsi"/>
          <w:lang w:val="es-ES_tradnl"/>
        </w:rPr>
        <w:t>de carácter preliminar</w:t>
      </w:r>
      <w:r w:rsidRPr="003E6986">
        <w:rPr>
          <w:rFonts w:asciiTheme="minorHAnsi" w:hAnsiTheme="minorHAnsi" w:cstheme="minorHAnsi"/>
          <w:lang w:val="es-ES_tradnl"/>
        </w:rPr>
        <w:t xml:space="preserve"> sobre el calendario de la segunda </w:t>
      </w:r>
      <w:r w:rsidR="00D349BD" w:rsidRPr="003E6986">
        <w:rPr>
          <w:rFonts w:asciiTheme="minorHAnsi" w:hAnsiTheme="minorHAnsi" w:cstheme="minorHAnsi"/>
          <w:lang w:val="es-ES_tradnl"/>
        </w:rPr>
        <w:t>sesión</w:t>
      </w:r>
      <w:r w:rsidRPr="003E6986">
        <w:rPr>
          <w:rFonts w:asciiTheme="minorHAnsi" w:hAnsiTheme="minorHAnsi" w:cstheme="minorHAnsi"/>
          <w:lang w:val="es-ES_tradnl"/>
        </w:rPr>
        <w:t xml:space="preserve"> de la RPC-27, </w:t>
      </w:r>
      <w:r w:rsidR="00D349BD" w:rsidRPr="003E6986">
        <w:rPr>
          <w:rFonts w:asciiTheme="minorHAnsi" w:hAnsiTheme="minorHAnsi" w:cstheme="minorHAnsi"/>
          <w:lang w:val="es-ES_tradnl"/>
        </w:rPr>
        <w:t>en virtud de lo dispuesto en</w:t>
      </w:r>
      <w:r w:rsidRPr="003E6986">
        <w:rPr>
          <w:rFonts w:asciiTheme="minorHAnsi" w:hAnsiTheme="minorHAnsi" w:cstheme="minorHAnsi"/>
          <w:lang w:val="es-ES_tradnl"/>
        </w:rPr>
        <w:t xml:space="preserve"> la Resolución UIT-R 2-9.</w:t>
      </w:r>
    </w:p>
    <w:p w14:paraId="0419D7CC" w14:textId="27D0940F" w:rsidR="00B842F9" w:rsidRPr="003E6986" w:rsidRDefault="00B842F9" w:rsidP="00BC5546">
      <w:pPr>
        <w:pStyle w:val="Heading1"/>
        <w:spacing w:before="240"/>
        <w:rPr>
          <w:rStyle w:val="Heading1Char1"/>
          <w:rFonts w:asciiTheme="minorHAnsi" w:hAnsiTheme="minorHAnsi" w:cstheme="minorHAnsi"/>
          <w:b/>
          <w:bCs/>
          <w:lang w:val="es-ES_tradnl"/>
        </w:rPr>
      </w:pPr>
      <w:r w:rsidRPr="003E6986">
        <w:rPr>
          <w:rStyle w:val="Heading1Char1"/>
          <w:rFonts w:asciiTheme="minorHAnsi" w:hAnsiTheme="minorHAnsi" w:cstheme="minorHAnsi"/>
          <w:b/>
          <w:bCs/>
          <w:lang w:val="es-ES_tradnl"/>
        </w:rPr>
        <w:t>2</w:t>
      </w:r>
      <w:r w:rsidRPr="003E6986">
        <w:rPr>
          <w:rStyle w:val="Heading1Char1"/>
          <w:rFonts w:asciiTheme="minorHAnsi" w:hAnsiTheme="minorHAnsi" w:cstheme="minorHAnsi"/>
          <w:b/>
          <w:bCs/>
          <w:lang w:val="es-ES_tradnl"/>
        </w:rPr>
        <w:tab/>
      </w:r>
      <w:r w:rsidR="00E51DF7" w:rsidRPr="003E6986">
        <w:rPr>
          <w:rStyle w:val="Heading1Char1"/>
          <w:rFonts w:asciiTheme="minorHAnsi" w:hAnsiTheme="minorHAnsi" w:cstheme="minorHAnsi"/>
          <w:b/>
          <w:bCs/>
          <w:lang w:val="es-ES_tradnl"/>
        </w:rPr>
        <w:t>Examen de los resultados pertinentes de la AR-23 y la CMR-23</w:t>
      </w:r>
    </w:p>
    <w:p w14:paraId="6E7870C4" w14:textId="7DF21BDD" w:rsidR="00B842F9" w:rsidRPr="003E6986" w:rsidRDefault="00B842F9" w:rsidP="00B842F9">
      <w:pPr>
        <w:pStyle w:val="Heading2"/>
        <w:spacing w:before="160"/>
        <w:rPr>
          <w:rFonts w:asciiTheme="minorHAnsi" w:hAnsiTheme="minorHAnsi" w:cstheme="minorHAnsi"/>
          <w:lang w:val="es-ES_tradnl" w:eastAsia="zh-CN"/>
        </w:rPr>
      </w:pPr>
      <w:r w:rsidRPr="003E6986">
        <w:rPr>
          <w:rFonts w:asciiTheme="minorHAnsi" w:hAnsiTheme="minorHAnsi" w:cstheme="minorHAnsi"/>
          <w:lang w:val="es-ES_tradnl" w:eastAsia="zh-CN"/>
        </w:rPr>
        <w:t>2.1</w:t>
      </w:r>
      <w:r w:rsidRPr="003E6986">
        <w:rPr>
          <w:rFonts w:asciiTheme="minorHAnsi" w:hAnsiTheme="minorHAnsi" w:cstheme="minorHAnsi"/>
          <w:lang w:val="es-ES_tradnl" w:eastAsia="zh-CN"/>
        </w:rPr>
        <w:tab/>
      </w:r>
      <w:r w:rsidR="00E51DF7" w:rsidRPr="003E6986">
        <w:rPr>
          <w:rFonts w:asciiTheme="minorHAnsi" w:hAnsiTheme="minorHAnsi" w:cstheme="minorHAnsi"/>
          <w:lang w:val="es-ES_tradnl" w:eastAsia="zh-CN"/>
        </w:rPr>
        <w:t>De la AR-23</w:t>
      </w:r>
    </w:p>
    <w:p w14:paraId="55F7E02F" w14:textId="3F1F255E" w:rsidR="00E51DF7" w:rsidRPr="003E6986" w:rsidRDefault="00E51DF7" w:rsidP="00E51DF7">
      <w:pPr>
        <w:rPr>
          <w:rFonts w:asciiTheme="minorHAnsi" w:hAnsiTheme="minorHAnsi" w:cstheme="minorHAnsi"/>
          <w:lang w:val="es-ES_tradnl"/>
        </w:rPr>
      </w:pPr>
      <w:r w:rsidRPr="003E6986">
        <w:rPr>
          <w:rFonts w:asciiTheme="minorHAnsi" w:hAnsiTheme="minorHAnsi" w:cstheme="minorHAnsi"/>
          <w:u w:val="single"/>
          <w:lang w:val="es-ES_tradnl"/>
        </w:rPr>
        <w:t>Contribuciones:</w:t>
      </w:r>
      <w:r w:rsidRPr="003E6986">
        <w:rPr>
          <w:rFonts w:asciiTheme="minorHAnsi" w:hAnsiTheme="minorHAnsi" w:cstheme="minorHAnsi"/>
          <w:lang w:val="es-ES_tradnl"/>
        </w:rPr>
        <w:t xml:space="preserve"> </w:t>
      </w:r>
      <w:r w:rsidRPr="003E6986">
        <w:rPr>
          <w:lang w:val="es-ES_tradnl"/>
        </w:rPr>
        <w:t>Resolución</w:t>
      </w:r>
      <w:r w:rsidRPr="003E6986">
        <w:rPr>
          <w:rFonts w:asciiTheme="minorHAnsi" w:hAnsiTheme="minorHAnsi" w:cstheme="minorHAnsi"/>
          <w:lang w:val="es-ES_tradnl"/>
        </w:rPr>
        <w:t xml:space="preserve"> </w:t>
      </w:r>
      <w:hyperlink r:id="rId10" w:history="1">
        <w:r w:rsidR="00A15E31" w:rsidRPr="000A1D4C">
          <w:rPr>
            <w:rStyle w:val="Hyperlink"/>
            <w:rFonts w:asciiTheme="minorHAnsi" w:hAnsiTheme="minorHAnsi" w:cstheme="minorHAnsi"/>
            <w:lang w:val="es-ES_tradnl"/>
          </w:rPr>
          <w:t>UIT</w:t>
        </w:r>
        <w:r w:rsidR="00B842F9" w:rsidRPr="000A1D4C">
          <w:rPr>
            <w:rStyle w:val="Hyperlink"/>
            <w:rFonts w:asciiTheme="minorHAnsi" w:hAnsiTheme="minorHAnsi" w:cstheme="minorHAnsi"/>
            <w:lang w:val="es-ES_tradnl"/>
          </w:rPr>
          <w:t>-R 1-9</w:t>
        </w:r>
      </w:hyperlink>
      <w:r w:rsidR="00B842F9" w:rsidRPr="003E6986">
        <w:rPr>
          <w:rFonts w:asciiTheme="minorHAnsi" w:hAnsiTheme="minorHAnsi" w:cstheme="minorHAnsi"/>
          <w:lang w:val="es-ES_tradnl"/>
        </w:rPr>
        <w:t xml:space="preserve">; </w:t>
      </w:r>
      <w:r w:rsidRPr="003E6986">
        <w:rPr>
          <w:rFonts w:asciiTheme="minorHAnsi" w:hAnsiTheme="minorHAnsi" w:cstheme="minorHAnsi"/>
          <w:lang w:val="es-ES_tradnl"/>
        </w:rPr>
        <w:t xml:space="preserve">Resolución </w:t>
      </w:r>
      <w:hyperlink r:id="rId11" w:history="1">
        <w:r w:rsidR="00A15E31" w:rsidRPr="003E6986">
          <w:rPr>
            <w:rStyle w:val="Hyperlink"/>
            <w:rFonts w:asciiTheme="minorHAnsi" w:hAnsiTheme="minorHAnsi" w:cstheme="minorHAnsi"/>
            <w:lang w:val="es-ES_tradnl"/>
          </w:rPr>
          <w:t>UIT</w:t>
        </w:r>
        <w:r w:rsidR="00B842F9" w:rsidRPr="003E6986">
          <w:rPr>
            <w:rStyle w:val="Hyperlink"/>
            <w:rFonts w:asciiTheme="minorHAnsi" w:hAnsiTheme="minorHAnsi" w:cstheme="minorHAnsi"/>
            <w:lang w:val="es-ES_tradnl"/>
          </w:rPr>
          <w:t>-R 2</w:t>
        </w:r>
      </w:hyperlink>
      <w:r w:rsidR="00B842F9" w:rsidRPr="003E6986">
        <w:rPr>
          <w:rFonts w:asciiTheme="minorHAnsi" w:hAnsiTheme="minorHAnsi" w:cstheme="minorHAnsi"/>
          <w:lang w:val="es-ES_tradnl"/>
        </w:rPr>
        <w:t>-</w:t>
      </w:r>
      <w:hyperlink r:id="rId12" w:history="1">
        <w:r w:rsidR="00B842F9" w:rsidRPr="003E6986">
          <w:rPr>
            <w:rStyle w:val="Hyperlink"/>
            <w:rFonts w:asciiTheme="minorHAnsi" w:hAnsiTheme="minorHAnsi" w:cstheme="minorHAnsi"/>
            <w:lang w:val="es-ES_tradnl"/>
          </w:rPr>
          <w:t>9</w:t>
        </w:r>
      </w:hyperlink>
      <w:r w:rsidR="00B842F9" w:rsidRPr="003E6986">
        <w:rPr>
          <w:rFonts w:asciiTheme="minorHAnsi" w:hAnsiTheme="minorHAnsi" w:cstheme="minorHAnsi"/>
          <w:lang w:val="es-ES_tradnl"/>
        </w:rPr>
        <w:t xml:space="preserve">; </w:t>
      </w:r>
      <w:hyperlink r:id="rId13" w:history="1">
        <w:proofErr w:type="spellStart"/>
        <w:r w:rsidR="00B842F9" w:rsidRPr="003E6986">
          <w:rPr>
            <w:rStyle w:val="Hyperlink"/>
            <w:rFonts w:asciiTheme="minorHAnsi" w:hAnsiTheme="minorHAnsi" w:cstheme="minorHAnsi"/>
            <w:lang w:val="es-ES_tradnl"/>
          </w:rPr>
          <w:t>CPM27</w:t>
        </w:r>
        <w:proofErr w:type="spellEnd"/>
        <w:r w:rsidR="00B842F9" w:rsidRPr="003E6986">
          <w:rPr>
            <w:rStyle w:val="Hyperlink"/>
            <w:rFonts w:asciiTheme="minorHAnsi" w:hAnsiTheme="minorHAnsi" w:cstheme="minorHAnsi"/>
            <w:lang w:val="es-ES_tradnl"/>
          </w:rPr>
          <w:t>-1/1</w:t>
        </w:r>
      </w:hyperlink>
      <w:r w:rsidR="00B842F9" w:rsidRPr="003E6986">
        <w:rPr>
          <w:rFonts w:asciiTheme="minorHAnsi" w:hAnsiTheme="minorHAnsi" w:cstheme="minorHAnsi"/>
          <w:lang w:val="es-ES_tradnl"/>
        </w:rPr>
        <w:t xml:space="preserve">, </w:t>
      </w:r>
      <w:hyperlink r:id="rId14" w:history="1">
        <w:proofErr w:type="spellStart"/>
        <w:r w:rsidR="00B842F9" w:rsidRPr="003E6986">
          <w:rPr>
            <w:rStyle w:val="Hyperlink"/>
            <w:rFonts w:asciiTheme="minorHAnsi" w:hAnsiTheme="minorHAnsi" w:cstheme="minorHAnsi"/>
            <w:lang w:val="es-ES_tradnl"/>
          </w:rPr>
          <w:t>CPM27</w:t>
        </w:r>
        <w:proofErr w:type="spellEnd"/>
        <w:r w:rsidR="00B842F9" w:rsidRPr="003E6986">
          <w:rPr>
            <w:rStyle w:val="Hyperlink"/>
            <w:rFonts w:asciiTheme="minorHAnsi" w:hAnsiTheme="minorHAnsi" w:cstheme="minorHAnsi"/>
            <w:lang w:val="es-ES_tradnl"/>
          </w:rPr>
          <w:t>-1/2</w:t>
        </w:r>
      </w:hyperlink>
      <w:r w:rsidRPr="003E6986">
        <w:rPr>
          <w:rFonts w:asciiTheme="minorHAnsi" w:hAnsiTheme="minorHAnsi" w:cstheme="minorHAnsi"/>
          <w:lang w:val="es-ES_tradnl" w:eastAsia="zh-CN"/>
        </w:rPr>
        <w:t>.</w:t>
      </w:r>
    </w:p>
    <w:p w14:paraId="7AFA792D" w14:textId="143309F5" w:rsidR="00B842F9" w:rsidRPr="003E6986" w:rsidRDefault="00E51DF7" w:rsidP="003E6986">
      <w:pPr>
        <w:rPr>
          <w:rFonts w:asciiTheme="minorHAnsi" w:hAnsiTheme="minorHAnsi" w:cstheme="minorHAnsi"/>
          <w:lang w:val="es-ES_tradnl" w:eastAsia="zh-CN"/>
        </w:rPr>
      </w:pPr>
      <w:r w:rsidRPr="003E6986">
        <w:rPr>
          <w:rFonts w:asciiTheme="minorHAnsi" w:hAnsiTheme="minorHAnsi" w:cstheme="minorHAnsi"/>
          <w:lang w:val="es-ES_tradnl" w:eastAsia="zh-CN"/>
        </w:rPr>
        <w:t xml:space="preserve">Se informó a la </w:t>
      </w:r>
      <w:r w:rsidRPr="003E6986">
        <w:rPr>
          <w:lang w:val="es-ES_tradnl"/>
        </w:rPr>
        <w:t>reunión</w:t>
      </w:r>
      <w:r w:rsidRPr="003E6986">
        <w:rPr>
          <w:rFonts w:asciiTheme="minorHAnsi" w:hAnsiTheme="minorHAnsi" w:cstheme="minorHAnsi"/>
          <w:lang w:val="es-ES_tradnl" w:eastAsia="zh-CN"/>
        </w:rPr>
        <w:t xml:space="preserve"> </w:t>
      </w:r>
      <w:r w:rsidR="00BC5546" w:rsidRPr="003E6986">
        <w:rPr>
          <w:rFonts w:asciiTheme="minorHAnsi" w:hAnsiTheme="minorHAnsi" w:cstheme="minorHAnsi"/>
          <w:lang w:val="es-ES_tradnl" w:eastAsia="zh-CN"/>
        </w:rPr>
        <w:t>del reciente nombramiento de</w:t>
      </w:r>
      <w:r w:rsidRPr="003E6986">
        <w:rPr>
          <w:rFonts w:asciiTheme="minorHAnsi" w:hAnsiTheme="minorHAnsi" w:cstheme="minorHAnsi"/>
          <w:lang w:val="es-ES_tradnl" w:eastAsia="zh-CN"/>
        </w:rPr>
        <w:t xml:space="preserve"> los Presidentes de las </w:t>
      </w:r>
      <w:r w:rsidR="006A27E9" w:rsidRPr="003E6986">
        <w:rPr>
          <w:rFonts w:asciiTheme="minorHAnsi" w:hAnsiTheme="minorHAnsi" w:cstheme="minorHAnsi"/>
          <w:lang w:val="es-ES_tradnl" w:eastAsia="zh-CN"/>
        </w:rPr>
        <w:t>CE</w:t>
      </w:r>
      <w:r w:rsidRPr="003E6986">
        <w:rPr>
          <w:rFonts w:asciiTheme="minorHAnsi" w:hAnsiTheme="minorHAnsi" w:cstheme="minorHAnsi"/>
          <w:lang w:val="es-ES_tradnl" w:eastAsia="zh-CN"/>
        </w:rPr>
        <w:t xml:space="preserve"> del UIT-R, el GAR y el CCV.</w:t>
      </w:r>
    </w:p>
    <w:p w14:paraId="7607BA11" w14:textId="2C8F4BA9" w:rsidR="00B842F9" w:rsidRPr="003E6986" w:rsidRDefault="00E51DF7" w:rsidP="003E6986">
      <w:pPr>
        <w:rPr>
          <w:rFonts w:asciiTheme="minorHAnsi" w:hAnsiTheme="minorHAnsi" w:cstheme="minorHAnsi"/>
          <w:lang w:val="es-ES_tradnl" w:eastAsia="zh-CN"/>
        </w:rPr>
      </w:pPr>
      <w:r w:rsidRPr="003E6986">
        <w:rPr>
          <w:rFonts w:asciiTheme="minorHAnsi" w:hAnsiTheme="minorHAnsi" w:cstheme="minorHAnsi"/>
          <w:lang w:val="es-ES_tradnl" w:eastAsia="zh-CN"/>
        </w:rPr>
        <w:t xml:space="preserve">El Presidente </w:t>
      </w:r>
      <w:r w:rsidRPr="003E6986">
        <w:rPr>
          <w:lang w:val="es-ES_tradnl"/>
        </w:rPr>
        <w:t>presentó</w:t>
      </w:r>
      <w:r w:rsidRPr="003E6986">
        <w:rPr>
          <w:rFonts w:asciiTheme="minorHAnsi" w:hAnsiTheme="minorHAnsi" w:cstheme="minorHAnsi"/>
          <w:lang w:val="es-ES_tradnl" w:eastAsia="zh-CN"/>
        </w:rPr>
        <w:t xml:space="preserve"> las enmiendas y modificaciones pertinentes</w:t>
      </w:r>
      <w:r w:rsidR="00BC5546" w:rsidRPr="003E6986">
        <w:rPr>
          <w:rFonts w:asciiTheme="minorHAnsi" w:hAnsiTheme="minorHAnsi" w:cstheme="minorHAnsi"/>
          <w:lang w:val="es-ES_tradnl" w:eastAsia="zh-CN"/>
        </w:rPr>
        <w:t xml:space="preserve"> que la AR-23 había</w:t>
      </w:r>
      <w:r w:rsidRPr="003E6986">
        <w:rPr>
          <w:rFonts w:asciiTheme="minorHAnsi" w:hAnsiTheme="minorHAnsi" w:cstheme="minorHAnsi"/>
          <w:lang w:val="es-ES_tradnl" w:eastAsia="zh-CN"/>
        </w:rPr>
        <w:t xml:space="preserve"> aprobad</w:t>
      </w:r>
      <w:r w:rsidR="00BC5546" w:rsidRPr="003E6986">
        <w:rPr>
          <w:rFonts w:asciiTheme="minorHAnsi" w:hAnsiTheme="minorHAnsi" w:cstheme="minorHAnsi"/>
          <w:lang w:val="es-ES_tradnl" w:eastAsia="zh-CN"/>
        </w:rPr>
        <w:t>o</w:t>
      </w:r>
      <w:r w:rsidRPr="003E6986">
        <w:rPr>
          <w:rFonts w:asciiTheme="minorHAnsi" w:hAnsiTheme="minorHAnsi" w:cstheme="minorHAnsi"/>
          <w:lang w:val="es-ES_tradnl" w:eastAsia="zh-CN"/>
        </w:rPr>
        <w:t xml:space="preserve"> en relación con los métodos de trabajo de la AR, las CE, el GAR y otros grupos del UIT-R,</w:t>
      </w:r>
      <w:r w:rsidR="00BC5546" w:rsidRPr="003E6986">
        <w:rPr>
          <w:rFonts w:asciiTheme="minorHAnsi" w:hAnsiTheme="minorHAnsi" w:cstheme="minorHAnsi"/>
          <w:lang w:val="es-ES_tradnl" w:eastAsia="zh-CN"/>
        </w:rPr>
        <w:t xml:space="preserve"> que figuraban en</w:t>
      </w:r>
      <w:r w:rsidR="006A27E9" w:rsidRPr="003E6986">
        <w:rPr>
          <w:rFonts w:asciiTheme="minorHAnsi" w:hAnsiTheme="minorHAnsi" w:cstheme="minorHAnsi"/>
          <w:lang w:val="es-ES_tradnl" w:eastAsia="zh-CN"/>
        </w:rPr>
        <w:t xml:space="preserve"> </w:t>
      </w:r>
      <w:r w:rsidRPr="003E6986">
        <w:rPr>
          <w:rFonts w:asciiTheme="minorHAnsi" w:hAnsiTheme="minorHAnsi" w:cstheme="minorHAnsi"/>
          <w:lang w:val="es-ES_tradnl" w:eastAsia="zh-CN"/>
        </w:rPr>
        <w:t>la Resolución UIT R 1-9. Se</w:t>
      </w:r>
      <w:r w:rsidR="00BC5546" w:rsidRPr="003E6986">
        <w:rPr>
          <w:rFonts w:asciiTheme="minorHAnsi" w:hAnsiTheme="minorHAnsi" w:cstheme="minorHAnsi"/>
          <w:lang w:val="es-ES_tradnl" w:eastAsia="zh-CN"/>
        </w:rPr>
        <w:t xml:space="preserve"> prestó especial atención a</w:t>
      </w:r>
      <w:r w:rsidRPr="003E6986">
        <w:rPr>
          <w:rFonts w:asciiTheme="minorHAnsi" w:hAnsiTheme="minorHAnsi" w:cstheme="minorHAnsi"/>
          <w:lang w:val="es-ES_tradnl" w:eastAsia="zh-CN"/>
        </w:rPr>
        <w:t xml:space="preserve"> </w:t>
      </w:r>
      <w:r w:rsidR="00BC5546" w:rsidRPr="003E6986">
        <w:rPr>
          <w:rFonts w:asciiTheme="minorHAnsi" w:hAnsiTheme="minorHAnsi" w:cstheme="minorHAnsi"/>
          <w:lang w:val="es-ES_tradnl" w:eastAsia="zh-CN"/>
        </w:rPr>
        <w:t>una serie de</w:t>
      </w:r>
      <w:r w:rsidRPr="003E6986">
        <w:rPr>
          <w:rFonts w:asciiTheme="minorHAnsi" w:hAnsiTheme="minorHAnsi" w:cstheme="minorHAnsi"/>
          <w:lang w:val="es-ES_tradnl" w:eastAsia="zh-CN"/>
        </w:rPr>
        <w:t xml:space="preserve"> disposiciones específicas</w:t>
      </w:r>
      <w:r w:rsidR="00BC5546" w:rsidRPr="003E6986">
        <w:rPr>
          <w:rFonts w:asciiTheme="minorHAnsi" w:hAnsiTheme="minorHAnsi" w:cstheme="minorHAnsi"/>
          <w:lang w:val="es-ES_tradnl" w:eastAsia="zh-CN"/>
        </w:rPr>
        <w:t xml:space="preserve"> sobre</w:t>
      </w:r>
      <w:r w:rsidRPr="003E6986">
        <w:rPr>
          <w:rFonts w:asciiTheme="minorHAnsi" w:hAnsiTheme="minorHAnsi" w:cstheme="minorHAnsi"/>
          <w:lang w:val="es-ES_tradnl" w:eastAsia="zh-CN"/>
        </w:rPr>
        <w:t xml:space="preserve"> la adopción de estudios y proyectos de productos relacionados con la</w:t>
      </w:r>
      <w:r w:rsidR="00BC5546" w:rsidRPr="003E6986">
        <w:rPr>
          <w:rFonts w:asciiTheme="minorHAnsi" w:hAnsiTheme="minorHAnsi" w:cstheme="minorHAnsi"/>
          <w:lang w:val="es-ES_tradnl" w:eastAsia="zh-CN"/>
        </w:rPr>
        <w:t xml:space="preserve"> </w:t>
      </w:r>
      <w:r w:rsidRPr="003E6986">
        <w:rPr>
          <w:rFonts w:asciiTheme="minorHAnsi" w:hAnsiTheme="minorHAnsi" w:cstheme="minorHAnsi"/>
          <w:lang w:val="es-ES_tradnl" w:eastAsia="zh-CN"/>
        </w:rPr>
        <w:t>conferencia.</w:t>
      </w:r>
    </w:p>
    <w:p w14:paraId="217A0ECC" w14:textId="398856D9" w:rsidR="00B842F9" w:rsidRPr="003E6986" w:rsidRDefault="00E51DF7" w:rsidP="003E6986">
      <w:pPr>
        <w:rPr>
          <w:rFonts w:asciiTheme="minorHAnsi" w:hAnsiTheme="minorHAnsi" w:cstheme="minorHAnsi"/>
          <w:lang w:val="es-ES_tradnl" w:eastAsia="zh-CN"/>
        </w:rPr>
      </w:pPr>
      <w:r w:rsidRPr="003E6986">
        <w:rPr>
          <w:rFonts w:asciiTheme="minorHAnsi" w:hAnsiTheme="minorHAnsi" w:cstheme="minorHAnsi"/>
          <w:lang w:val="es-ES_tradnl" w:eastAsia="zh-CN"/>
        </w:rPr>
        <w:t xml:space="preserve">El Presidente también presentó las enmiendas y modificaciones de la RPC aprobadas </w:t>
      </w:r>
      <w:r w:rsidR="00BC5546" w:rsidRPr="003E6986">
        <w:rPr>
          <w:rFonts w:asciiTheme="minorHAnsi" w:hAnsiTheme="minorHAnsi" w:cstheme="minorHAnsi"/>
          <w:lang w:val="es-ES_tradnl" w:eastAsia="zh-CN"/>
        </w:rPr>
        <w:t>por</w:t>
      </w:r>
      <w:r w:rsidRPr="003E6986">
        <w:rPr>
          <w:rFonts w:asciiTheme="minorHAnsi" w:hAnsiTheme="minorHAnsi" w:cstheme="minorHAnsi"/>
          <w:lang w:val="es-ES_tradnl" w:eastAsia="zh-CN"/>
        </w:rPr>
        <w:t xml:space="preserve"> la AR-23, que </w:t>
      </w:r>
      <w:r w:rsidR="00BC5546" w:rsidRPr="003E6986">
        <w:rPr>
          <w:rFonts w:asciiTheme="minorHAnsi" w:hAnsiTheme="minorHAnsi" w:cstheme="minorHAnsi"/>
          <w:lang w:val="es-ES_tradnl" w:eastAsia="zh-CN"/>
        </w:rPr>
        <w:t>figuraban</w:t>
      </w:r>
      <w:r w:rsidRPr="003E6986">
        <w:rPr>
          <w:rFonts w:asciiTheme="minorHAnsi" w:hAnsiTheme="minorHAnsi" w:cstheme="minorHAnsi"/>
          <w:lang w:val="es-ES_tradnl" w:eastAsia="zh-CN"/>
        </w:rPr>
        <w:t xml:space="preserve"> en la Resolución UIT-R 2-9, e informó sobre</w:t>
      </w:r>
      <w:r w:rsidR="00BC5546" w:rsidRPr="003E6986">
        <w:rPr>
          <w:rFonts w:asciiTheme="minorHAnsi" w:hAnsiTheme="minorHAnsi" w:cstheme="minorHAnsi"/>
          <w:lang w:val="es-ES_tradnl" w:eastAsia="zh-CN"/>
        </w:rPr>
        <w:t xml:space="preserve"> los debates relativos al proceso de la </w:t>
      </w:r>
      <w:r w:rsidRPr="003E6986">
        <w:rPr>
          <w:rFonts w:asciiTheme="minorHAnsi" w:hAnsiTheme="minorHAnsi" w:cstheme="minorHAnsi"/>
          <w:lang w:val="es-ES_tradnl" w:eastAsia="zh-CN"/>
        </w:rPr>
        <w:t>RPC</w:t>
      </w:r>
      <w:r w:rsidR="00BC5546" w:rsidRPr="003E6986">
        <w:rPr>
          <w:rFonts w:asciiTheme="minorHAnsi" w:hAnsiTheme="minorHAnsi" w:cstheme="minorHAnsi"/>
          <w:lang w:val="es-ES_tradnl" w:eastAsia="zh-CN"/>
        </w:rPr>
        <w:t xml:space="preserve"> que se habían </w:t>
      </w:r>
      <w:r w:rsidR="00BC5546" w:rsidRPr="003E6986">
        <w:rPr>
          <w:lang w:val="es-ES_tradnl"/>
        </w:rPr>
        <w:t>entablado</w:t>
      </w:r>
      <w:r w:rsidR="0030443D">
        <w:rPr>
          <w:rFonts w:asciiTheme="minorHAnsi" w:hAnsiTheme="minorHAnsi" w:cstheme="minorHAnsi"/>
          <w:lang w:val="es-ES_tradnl" w:eastAsia="zh-CN"/>
        </w:rPr>
        <w:t xml:space="preserve"> en la AR-23.</w:t>
      </w:r>
    </w:p>
    <w:p w14:paraId="62965BE2" w14:textId="608280FF" w:rsidR="00B842F9" w:rsidRPr="003E6986" w:rsidRDefault="00E51DF7" w:rsidP="003E6986">
      <w:pPr>
        <w:rPr>
          <w:rFonts w:asciiTheme="minorHAnsi" w:hAnsiTheme="minorHAnsi" w:cstheme="minorHAnsi"/>
          <w:lang w:val="es-ES_tradnl" w:eastAsia="zh-CN"/>
        </w:rPr>
      </w:pPr>
      <w:r w:rsidRPr="003E6986">
        <w:rPr>
          <w:rFonts w:asciiTheme="minorHAnsi" w:hAnsiTheme="minorHAnsi" w:cstheme="minorHAnsi"/>
          <w:lang w:val="es-ES_tradnl" w:eastAsia="zh-CN"/>
        </w:rPr>
        <w:t xml:space="preserve">La reunión tomó </w:t>
      </w:r>
      <w:r w:rsidRPr="003E6986">
        <w:rPr>
          <w:lang w:val="es-ES_tradnl"/>
        </w:rPr>
        <w:t>nota</w:t>
      </w:r>
      <w:r w:rsidRPr="003E6986">
        <w:rPr>
          <w:rFonts w:asciiTheme="minorHAnsi" w:hAnsiTheme="minorHAnsi" w:cstheme="minorHAnsi"/>
          <w:lang w:val="es-ES_tradnl" w:eastAsia="zh-CN"/>
        </w:rPr>
        <w:t xml:space="preserve"> de esa información, así como de la estructura de las </w:t>
      </w:r>
      <w:r w:rsidR="00BC5546" w:rsidRPr="003E6986">
        <w:rPr>
          <w:rFonts w:asciiTheme="minorHAnsi" w:hAnsiTheme="minorHAnsi" w:cstheme="minorHAnsi"/>
          <w:lang w:val="es-ES_tradnl" w:eastAsia="zh-CN"/>
        </w:rPr>
        <w:t>CE</w:t>
      </w:r>
      <w:r w:rsidRPr="003E6986">
        <w:rPr>
          <w:rFonts w:asciiTheme="minorHAnsi" w:hAnsiTheme="minorHAnsi" w:cstheme="minorHAnsi"/>
          <w:lang w:val="es-ES_tradnl" w:eastAsia="zh-CN"/>
        </w:rPr>
        <w:t xml:space="preserve"> del UIT-R aprobada </w:t>
      </w:r>
      <w:r w:rsidR="00BC5546" w:rsidRPr="003E6986">
        <w:rPr>
          <w:rFonts w:asciiTheme="minorHAnsi" w:hAnsiTheme="minorHAnsi" w:cstheme="minorHAnsi"/>
          <w:lang w:val="es-ES_tradnl" w:eastAsia="zh-CN"/>
        </w:rPr>
        <w:t>por</w:t>
      </w:r>
      <w:r w:rsidRPr="003E6986">
        <w:rPr>
          <w:rFonts w:asciiTheme="minorHAnsi" w:hAnsiTheme="minorHAnsi" w:cstheme="minorHAnsi"/>
          <w:lang w:val="es-ES_tradnl" w:eastAsia="zh-CN"/>
        </w:rPr>
        <w:t xml:space="preserve"> la AR-23 (véase el Doc</w:t>
      </w:r>
      <w:r w:rsidR="00BC5546" w:rsidRPr="003E6986">
        <w:rPr>
          <w:rFonts w:asciiTheme="minorHAnsi" w:hAnsiTheme="minorHAnsi" w:cstheme="minorHAnsi"/>
          <w:lang w:val="es-ES_tradnl" w:eastAsia="zh-CN"/>
        </w:rPr>
        <w:t>umento</w:t>
      </w:r>
      <w:r w:rsidR="00B842F9" w:rsidRPr="003E6986">
        <w:rPr>
          <w:rFonts w:asciiTheme="minorHAnsi" w:hAnsiTheme="minorHAnsi" w:cstheme="minorHAnsi"/>
          <w:lang w:val="es-ES_tradnl" w:eastAsia="zh-CN"/>
        </w:rPr>
        <w:t> </w:t>
      </w:r>
      <w:proofErr w:type="spellStart"/>
      <w:r w:rsidR="00E33D09">
        <w:fldChar w:fldCharType="begin"/>
      </w:r>
      <w:r w:rsidR="00E33D09" w:rsidRPr="008653C7">
        <w:rPr>
          <w:lang w:val="es-ES"/>
        </w:rPr>
        <w:instrText>HYPERLINK "https://www.itu.int/md/R23-CPM27.1-C-0001/es"</w:instrText>
      </w:r>
      <w:r w:rsidR="00E33D09">
        <w:fldChar w:fldCharType="separate"/>
      </w:r>
      <w:r w:rsidR="00B842F9" w:rsidRPr="003E6986">
        <w:rPr>
          <w:rStyle w:val="Hyperlink"/>
          <w:rFonts w:asciiTheme="minorHAnsi" w:hAnsiTheme="minorHAnsi" w:cstheme="minorHAnsi"/>
          <w:lang w:val="es-ES_tradnl" w:eastAsia="zh-CN"/>
        </w:rPr>
        <w:t>CPM27</w:t>
      </w:r>
      <w:proofErr w:type="spellEnd"/>
      <w:r w:rsidR="00B842F9" w:rsidRPr="003E6986">
        <w:rPr>
          <w:rStyle w:val="Hyperlink"/>
          <w:rFonts w:asciiTheme="minorHAnsi" w:hAnsiTheme="minorHAnsi" w:cstheme="minorHAnsi"/>
          <w:lang w:val="es-ES_tradnl" w:eastAsia="zh-CN"/>
        </w:rPr>
        <w:t>-1/1</w:t>
      </w:r>
      <w:r w:rsidR="00E33D09">
        <w:rPr>
          <w:rStyle w:val="Hyperlink"/>
          <w:rFonts w:asciiTheme="minorHAnsi" w:hAnsiTheme="minorHAnsi" w:cstheme="minorHAnsi"/>
          <w:lang w:val="es-ES_tradnl" w:eastAsia="zh-CN"/>
        </w:rPr>
        <w:fldChar w:fldCharType="end"/>
      </w:r>
      <w:r w:rsidR="00B842F9" w:rsidRPr="003E6986">
        <w:rPr>
          <w:rFonts w:asciiTheme="minorHAnsi" w:hAnsiTheme="minorHAnsi" w:cstheme="minorHAnsi"/>
          <w:lang w:val="es-ES_tradnl" w:eastAsia="zh-CN"/>
        </w:rPr>
        <w:t>).</w:t>
      </w:r>
    </w:p>
    <w:p w14:paraId="3D4FDAA6" w14:textId="26DF5ABE" w:rsidR="00B842F9" w:rsidRPr="003E6986" w:rsidRDefault="00E51DF7" w:rsidP="003E6986">
      <w:pPr>
        <w:rPr>
          <w:rFonts w:asciiTheme="minorHAnsi" w:hAnsiTheme="minorHAnsi" w:cstheme="minorHAnsi"/>
          <w:lang w:val="es-ES_tradnl" w:eastAsia="zh-CN"/>
        </w:rPr>
      </w:pPr>
      <w:r w:rsidRPr="003E6986">
        <w:rPr>
          <w:rFonts w:asciiTheme="minorHAnsi" w:hAnsiTheme="minorHAnsi" w:cstheme="minorHAnsi"/>
          <w:lang w:val="es-ES_tradnl" w:eastAsia="zh-CN"/>
        </w:rPr>
        <w:t xml:space="preserve">El Presidente </w:t>
      </w:r>
      <w:r w:rsidRPr="003E6986">
        <w:rPr>
          <w:lang w:val="es-ES_tradnl"/>
        </w:rPr>
        <w:t>también</w:t>
      </w:r>
      <w:r w:rsidRPr="003E6986">
        <w:rPr>
          <w:rFonts w:asciiTheme="minorHAnsi" w:hAnsiTheme="minorHAnsi" w:cstheme="minorHAnsi"/>
          <w:lang w:val="es-ES_tradnl" w:eastAsia="zh-CN"/>
        </w:rPr>
        <w:t xml:space="preserve"> presentó la lista </w:t>
      </w:r>
      <w:r w:rsidR="00BC5546" w:rsidRPr="003E6986">
        <w:rPr>
          <w:rFonts w:asciiTheme="minorHAnsi" w:hAnsiTheme="minorHAnsi" w:cstheme="minorHAnsi"/>
          <w:lang w:val="es-ES_tradnl" w:eastAsia="zh-CN"/>
        </w:rPr>
        <w:t>de Vicepresidentes propuestos por</w:t>
      </w:r>
      <w:r w:rsidRPr="003E6986">
        <w:rPr>
          <w:rFonts w:asciiTheme="minorHAnsi" w:hAnsiTheme="minorHAnsi" w:cstheme="minorHAnsi"/>
          <w:lang w:val="es-ES_tradnl" w:eastAsia="zh-CN"/>
        </w:rPr>
        <w:t xml:space="preserve"> la AR-23 </w:t>
      </w:r>
      <w:r w:rsidR="00BC5546" w:rsidRPr="003E6986">
        <w:rPr>
          <w:rFonts w:asciiTheme="minorHAnsi" w:hAnsiTheme="minorHAnsi" w:cstheme="minorHAnsi"/>
          <w:lang w:val="es-ES_tradnl" w:eastAsia="zh-CN"/>
        </w:rPr>
        <w:t xml:space="preserve">para la RPC-27 </w:t>
      </w:r>
      <w:r w:rsidRPr="003E6986">
        <w:rPr>
          <w:rFonts w:asciiTheme="minorHAnsi" w:hAnsiTheme="minorHAnsi" w:cstheme="minorHAnsi"/>
          <w:lang w:val="es-ES_tradnl" w:eastAsia="zh-CN"/>
        </w:rPr>
        <w:t>(</w:t>
      </w:r>
      <w:r w:rsidR="00BC5546" w:rsidRPr="003E6986">
        <w:rPr>
          <w:rFonts w:asciiTheme="minorHAnsi" w:hAnsiTheme="minorHAnsi" w:cstheme="minorHAnsi"/>
          <w:lang w:val="es-ES_tradnl" w:eastAsia="zh-CN"/>
        </w:rPr>
        <w:t>véase el Documento </w:t>
      </w:r>
      <w:r w:rsidRPr="003E6986">
        <w:rPr>
          <w:rFonts w:asciiTheme="minorHAnsi" w:hAnsiTheme="minorHAnsi" w:cstheme="minorHAnsi"/>
          <w:lang w:val="es-ES_tradnl" w:eastAsia="zh-CN"/>
        </w:rPr>
        <w:t>RPC27</w:t>
      </w:r>
      <w:r w:rsidR="006A27E9" w:rsidRPr="003E6986">
        <w:rPr>
          <w:rFonts w:asciiTheme="minorHAnsi" w:hAnsiTheme="minorHAnsi" w:cstheme="minorHAnsi"/>
          <w:lang w:val="es-ES_tradnl" w:eastAsia="zh-CN"/>
        </w:rPr>
        <w:t>-</w:t>
      </w:r>
      <w:r w:rsidRPr="003E6986">
        <w:rPr>
          <w:rFonts w:asciiTheme="minorHAnsi" w:hAnsiTheme="minorHAnsi" w:cstheme="minorHAnsi"/>
          <w:lang w:val="es-ES_tradnl" w:eastAsia="zh-CN"/>
        </w:rPr>
        <w:t>1/2). Tras</w:t>
      </w:r>
      <w:r w:rsidR="00BC5546" w:rsidRPr="003E6986">
        <w:rPr>
          <w:rFonts w:asciiTheme="minorHAnsi" w:hAnsiTheme="minorHAnsi" w:cstheme="minorHAnsi"/>
          <w:lang w:val="es-ES_tradnl" w:eastAsia="zh-CN"/>
        </w:rPr>
        <w:t xml:space="preserve"> arduas deliberaciones iniciales, </w:t>
      </w:r>
      <w:r w:rsidRPr="003E6986">
        <w:rPr>
          <w:rFonts w:asciiTheme="minorHAnsi" w:hAnsiTheme="minorHAnsi" w:cstheme="minorHAnsi"/>
          <w:lang w:val="es-ES_tradnl" w:eastAsia="zh-CN"/>
        </w:rPr>
        <w:t>no se pudo alcanzar un consenso inmediato</w:t>
      </w:r>
      <w:r w:rsidR="00BC5546" w:rsidRPr="003E6986">
        <w:rPr>
          <w:rFonts w:asciiTheme="minorHAnsi" w:hAnsiTheme="minorHAnsi" w:cstheme="minorHAnsi"/>
          <w:lang w:val="es-ES_tradnl" w:eastAsia="zh-CN"/>
        </w:rPr>
        <w:t xml:space="preserve"> al respecto</w:t>
      </w:r>
      <w:r w:rsidRPr="003E6986">
        <w:rPr>
          <w:rFonts w:asciiTheme="minorHAnsi" w:hAnsiTheme="minorHAnsi" w:cstheme="minorHAnsi"/>
          <w:lang w:val="es-ES_tradnl" w:eastAsia="zh-CN"/>
        </w:rPr>
        <w:t xml:space="preserve">. </w:t>
      </w:r>
      <w:r w:rsidR="00BC5546" w:rsidRPr="003E6986">
        <w:rPr>
          <w:rFonts w:asciiTheme="minorHAnsi" w:hAnsiTheme="minorHAnsi" w:cstheme="minorHAnsi"/>
          <w:lang w:val="es-ES_tradnl" w:eastAsia="zh-CN"/>
        </w:rPr>
        <w:t>Por tanto, s</w:t>
      </w:r>
      <w:r w:rsidRPr="003E6986">
        <w:rPr>
          <w:rFonts w:asciiTheme="minorHAnsi" w:hAnsiTheme="minorHAnsi" w:cstheme="minorHAnsi"/>
          <w:lang w:val="es-ES_tradnl" w:eastAsia="zh-CN"/>
        </w:rPr>
        <w:t xml:space="preserve">e </w:t>
      </w:r>
      <w:r w:rsidR="00BC5546" w:rsidRPr="003E6986">
        <w:rPr>
          <w:rFonts w:asciiTheme="minorHAnsi" w:hAnsiTheme="minorHAnsi" w:cstheme="minorHAnsi"/>
          <w:lang w:val="es-ES_tradnl" w:eastAsia="zh-CN"/>
        </w:rPr>
        <w:t>optó por celebrar unas</w:t>
      </w:r>
      <w:r w:rsidRPr="003E6986">
        <w:rPr>
          <w:rFonts w:asciiTheme="minorHAnsi" w:hAnsiTheme="minorHAnsi" w:cstheme="minorHAnsi"/>
          <w:lang w:val="es-ES_tradnl" w:eastAsia="zh-CN"/>
        </w:rPr>
        <w:t xml:space="preserve"> consultas informales</w:t>
      </w:r>
      <w:r w:rsidR="00BC5546" w:rsidRPr="003E6986">
        <w:rPr>
          <w:rFonts w:asciiTheme="minorHAnsi" w:hAnsiTheme="minorHAnsi" w:cstheme="minorHAnsi"/>
          <w:lang w:val="es-ES_tradnl" w:eastAsia="zh-CN"/>
        </w:rPr>
        <w:t xml:space="preserve"> bajo la dirección</w:t>
      </w:r>
      <w:r w:rsidRPr="003E6986">
        <w:rPr>
          <w:rFonts w:asciiTheme="minorHAnsi" w:hAnsiTheme="minorHAnsi" w:cstheme="minorHAnsi"/>
          <w:lang w:val="es-ES_tradnl" w:eastAsia="zh-CN"/>
        </w:rPr>
        <w:t xml:space="preserve"> </w:t>
      </w:r>
      <w:r w:rsidR="00BC5546" w:rsidRPr="003E6986">
        <w:rPr>
          <w:rFonts w:asciiTheme="minorHAnsi" w:hAnsiTheme="minorHAnsi" w:cstheme="minorHAnsi"/>
          <w:lang w:val="es-ES_tradnl" w:eastAsia="zh-CN"/>
        </w:rPr>
        <w:t>d</w:t>
      </w:r>
      <w:r w:rsidRPr="003E6986">
        <w:rPr>
          <w:rFonts w:asciiTheme="minorHAnsi" w:hAnsiTheme="minorHAnsi" w:cstheme="minorHAnsi"/>
          <w:lang w:val="es-ES_tradnl" w:eastAsia="zh-CN"/>
        </w:rPr>
        <w:t>el Director de la BR para encontrar una solución</w:t>
      </w:r>
      <w:r w:rsidR="0030443D">
        <w:rPr>
          <w:rFonts w:asciiTheme="minorHAnsi" w:hAnsiTheme="minorHAnsi" w:cstheme="minorHAnsi"/>
          <w:lang w:val="es-ES_tradnl" w:eastAsia="zh-CN"/>
        </w:rPr>
        <w:t>.</w:t>
      </w:r>
    </w:p>
    <w:p w14:paraId="7BE327CF" w14:textId="622BB1A6" w:rsidR="00E51DF7" w:rsidRPr="003E6986" w:rsidRDefault="00E51DF7" w:rsidP="003E6986">
      <w:pPr>
        <w:rPr>
          <w:rFonts w:asciiTheme="minorHAnsi" w:hAnsiTheme="minorHAnsi" w:cstheme="minorHAnsi"/>
          <w:lang w:val="es-ES_tradnl" w:eastAsia="zh-CN"/>
        </w:rPr>
      </w:pPr>
      <w:r w:rsidRPr="003E6986">
        <w:rPr>
          <w:rFonts w:asciiTheme="minorHAnsi" w:hAnsiTheme="minorHAnsi" w:cstheme="minorHAnsi"/>
          <w:lang w:val="es-ES_tradnl" w:eastAsia="zh-CN"/>
        </w:rPr>
        <w:t>El 19 de diciembre, el Director informó de una modificación de la lista (</w:t>
      </w:r>
      <w:r w:rsidR="00BC5546" w:rsidRPr="003E6986">
        <w:rPr>
          <w:rFonts w:asciiTheme="minorHAnsi" w:hAnsiTheme="minorHAnsi" w:cstheme="minorHAnsi"/>
          <w:lang w:val="es-ES_tradnl" w:eastAsia="zh-CN"/>
        </w:rPr>
        <w:t xml:space="preserve">véase el Documento </w:t>
      </w:r>
      <w:hyperlink r:id="rId15" w:history="1">
        <w:proofErr w:type="spellStart"/>
        <w:r w:rsidR="00BC5546" w:rsidRPr="003E6986">
          <w:rPr>
            <w:rStyle w:val="Hyperlink"/>
            <w:rFonts w:asciiTheme="minorHAnsi" w:hAnsiTheme="minorHAnsi" w:cstheme="minorHAnsi"/>
            <w:lang w:val="es-ES_tradnl" w:eastAsia="zh-CN"/>
          </w:rPr>
          <w:t>CPM27</w:t>
        </w:r>
        <w:proofErr w:type="spellEnd"/>
        <w:r w:rsidR="00BC5546" w:rsidRPr="003E6986">
          <w:rPr>
            <w:rStyle w:val="Hyperlink"/>
            <w:rFonts w:asciiTheme="minorHAnsi" w:hAnsiTheme="minorHAnsi" w:cstheme="minorHAnsi"/>
            <w:lang w:val="es-ES_tradnl" w:eastAsia="zh-CN"/>
          </w:rPr>
          <w:noBreakHyphen/>
          <w:t>1/2(</w:t>
        </w:r>
        <w:proofErr w:type="spellStart"/>
        <w:r w:rsidR="00BC5546" w:rsidRPr="003E6986">
          <w:rPr>
            <w:rStyle w:val="Hyperlink"/>
            <w:rFonts w:asciiTheme="minorHAnsi" w:hAnsiTheme="minorHAnsi" w:cstheme="minorHAnsi"/>
            <w:lang w:val="es-ES_tradnl" w:eastAsia="zh-CN"/>
          </w:rPr>
          <w:t>Rev.1</w:t>
        </w:r>
        <w:proofErr w:type="spellEnd"/>
        <w:r w:rsidR="00BC5546" w:rsidRPr="003E6986">
          <w:rPr>
            <w:rStyle w:val="Hyperlink"/>
            <w:rFonts w:asciiTheme="minorHAnsi" w:hAnsiTheme="minorHAnsi" w:cstheme="minorHAnsi"/>
            <w:lang w:val="es-ES_tradnl" w:eastAsia="zh-CN"/>
          </w:rPr>
          <w:t>)</w:t>
        </w:r>
      </w:hyperlink>
      <w:r w:rsidRPr="003E6986">
        <w:rPr>
          <w:rFonts w:asciiTheme="minorHAnsi" w:hAnsiTheme="minorHAnsi" w:cstheme="minorHAnsi"/>
          <w:lang w:val="es-ES_tradnl" w:eastAsia="zh-CN"/>
        </w:rPr>
        <w:t xml:space="preserve">), que la </w:t>
      </w:r>
      <w:r w:rsidRPr="003E6986">
        <w:rPr>
          <w:lang w:val="es-ES_tradnl"/>
        </w:rPr>
        <w:t>reunión</w:t>
      </w:r>
      <w:r w:rsidR="0030443D">
        <w:rPr>
          <w:rFonts w:asciiTheme="minorHAnsi" w:hAnsiTheme="minorHAnsi" w:cstheme="minorHAnsi"/>
          <w:lang w:val="es-ES_tradnl" w:eastAsia="zh-CN"/>
        </w:rPr>
        <w:t xml:space="preserve"> aprobó por consenso.</w:t>
      </w:r>
    </w:p>
    <w:p w14:paraId="4C7D7657" w14:textId="68BE1C5E" w:rsidR="00B842F9" w:rsidRPr="003E6986" w:rsidRDefault="00E51DF7" w:rsidP="003E6986">
      <w:pPr>
        <w:rPr>
          <w:rFonts w:asciiTheme="minorHAnsi" w:hAnsiTheme="minorHAnsi" w:cstheme="minorHAnsi"/>
          <w:lang w:val="es-ES_tradnl" w:eastAsia="zh-CN"/>
        </w:rPr>
      </w:pPr>
      <w:r w:rsidRPr="003E6986">
        <w:rPr>
          <w:rFonts w:asciiTheme="minorHAnsi" w:hAnsiTheme="minorHAnsi" w:cstheme="minorHAnsi"/>
          <w:lang w:val="es-ES_tradnl" w:eastAsia="zh-CN"/>
        </w:rPr>
        <w:t xml:space="preserve">El Presidente dio las </w:t>
      </w:r>
      <w:r w:rsidRPr="003E6986">
        <w:rPr>
          <w:lang w:val="es-ES_tradnl"/>
        </w:rPr>
        <w:t>gracias</w:t>
      </w:r>
      <w:r w:rsidRPr="003E6986">
        <w:rPr>
          <w:rFonts w:asciiTheme="minorHAnsi" w:hAnsiTheme="minorHAnsi" w:cstheme="minorHAnsi"/>
          <w:lang w:val="es-ES_tradnl" w:eastAsia="zh-CN"/>
        </w:rPr>
        <w:t xml:space="preserve"> al Director y a todos los miembros </w:t>
      </w:r>
      <w:r w:rsidR="00BC5546" w:rsidRPr="003E6986">
        <w:rPr>
          <w:rFonts w:asciiTheme="minorHAnsi" w:hAnsiTheme="minorHAnsi" w:cstheme="minorHAnsi"/>
          <w:lang w:val="es-ES_tradnl" w:eastAsia="zh-CN"/>
        </w:rPr>
        <w:t>participantes</w:t>
      </w:r>
      <w:r w:rsidRPr="003E6986">
        <w:rPr>
          <w:rFonts w:asciiTheme="minorHAnsi" w:hAnsiTheme="minorHAnsi" w:cstheme="minorHAnsi"/>
          <w:lang w:val="es-ES_tradnl" w:eastAsia="zh-CN"/>
        </w:rPr>
        <w:t xml:space="preserve"> por su espíritu de compromiso y felicitó a los Vicepresidentes de la RPC-27 </w:t>
      </w:r>
      <w:r w:rsidR="00BC5546" w:rsidRPr="003E6986">
        <w:rPr>
          <w:rFonts w:asciiTheme="minorHAnsi" w:hAnsiTheme="minorHAnsi" w:cstheme="minorHAnsi"/>
          <w:lang w:val="es-ES_tradnl" w:eastAsia="zh-CN"/>
        </w:rPr>
        <w:t>nombrados</w:t>
      </w:r>
      <w:r w:rsidR="00B842F9" w:rsidRPr="003E6986">
        <w:rPr>
          <w:rFonts w:asciiTheme="minorHAnsi" w:hAnsiTheme="minorHAnsi" w:cstheme="minorHAnsi"/>
          <w:lang w:val="es-ES_tradnl" w:eastAsia="zh-CN"/>
        </w:rPr>
        <w:t>.</w:t>
      </w:r>
    </w:p>
    <w:p w14:paraId="0431CBA4" w14:textId="3F6150AD" w:rsidR="00B842F9" w:rsidRPr="003E6986" w:rsidRDefault="00B842F9" w:rsidP="00B842F9">
      <w:pPr>
        <w:pStyle w:val="Heading2"/>
        <w:spacing w:before="160"/>
        <w:rPr>
          <w:rFonts w:asciiTheme="minorHAnsi" w:hAnsiTheme="minorHAnsi" w:cstheme="minorHAnsi"/>
          <w:lang w:val="es-ES_tradnl" w:eastAsia="zh-CN"/>
        </w:rPr>
      </w:pPr>
      <w:r w:rsidRPr="003E6986">
        <w:rPr>
          <w:rFonts w:asciiTheme="minorHAnsi" w:hAnsiTheme="minorHAnsi" w:cstheme="minorHAnsi"/>
          <w:lang w:val="es-ES_tradnl" w:eastAsia="zh-CN"/>
        </w:rPr>
        <w:lastRenderedPageBreak/>
        <w:t>2.2</w:t>
      </w:r>
      <w:r w:rsidRPr="003E6986">
        <w:rPr>
          <w:rFonts w:asciiTheme="minorHAnsi" w:hAnsiTheme="minorHAnsi" w:cstheme="minorHAnsi"/>
          <w:lang w:val="es-ES_tradnl" w:eastAsia="zh-CN"/>
        </w:rPr>
        <w:tab/>
      </w:r>
      <w:r w:rsidR="00E51DF7" w:rsidRPr="003E6986">
        <w:rPr>
          <w:rFonts w:asciiTheme="minorHAnsi" w:hAnsiTheme="minorHAnsi" w:cstheme="minorHAnsi"/>
          <w:lang w:val="es-ES_tradnl" w:eastAsia="zh-CN"/>
        </w:rPr>
        <w:t>De la CMR-23</w:t>
      </w:r>
    </w:p>
    <w:p w14:paraId="055DF280" w14:textId="224F516B" w:rsidR="00B842F9" w:rsidRPr="003E6986" w:rsidRDefault="00E51DF7" w:rsidP="003E6986">
      <w:pPr>
        <w:rPr>
          <w:rFonts w:asciiTheme="minorHAnsi" w:hAnsiTheme="minorHAnsi" w:cstheme="minorHAnsi"/>
          <w:szCs w:val="24"/>
          <w:lang w:val="es-ES_tradnl"/>
        </w:rPr>
      </w:pPr>
      <w:r w:rsidRPr="003E6986">
        <w:rPr>
          <w:rFonts w:asciiTheme="minorHAnsi" w:hAnsiTheme="minorHAnsi" w:cstheme="minorHAnsi"/>
          <w:szCs w:val="24"/>
          <w:u w:val="single"/>
          <w:lang w:val="es-ES_tradnl"/>
        </w:rPr>
        <w:t>Contribuciones</w:t>
      </w:r>
      <w:r w:rsidR="00B842F9" w:rsidRPr="003E6986">
        <w:rPr>
          <w:rFonts w:asciiTheme="minorHAnsi" w:hAnsiTheme="minorHAnsi" w:cstheme="minorHAnsi"/>
          <w:szCs w:val="24"/>
          <w:lang w:val="es-ES_tradnl"/>
        </w:rPr>
        <w:t xml:space="preserve">: </w:t>
      </w:r>
      <w:r w:rsidRPr="003E6986">
        <w:rPr>
          <w:lang w:val="es-ES_tradnl"/>
        </w:rPr>
        <w:t>Resolución</w:t>
      </w:r>
      <w:r w:rsidRPr="003E6986">
        <w:rPr>
          <w:rFonts w:asciiTheme="minorHAnsi" w:hAnsiTheme="minorHAnsi" w:cstheme="minorHAnsi"/>
          <w:szCs w:val="24"/>
          <w:lang w:val="es-ES_tradnl"/>
        </w:rPr>
        <w:t xml:space="preserve"> </w:t>
      </w:r>
      <w:hyperlink r:id="rId16" w:history="1">
        <w:hyperlink r:id="rId17" w:history="1">
          <w:r w:rsidR="00B842F9" w:rsidRPr="003E6986">
            <w:rPr>
              <w:rStyle w:val="Hyperlink"/>
              <w:rFonts w:asciiTheme="minorHAnsi" w:hAnsiTheme="minorHAnsi" w:cstheme="minorHAnsi"/>
              <w:b/>
              <w:bCs/>
              <w:szCs w:val="24"/>
              <w:lang w:val="es-ES_tradnl"/>
            </w:rPr>
            <w:t>COM6/23 (</w:t>
          </w:r>
          <w:r w:rsidRPr="003E6986">
            <w:rPr>
              <w:rStyle w:val="Hyperlink"/>
              <w:rFonts w:asciiTheme="minorHAnsi" w:hAnsiTheme="minorHAnsi" w:cstheme="minorHAnsi"/>
              <w:b/>
              <w:bCs/>
              <w:szCs w:val="24"/>
              <w:lang w:val="es-ES_tradnl"/>
            </w:rPr>
            <w:t>CMR</w:t>
          </w:r>
          <w:r w:rsidR="00B842F9" w:rsidRPr="003E6986">
            <w:rPr>
              <w:rStyle w:val="Hyperlink"/>
              <w:rFonts w:asciiTheme="minorHAnsi" w:hAnsiTheme="minorHAnsi" w:cstheme="minorHAnsi"/>
              <w:b/>
              <w:bCs/>
              <w:szCs w:val="24"/>
              <w:lang w:val="es-ES_tradnl"/>
            </w:rPr>
            <w:t>-23)</w:t>
          </w:r>
        </w:hyperlink>
        <w:r w:rsidR="00B842F9" w:rsidRPr="003E6986">
          <w:rPr>
            <w:rStyle w:val="FootnoteReference"/>
            <w:rFonts w:asciiTheme="minorHAnsi" w:hAnsiTheme="minorHAnsi" w:cstheme="minorHAnsi"/>
            <w:szCs w:val="24"/>
            <w:lang w:val="es-ES_tradnl"/>
          </w:rPr>
          <w:footnoteReference w:customMarkFollows="1" w:id="8"/>
          <w:sym w:font="Symbol" w:char="F02A"/>
        </w:r>
        <w:r w:rsidR="00B842F9" w:rsidRPr="003E6986">
          <w:rPr>
            <w:rStyle w:val="Hyperlink"/>
            <w:rFonts w:asciiTheme="minorHAnsi" w:hAnsiTheme="minorHAnsi" w:cstheme="minorHAnsi"/>
            <w:szCs w:val="24"/>
            <w:lang w:val="es-ES_tradnl"/>
          </w:rPr>
          <w:t xml:space="preserve">, </w:t>
        </w:r>
        <w:r w:rsidRPr="003E6986">
          <w:rPr>
            <w:rStyle w:val="Hyperlink"/>
            <w:rFonts w:asciiTheme="minorHAnsi" w:hAnsiTheme="minorHAnsi" w:cstheme="minorHAnsi"/>
            <w:szCs w:val="24"/>
            <w:lang w:val="es-ES_tradnl"/>
          </w:rPr>
          <w:t xml:space="preserve">Resolución </w:t>
        </w:r>
        <w:hyperlink r:id="rId18" w:history="1">
          <w:r w:rsidR="00B842F9" w:rsidRPr="003E6986">
            <w:rPr>
              <w:rStyle w:val="Hyperlink"/>
              <w:rFonts w:asciiTheme="minorHAnsi" w:hAnsiTheme="minorHAnsi" w:cstheme="minorHAnsi"/>
              <w:b/>
              <w:bCs/>
              <w:szCs w:val="24"/>
              <w:lang w:val="es-ES_tradnl"/>
            </w:rPr>
            <w:t>COM6/25 (</w:t>
          </w:r>
          <w:r w:rsidRPr="003E6986">
            <w:rPr>
              <w:rStyle w:val="Hyperlink"/>
              <w:rFonts w:asciiTheme="minorHAnsi" w:hAnsiTheme="minorHAnsi" w:cstheme="minorHAnsi"/>
              <w:b/>
              <w:bCs/>
              <w:szCs w:val="24"/>
              <w:lang w:val="es-ES_tradnl"/>
            </w:rPr>
            <w:t>CMR</w:t>
          </w:r>
          <w:r w:rsidR="00B842F9" w:rsidRPr="003E6986">
            <w:rPr>
              <w:rStyle w:val="Hyperlink"/>
              <w:rFonts w:asciiTheme="minorHAnsi" w:hAnsiTheme="minorHAnsi" w:cstheme="minorHAnsi"/>
              <w:b/>
              <w:bCs/>
              <w:szCs w:val="24"/>
              <w:lang w:val="es-ES_tradnl"/>
            </w:rPr>
            <w:t>-23)</w:t>
          </w:r>
        </w:hyperlink>
        <w:r w:rsidR="00B842F9" w:rsidRPr="003E6986">
          <w:rPr>
            <w:rStyle w:val="FootnoteReference"/>
            <w:rFonts w:asciiTheme="minorHAnsi" w:hAnsiTheme="minorHAnsi" w:cstheme="minorHAnsi"/>
            <w:bCs/>
            <w:color w:val="0000FF"/>
            <w:szCs w:val="24"/>
            <w:u w:val="single"/>
            <w:lang w:val="es-ES_tradnl"/>
          </w:rPr>
          <w:footnoteReference w:customMarkFollows="1" w:id="9"/>
          <w:t>**</w:t>
        </w:r>
        <w:r w:rsidR="00B842F9" w:rsidRPr="003E6986">
          <w:rPr>
            <w:rStyle w:val="Hyperlink"/>
            <w:rFonts w:asciiTheme="minorHAnsi" w:hAnsiTheme="minorHAnsi" w:cstheme="minorHAnsi"/>
            <w:szCs w:val="24"/>
            <w:lang w:val="es-ES_tradnl"/>
          </w:rPr>
          <w:t xml:space="preserve"> </w:t>
        </w:r>
        <w:r w:rsidRPr="003E6986">
          <w:rPr>
            <w:rStyle w:val="Hyperlink"/>
            <w:rFonts w:asciiTheme="minorHAnsi" w:hAnsiTheme="minorHAnsi" w:cstheme="minorHAnsi"/>
            <w:szCs w:val="24"/>
            <w:lang w:val="es-ES_tradnl"/>
          </w:rPr>
          <w:t>y Resoluciones conexas</w:t>
        </w:r>
      </w:hyperlink>
      <w:r w:rsidR="00B842F9" w:rsidRPr="003E6986">
        <w:rPr>
          <w:rFonts w:asciiTheme="minorHAnsi" w:hAnsiTheme="minorHAnsi" w:cstheme="minorHAnsi"/>
          <w:color w:val="000000" w:themeColor="text1"/>
          <w:szCs w:val="24"/>
          <w:lang w:val="es-ES_tradnl"/>
        </w:rPr>
        <w:t xml:space="preserve">, </w:t>
      </w:r>
      <w:hyperlink r:id="rId19" w:history="1">
        <w:proofErr w:type="spellStart"/>
        <w:r w:rsidR="00B842F9" w:rsidRPr="003E6986">
          <w:rPr>
            <w:rStyle w:val="Hyperlink"/>
            <w:rFonts w:asciiTheme="minorHAnsi" w:hAnsiTheme="minorHAnsi" w:cstheme="minorHAnsi"/>
            <w:szCs w:val="24"/>
            <w:lang w:val="es-ES_tradnl"/>
          </w:rPr>
          <w:t>CPM27</w:t>
        </w:r>
        <w:proofErr w:type="spellEnd"/>
        <w:r w:rsidR="00B842F9" w:rsidRPr="003E6986">
          <w:rPr>
            <w:rStyle w:val="Hyperlink"/>
            <w:rFonts w:asciiTheme="minorHAnsi" w:hAnsiTheme="minorHAnsi" w:cstheme="minorHAnsi"/>
            <w:szCs w:val="24"/>
            <w:lang w:val="es-ES_tradnl"/>
          </w:rPr>
          <w:t>-1/3</w:t>
        </w:r>
      </w:hyperlink>
    </w:p>
    <w:p w14:paraId="002CDA84" w14:textId="3256178A" w:rsidR="00B842F9" w:rsidRPr="003E6986" w:rsidRDefault="00E51DF7" w:rsidP="003E6986">
      <w:pPr>
        <w:rPr>
          <w:lang w:val="es-ES_tradnl"/>
        </w:rPr>
      </w:pPr>
      <w:r w:rsidRPr="003E6986">
        <w:rPr>
          <w:lang w:val="es-ES_tradnl"/>
        </w:rPr>
        <w:t xml:space="preserve">El Presidente presentó brevemente el orden del día de la CMR-27 (Resolución </w:t>
      </w:r>
      <w:r w:rsidRPr="00D66D09">
        <w:rPr>
          <w:b/>
          <w:lang w:val="es-ES_tradnl"/>
        </w:rPr>
        <w:t>COM6/23 (CMR-23)</w:t>
      </w:r>
      <w:r w:rsidRPr="003E6986">
        <w:rPr>
          <w:lang w:val="es-ES_tradnl"/>
        </w:rPr>
        <w:t xml:space="preserve">*) y el orden del día preliminar de la CMR-31 (Resolución </w:t>
      </w:r>
      <w:r w:rsidRPr="00D66D09">
        <w:rPr>
          <w:b/>
          <w:lang w:val="es-ES_tradnl"/>
        </w:rPr>
        <w:t>COM6/25 (CMR-23)</w:t>
      </w:r>
      <w:r w:rsidRPr="003E6986">
        <w:rPr>
          <w:lang w:val="es-ES_tradnl"/>
        </w:rPr>
        <w:t>**).</w:t>
      </w:r>
    </w:p>
    <w:p w14:paraId="53C7AE67" w14:textId="60E4F59F" w:rsidR="00B842F9" w:rsidRPr="003E6986" w:rsidRDefault="00C3277D" w:rsidP="00640113">
      <w:pPr>
        <w:rPr>
          <w:lang w:val="es-ES_tradnl"/>
        </w:rPr>
      </w:pPr>
      <w:r w:rsidRPr="003E6986">
        <w:rPr>
          <w:lang w:val="es-ES_tradnl"/>
        </w:rPr>
        <w:t>S</w:t>
      </w:r>
      <w:r w:rsidR="00E51DF7" w:rsidRPr="003E6986">
        <w:rPr>
          <w:lang w:val="es-ES_tradnl"/>
        </w:rPr>
        <w:t>e informó a la reunión acerca de l</w:t>
      </w:r>
      <w:r w:rsidR="00C34691" w:rsidRPr="003E6986">
        <w:rPr>
          <w:lang w:val="es-ES_tradnl"/>
        </w:rPr>
        <w:t>o</w:t>
      </w:r>
      <w:r w:rsidR="00E51DF7" w:rsidRPr="003E6986">
        <w:rPr>
          <w:lang w:val="es-ES_tradnl"/>
        </w:rPr>
        <w:t>s</w:t>
      </w:r>
      <w:r w:rsidR="00C34691" w:rsidRPr="003E6986">
        <w:rPr>
          <w:lang w:val="es-ES_tradnl"/>
        </w:rPr>
        <w:t xml:space="preserve"> debates entablados en</w:t>
      </w:r>
      <w:r w:rsidR="00E51DF7" w:rsidRPr="003E6986">
        <w:rPr>
          <w:lang w:val="es-ES_tradnl"/>
        </w:rPr>
        <w:t xml:space="preserve"> la CMR-23 sobre la mejora del proceso de</w:t>
      </w:r>
      <w:r w:rsidR="00C34691" w:rsidRPr="003E6986">
        <w:rPr>
          <w:lang w:val="es-ES_tradnl"/>
        </w:rPr>
        <w:t xml:space="preserve"> elaboración de</w:t>
      </w:r>
      <w:r w:rsidR="00E51DF7" w:rsidRPr="003E6986">
        <w:rPr>
          <w:lang w:val="es-ES_tradnl"/>
        </w:rPr>
        <w:t xml:space="preserve"> los estudios preparatorios </w:t>
      </w:r>
      <w:r w:rsidR="00C34691" w:rsidRPr="003E6986">
        <w:rPr>
          <w:lang w:val="es-ES_tradnl"/>
        </w:rPr>
        <w:t>de las</w:t>
      </w:r>
      <w:r w:rsidR="00E51DF7" w:rsidRPr="003E6986">
        <w:rPr>
          <w:lang w:val="es-ES_tradnl"/>
        </w:rPr>
        <w:t xml:space="preserve"> CMR (véase el Doc</w:t>
      </w:r>
      <w:r w:rsidR="00986559" w:rsidRPr="003E6986">
        <w:rPr>
          <w:lang w:val="es-ES_tradnl"/>
        </w:rPr>
        <w:t>umento</w:t>
      </w:r>
      <w:r w:rsidR="00E51DF7" w:rsidRPr="003E6986">
        <w:rPr>
          <w:lang w:val="es-ES_tradnl"/>
        </w:rPr>
        <w:t xml:space="preserve"> </w:t>
      </w:r>
      <w:hyperlink r:id="rId20" w:history="1">
        <w:proofErr w:type="spellStart"/>
        <w:r w:rsidR="00E51DF7" w:rsidRPr="00D66D09">
          <w:rPr>
            <w:rStyle w:val="Hyperlink"/>
            <w:lang w:val="es-ES_tradnl"/>
          </w:rPr>
          <w:t>CPM27</w:t>
        </w:r>
        <w:proofErr w:type="spellEnd"/>
        <w:r w:rsidR="00E51DF7" w:rsidRPr="00D66D09">
          <w:rPr>
            <w:rStyle w:val="Hyperlink"/>
            <w:lang w:val="es-ES_tradnl"/>
          </w:rPr>
          <w:t>-1/3</w:t>
        </w:r>
      </w:hyperlink>
      <w:r w:rsidR="00E51DF7" w:rsidRPr="003E6986">
        <w:rPr>
          <w:lang w:val="es-ES_tradnl"/>
        </w:rPr>
        <w:t>). La reunión consideró los diferentes elementos esbozados en ese texto</w:t>
      </w:r>
      <w:r w:rsidR="00C34691" w:rsidRPr="003E6986">
        <w:rPr>
          <w:lang w:val="es-ES_tradnl"/>
        </w:rPr>
        <w:t>, extraído de las actas de la Plenaria</w:t>
      </w:r>
      <w:r w:rsidR="00E51DF7" w:rsidRPr="003E6986">
        <w:rPr>
          <w:lang w:val="es-ES_tradnl"/>
        </w:rPr>
        <w:t xml:space="preserve"> de la CMR-23</w:t>
      </w:r>
      <w:r w:rsidR="00C34691" w:rsidRPr="003E6986">
        <w:rPr>
          <w:lang w:val="es-ES_tradnl"/>
        </w:rPr>
        <w:t>,</w:t>
      </w:r>
      <w:r w:rsidR="00E51DF7" w:rsidRPr="003E6986">
        <w:rPr>
          <w:lang w:val="es-ES_tradnl"/>
        </w:rPr>
        <w:t xml:space="preserve"> y</w:t>
      </w:r>
      <w:r w:rsidR="00C34691" w:rsidRPr="003E6986">
        <w:rPr>
          <w:lang w:val="es-ES_tradnl"/>
        </w:rPr>
        <w:t xml:space="preserve"> se planteó</w:t>
      </w:r>
      <w:r w:rsidR="00E51DF7" w:rsidRPr="003E6986">
        <w:rPr>
          <w:lang w:val="es-ES_tradnl"/>
        </w:rPr>
        <w:t xml:space="preserve"> si los</w:t>
      </w:r>
      <w:r w:rsidR="00C34691" w:rsidRPr="003E6986">
        <w:rPr>
          <w:lang w:val="es-ES_tradnl"/>
        </w:rPr>
        <w:t xml:space="preserve"> grupos</w:t>
      </w:r>
      <w:r w:rsidR="00E51DF7" w:rsidRPr="003E6986">
        <w:rPr>
          <w:lang w:val="es-ES_tradnl"/>
        </w:rPr>
        <w:t xml:space="preserve"> contribuyentes necesita</w:t>
      </w:r>
      <w:r w:rsidR="00C34691" w:rsidRPr="003E6986">
        <w:rPr>
          <w:lang w:val="es-ES_tradnl"/>
        </w:rPr>
        <w:t>ba</w:t>
      </w:r>
      <w:r w:rsidR="00E51DF7" w:rsidRPr="003E6986">
        <w:rPr>
          <w:lang w:val="es-ES_tradnl"/>
        </w:rPr>
        <w:t>n directrices</w:t>
      </w:r>
      <w:r w:rsidR="00C34691" w:rsidRPr="003E6986">
        <w:rPr>
          <w:lang w:val="es-ES_tradnl"/>
        </w:rPr>
        <w:t xml:space="preserve"> u </w:t>
      </w:r>
      <w:r w:rsidR="00E51DF7" w:rsidRPr="003E6986">
        <w:rPr>
          <w:lang w:val="es-ES_tradnl"/>
        </w:rPr>
        <w:t xml:space="preserve">obligaciones </w:t>
      </w:r>
      <w:r w:rsidR="00C34691" w:rsidRPr="003E6986">
        <w:rPr>
          <w:lang w:val="es-ES_tradnl"/>
        </w:rPr>
        <w:t>adicionales con miras al</w:t>
      </w:r>
      <w:r w:rsidR="00E51DF7" w:rsidRPr="003E6986">
        <w:rPr>
          <w:lang w:val="es-ES_tradnl"/>
        </w:rPr>
        <w:t xml:space="preserve"> desarroll</w:t>
      </w:r>
      <w:r w:rsidR="00C34691" w:rsidRPr="003E6986">
        <w:rPr>
          <w:lang w:val="es-ES_tradnl"/>
        </w:rPr>
        <w:t>o de</w:t>
      </w:r>
      <w:r w:rsidR="00E51DF7" w:rsidRPr="003E6986">
        <w:rPr>
          <w:lang w:val="es-ES_tradnl"/>
        </w:rPr>
        <w:t xml:space="preserve"> estudios comúnmente aceptables</w:t>
      </w:r>
      <w:r w:rsidR="00C34691" w:rsidRPr="003E6986">
        <w:rPr>
          <w:lang w:val="es-ES_tradnl"/>
        </w:rPr>
        <w:t xml:space="preserve"> sobre </w:t>
      </w:r>
      <w:r w:rsidR="007D52CC" w:rsidRPr="003E6986">
        <w:rPr>
          <w:lang w:val="es-ES_tradnl"/>
        </w:rPr>
        <w:t xml:space="preserve">ciertos </w:t>
      </w:r>
      <w:r w:rsidR="00E51DF7" w:rsidRPr="003E6986">
        <w:rPr>
          <w:lang w:val="es-ES_tradnl"/>
        </w:rPr>
        <w:t>punto</w:t>
      </w:r>
      <w:r w:rsidR="00C34691" w:rsidRPr="003E6986">
        <w:rPr>
          <w:lang w:val="es-ES_tradnl"/>
        </w:rPr>
        <w:t>s</w:t>
      </w:r>
      <w:r w:rsidR="00E51DF7" w:rsidRPr="003E6986">
        <w:rPr>
          <w:lang w:val="es-ES_tradnl"/>
        </w:rPr>
        <w:t xml:space="preserve"> </w:t>
      </w:r>
      <w:r w:rsidR="00C34691" w:rsidRPr="003E6986">
        <w:rPr>
          <w:lang w:val="es-ES_tradnl"/>
        </w:rPr>
        <w:t xml:space="preserve">específicos </w:t>
      </w:r>
      <w:r w:rsidR="00E51DF7" w:rsidRPr="003E6986">
        <w:rPr>
          <w:lang w:val="es-ES_tradnl"/>
        </w:rPr>
        <w:t xml:space="preserve">del orden del día. Se señaló que las directrices u obligaciones comunes de la RPC </w:t>
      </w:r>
      <w:r w:rsidR="00493208" w:rsidRPr="003E6986">
        <w:rPr>
          <w:lang w:val="es-ES_tradnl"/>
        </w:rPr>
        <w:t>podían</w:t>
      </w:r>
      <w:r w:rsidR="00E51DF7" w:rsidRPr="003E6986">
        <w:rPr>
          <w:lang w:val="es-ES_tradnl"/>
        </w:rPr>
        <w:t xml:space="preserve"> no ser adecuadas para </w:t>
      </w:r>
      <w:r w:rsidR="007D52CC" w:rsidRPr="003E6986">
        <w:rPr>
          <w:lang w:val="es-ES_tradnl"/>
        </w:rPr>
        <w:t>los</w:t>
      </w:r>
      <w:r w:rsidR="00E51DF7" w:rsidRPr="003E6986">
        <w:rPr>
          <w:lang w:val="es-ES_tradnl"/>
        </w:rPr>
        <w:t xml:space="preserve"> aspectos </w:t>
      </w:r>
      <w:r w:rsidR="007D52CC" w:rsidRPr="003E6986">
        <w:rPr>
          <w:lang w:val="es-ES_tradnl"/>
        </w:rPr>
        <w:t>específicos de cierto</w:t>
      </w:r>
      <w:r w:rsidR="00493208" w:rsidRPr="003E6986">
        <w:rPr>
          <w:lang w:val="es-ES_tradnl"/>
        </w:rPr>
        <w:t>s</w:t>
      </w:r>
      <w:r w:rsidR="00E51DF7" w:rsidRPr="003E6986">
        <w:rPr>
          <w:lang w:val="es-ES_tradnl"/>
        </w:rPr>
        <w:t xml:space="preserve"> punto</w:t>
      </w:r>
      <w:r w:rsidR="00493208" w:rsidRPr="003E6986">
        <w:rPr>
          <w:lang w:val="es-ES_tradnl"/>
        </w:rPr>
        <w:t>s</w:t>
      </w:r>
      <w:r w:rsidR="00E51DF7" w:rsidRPr="003E6986">
        <w:rPr>
          <w:lang w:val="es-ES_tradnl"/>
        </w:rPr>
        <w:t xml:space="preserve"> del orden del día. Por último, se concluyó que los grupos responsables y contribuyentes debían </w:t>
      </w:r>
      <w:r w:rsidR="00493208" w:rsidRPr="003E6986">
        <w:rPr>
          <w:lang w:val="es-ES_tradnl"/>
        </w:rPr>
        <w:t>hacer todo lo posible por</w:t>
      </w:r>
      <w:r w:rsidR="00640113" w:rsidRPr="003E6986">
        <w:rPr>
          <w:lang w:val="es-ES_tradnl"/>
        </w:rPr>
        <w:t xml:space="preserve"> establecer</w:t>
      </w:r>
      <w:r w:rsidR="00E51DF7" w:rsidRPr="003E6986">
        <w:rPr>
          <w:lang w:val="es-ES_tradnl"/>
        </w:rPr>
        <w:t xml:space="preserve"> parámetros, características y metodologías comunes en los estudios preparatorios </w:t>
      </w:r>
      <w:r w:rsidR="00640113" w:rsidRPr="003E6986">
        <w:rPr>
          <w:lang w:val="es-ES_tradnl"/>
        </w:rPr>
        <w:t>relacionados con los distintos puntos</w:t>
      </w:r>
      <w:r w:rsidR="00E51DF7" w:rsidRPr="003E6986">
        <w:rPr>
          <w:lang w:val="es-ES_tradnl"/>
        </w:rPr>
        <w:t xml:space="preserve"> del orden del día. Si un grupo contribuyente presenta</w:t>
      </w:r>
      <w:r w:rsidR="00640113" w:rsidRPr="003E6986">
        <w:rPr>
          <w:lang w:val="es-ES_tradnl"/>
        </w:rPr>
        <w:t>ba</w:t>
      </w:r>
      <w:r w:rsidR="00E51DF7" w:rsidRPr="003E6986">
        <w:rPr>
          <w:lang w:val="es-ES_tradnl"/>
        </w:rPr>
        <w:t xml:space="preserve"> criterios u otros elementos pertinentes, los grupos responsables </w:t>
      </w:r>
      <w:r w:rsidR="00640113" w:rsidRPr="003E6986">
        <w:rPr>
          <w:lang w:val="es-ES_tradnl"/>
        </w:rPr>
        <w:t>debían</w:t>
      </w:r>
      <w:r w:rsidR="00E51DF7" w:rsidRPr="003E6986">
        <w:rPr>
          <w:lang w:val="es-ES_tradnl"/>
        </w:rPr>
        <w:t xml:space="preserve"> tenerlos en cuenta.</w:t>
      </w:r>
    </w:p>
    <w:p w14:paraId="2E7A84F4" w14:textId="01ADE903" w:rsidR="00B842F9" w:rsidRPr="003E6986" w:rsidRDefault="00E51DF7" w:rsidP="00CF1B41">
      <w:pPr>
        <w:rPr>
          <w:lang w:val="es-ES_tradnl"/>
        </w:rPr>
      </w:pPr>
      <w:r w:rsidRPr="003E6986">
        <w:rPr>
          <w:lang w:val="es-ES_tradnl"/>
        </w:rPr>
        <w:t>En la reunión se estudiaron otros plazos y procedimientos específicos</w:t>
      </w:r>
      <w:r w:rsidR="00CC3223" w:rsidRPr="003E6986">
        <w:rPr>
          <w:lang w:val="es-ES_tradnl"/>
        </w:rPr>
        <w:t xml:space="preserve"> para los casos en que</w:t>
      </w:r>
      <w:r w:rsidRPr="003E6986">
        <w:rPr>
          <w:lang w:val="es-ES_tradnl"/>
        </w:rPr>
        <w:t xml:space="preserve"> un grupo contribuyente no pud</w:t>
      </w:r>
      <w:r w:rsidR="00CC3223" w:rsidRPr="003E6986">
        <w:rPr>
          <w:lang w:val="es-ES_tradnl"/>
        </w:rPr>
        <w:t>ier</w:t>
      </w:r>
      <w:r w:rsidRPr="003E6986">
        <w:rPr>
          <w:lang w:val="es-ES_tradnl"/>
        </w:rPr>
        <w:t>a cumplir el plazo establecido para su contribución. Se presentaron y estudiaron varias propuestas. Una opción inicial era</w:t>
      </w:r>
      <w:r w:rsidR="00C671F5" w:rsidRPr="003E6986">
        <w:rPr>
          <w:lang w:val="es-ES_tradnl"/>
        </w:rPr>
        <w:t xml:space="preserve"> establecer</w:t>
      </w:r>
      <w:r w:rsidRPr="003E6986">
        <w:rPr>
          <w:lang w:val="es-ES_tradnl"/>
        </w:rPr>
        <w:t xml:space="preserve"> un plazo general</w:t>
      </w:r>
      <w:r w:rsidR="00C671F5" w:rsidRPr="003E6986">
        <w:rPr>
          <w:lang w:val="es-ES_tradnl"/>
        </w:rPr>
        <w:t xml:space="preserve"> que expirase</w:t>
      </w:r>
      <w:r w:rsidRPr="003E6986">
        <w:rPr>
          <w:lang w:val="es-ES_tradnl"/>
        </w:rPr>
        <w:t xml:space="preserve"> a finales de 2024 y un plazo </w:t>
      </w:r>
      <w:r w:rsidR="00C671F5" w:rsidRPr="003E6986">
        <w:rPr>
          <w:lang w:val="es-ES_tradnl"/>
        </w:rPr>
        <w:t>definitivo para la presentación de contribuciones</w:t>
      </w:r>
      <w:r w:rsidRPr="003E6986">
        <w:rPr>
          <w:lang w:val="es-ES_tradnl"/>
        </w:rPr>
        <w:t xml:space="preserve"> de grupos</w:t>
      </w:r>
      <w:r w:rsidR="00C671F5" w:rsidRPr="003E6986">
        <w:rPr>
          <w:lang w:val="es-ES_tradnl"/>
        </w:rPr>
        <w:t xml:space="preserve"> que expirase</w:t>
      </w:r>
      <w:r w:rsidRPr="003E6986">
        <w:rPr>
          <w:lang w:val="es-ES_tradnl"/>
        </w:rPr>
        <w:t xml:space="preserve"> en torno a mediados de 2025. Otra opción </w:t>
      </w:r>
      <w:r w:rsidR="00C671F5" w:rsidRPr="003E6986">
        <w:rPr>
          <w:lang w:val="es-ES_tradnl"/>
        </w:rPr>
        <w:t xml:space="preserve">era establecer </w:t>
      </w:r>
      <w:r w:rsidRPr="003E6986">
        <w:rPr>
          <w:lang w:val="es-ES_tradnl"/>
        </w:rPr>
        <w:t xml:space="preserve">un plazo relativo para los grupos contribuyentes </w:t>
      </w:r>
      <w:r w:rsidR="00C671F5" w:rsidRPr="003E6986">
        <w:rPr>
          <w:lang w:val="es-ES_tradnl"/>
        </w:rPr>
        <w:t xml:space="preserve">que expirase </w:t>
      </w:r>
      <w:r w:rsidRPr="003E6986">
        <w:rPr>
          <w:lang w:val="es-ES_tradnl"/>
        </w:rPr>
        <w:t>en su 2ª o 3ª reunión. Debido a las diferencias en el número de reuniones, por ejemplo</w:t>
      </w:r>
      <w:r w:rsidR="007D52CC" w:rsidRPr="003E6986">
        <w:rPr>
          <w:lang w:val="es-ES_tradnl"/>
        </w:rPr>
        <w:t>,</w:t>
      </w:r>
      <w:r w:rsidRPr="003E6986">
        <w:rPr>
          <w:lang w:val="es-ES_tradnl"/>
        </w:rPr>
        <w:t xml:space="preserve"> entre los GT de la CE 3 y la CE 1, esta última opción</w:t>
      </w:r>
      <w:r w:rsidR="00C671F5" w:rsidRPr="003E6986">
        <w:rPr>
          <w:lang w:val="es-ES_tradnl"/>
        </w:rPr>
        <w:t xml:space="preserve"> se consideró demasiado vaga</w:t>
      </w:r>
      <w:r w:rsidRPr="003E6986">
        <w:rPr>
          <w:lang w:val="es-ES_tradnl"/>
        </w:rPr>
        <w:t xml:space="preserve">. Finalmente, la reunión acordó </w:t>
      </w:r>
      <w:r w:rsidR="00C671F5" w:rsidRPr="003E6986">
        <w:rPr>
          <w:lang w:val="es-ES_tradnl"/>
        </w:rPr>
        <w:t>establecer</w:t>
      </w:r>
      <w:r w:rsidRPr="003E6986">
        <w:rPr>
          <w:lang w:val="es-ES_tradnl"/>
        </w:rPr>
        <w:t xml:space="preserve"> un plazo general </w:t>
      </w:r>
      <w:r w:rsidR="00C671F5" w:rsidRPr="003E6986">
        <w:rPr>
          <w:lang w:val="es-ES_tradnl"/>
        </w:rPr>
        <w:t>para los</w:t>
      </w:r>
      <w:r w:rsidRPr="003E6986">
        <w:rPr>
          <w:lang w:val="es-ES_tradnl"/>
        </w:rPr>
        <w:t xml:space="preserve"> criterios, </w:t>
      </w:r>
      <w:r w:rsidR="007D52CC" w:rsidRPr="003E6986">
        <w:rPr>
          <w:lang w:val="es-ES_tradnl"/>
        </w:rPr>
        <w:t xml:space="preserve">las </w:t>
      </w:r>
      <w:r w:rsidRPr="003E6986">
        <w:rPr>
          <w:lang w:val="es-ES_tradnl"/>
        </w:rPr>
        <w:t xml:space="preserve">características y </w:t>
      </w:r>
      <w:r w:rsidR="007D52CC" w:rsidRPr="003E6986">
        <w:rPr>
          <w:lang w:val="es-ES_tradnl"/>
        </w:rPr>
        <w:t xml:space="preserve">las </w:t>
      </w:r>
      <w:r w:rsidRPr="003E6986">
        <w:rPr>
          <w:lang w:val="es-ES_tradnl"/>
        </w:rPr>
        <w:t>metodologías</w:t>
      </w:r>
      <w:r w:rsidR="00C671F5" w:rsidRPr="003E6986">
        <w:rPr>
          <w:lang w:val="es-ES_tradnl"/>
        </w:rPr>
        <w:t xml:space="preserve"> que expirase</w:t>
      </w:r>
      <w:r w:rsidRPr="003E6986">
        <w:rPr>
          <w:lang w:val="es-ES_tradnl"/>
        </w:rPr>
        <w:t xml:space="preserve"> el 31 de diciembre de 2024. E</w:t>
      </w:r>
      <w:r w:rsidR="00C671F5" w:rsidRPr="003E6986">
        <w:rPr>
          <w:lang w:val="es-ES_tradnl"/>
        </w:rPr>
        <w:t>llo se aplicaba en particular a</w:t>
      </w:r>
      <w:r w:rsidRPr="003E6986">
        <w:rPr>
          <w:lang w:val="es-ES_tradnl"/>
        </w:rPr>
        <w:t xml:space="preserve">l material existente, que </w:t>
      </w:r>
      <w:r w:rsidR="00C671F5" w:rsidRPr="003E6986">
        <w:rPr>
          <w:lang w:val="es-ES_tradnl"/>
        </w:rPr>
        <w:t xml:space="preserve">los grupos contribuyentes </w:t>
      </w:r>
      <w:r w:rsidRPr="003E6986">
        <w:rPr>
          <w:lang w:val="es-ES_tradnl"/>
        </w:rPr>
        <w:t>deb</w:t>
      </w:r>
      <w:r w:rsidR="00C671F5" w:rsidRPr="003E6986">
        <w:rPr>
          <w:lang w:val="es-ES_tradnl"/>
        </w:rPr>
        <w:t>ían</w:t>
      </w:r>
      <w:r w:rsidRPr="003E6986">
        <w:rPr>
          <w:lang w:val="es-ES_tradnl"/>
        </w:rPr>
        <w:t xml:space="preserve"> comproba</w:t>
      </w:r>
      <w:r w:rsidR="00C671F5" w:rsidRPr="003E6986">
        <w:rPr>
          <w:lang w:val="es-ES_tradnl"/>
        </w:rPr>
        <w:t xml:space="preserve">r </w:t>
      </w:r>
      <w:r w:rsidRPr="003E6986">
        <w:rPr>
          <w:lang w:val="es-ES_tradnl"/>
        </w:rPr>
        <w:t xml:space="preserve">y </w:t>
      </w:r>
      <w:r w:rsidR="007D52CC" w:rsidRPr="003E6986">
        <w:rPr>
          <w:lang w:val="es-ES_tradnl"/>
        </w:rPr>
        <w:t>compilar</w:t>
      </w:r>
      <w:r w:rsidRPr="003E6986">
        <w:rPr>
          <w:lang w:val="es-ES_tradnl"/>
        </w:rPr>
        <w:t xml:space="preserve">. </w:t>
      </w:r>
      <w:r w:rsidR="00CF1B41" w:rsidRPr="003E6986">
        <w:rPr>
          <w:lang w:val="es-ES_tradnl"/>
        </w:rPr>
        <w:t>La Comisión de Dirección</w:t>
      </w:r>
      <w:r w:rsidRPr="003E6986">
        <w:rPr>
          <w:lang w:val="es-ES_tradnl"/>
        </w:rPr>
        <w:t xml:space="preserve"> de la RPC-27 podr</w:t>
      </w:r>
      <w:r w:rsidR="00CF1B41" w:rsidRPr="003E6986">
        <w:rPr>
          <w:lang w:val="es-ES_tradnl"/>
        </w:rPr>
        <w:t xml:space="preserve">ía </w:t>
      </w:r>
      <w:r w:rsidRPr="003E6986">
        <w:rPr>
          <w:lang w:val="es-ES_tradnl"/>
        </w:rPr>
        <w:t>ampliar ese plazo hasta el 1 de julio de 2025, basándose en la información facilitada por un grupo contribuyente. Los Relatores de Capítulo de la RPC-27 se encargar</w:t>
      </w:r>
      <w:r w:rsidR="00CF1B41" w:rsidRPr="003E6986">
        <w:rPr>
          <w:lang w:val="es-ES_tradnl"/>
        </w:rPr>
        <w:t>ía</w:t>
      </w:r>
      <w:r w:rsidRPr="003E6986">
        <w:rPr>
          <w:lang w:val="es-ES_tradnl"/>
        </w:rPr>
        <w:t>n de recordar el plazo a los grupos contribuyentes pertinentes.</w:t>
      </w:r>
    </w:p>
    <w:p w14:paraId="2D4B5D35" w14:textId="4E76EB5E" w:rsidR="00B842F9" w:rsidRPr="003E6986" w:rsidRDefault="00B842F9" w:rsidP="00B842F9">
      <w:pPr>
        <w:pStyle w:val="Heading1"/>
        <w:spacing w:before="240"/>
        <w:rPr>
          <w:rFonts w:asciiTheme="minorHAnsi" w:hAnsiTheme="minorHAnsi" w:cstheme="minorHAnsi"/>
          <w:b w:val="0"/>
          <w:bCs/>
          <w:lang w:val="es-ES_tradnl"/>
        </w:rPr>
      </w:pPr>
      <w:r w:rsidRPr="003E6986">
        <w:rPr>
          <w:rStyle w:val="Heading1Char1"/>
          <w:rFonts w:asciiTheme="minorHAnsi" w:hAnsiTheme="minorHAnsi" w:cstheme="minorHAnsi"/>
          <w:b/>
          <w:bCs/>
          <w:lang w:val="es-ES_tradnl"/>
        </w:rPr>
        <w:t>3</w:t>
      </w:r>
      <w:r w:rsidRPr="003E6986">
        <w:rPr>
          <w:rStyle w:val="Heading1Char1"/>
          <w:rFonts w:asciiTheme="minorHAnsi" w:hAnsiTheme="minorHAnsi" w:cstheme="minorHAnsi"/>
          <w:b/>
          <w:bCs/>
          <w:lang w:val="es-ES_tradnl"/>
        </w:rPr>
        <w:tab/>
      </w:r>
      <w:r w:rsidR="00634FC8" w:rsidRPr="003E6986">
        <w:rPr>
          <w:rStyle w:val="Heading1Char1"/>
          <w:rFonts w:asciiTheme="minorHAnsi" w:hAnsiTheme="minorHAnsi" w:cstheme="minorHAnsi"/>
          <w:b/>
          <w:bCs/>
          <w:lang w:val="es-ES_tradnl"/>
        </w:rPr>
        <w:t>Organización de los estudios preparatorios con arreglo al orden del día de la CMR-27</w:t>
      </w:r>
    </w:p>
    <w:p w14:paraId="3F43888E" w14:textId="2DC4C265" w:rsidR="00B842F9" w:rsidRPr="003E6986" w:rsidRDefault="00634FC8" w:rsidP="003E6986">
      <w:pPr>
        <w:rPr>
          <w:lang w:val="es-ES_tradnl"/>
        </w:rPr>
      </w:pPr>
      <w:r w:rsidRPr="003E6986">
        <w:rPr>
          <w:lang w:val="es-ES_tradnl"/>
        </w:rPr>
        <w:t>Contribuciones</w:t>
      </w:r>
      <w:r w:rsidR="00B842F9" w:rsidRPr="003E6986">
        <w:rPr>
          <w:lang w:val="es-ES_tradnl"/>
        </w:rPr>
        <w:t xml:space="preserve">: </w:t>
      </w:r>
      <w:hyperlink r:id="rId21" w:history="1">
        <w:proofErr w:type="spellStart"/>
        <w:r w:rsidR="00B842F9" w:rsidRPr="003E6986">
          <w:rPr>
            <w:rStyle w:val="Hyperlink"/>
            <w:lang w:val="es-ES_tradnl"/>
          </w:rPr>
          <w:t>CPM27</w:t>
        </w:r>
        <w:proofErr w:type="spellEnd"/>
        <w:r w:rsidR="00B842F9" w:rsidRPr="003E6986">
          <w:rPr>
            <w:rStyle w:val="Hyperlink"/>
            <w:lang w:val="es-ES_tradnl"/>
          </w:rPr>
          <w:t>-1/5 (Anex</w:t>
        </w:r>
        <w:r w:rsidRPr="003E6986">
          <w:rPr>
            <w:rStyle w:val="Hyperlink"/>
            <w:lang w:val="es-ES_tradnl"/>
          </w:rPr>
          <w:t>o</w:t>
        </w:r>
        <w:r w:rsidR="00B842F9" w:rsidRPr="003E6986">
          <w:rPr>
            <w:rStyle w:val="Hyperlink"/>
            <w:lang w:val="es-ES_tradnl"/>
          </w:rPr>
          <w:t xml:space="preserve"> 1)</w:t>
        </w:r>
      </w:hyperlink>
      <w:r w:rsidR="00B842F9" w:rsidRPr="003E6986">
        <w:rPr>
          <w:lang w:val="es-ES_tradnl"/>
        </w:rPr>
        <w:t xml:space="preserve">, </w:t>
      </w:r>
      <w:hyperlink r:id="rId22" w:history="1">
        <w:proofErr w:type="spellStart"/>
        <w:r w:rsidR="00B842F9" w:rsidRPr="003E6986">
          <w:rPr>
            <w:rStyle w:val="Hyperlink"/>
            <w:lang w:val="es-ES_tradnl"/>
          </w:rPr>
          <w:t>CPM27</w:t>
        </w:r>
        <w:proofErr w:type="spellEnd"/>
        <w:r w:rsidR="00B842F9" w:rsidRPr="003E6986">
          <w:rPr>
            <w:rStyle w:val="Hyperlink"/>
            <w:lang w:val="es-ES_tradnl"/>
          </w:rPr>
          <w:t>-1/6</w:t>
        </w:r>
        <w:bookmarkStart w:id="14" w:name="_Ref153730416"/>
        <w:r w:rsidR="00B842F9" w:rsidRPr="003E6986">
          <w:rPr>
            <w:rStyle w:val="Hyperlink"/>
            <w:lang w:val="es-ES_tradnl"/>
          </w:rPr>
          <w:footnoteReference w:customMarkFollows="1" w:id="10"/>
          <w:t>*</w:t>
        </w:r>
        <w:bookmarkEnd w:id="14"/>
        <w:r w:rsidR="00B842F9" w:rsidRPr="003E6986">
          <w:rPr>
            <w:rStyle w:val="Hyperlink"/>
            <w:lang w:val="es-ES_tradnl"/>
          </w:rPr>
          <w:t xml:space="preserve"> (Anex</w:t>
        </w:r>
        <w:r w:rsidRPr="003E6986">
          <w:rPr>
            <w:rStyle w:val="Hyperlink"/>
            <w:lang w:val="es-ES_tradnl"/>
          </w:rPr>
          <w:t>o</w:t>
        </w:r>
        <w:r w:rsidR="00B842F9" w:rsidRPr="003E6986">
          <w:rPr>
            <w:rStyle w:val="Hyperlink"/>
            <w:lang w:val="es-ES_tradnl"/>
          </w:rPr>
          <w:t xml:space="preserve"> 4)</w:t>
        </w:r>
      </w:hyperlink>
      <w:r w:rsidR="00B842F9" w:rsidRPr="003E6986">
        <w:rPr>
          <w:lang w:val="es-ES_tradnl"/>
        </w:rPr>
        <w:t xml:space="preserve">, </w:t>
      </w:r>
      <w:hyperlink r:id="rId23" w:history="1">
        <w:proofErr w:type="spellStart"/>
        <w:r w:rsidR="00B842F9" w:rsidRPr="003E6986">
          <w:rPr>
            <w:rStyle w:val="Hyperlink"/>
            <w:lang w:val="es-ES_tradnl"/>
          </w:rPr>
          <w:t>CPM27</w:t>
        </w:r>
        <w:proofErr w:type="spellEnd"/>
        <w:r w:rsidR="00B842F9" w:rsidRPr="003E6986">
          <w:rPr>
            <w:rStyle w:val="Hyperlink"/>
            <w:lang w:val="es-ES_tradnl"/>
          </w:rPr>
          <w:t>-1/7* (Anex</w:t>
        </w:r>
        <w:r w:rsidRPr="003E6986">
          <w:rPr>
            <w:rStyle w:val="Hyperlink"/>
            <w:lang w:val="es-ES_tradnl"/>
          </w:rPr>
          <w:t>o</w:t>
        </w:r>
        <w:r w:rsidR="00B842F9" w:rsidRPr="003E6986">
          <w:rPr>
            <w:rStyle w:val="Hyperlink"/>
            <w:lang w:val="es-ES_tradnl"/>
          </w:rPr>
          <w:t>)</w:t>
        </w:r>
      </w:hyperlink>
    </w:p>
    <w:p w14:paraId="145817E2" w14:textId="0F9C4C04" w:rsidR="00634FC8" w:rsidRPr="003E6986" w:rsidRDefault="00634FC8" w:rsidP="00B842F9">
      <w:pPr>
        <w:rPr>
          <w:lang w:val="es-ES_tradnl"/>
        </w:rPr>
      </w:pPr>
      <w:r w:rsidRPr="003E6986">
        <w:rPr>
          <w:lang w:val="es-ES_tradnl"/>
        </w:rPr>
        <w:t>El Presidente informó a</w:t>
      </w:r>
      <w:r w:rsidR="003721DD" w:rsidRPr="003E6986">
        <w:rPr>
          <w:lang w:val="es-ES_tradnl"/>
        </w:rPr>
        <w:t xml:space="preserve"> los participantes acerca de</w:t>
      </w:r>
      <w:r w:rsidRPr="003E6986">
        <w:rPr>
          <w:lang w:val="es-ES_tradnl"/>
        </w:rPr>
        <w:t xml:space="preserve"> la reunión del Grupo </w:t>
      </w:r>
      <w:r w:rsidR="003721DD" w:rsidRPr="003E6986">
        <w:rPr>
          <w:lang w:val="es-ES_tradnl"/>
        </w:rPr>
        <w:t>de Dirección</w:t>
      </w:r>
      <w:r w:rsidRPr="003E6986">
        <w:rPr>
          <w:lang w:val="es-ES_tradnl"/>
        </w:rPr>
        <w:t xml:space="preserve"> de la RPC-27</w:t>
      </w:r>
      <w:r w:rsidR="00C3277D" w:rsidRPr="003E6986">
        <w:rPr>
          <w:lang w:val="es-ES_tradnl"/>
        </w:rPr>
        <w:t>,</w:t>
      </w:r>
      <w:r w:rsidR="003721DD" w:rsidRPr="003E6986">
        <w:rPr>
          <w:lang w:val="es-ES_tradnl"/>
        </w:rPr>
        <w:t xml:space="preserve"> que se celebró</w:t>
      </w:r>
      <w:r w:rsidRPr="003E6986">
        <w:rPr>
          <w:lang w:val="es-ES_tradnl"/>
        </w:rPr>
        <w:t xml:space="preserve"> el 15 de diciembre de 2023</w:t>
      </w:r>
      <w:r w:rsidR="003721DD" w:rsidRPr="003E6986">
        <w:rPr>
          <w:lang w:val="es-ES_tradnl"/>
        </w:rPr>
        <w:t xml:space="preserve"> y</w:t>
      </w:r>
      <w:r w:rsidRPr="003E6986">
        <w:rPr>
          <w:lang w:val="es-ES_tradnl"/>
        </w:rPr>
        <w:t xml:space="preserve"> a la que asistieron los Presidentes de las </w:t>
      </w:r>
      <w:r w:rsidR="003721DD" w:rsidRPr="003E6986">
        <w:rPr>
          <w:lang w:val="es-ES_tradnl"/>
        </w:rPr>
        <w:t>CE</w:t>
      </w:r>
      <w:r w:rsidRPr="003E6986">
        <w:rPr>
          <w:lang w:val="es-ES_tradnl"/>
        </w:rPr>
        <w:t xml:space="preserve">, el GAR y el CCV, así como </w:t>
      </w:r>
      <w:r w:rsidR="003721DD" w:rsidRPr="003E6986">
        <w:rPr>
          <w:lang w:val="es-ES_tradnl"/>
        </w:rPr>
        <w:t>los</w:t>
      </w:r>
      <w:r w:rsidRPr="003E6986">
        <w:rPr>
          <w:lang w:val="es-ES_tradnl"/>
        </w:rPr>
        <w:t xml:space="preserve"> Presidentes designados/antiguos Presidentes de</w:t>
      </w:r>
      <w:r w:rsidR="003721DD" w:rsidRPr="003E6986">
        <w:rPr>
          <w:lang w:val="es-ES_tradnl"/>
        </w:rPr>
        <w:t xml:space="preserve"> ciertos</w:t>
      </w:r>
      <w:r w:rsidRPr="003E6986">
        <w:rPr>
          <w:lang w:val="es-ES_tradnl"/>
        </w:rPr>
        <w:t xml:space="preserve"> Grupos de Trabajo por invitación del Presidente. En esta reunión del </w:t>
      </w:r>
      <w:r w:rsidR="003721DD" w:rsidRPr="003E6986">
        <w:rPr>
          <w:lang w:val="es-ES_tradnl"/>
        </w:rPr>
        <w:t xml:space="preserve">Grupo de Dirección </w:t>
      </w:r>
      <w:r w:rsidRPr="003E6986">
        <w:rPr>
          <w:lang w:val="es-ES_tradnl"/>
        </w:rPr>
        <w:t xml:space="preserve">se desarrollaron </w:t>
      </w:r>
      <w:r w:rsidR="003721DD" w:rsidRPr="003E6986">
        <w:rPr>
          <w:lang w:val="es-ES_tradnl"/>
        </w:rPr>
        <w:t>diversas</w:t>
      </w:r>
      <w:r w:rsidRPr="003E6986">
        <w:rPr>
          <w:lang w:val="es-ES_tradnl"/>
        </w:rPr>
        <w:t xml:space="preserve"> ideas</w:t>
      </w:r>
      <w:r w:rsidR="003721DD" w:rsidRPr="003E6986">
        <w:rPr>
          <w:lang w:val="es-ES_tradnl"/>
        </w:rPr>
        <w:t xml:space="preserve"> preliminares sobre</w:t>
      </w:r>
      <w:r w:rsidRPr="003E6986">
        <w:rPr>
          <w:lang w:val="es-ES_tradnl"/>
        </w:rPr>
        <w:t xml:space="preserve"> la organización de los estudios preparatorios de acuerdo con el orden del día de la CMR-27 y el orden del día preliminar de la CMR-31 (véase el Doc</w:t>
      </w:r>
      <w:r w:rsidR="003721DD" w:rsidRPr="003E6986">
        <w:rPr>
          <w:lang w:val="es-ES_tradnl"/>
        </w:rPr>
        <w:t>umento</w:t>
      </w:r>
      <w:r w:rsidR="00CB45C6">
        <w:rPr>
          <w:lang w:val="es-ES_tradnl"/>
        </w:rPr>
        <w:t xml:space="preserve"> CPM27-1/5).</w:t>
      </w:r>
    </w:p>
    <w:p w14:paraId="292A9765" w14:textId="77777777" w:rsidR="003721DD" w:rsidRPr="003E6986" w:rsidRDefault="003721DD" w:rsidP="00B842F9">
      <w:pPr>
        <w:rPr>
          <w:lang w:val="es-ES_tradnl"/>
        </w:rPr>
      </w:pPr>
      <w:r w:rsidRPr="003E6986">
        <w:rPr>
          <w:lang w:val="es-ES_tradnl"/>
        </w:rPr>
        <w:t xml:space="preserve">Los </w:t>
      </w:r>
      <w:r w:rsidR="00634FC8" w:rsidRPr="003E6986">
        <w:rPr>
          <w:lang w:val="es-ES_tradnl"/>
        </w:rPr>
        <w:t>Estados Unidos y Francia presentaron brevemente sus contribuciones sobre la organización de los estudios preparatorios (véa</w:t>
      </w:r>
      <w:r w:rsidRPr="003E6986">
        <w:rPr>
          <w:lang w:val="es-ES_tradnl"/>
        </w:rPr>
        <w:t>n</w:t>
      </w:r>
      <w:r w:rsidR="00634FC8" w:rsidRPr="003E6986">
        <w:rPr>
          <w:lang w:val="es-ES_tradnl"/>
        </w:rPr>
        <w:t>se la</w:t>
      </w:r>
      <w:r w:rsidRPr="003E6986">
        <w:rPr>
          <w:lang w:val="es-ES_tradnl"/>
        </w:rPr>
        <w:t>s</w:t>
      </w:r>
      <w:r w:rsidR="00634FC8" w:rsidRPr="003E6986">
        <w:rPr>
          <w:lang w:val="es-ES_tradnl"/>
        </w:rPr>
        <w:t xml:space="preserve"> parte</w:t>
      </w:r>
      <w:r w:rsidRPr="003E6986">
        <w:rPr>
          <w:lang w:val="es-ES_tradnl"/>
        </w:rPr>
        <w:t>s</w:t>
      </w:r>
      <w:r w:rsidR="00634FC8" w:rsidRPr="003E6986">
        <w:rPr>
          <w:lang w:val="es-ES_tradnl"/>
        </w:rPr>
        <w:t xml:space="preserve"> correspondiente</w:t>
      </w:r>
      <w:r w:rsidRPr="003E6986">
        <w:rPr>
          <w:lang w:val="es-ES_tradnl"/>
        </w:rPr>
        <w:t>s</w:t>
      </w:r>
      <w:r w:rsidR="00634FC8" w:rsidRPr="003E6986">
        <w:rPr>
          <w:lang w:val="es-ES_tradnl"/>
        </w:rPr>
        <w:t xml:space="preserve"> de los Doc</w:t>
      </w:r>
      <w:r w:rsidRPr="003E6986">
        <w:rPr>
          <w:lang w:val="es-ES_tradnl"/>
        </w:rPr>
        <w:t>umentos</w:t>
      </w:r>
      <w:r w:rsidR="00634FC8" w:rsidRPr="003E6986">
        <w:rPr>
          <w:lang w:val="es-ES_tradnl"/>
        </w:rPr>
        <w:t xml:space="preserve"> CPM27-1/6 y CPM27-1/7).</w:t>
      </w:r>
    </w:p>
    <w:p w14:paraId="1211A0D9" w14:textId="3428734B" w:rsidR="00B842F9" w:rsidRPr="003E6986" w:rsidRDefault="00634FC8" w:rsidP="003721DD">
      <w:pPr>
        <w:rPr>
          <w:lang w:val="es-ES_tradnl"/>
        </w:rPr>
      </w:pPr>
      <w:r w:rsidRPr="003E6986">
        <w:rPr>
          <w:lang w:val="es-ES_tradnl"/>
        </w:rPr>
        <w:lastRenderedPageBreak/>
        <w:t xml:space="preserve">Aunque hubo </w:t>
      </w:r>
      <w:r w:rsidR="003721DD" w:rsidRPr="003E6986">
        <w:rPr>
          <w:lang w:val="es-ES_tradnl"/>
        </w:rPr>
        <w:t xml:space="preserve">un </w:t>
      </w:r>
      <w:r w:rsidRPr="003E6986">
        <w:rPr>
          <w:lang w:val="es-ES_tradnl"/>
        </w:rPr>
        <w:t>consenso general</w:t>
      </w:r>
      <w:r w:rsidR="003721DD" w:rsidRPr="003E6986">
        <w:rPr>
          <w:lang w:val="es-ES_tradnl"/>
        </w:rPr>
        <w:t xml:space="preserve"> en cuanto a</w:t>
      </w:r>
      <w:r w:rsidRPr="003E6986">
        <w:rPr>
          <w:lang w:val="es-ES_tradnl"/>
        </w:rPr>
        <w:t xml:space="preserve"> los grupos responsables de </w:t>
      </w:r>
      <w:r w:rsidR="003721DD" w:rsidRPr="003E6986">
        <w:rPr>
          <w:lang w:val="es-ES_tradnl"/>
        </w:rPr>
        <w:t>la mayoría</w:t>
      </w:r>
      <w:r w:rsidRPr="003E6986">
        <w:rPr>
          <w:lang w:val="es-ES_tradnl"/>
        </w:rPr>
        <w:t xml:space="preserve"> </w:t>
      </w:r>
      <w:r w:rsidR="003721DD" w:rsidRPr="003E6986">
        <w:rPr>
          <w:lang w:val="es-ES_tradnl"/>
        </w:rPr>
        <w:t xml:space="preserve">de los </w:t>
      </w:r>
      <w:r w:rsidRPr="003E6986">
        <w:rPr>
          <w:lang w:val="es-ES_tradnl"/>
        </w:rPr>
        <w:t xml:space="preserve">puntos del orden del día, la reunión consideró diferentes enfoques para los puntos 1.2, 1.10, 1.12, 1.13 y 1.18 </w:t>
      </w:r>
      <w:r w:rsidR="003721DD" w:rsidRPr="003E6986">
        <w:rPr>
          <w:lang w:val="es-ES_tradnl"/>
        </w:rPr>
        <w:t xml:space="preserve">del orden del día </w:t>
      </w:r>
      <w:r w:rsidR="00CB45C6">
        <w:rPr>
          <w:lang w:val="es-ES_tradnl"/>
        </w:rPr>
        <w:t>de la CMR-27.</w:t>
      </w:r>
    </w:p>
    <w:p w14:paraId="49544F77" w14:textId="307FB1BA" w:rsidR="00B842F9" w:rsidRPr="003E6986" w:rsidRDefault="00634FC8" w:rsidP="003721DD">
      <w:pPr>
        <w:rPr>
          <w:lang w:val="es-ES_tradnl"/>
        </w:rPr>
      </w:pPr>
      <w:r w:rsidRPr="003E6986">
        <w:rPr>
          <w:lang w:val="es-ES_tradnl"/>
        </w:rPr>
        <w:t xml:space="preserve">En cuanto a los grupos contribuyentes, se introdujeron varias modificaciones </w:t>
      </w:r>
      <w:r w:rsidR="003721DD" w:rsidRPr="003E6986">
        <w:rPr>
          <w:lang w:val="es-ES_tradnl"/>
        </w:rPr>
        <w:t>en</w:t>
      </w:r>
      <w:r w:rsidRPr="003E6986">
        <w:rPr>
          <w:lang w:val="es-ES_tradnl"/>
        </w:rPr>
        <w:t xml:space="preserve"> las propuestas del Grupo </w:t>
      </w:r>
      <w:r w:rsidR="003721DD" w:rsidRPr="003E6986">
        <w:rPr>
          <w:lang w:val="es-ES_tradnl"/>
        </w:rPr>
        <w:t>de Dirección, m</w:t>
      </w:r>
      <w:r w:rsidRPr="003E6986">
        <w:rPr>
          <w:lang w:val="es-ES_tradnl"/>
        </w:rPr>
        <w:t>uchas de ellas relacionadas con los GT 1A, 3K, 3L y 3M. Los Presidentes de l</w:t>
      </w:r>
      <w:r w:rsidR="003721DD" w:rsidRPr="003E6986">
        <w:rPr>
          <w:lang w:val="es-ES_tradnl"/>
        </w:rPr>
        <w:t xml:space="preserve">a CE </w:t>
      </w:r>
      <w:r w:rsidRPr="003E6986">
        <w:rPr>
          <w:lang w:val="es-ES_tradnl"/>
        </w:rPr>
        <w:t>1 y</w:t>
      </w:r>
      <w:r w:rsidR="003721DD" w:rsidRPr="003E6986">
        <w:rPr>
          <w:lang w:val="es-ES_tradnl"/>
        </w:rPr>
        <w:t xml:space="preserve"> la CE</w:t>
      </w:r>
      <w:r w:rsidRPr="003E6986">
        <w:rPr>
          <w:lang w:val="es-ES_tradnl"/>
        </w:rPr>
        <w:t xml:space="preserve"> 3 explicaron por qué </w:t>
      </w:r>
      <w:r w:rsidR="003721DD" w:rsidRPr="003E6986">
        <w:rPr>
          <w:lang w:val="es-ES_tradnl"/>
        </w:rPr>
        <w:t>consideraban</w:t>
      </w:r>
      <w:r w:rsidRPr="003E6986">
        <w:rPr>
          <w:lang w:val="es-ES_tradnl"/>
        </w:rPr>
        <w:t xml:space="preserve"> necesarias l</w:t>
      </w:r>
      <w:r w:rsidR="00053AF3">
        <w:rPr>
          <w:lang w:val="es-ES_tradnl"/>
        </w:rPr>
        <w:t>as contribuciones de dichos GT.</w:t>
      </w:r>
    </w:p>
    <w:p w14:paraId="42796FA2" w14:textId="367F0772" w:rsidR="00B842F9" w:rsidRPr="003E6986" w:rsidRDefault="003721DD" w:rsidP="00222BB9">
      <w:pPr>
        <w:rPr>
          <w:lang w:val="es-ES_tradnl"/>
        </w:rPr>
      </w:pPr>
      <w:r w:rsidRPr="003E6986">
        <w:rPr>
          <w:lang w:val="es-ES_tradnl"/>
        </w:rPr>
        <w:t xml:space="preserve">Conforme a la práctica establecida, </w:t>
      </w:r>
      <w:r w:rsidR="00634FC8" w:rsidRPr="003E6986">
        <w:rPr>
          <w:lang w:val="es-ES_tradnl"/>
        </w:rPr>
        <w:t>el Presidente recordó que, tras la RPC27-1,</w:t>
      </w:r>
      <w:r w:rsidRPr="003E6986">
        <w:rPr>
          <w:lang w:val="es-ES_tradnl"/>
        </w:rPr>
        <w:t xml:space="preserve"> la Comisión </w:t>
      </w:r>
      <w:r w:rsidR="00634FC8" w:rsidRPr="003E6986">
        <w:rPr>
          <w:lang w:val="es-ES_tradnl"/>
        </w:rPr>
        <w:t>y/o el</w:t>
      </w:r>
      <w:r w:rsidRPr="003E6986">
        <w:rPr>
          <w:lang w:val="es-ES_tradnl"/>
        </w:rPr>
        <w:t xml:space="preserve"> Grupo de Dirección</w:t>
      </w:r>
      <w:r w:rsidR="00634FC8" w:rsidRPr="003E6986">
        <w:rPr>
          <w:lang w:val="es-ES_tradnl"/>
        </w:rPr>
        <w:t xml:space="preserve"> de la RPC-27 siempre podía </w:t>
      </w:r>
      <w:r w:rsidRPr="003E6986">
        <w:rPr>
          <w:lang w:val="es-ES_tradnl"/>
        </w:rPr>
        <w:t>examinar solicitudes justificadas de</w:t>
      </w:r>
      <w:r w:rsidR="00634FC8" w:rsidRPr="003E6986">
        <w:rPr>
          <w:lang w:val="es-ES_tradnl"/>
        </w:rPr>
        <w:t xml:space="preserve"> Presidente</w:t>
      </w:r>
      <w:r w:rsidRPr="003E6986">
        <w:rPr>
          <w:lang w:val="es-ES_tradnl"/>
        </w:rPr>
        <w:t>s</w:t>
      </w:r>
      <w:r w:rsidR="00634FC8" w:rsidRPr="003E6986">
        <w:rPr>
          <w:lang w:val="es-ES_tradnl"/>
        </w:rPr>
        <w:t xml:space="preserve"> de CE o GT </w:t>
      </w:r>
      <w:r w:rsidRPr="003E6986">
        <w:rPr>
          <w:lang w:val="es-ES_tradnl"/>
        </w:rPr>
        <w:t>con miras a la adición de</w:t>
      </w:r>
      <w:r w:rsidR="00634FC8" w:rsidRPr="003E6986">
        <w:rPr>
          <w:lang w:val="es-ES_tradnl"/>
        </w:rPr>
        <w:t xml:space="preserve"> GT como grupo</w:t>
      </w:r>
      <w:r w:rsidRPr="003E6986">
        <w:rPr>
          <w:lang w:val="es-ES_tradnl"/>
        </w:rPr>
        <w:t>s</w:t>
      </w:r>
      <w:r w:rsidR="00634FC8" w:rsidRPr="003E6986">
        <w:rPr>
          <w:lang w:val="es-ES_tradnl"/>
        </w:rPr>
        <w:t xml:space="preserve"> contribuyente</w:t>
      </w:r>
      <w:r w:rsidRPr="003E6986">
        <w:rPr>
          <w:lang w:val="es-ES_tradnl"/>
        </w:rPr>
        <w:t>s</w:t>
      </w:r>
      <w:r w:rsidR="00634FC8" w:rsidRPr="003E6986">
        <w:rPr>
          <w:lang w:val="es-ES_tradnl"/>
        </w:rPr>
        <w:t xml:space="preserve"> a los estudios </w:t>
      </w:r>
      <w:r w:rsidRPr="003E6986">
        <w:rPr>
          <w:lang w:val="es-ES_tradnl"/>
        </w:rPr>
        <w:t>relativos a</w:t>
      </w:r>
      <w:r w:rsidR="00634FC8" w:rsidRPr="003E6986">
        <w:rPr>
          <w:lang w:val="es-ES_tradnl"/>
        </w:rPr>
        <w:t xml:space="preserve"> un punto del orden del día.</w:t>
      </w:r>
    </w:p>
    <w:p w14:paraId="3DFA4052" w14:textId="55A44283" w:rsidR="00634FC8" w:rsidRPr="003E6986" w:rsidRDefault="00634FC8" w:rsidP="00B842F9">
      <w:pPr>
        <w:rPr>
          <w:lang w:val="es-ES_tradnl"/>
        </w:rPr>
      </w:pPr>
      <w:r w:rsidRPr="003E6986">
        <w:rPr>
          <w:lang w:val="es-ES_tradnl"/>
        </w:rPr>
        <w:t>La reunión acordó invitar a todos los grupos responsables y contribuyentes a considerar actividades de coordinación con el GT 1A en caso de incertidumbre sobre los elementos de ingeniería del espectro</w:t>
      </w:r>
      <w:r w:rsidR="00222BB9" w:rsidRPr="003E6986">
        <w:rPr>
          <w:lang w:val="es-ES_tradnl"/>
        </w:rPr>
        <w:t xml:space="preserve"> contemplados </w:t>
      </w:r>
      <w:r w:rsidR="00053AF3">
        <w:rPr>
          <w:lang w:val="es-ES_tradnl"/>
        </w:rPr>
        <w:t>en los estudios preparatorios.</w:t>
      </w:r>
    </w:p>
    <w:p w14:paraId="071DABE5" w14:textId="606135F2" w:rsidR="00634FC8" w:rsidRPr="003E6986" w:rsidRDefault="00634FC8" w:rsidP="00B842F9">
      <w:pPr>
        <w:rPr>
          <w:lang w:val="es-ES_tradnl"/>
        </w:rPr>
      </w:pPr>
      <w:r w:rsidRPr="003E6986">
        <w:rPr>
          <w:lang w:val="es-ES_tradnl"/>
        </w:rPr>
        <w:t>En cuanto a los GT de la CE 3, se acordó que bastar</w:t>
      </w:r>
      <w:r w:rsidR="00662F69" w:rsidRPr="003E6986">
        <w:rPr>
          <w:lang w:val="es-ES_tradnl"/>
        </w:rPr>
        <w:t>ía</w:t>
      </w:r>
      <w:r w:rsidRPr="003E6986">
        <w:rPr>
          <w:lang w:val="es-ES_tradnl"/>
        </w:rPr>
        <w:t xml:space="preserve"> con enviar la información pertinente sobre los estudios preparatorios a uno de los GT de la CE</w:t>
      </w:r>
      <w:r w:rsidR="00053AF3">
        <w:rPr>
          <w:lang w:val="es-ES_tradnl"/>
        </w:rPr>
        <w:t> </w:t>
      </w:r>
      <w:r w:rsidRPr="003E6986">
        <w:rPr>
          <w:lang w:val="es-ES_tradnl"/>
        </w:rPr>
        <w:t xml:space="preserve">3, ya que la estructura de </w:t>
      </w:r>
      <w:r w:rsidR="00662F69" w:rsidRPr="003E6986">
        <w:rPr>
          <w:lang w:val="es-ES_tradnl"/>
        </w:rPr>
        <w:t>dicha</w:t>
      </w:r>
      <w:r w:rsidRPr="003E6986">
        <w:rPr>
          <w:lang w:val="es-ES_tradnl"/>
        </w:rPr>
        <w:t xml:space="preserve"> CE</w:t>
      </w:r>
      <w:r w:rsidR="00662F69" w:rsidRPr="003E6986">
        <w:rPr>
          <w:lang w:val="es-ES_tradnl"/>
        </w:rPr>
        <w:t xml:space="preserve"> </w:t>
      </w:r>
      <w:r w:rsidRPr="003E6986">
        <w:rPr>
          <w:lang w:val="es-ES_tradnl"/>
        </w:rPr>
        <w:t>permit</w:t>
      </w:r>
      <w:r w:rsidR="00662F69" w:rsidRPr="003E6986">
        <w:rPr>
          <w:lang w:val="es-ES_tradnl"/>
        </w:rPr>
        <w:t>ía</w:t>
      </w:r>
      <w:r w:rsidRPr="003E6986">
        <w:rPr>
          <w:lang w:val="es-ES_tradnl"/>
        </w:rPr>
        <w:t xml:space="preserve"> la participación de </w:t>
      </w:r>
      <w:r w:rsidR="00662F69" w:rsidRPr="003E6986">
        <w:rPr>
          <w:lang w:val="es-ES_tradnl"/>
        </w:rPr>
        <w:t>vari</w:t>
      </w:r>
      <w:r w:rsidRPr="003E6986">
        <w:rPr>
          <w:lang w:val="es-ES_tradnl"/>
        </w:rPr>
        <w:t xml:space="preserve">os GT en </w:t>
      </w:r>
      <w:r w:rsidR="00662F69" w:rsidRPr="003E6986">
        <w:rPr>
          <w:lang w:val="es-ES_tradnl"/>
        </w:rPr>
        <w:t>una</w:t>
      </w:r>
      <w:r w:rsidRPr="003E6986">
        <w:rPr>
          <w:lang w:val="es-ES_tradnl"/>
        </w:rPr>
        <w:t xml:space="preserve"> misma reuni</w:t>
      </w:r>
      <w:r w:rsidR="00662F69" w:rsidRPr="003E6986">
        <w:rPr>
          <w:lang w:val="es-ES_tradnl"/>
        </w:rPr>
        <w:t>ón</w:t>
      </w:r>
      <w:r w:rsidRPr="003E6986">
        <w:rPr>
          <w:lang w:val="es-ES_tradnl"/>
        </w:rPr>
        <w:t xml:space="preserve">. Además, </w:t>
      </w:r>
      <w:r w:rsidR="00662F69" w:rsidRPr="003E6986">
        <w:rPr>
          <w:lang w:val="es-ES_tradnl"/>
        </w:rPr>
        <w:t>dados</w:t>
      </w:r>
      <w:r w:rsidRPr="003E6986">
        <w:rPr>
          <w:lang w:val="es-ES_tradnl"/>
        </w:rPr>
        <w:t xml:space="preserve"> los trabajos preparatorios específicos sobre las metodologías y </w:t>
      </w:r>
      <w:r w:rsidR="00C3277D" w:rsidRPr="003E6986">
        <w:rPr>
          <w:lang w:val="es-ES_tradnl"/>
        </w:rPr>
        <w:t xml:space="preserve">los </w:t>
      </w:r>
      <w:r w:rsidRPr="003E6986">
        <w:rPr>
          <w:lang w:val="es-ES_tradnl"/>
        </w:rPr>
        <w:t>criterios de propagación necesarios, se ha</w:t>
      </w:r>
      <w:r w:rsidR="00662F69" w:rsidRPr="003E6986">
        <w:rPr>
          <w:lang w:val="es-ES_tradnl"/>
        </w:rPr>
        <w:t>bía</w:t>
      </w:r>
      <w:r w:rsidRPr="003E6986">
        <w:rPr>
          <w:lang w:val="es-ES_tradnl"/>
        </w:rPr>
        <w:t xml:space="preserve"> añadido una nota </w:t>
      </w:r>
      <w:r w:rsidR="00662F69" w:rsidRPr="003E6986">
        <w:rPr>
          <w:lang w:val="es-ES_tradnl"/>
        </w:rPr>
        <w:t>a</w:t>
      </w:r>
      <w:r w:rsidRPr="003E6986">
        <w:rPr>
          <w:lang w:val="es-ES_tradnl"/>
        </w:rPr>
        <w:t>l punto 1.18 del orden del día de la CMR-27 en el cuadro re</w:t>
      </w:r>
      <w:r w:rsidR="00662F69" w:rsidRPr="003E6986">
        <w:rPr>
          <w:lang w:val="es-ES_tradnl"/>
        </w:rPr>
        <w:t>lativo a</w:t>
      </w:r>
      <w:r w:rsidRPr="003E6986">
        <w:rPr>
          <w:lang w:val="es-ES_tradnl"/>
        </w:rPr>
        <w:t xml:space="preserve"> la organización</w:t>
      </w:r>
      <w:r w:rsidR="00053AF3">
        <w:rPr>
          <w:lang w:val="es-ES_tradnl"/>
        </w:rPr>
        <w:t xml:space="preserve"> de los estudios preparatorios.</w:t>
      </w:r>
    </w:p>
    <w:p w14:paraId="78F4EAA6" w14:textId="62A3260C" w:rsidR="00B842F9" w:rsidRPr="003E6986" w:rsidRDefault="00634FC8" w:rsidP="00662F69">
      <w:pPr>
        <w:rPr>
          <w:lang w:val="es-ES_tradnl"/>
        </w:rPr>
      </w:pPr>
      <w:r w:rsidRPr="003E6986">
        <w:rPr>
          <w:lang w:val="es-ES_tradnl"/>
        </w:rPr>
        <w:t xml:space="preserve">En relación con </w:t>
      </w:r>
      <w:r w:rsidR="00662F69" w:rsidRPr="003E6986">
        <w:rPr>
          <w:lang w:val="es-ES_tradnl"/>
        </w:rPr>
        <w:t>l</w:t>
      </w:r>
      <w:r w:rsidRPr="003E6986">
        <w:rPr>
          <w:lang w:val="es-ES_tradnl"/>
        </w:rPr>
        <w:t>os puntos del orden del día</w:t>
      </w:r>
      <w:r w:rsidR="00662F69" w:rsidRPr="003E6986">
        <w:rPr>
          <w:lang w:val="es-ES_tradnl"/>
        </w:rPr>
        <w:t xml:space="preserve"> antes mencionados</w:t>
      </w:r>
      <w:r w:rsidRPr="003E6986">
        <w:rPr>
          <w:lang w:val="es-ES_tradnl"/>
        </w:rPr>
        <w:t xml:space="preserve">, se llevaron a cabo consultas fuera de línea entre las partes interesadas durante la reunión, que dieron lugar a la adición de notas en el cuadro </w:t>
      </w:r>
      <w:r w:rsidR="00662F69" w:rsidRPr="003E6986">
        <w:rPr>
          <w:lang w:val="es-ES_tradnl"/>
        </w:rPr>
        <w:t>relativos a</w:t>
      </w:r>
      <w:r w:rsidRPr="003E6986">
        <w:rPr>
          <w:lang w:val="es-ES_tradnl"/>
        </w:rPr>
        <w:t xml:space="preserve"> la organización</w:t>
      </w:r>
      <w:r w:rsidR="00053AF3">
        <w:rPr>
          <w:lang w:val="es-ES_tradnl"/>
        </w:rPr>
        <w:t xml:space="preserve"> de los estudios preparatorios.</w:t>
      </w:r>
    </w:p>
    <w:p w14:paraId="66DAE32E" w14:textId="0E1D984A" w:rsidR="00B842F9" w:rsidRPr="003E6986" w:rsidRDefault="00662F69" w:rsidP="00662F69">
      <w:pPr>
        <w:rPr>
          <w:lang w:val="es-ES_tradnl"/>
        </w:rPr>
      </w:pPr>
      <w:r w:rsidRPr="003E6986">
        <w:rPr>
          <w:lang w:val="es-ES_tradnl"/>
        </w:rPr>
        <w:t xml:space="preserve">Partiendo de </w:t>
      </w:r>
      <w:r w:rsidR="00634FC8" w:rsidRPr="003E6986">
        <w:rPr>
          <w:lang w:val="es-ES_tradnl"/>
        </w:rPr>
        <w:t xml:space="preserve">esa base, la reunión aprobó por consenso el cuadro de </w:t>
      </w:r>
      <w:r w:rsidRPr="003E6986">
        <w:rPr>
          <w:lang w:val="es-ES_tradnl"/>
        </w:rPr>
        <w:t>atribuc</w:t>
      </w:r>
      <w:r w:rsidR="00634FC8" w:rsidRPr="003E6986">
        <w:rPr>
          <w:lang w:val="es-ES_tradnl"/>
        </w:rPr>
        <w:t xml:space="preserve">ión de los trabajos preparatorios del UIT-R para la CMR-27 que figura en el Anexo 7 </w:t>
      </w:r>
      <w:r w:rsidRPr="003E6986">
        <w:rPr>
          <w:lang w:val="es-ES_tradnl"/>
        </w:rPr>
        <w:t>a</w:t>
      </w:r>
      <w:r w:rsidR="00634FC8" w:rsidRPr="003E6986">
        <w:rPr>
          <w:lang w:val="es-ES_tradnl"/>
        </w:rPr>
        <w:t xml:space="preserve"> la pr</w:t>
      </w:r>
      <w:r w:rsidR="00053AF3">
        <w:rPr>
          <w:lang w:val="es-ES_tradnl"/>
        </w:rPr>
        <w:t>esente Circular Administrativa.</w:t>
      </w:r>
    </w:p>
    <w:p w14:paraId="764A45BB" w14:textId="65360771" w:rsidR="00B842F9" w:rsidRPr="003E6986" w:rsidRDefault="00634FC8" w:rsidP="00B842F9">
      <w:pPr>
        <w:rPr>
          <w:lang w:val="es-ES_tradnl"/>
        </w:rPr>
      </w:pPr>
      <w:r w:rsidRPr="003E6986">
        <w:rPr>
          <w:lang w:val="es-ES_tradnl"/>
        </w:rPr>
        <w:t xml:space="preserve">La reunión acordó además enumerar en el Informe del Presidente los puntos del orden del día de la CMR-27 </w:t>
      </w:r>
      <w:r w:rsidR="00712442" w:rsidRPr="003E6986">
        <w:rPr>
          <w:lang w:val="es-ES_tradnl"/>
        </w:rPr>
        <w:t xml:space="preserve">en los que se abordaban las mismas </w:t>
      </w:r>
      <w:r w:rsidRPr="003E6986">
        <w:rPr>
          <w:lang w:val="es-ES_tradnl"/>
        </w:rPr>
        <w:t xml:space="preserve">bandas de frecuencias. </w:t>
      </w:r>
      <w:r w:rsidR="00712442" w:rsidRPr="003E6986">
        <w:rPr>
          <w:lang w:val="es-ES_tradnl"/>
        </w:rPr>
        <w:t>Dicha</w:t>
      </w:r>
      <w:r w:rsidRPr="003E6986">
        <w:rPr>
          <w:lang w:val="es-ES_tradnl"/>
        </w:rPr>
        <w:t xml:space="preserve"> lista figura a título informativo en el </w:t>
      </w:r>
      <w:r w:rsidR="00712442" w:rsidRPr="003E6986">
        <w:rPr>
          <w:lang w:val="es-ES_tradnl"/>
        </w:rPr>
        <w:t xml:space="preserve">Cuadro </w:t>
      </w:r>
      <w:r w:rsidRPr="003E6986">
        <w:rPr>
          <w:lang w:val="es-ES_tradnl"/>
        </w:rPr>
        <w:t xml:space="preserve">1 </w:t>
      </w:r>
      <w:r w:rsidRPr="003E6986">
        <w:rPr>
          <w:i/>
          <w:lang w:val="es-ES_tradnl"/>
        </w:rPr>
        <w:t>infra</w:t>
      </w:r>
      <w:r w:rsidRPr="003E6986">
        <w:rPr>
          <w:lang w:val="es-ES_tradnl"/>
        </w:rPr>
        <w:t xml:space="preserve">. </w:t>
      </w:r>
      <w:r w:rsidR="00712442" w:rsidRPr="003E6986">
        <w:rPr>
          <w:lang w:val="es-ES_tradnl"/>
        </w:rPr>
        <w:t>Conforme a la práctica establecida,</w:t>
      </w:r>
      <w:r w:rsidRPr="003E6986">
        <w:rPr>
          <w:lang w:val="es-ES_tradnl"/>
        </w:rPr>
        <w:t xml:space="preserve"> se invit</w:t>
      </w:r>
      <w:r w:rsidR="00712442" w:rsidRPr="003E6986">
        <w:rPr>
          <w:lang w:val="es-ES_tradnl"/>
        </w:rPr>
        <w:t>ó</w:t>
      </w:r>
      <w:r w:rsidRPr="003E6986">
        <w:rPr>
          <w:lang w:val="es-ES_tradnl"/>
        </w:rPr>
        <w:t xml:space="preserve"> a los grupos responsables a</w:t>
      </w:r>
      <w:r w:rsidR="00712442" w:rsidRPr="003E6986">
        <w:rPr>
          <w:lang w:val="es-ES_tradnl"/>
        </w:rPr>
        <w:t xml:space="preserve"> compartir entre sí y a la mayor brevedad</w:t>
      </w:r>
      <w:r w:rsidRPr="003E6986">
        <w:rPr>
          <w:lang w:val="es-ES_tradnl"/>
        </w:rPr>
        <w:t xml:space="preserve"> las características,</w:t>
      </w:r>
      <w:r w:rsidR="00712442" w:rsidRPr="003E6986">
        <w:rPr>
          <w:lang w:val="es-ES_tradnl"/>
        </w:rPr>
        <w:t xml:space="preserve"> los</w:t>
      </w:r>
      <w:r w:rsidRPr="003E6986">
        <w:rPr>
          <w:lang w:val="es-ES_tradnl"/>
        </w:rPr>
        <w:t xml:space="preserve"> parámetros y </w:t>
      </w:r>
      <w:r w:rsidR="00712442" w:rsidRPr="003E6986">
        <w:rPr>
          <w:lang w:val="es-ES_tradnl"/>
        </w:rPr>
        <w:t xml:space="preserve">los </w:t>
      </w:r>
      <w:r w:rsidRPr="003E6986">
        <w:rPr>
          <w:lang w:val="es-ES_tradnl"/>
        </w:rPr>
        <w:t xml:space="preserve">criterios de protección necesarios para completar los estudios </w:t>
      </w:r>
      <w:r w:rsidR="00712442" w:rsidRPr="003E6986">
        <w:rPr>
          <w:lang w:val="es-ES_tradnl"/>
        </w:rPr>
        <w:t>atinentes a</w:t>
      </w:r>
      <w:r w:rsidRPr="003E6986">
        <w:rPr>
          <w:lang w:val="es-ES_tradnl"/>
        </w:rPr>
        <w:t xml:space="preserve"> la compatibilidad mutua y</w:t>
      </w:r>
      <w:r w:rsidR="00712442" w:rsidRPr="003E6986">
        <w:rPr>
          <w:lang w:val="es-ES_tradnl"/>
        </w:rPr>
        <w:t xml:space="preserve"> a</w:t>
      </w:r>
      <w:r w:rsidRPr="003E6986">
        <w:rPr>
          <w:lang w:val="es-ES_tradnl"/>
        </w:rPr>
        <w:t xml:space="preserve"> la viabilidad de</w:t>
      </w:r>
      <w:r w:rsidR="00712442" w:rsidRPr="003E6986">
        <w:rPr>
          <w:lang w:val="es-ES_tradnl"/>
        </w:rPr>
        <w:t xml:space="preserve"> la</w:t>
      </w:r>
      <w:r w:rsidRPr="003E6986">
        <w:rPr>
          <w:lang w:val="es-ES_tradnl"/>
        </w:rPr>
        <w:t xml:space="preserve"> compartición entre los servicios</w:t>
      </w:r>
      <w:r w:rsidR="00016635" w:rsidRPr="003E6986">
        <w:rPr>
          <w:lang w:val="es-ES_tradnl"/>
        </w:rPr>
        <w:t xml:space="preserve"> y</w:t>
      </w:r>
      <w:r w:rsidRPr="003E6986">
        <w:rPr>
          <w:lang w:val="es-ES_tradnl"/>
        </w:rPr>
        <w:t>/</w:t>
      </w:r>
      <w:r w:rsidR="00016635" w:rsidRPr="003E6986">
        <w:rPr>
          <w:lang w:val="es-ES_tradnl"/>
        </w:rPr>
        <w:t xml:space="preserve">o las </w:t>
      </w:r>
      <w:r w:rsidRPr="003E6986">
        <w:rPr>
          <w:lang w:val="es-ES_tradnl"/>
        </w:rPr>
        <w:t xml:space="preserve">aplicaciones </w:t>
      </w:r>
      <w:r w:rsidR="00712442" w:rsidRPr="003E6986">
        <w:rPr>
          <w:lang w:val="es-ES_tradnl"/>
        </w:rPr>
        <w:t>pertinentes</w:t>
      </w:r>
      <w:r w:rsidRPr="003E6986">
        <w:rPr>
          <w:lang w:val="es-ES_tradnl"/>
        </w:rPr>
        <w:t>.</w:t>
      </w:r>
      <w:r w:rsidR="00712442" w:rsidRPr="003E6986">
        <w:rPr>
          <w:lang w:val="es-ES_tradnl"/>
        </w:rPr>
        <w:t xml:space="preserve"> En ese sentido, sería necesario coordinar los trabajos y examinar, según proced</w:t>
      </w:r>
      <w:r w:rsidR="00016635" w:rsidRPr="003E6986">
        <w:rPr>
          <w:lang w:val="es-ES_tradnl"/>
        </w:rPr>
        <w:t>ier</w:t>
      </w:r>
      <w:r w:rsidR="00712442" w:rsidRPr="003E6986">
        <w:rPr>
          <w:lang w:val="es-ES_tradnl"/>
        </w:rPr>
        <w:t>a, la evolución de los estudios a fin de resolver eventuales problemas</w:t>
      </w:r>
      <w:r w:rsidRPr="003E6986">
        <w:rPr>
          <w:lang w:val="es-ES_tradnl"/>
        </w:rPr>
        <w:t>. En caso de dificultad, se invit</w:t>
      </w:r>
      <w:r w:rsidR="00712442" w:rsidRPr="003E6986">
        <w:rPr>
          <w:lang w:val="es-ES_tradnl"/>
        </w:rPr>
        <w:t>ó</w:t>
      </w:r>
      <w:r w:rsidRPr="003E6986">
        <w:rPr>
          <w:lang w:val="es-ES_tradnl"/>
        </w:rPr>
        <w:t xml:space="preserve"> a los grupos responsables a informar al Grupo </w:t>
      </w:r>
      <w:r w:rsidR="00712442" w:rsidRPr="003E6986">
        <w:rPr>
          <w:lang w:val="es-ES_tradnl"/>
        </w:rPr>
        <w:t>de Dirección</w:t>
      </w:r>
      <w:r w:rsidRPr="003E6986">
        <w:rPr>
          <w:lang w:val="es-ES_tradnl"/>
        </w:rPr>
        <w:t xml:space="preserve"> de la RPC-27 para obtener más orientación.</w:t>
      </w:r>
    </w:p>
    <w:p w14:paraId="6E989F61" w14:textId="77777777" w:rsidR="008653C7" w:rsidRDefault="008653C7">
      <w:pPr>
        <w:tabs>
          <w:tab w:val="clear" w:pos="794"/>
          <w:tab w:val="clear" w:pos="1191"/>
          <w:tab w:val="clear" w:pos="1588"/>
          <w:tab w:val="clear" w:pos="1985"/>
        </w:tabs>
        <w:overflowPunct/>
        <w:autoSpaceDE/>
        <w:autoSpaceDN/>
        <w:adjustRightInd/>
        <w:spacing w:before="0" w:line="240" w:lineRule="auto"/>
        <w:jc w:val="left"/>
        <w:textAlignment w:val="auto"/>
        <w:rPr>
          <w:rFonts w:cs="Times New Roman"/>
          <w:caps/>
          <w:sz w:val="20"/>
          <w:szCs w:val="20"/>
          <w:lang w:val="es-ES_tradnl"/>
        </w:rPr>
      </w:pPr>
      <w:r>
        <w:rPr>
          <w:lang w:val="es-ES_tradnl"/>
        </w:rPr>
        <w:br w:type="page"/>
      </w:r>
    </w:p>
    <w:p w14:paraId="1A6217F6" w14:textId="166CFFA8" w:rsidR="00B842F9" w:rsidRPr="003E6986" w:rsidRDefault="00634FC8" w:rsidP="003E6986">
      <w:pPr>
        <w:pStyle w:val="TableNo"/>
        <w:rPr>
          <w:lang w:val="es-ES_tradnl"/>
        </w:rPr>
      </w:pPr>
      <w:r w:rsidRPr="003E6986">
        <w:rPr>
          <w:lang w:val="es-ES_tradnl"/>
        </w:rPr>
        <w:lastRenderedPageBreak/>
        <w:t>CUADRO</w:t>
      </w:r>
      <w:r w:rsidR="00B842F9" w:rsidRPr="003E6986">
        <w:rPr>
          <w:lang w:val="es-ES_tradnl"/>
        </w:rPr>
        <w:t xml:space="preserve"> 1</w:t>
      </w:r>
    </w:p>
    <w:p w14:paraId="403E0A1D" w14:textId="226947D3" w:rsidR="00B842F9" w:rsidRPr="003E6986" w:rsidRDefault="00585B00" w:rsidP="00585B00">
      <w:pPr>
        <w:pStyle w:val="Tabletitle"/>
        <w:rPr>
          <w:rFonts w:asciiTheme="minorHAnsi" w:hAnsiTheme="minorHAnsi" w:cstheme="minorHAnsi"/>
          <w:lang w:val="es-ES_tradnl" w:eastAsia="zh-CN"/>
        </w:rPr>
      </w:pPr>
      <w:r w:rsidRPr="003E6986">
        <w:rPr>
          <w:rFonts w:asciiTheme="minorHAnsi" w:hAnsiTheme="minorHAnsi" w:cstheme="minorHAnsi"/>
          <w:szCs w:val="24"/>
          <w:lang w:val="es-ES_tradnl" w:eastAsia="zh-CN"/>
        </w:rPr>
        <w:t>Puntos del orden del día de la CMR-27 en los que se abordaban las mismas bandas de frecuencias</w:t>
      </w:r>
      <w:r w:rsidRPr="003E6986">
        <w:rPr>
          <w:rFonts w:asciiTheme="minorHAnsi" w:hAnsiTheme="minorHAnsi" w:cstheme="minorHAnsi"/>
          <w:lang w:val="es-ES_tradnl" w:eastAsia="zh-CN"/>
        </w:rPr>
        <w:t xml:space="preserve"> </w:t>
      </w:r>
    </w:p>
    <w:tbl>
      <w:tblPr>
        <w:tblStyle w:val="TableGrid"/>
        <w:tblW w:w="9634" w:type="dxa"/>
        <w:jc w:val="center"/>
        <w:tblLook w:val="04A0" w:firstRow="1" w:lastRow="0" w:firstColumn="1" w:lastColumn="0" w:noHBand="0" w:noVBand="1"/>
      </w:tblPr>
      <w:tblGrid>
        <w:gridCol w:w="4248"/>
        <w:gridCol w:w="5386"/>
      </w:tblGrid>
      <w:tr w:rsidR="00B842F9" w:rsidRPr="008653C7" w14:paraId="2F1A28BD" w14:textId="77777777" w:rsidTr="003E6986">
        <w:trPr>
          <w:jc w:val="center"/>
        </w:trPr>
        <w:tc>
          <w:tcPr>
            <w:tcW w:w="4248" w:type="dxa"/>
          </w:tcPr>
          <w:p w14:paraId="2716DAE5" w14:textId="7F773B64" w:rsidR="00B842F9" w:rsidRPr="003E6986" w:rsidRDefault="00585B00" w:rsidP="003E6986">
            <w:pPr>
              <w:pStyle w:val="TableHead0"/>
              <w:rPr>
                <w:rFonts w:asciiTheme="minorHAnsi" w:hAnsiTheme="minorHAnsi" w:cstheme="minorHAnsi"/>
                <w:sz w:val="20"/>
                <w:szCs w:val="16"/>
                <w:lang w:val="es-ES_tradnl" w:eastAsia="zh-CN"/>
              </w:rPr>
            </w:pPr>
            <w:r w:rsidRPr="003E6986">
              <w:rPr>
                <w:rFonts w:asciiTheme="minorHAnsi" w:hAnsiTheme="minorHAnsi" w:cstheme="minorHAnsi"/>
                <w:sz w:val="20"/>
                <w:szCs w:val="16"/>
                <w:lang w:val="es-ES_tradnl" w:eastAsia="zh-CN"/>
              </w:rPr>
              <w:t>Bandas de frecuencias</w:t>
            </w:r>
          </w:p>
        </w:tc>
        <w:tc>
          <w:tcPr>
            <w:tcW w:w="5386" w:type="dxa"/>
          </w:tcPr>
          <w:p w14:paraId="32D84D4C" w14:textId="29DB4C3E" w:rsidR="00B842F9" w:rsidRPr="003E6986" w:rsidRDefault="00585B00" w:rsidP="003E6986">
            <w:pPr>
              <w:pStyle w:val="TableHead0"/>
              <w:rPr>
                <w:rFonts w:asciiTheme="minorHAnsi" w:hAnsiTheme="minorHAnsi" w:cstheme="minorHAnsi"/>
                <w:sz w:val="20"/>
                <w:szCs w:val="16"/>
                <w:lang w:val="es-ES_tradnl" w:eastAsia="zh-CN"/>
              </w:rPr>
            </w:pPr>
            <w:r w:rsidRPr="003E6986">
              <w:rPr>
                <w:rFonts w:asciiTheme="minorHAnsi" w:hAnsiTheme="minorHAnsi" w:cstheme="minorHAnsi"/>
                <w:sz w:val="20"/>
                <w:szCs w:val="16"/>
                <w:lang w:val="es-ES_tradnl" w:eastAsia="zh-CN"/>
              </w:rPr>
              <w:t xml:space="preserve">Puntos del orden del día de la CMR-27 </w:t>
            </w:r>
            <w:r w:rsidR="00B842F9" w:rsidRPr="003E6986">
              <w:rPr>
                <w:rFonts w:asciiTheme="minorHAnsi" w:hAnsiTheme="minorHAnsi" w:cstheme="minorHAnsi"/>
                <w:sz w:val="20"/>
                <w:szCs w:val="16"/>
                <w:lang w:val="es-ES_tradnl" w:eastAsia="zh-CN"/>
              </w:rPr>
              <w:t>(</w:t>
            </w:r>
            <w:r w:rsidRPr="003E6986">
              <w:rPr>
                <w:rFonts w:asciiTheme="minorHAnsi" w:hAnsiTheme="minorHAnsi" w:cstheme="minorHAnsi"/>
                <w:sz w:val="20"/>
                <w:szCs w:val="16"/>
                <w:lang w:val="es-ES_tradnl" w:eastAsia="zh-CN"/>
              </w:rPr>
              <w:t>grupos responsables</w:t>
            </w:r>
            <w:r w:rsidR="00B842F9" w:rsidRPr="003E6986">
              <w:rPr>
                <w:rFonts w:asciiTheme="minorHAnsi" w:hAnsiTheme="minorHAnsi" w:cstheme="minorHAnsi"/>
                <w:sz w:val="20"/>
                <w:szCs w:val="16"/>
                <w:lang w:val="es-ES_tradnl" w:eastAsia="zh-CN"/>
              </w:rPr>
              <w:t>)</w:t>
            </w:r>
          </w:p>
        </w:tc>
      </w:tr>
      <w:tr w:rsidR="00B842F9" w:rsidRPr="003E6986" w14:paraId="2575CEBE" w14:textId="77777777" w:rsidTr="003E6986">
        <w:trPr>
          <w:jc w:val="center"/>
        </w:trPr>
        <w:tc>
          <w:tcPr>
            <w:tcW w:w="4248" w:type="dxa"/>
          </w:tcPr>
          <w:p w14:paraId="1999A31E" w14:textId="10AD4061"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1 427-1 432 MHz; 1</w:t>
            </w:r>
            <w:r w:rsidR="00585B00" w:rsidRPr="003E6986">
              <w:rPr>
                <w:rFonts w:asciiTheme="minorHAnsi" w:hAnsiTheme="minorHAnsi"/>
                <w:sz w:val="20"/>
                <w:lang w:val="es-ES_tradnl" w:eastAsia="zh-CN"/>
              </w:rPr>
              <w:t> </w:t>
            </w:r>
            <w:r w:rsidRPr="003E6986">
              <w:rPr>
                <w:rFonts w:asciiTheme="minorHAnsi" w:hAnsiTheme="minorHAnsi"/>
                <w:sz w:val="20"/>
                <w:lang w:val="es-ES_tradnl" w:eastAsia="zh-CN"/>
              </w:rPr>
              <w:t>645</w:t>
            </w:r>
            <w:r w:rsidR="00585B00" w:rsidRPr="003E6986">
              <w:rPr>
                <w:rFonts w:asciiTheme="minorHAnsi" w:hAnsiTheme="minorHAnsi"/>
                <w:sz w:val="20"/>
                <w:lang w:val="es-ES_tradnl" w:eastAsia="zh-CN"/>
              </w:rPr>
              <w:t>,</w:t>
            </w:r>
            <w:r w:rsidRPr="003E6986">
              <w:rPr>
                <w:rFonts w:asciiTheme="minorHAnsi" w:hAnsiTheme="minorHAnsi"/>
                <w:sz w:val="20"/>
                <w:lang w:val="es-ES_tradnl" w:eastAsia="zh-CN"/>
              </w:rPr>
              <w:t>5-1</w:t>
            </w:r>
            <w:r w:rsidR="00585B00" w:rsidRPr="003E6986">
              <w:rPr>
                <w:rFonts w:asciiTheme="minorHAnsi" w:hAnsiTheme="minorHAnsi"/>
                <w:sz w:val="20"/>
                <w:lang w:val="es-ES_tradnl" w:eastAsia="zh-CN"/>
              </w:rPr>
              <w:t> </w:t>
            </w:r>
            <w:r w:rsidRPr="003E6986">
              <w:rPr>
                <w:rFonts w:asciiTheme="minorHAnsi" w:hAnsiTheme="minorHAnsi"/>
                <w:sz w:val="20"/>
                <w:lang w:val="es-ES_tradnl" w:eastAsia="zh-CN"/>
              </w:rPr>
              <w:t>646</w:t>
            </w:r>
            <w:r w:rsidR="00585B00" w:rsidRPr="003E6986">
              <w:rPr>
                <w:rFonts w:asciiTheme="minorHAnsi" w:hAnsiTheme="minorHAnsi"/>
                <w:sz w:val="20"/>
                <w:lang w:val="es-ES_tradnl" w:eastAsia="zh-CN"/>
              </w:rPr>
              <w:t>,</w:t>
            </w:r>
            <w:r w:rsidRPr="003E6986">
              <w:rPr>
                <w:rFonts w:asciiTheme="minorHAnsi" w:hAnsiTheme="minorHAnsi"/>
                <w:sz w:val="20"/>
                <w:lang w:val="es-ES_tradnl" w:eastAsia="zh-CN"/>
              </w:rPr>
              <w:t xml:space="preserve">5 MHz; </w:t>
            </w:r>
            <w:r w:rsidRPr="003E6986">
              <w:rPr>
                <w:rFonts w:asciiTheme="minorHAnsi" w:hAnsiTheme="minorHAnsi"/>
                <w:sz w:val="20"/>
                <w:lang w:val="es-ES_tradnl" w:eastAsia="zh-CN"/>
              </w:rPr>
              <w:br/>
              <w:t>1 880-1 920 MHz</w:t>
            </w:r>
          </w:p>
        </w:tc>
        <w:tc>
          <w:tcPr>
            <w:tcW w:w="5386" w:type="dxa"/>
          </w:tcPr>
          <w:p w14:paraId="3613822D" w14:textId="6E51D900"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1.12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4C); 1.13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4C)</w:t>
            </w:r>
          </w:p>
        </w:tc>
      </w:tr>
      <w:tr w:rsidR="00B842F9" w:rsidRPr="003E6986" w14:paraId="03896D37" w14:textId="77777777" w:rsidTr="003E6986">
        <w:trPr>
          <w:jc w:val="center"/>
        </w:trPr>
        <w:tc>
          <w:tcPr>
            <w:tcW w:w="4248" w:type="dxa"/>
          </w:tcPr>
          <w:p w14:paraId="3389130F" w14:textId="04F96BFB" w:rsidR="00B842F9" w:rsidRPr="00A527DC" w:rsidRDefault="00B842F9" w:rsidP="003E6986">
            <w:pPr>
              <w:pStyle w:val="TableText0"/>
              <w:rPr>
                <w:rFonts w:asciiTheme="minorHAnsi" w:hAnsiTheme="minorHAnsi"/>
                <w:sz w:val="20"/>
                <w:lang w:eastAsia="zh-CN"/>
              </w:rPr>
            </w:pPr>
            <w:r w:rsidRPr="00A527DC">
              <w:rPr>
                <w:rFonts w:asciiTheme="minorHAnsi" w:hAnsiTheme="minorHAnsi"/>
                <w:sz w:val="20"/>
                <w:lang w:eastAsia="zh-CN"/>
              </w:rPr>
              <w:t xml:space="preserve">1 518-1 544 MHz; 1 545-1 559 MHz; </w:t>
            </w:r>
            <w:r w:rsidRPr="00A527DC">
              <w:rPr>
                <w:rFonts w:asciiTheme="minorHAnsi" w:hAnsiTheme="minorHAnsi"/>
                <w:sz w:val="20"/>
                <w:lang w:eastAsia="zh-CN"/>
              </w:rPr>
              <w:br/>
              <w:t>1 610-1</w:t>
            </w:r>
            <w:r w:rsidR="00585B00" w:rsidRPr="00A527DC">
              <w:rPr>
                <w:rFonts w:asciiTheme="minorHAnsi" w:hAnsiTheme="minorHAnsi"/>
                <w:sz w:val="20"/>
                <w:lang w:eastAsia="zh-CN"/>
              </w:rPr>
              <w:t> </w:t>
            </w:r>
            <w:r w:rsidRPr="00A527DC">
              <w:rPr>
                <w:rFonts w:asciiTheme="minorHAnsi" w:hAnsiTheme="minorHAnsi"/>
                <w:sz w:val="20"/>
                <w:lang w:eastAsia="zh-CN"/>
              </w:rPr>
              <w:t>645</w:t>
            </w:r>
            <w:r w:rsidR="00585B00" w:rsidRPr="00A527DC">
              <w:rPr>
                <w:rFonts w:asciiTheme="minorHAnsi" w:hAnsiTheme="minorHAnsi"/>
                <w:sz w:val="20"/>
                <w:lang w:eastAsia="zh-CN"/>
              </w:rPr>
              <w:t>,</w:t>
            </w:r>
            <w:r w:rsidRPr="00A527DC">
              <w:rPr>
                <w:rFonts w:asciiTheme="minorHAnsi" w:hAnsiTheme="minorHAnsi"/>
                <w:sz w:val="20"/>
                <w:lang w:eastAsia="zh-CN"/>
              </w:rPr>
              <w:t>5 MHz; 1</w:t>
            </w:r>
            <w:r w:rsidR="00585B00" w:rsidRPr="00A527DC">
              <w:rPr>
                <w:rFonts w:asciiTheme="minorHAnsi" w:hAnsiTheme="minorHAnsi"/>
                <w:sz w:val="20"/>
                <w:lang w:eastAsia="zh-CN"/>
              </w:rPr>
              <w:t> </w:t>
            </w:r>
            <w:r w:rsidRPr="00A527DC">
              <w:rPr>
                <w:rFonts w:asciiTheme="minorHAnsi" w:hAnsiTheme="minorHAnsi"/>
                <w:sz w:val="20"/>
                <w:lang w:eastAsia="zh-CN"/>
              </w:rPr>
              <w:t>646</w:t>
            </w:r>
            <w:r w:rsidR="00585B00" w:rsidRPr="00A527DC">
              <w:rPr>
                <w:rFonts w:asciiTheme="minorHAnsi" w:hAnsiTheme="minorHAnsi"/>
                <w:sz w:val="20"/>
                <w:lang w:eastAsia="zh-CN"/>
              </w:rPr>
              <w:t>,</w:t>
            </w:r>
            <w:r w:rsidRPr="00A527DC">
              <w:rPr>
                <w:rFonts w:asciiTheme="minorHAnsi" w:hAnsiTheme="minorHAnsi"/>
                <w:sz w:val="20"/>
                <w:lang w:eastAsia="zh-CN"/>
              </w:rPr>
              <w:t xml:space="preserve">5-1 660 MHz; </w:t>
            </w:r>
            <w:r w:rsidRPr="00A527DC">
              <w:rPr>
                <w:rFonts w:asciiTheme="minorHAnsi" w:hAnsiTheme="minorHAnsi"/>
                <w:sz w:val="20"/>
                <w:lang w:eastAsia="zh-CN"/>
              </w:rPr>
              <w:br/>
              <w:t>1 670-1 675 MHz</w:t>
            </w:r>
          </w:p>
        </w:tc>
        <w:tc>
          <w:tcPr>
            <w:tcW w:w="5386" w:type="dxa"/>
          </w:tcPr>
          <w:p w14:paraId="2CACFD98" w14:textId="308687CD"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1.11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4C); 1.13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4C)</w:t>
            </w:r>
          </w:p>
        </w:tc>
      </w:tr>
      <w:tr w:rsidR="00B842F9" w:rsidRPr="003E6986" w14:paraId="645107D3" w14:textId="77777777" w:rsidTr="003E6986">
        <w:trPr>
          <w:jc w:val="center"/>
        </w:trPr>
        <w:tc>
          <w:tcPr>
            <w:tcW w:w="4248" w:type="dxa"/>
          </w:tcPr>
          <w:p w14:paraId="4A2F84E9" w14:textId="77777777"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2 010-2 025 MHz</w:t>
            </w:r>
          </w:p>
        </w:tc>
        <w:tc>
          <w:tcPr>
            <w:tcW w:w="5386" w:type="dxa"/>
          </w:tcPr>
          <w:p w14:paraId="1C0AC5C0" w14:textId="2F821DB5"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1.12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4C); 1.13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4C); 1.14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4C)</w:t>
            </w:r>
          </w:p>
        </w:tc>
      </w:tr>
      <w:tr w:rsidR="00B842F9" w:rsidRPr="003E6986" w14:paraId="5803B83E" w14:textId="77777777" w:rsidTr="003E6986">
        <w:trPr>
          <w:jc w:val="center"/>
        </w:trPr>
        <w:tc>
          <w:tcPr>
            <w:tcW w:w="4248" w:type="dxa"/>
          </w:tcPr>
          <w:p w14:paraId="13A628E2" w14:textId="77777777"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2 120-2 160 MHz; 2 160-2 170 MHz</w:t>
            </w:r>
          </w:p>
        </w:tc>
        <w:tc>
          <w:tcPr>
            <w:tcW w:w="5386" w:type="dxa"/>
          </w:tcPr>
          <w:p w14:paraId="687B29E9" w14:textId="6E68F510"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1.13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4C); 1.14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4C)</w:t>
            </w:r>
          </w:p>
        </w:tc>
      </w:tr>
      <w:tr w:rsidR="00B842F9" w:rsidRPr="003E6986" w14:paraId="759622F7" w14:textId="77777777" w:rsidTr="003E6986">
        <w:trPr>
          <w:jc w:val="center"/>
        </w:trPr>
        <w:tc>
          <w:tcPr>
            <w:tcW w:w="4248" w:type="dxa"/>
          </w:tcPr>
          <w:p w14:paraId="21C0123E" w14:textId="7F2053ED"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2</w:t>
            </w:r>
            <w:r w:rsidR="00585B00" w:rsidRPr="003E6986">
              <w:rPr>
                <w:rFonts w:asciiTheme="minorHAnsi" w:hAnsiTheme="minorHAnsi"/>
                <w:sz w:val="20"/>
                <w:lang w:val="es-ES_tradnl" w:eastAsia="zh-CN"/>
              </w:rPr>
              <w:t> </w:t>
            </w:r>
            <w:r w:rsidRPr="003E6986">
              <w:rPr>
                <w:rFonts w:asciiTheme="minorHAnsi" w:hAnsiTheme="minorHAnsi"/>
                <w:sz w:val="20"/>
                <w:lang w:val="es-ES_tradnl" w:eastAsia="zh-CN"/>
              </w:rPr>
              <w:t>483</w:t>
            </w:r>
            <w:r w:rsidR="00585B00" w:rsidRPr="003E6986">
              <w:rPr>
                <w:rFonts w:asciiTheme="minorHAnsi" w:hAnsiTheme="minorHAnsi"/>
                <w:sz w:val="20"/>
                <w:lang w:val="es-ES_tradnl" w:eastAsia="zh-CN"/>
              </w:rPr>
              <w:t>,</w:t>
            </w:r>
            <w:r w:rsidRPr="003E6986">
              <w:rPr>
                <w:rFonts w:asciiTheme="minorHAnsi" w:hAnsiTheme="minorHAnsi"/>
                <w:sz w:val="20"/>
                <w:lang w:val="es-ES_tradnl" w:eastAsia="zh-CN"/>
              </w:rPr>
              <w:t>5-2 500 MHz</w:t>
            </w:r>
          </w:p>
        </w:tc>
        <w:tc>
          <w:tcPr>
            <w:tcW w:w="5386" w:type="dxa"/>
          </w:tcPr>
          <w:p w14:paraId="6088A7B1" w14:textId="299AD553"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1.11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4C); 1.13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4C); 1.15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7B)</w:t>
            </w:r>
          </w:p>
        </w:tc>
      </w:tr>
      <w:tr w:rsidR="00B842F9" w:rsidRPr="003E6986" w14:paraId="524733C8" w14:textId="77777777" w:rsidTr="003E6986">
        <w:trPr>
          <w:jc w:val="center"/>
        </w:trPr>
        <w:tc>
          <w:tcPr>
            <w:tcW w:w="4248" w:type="dxa"/>
          </w:tcPr>
          <w:p w14:paraId="1BC84CA0" w14:textId="247C6865"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2 400</w:t>
            </w:r>
            <w:r w:rsidRPr="003E6986">
              <w:rPr>
                <w:rFonts w:ascii="Cambria Math" w:hAnsi="Cambria Math" w:cs="Cambria Math"/>
                <w:sz w:val="20"/>
                <w:lang w:val="es-ES_tradnl" w:eastAsia="zh-CN"/>
              </w:rPr>
              <w:t>‑</w:t>
            </w:r>
            <w:r w:rsidRPr="003E6986">
              <w:rPr>
                <w:rFonts w:asciiTheme="minorHAnsi" w:hAnsiTheme="minorHAnsi"/>
                <w:sz w:val="20"/>
                <w:lang w:val="es-ES_tradnl" w:eastAsia="zh-CN"/>
              </w:rPr>
              <w:t>2</w:t>
            </w:r>
            <w:r w:rsidR="00585B00" w:rsidRPr="003E6986">
              <w:rPr>
                <w:rFonts w:asciiTheme="minorHAnsi" w:hAnsiTheme="minorHAnsi" w:cs="Calibri"/>
                <w:sz w:val="20"/>
                <w:lang w:val="es-ES_tradnl" w:eastAsia="zh-CN"/>
              </w:rPr>
              <w:t> </w:t>
            </w:r>
            <w:r w:rsidRPr="003E6986">
              <w:rPr>
                <w:rFonts w:asciiTheme="minorHAnsi" w:hAnsiTheme="minorHAnsi"/>
                <w:sz w:val="20"/>
                <w:lang w:val="es-ES_tradnl" w:eastAsia="zh-CN"/>
              </w:rPr>
              <w:t>483</w:t>
            </w:r>
            <w:r w:rsidR="00585B00" w:rsidRPr="003E6986">
              <w:rPr>
                <w:rFonts w:asciiTheme="minorHAnsi" w:hAnsiTheme="minorHAnsi"/>
                <w:sz w:val="20"/>
                <w:lang w:val="es-ES_tradnl" w:eastAsia="zh-CN"/>
              </w:rPr>
              <w:t>,</w:t>
            </w:r>
            <w:r w:rsidRPr="003E6986">
              <w:rPr>
                <w:rFonts w:asciiTheme="minorHAnsi" w:hAnsiTheme="minorHAnsi"/>
                <w:sz w:val="20"/>
                <w:lang w:val="es-ES_tradnl" w:eastAsia="zh-CN"/>
              </w:rPr>
              <w:t>5</w:t>
            </w:r>
            <w:r w:rsidRPr="003E6986">
              <w:rPr>
                <w:rFonts w:asciiTheme="minorHAnsi" w:hAnsiTheme="minorHAnsi" w:cs="Calibri"/>
                <w:sz w:val="20"/>
                <w:lang w:val="es-ES_tradnl" w:eastAsia="zh-CN"/>
              </w:rPr>
              <w:t> </w:t>
            </w:r>
            <w:r w:rsidRPr="003E6986">
              <w:rPr>
                <w:rFonts w:asciiTheme="minorHAnsi" w:hAnsiTheme="minorHAnsi"/>
                <w:sz w:val="20"/>
                <w:lang w:val="es-ES_tradnl" w:eastAsia="zh-CN"/>
              </w:rPr>
              <w:t>MHz; 2</w:t>
            </w:r>
            <w:r w:rsidRPr="003E6986">
              <w:rPr>
                <w:rFonts w:asciiTheme="minorHAnsi" w:hAnsiTheme="minorHAnsi" w:cs="Calibri"/>
                <w:sz w:val="20"/>
                <w:lang w:val="es-ES_tradnl" w:eastAsia="zh-CN"/>
              </w:rPr>
              <w:t> </w:t>
            </w:r>
            <w:r w:rsidRPr="003E6986">
              <w:rPr>
                <w:rFonts w:asciiTheme="minorHAnsi" w:hAnsiTheme="minorHAnsi"/>
                <w:sz w:val="20"/>
                <w:lang w:val="es-ES_tradnl" w:eastAsia="zh-CN"/>
              </w:rPr>
              <w:t>500</w:t>
            </w:r>
            <w:r w:rsidRPr="003E6986">
              <w:rPr>
                <w:rFonts w:ascii="Cambria Math" w:hAnsi="Cambria Math" w:cs="Cambria Math"/>
                <w:sz w:val="20"/>
                <w:lang w:val="es-ES_tradnl" w:eastAsia="zh-CN"/>
              </w:rPr>
              <w:t>‑</w:t>
            </w:r>
            <w:r w:rsidRPr="003E6986">
              <w:rPr>
                <w:rFonts w:asciiTheme="minorHAnsi" w:hAnsiTheme="minorHAnsi"/>
                <w:sz w:val="20"/>
                <w:lang w:val="es-ES_tradnl" w:eastAsia="zh-CN"/>
              </w:rPr>
              <w:t>2</w:t>
            </w:r>
            <w:r w:rsidRPr="003E6986">
              <w:rPr>
                <w:rFonts w:asciiTheme="minorHAnsi" w:hAnsiTheme="minorHAnsi" w:cs="Calibri"/>
                <w:sz w:val="20"/>
                <w:lang w:val="es-ES_tradnl" w:eastAsia="zh-CN"/>
              </w:rPr>
              <w:t> </w:t>
            </w:r>
            <w:r w:rsidRPr="003E6986">
              <w:rPr>
                <w:rFonts w:asciiTheme="minorHAnsi" w:hAnsiTheme="minorHAnsi"/>
                <w:sz w:val="20"/>
                <w:lang w:val="es-ES_tradnl" w:eastAsia="zh-CN"/>
              </w:rPr>
              <w:t>690</w:t>
            </w:r>
            <w:r w:rsidRPr="003E6986">
              <w:rPr>
                <w:rFonts w:asciiTheme="minorHAnsi" w:hAnsiTheme="minorHAnsi" w:cs="Calibri"/>
                <w:sz w:val="20"/>
                <w:lang w:val="es-ES_tradnl" w:eastAsia="zh-CN"/>
              </w:rPr>
              <w:t> </w:t>
            </w:r>
            <w:r w:rsidRPr="003E6986">
              <w:rPr>
                <w:rFonts w:asciiTheme="minorHAnsi" w:hAnsiTheme="minorHAnsi"/>
                <w:sz w:val="20"/>
                <w:lang w:val="es-ES_tradnl" w:eastAsia="zh-CN"/>
              </w:rPr>
              <w:t>MHz</w:t>
            </w:r>
          </w:p>
        </w:tc>
        <w:tc>
          <w:tcPr>
            <w:tcW w:w="5386" w:type="dxa"/>
          </w:tcPr>
          <w:p w14:paraId="6E30695E" w14:textId="6FBEBC04"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1.13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4C); 1.15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7B)</w:t>
            </w:r>
          </w:p>
        </w:tc>
      </w:tr>
      <w:tr w:rsidR="00B842F9" w:rsidRPr="003E6986" w14:paraId="4A8EE3A9" w14:textId="77777777" w:rsidTr="003E6986">
        <w:trPr>
          <w:jc w:val="center"/>
        </w:trPr>
        <w:tc>
          <w:tcPr>
            <w:tcW w:w="4248" w:type="dxa"/>
          </w:tcPr>
          <w:p w14:paraId="109A6A95" w14:textId="77777777"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7 190-7 235 MHz</w:t>
            </w:r>
          </w:p>
        </w:tc>
        <w:tc>
          <w:tcPr>
            <w:tcW w:w="5386" w:type="dxa"/>
          </w:tcPr>
          <w:p w14:paraId="0EF79153" w14:textId="6604CCB6"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1.7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5D); 1.15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7B)</w:t>
            </w:r>
          </w:p>
        </w:tc>
      </w:tr>
      <w:tr w:rsidR="00B842F9" w:rsidRPr="003E6986" w14:paraId="245FAA40" w14:textId="77777777" w:rsidTr="003E6986">
        <w:trPr>
          <w:jc w:val="center"/>
        </w:trPr>
        <w:tc>
          <w:tcPr>
            <w:tcW w:w="4248" w:type="dxa"/>
          </w:tcPr>
          <w:p w14:paraId="66C0A14F" w14:textId="77777777"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8 450-8 500 MHz</w:t>
            </w:r>
          </w:p>
        </w:tc>
        <w:tc>
          <w:tcPr>
            <w:tcW w:w="5386" w:type="dxa"/>
          </w:tcPr>
          <w:p w14:paraId="06F94884" w14:textId="52F8984E"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1.15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7B); 1.19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7C)</w:t>
            </w:r>
          </w:p>
        </w:tc>
      </w:tr>
      <w:tr w:rsidR="00B842F9" w:rsidRPr="003E6986" w14:paraId="4B83DF33" w14:textId="77777777" w:rsidTr="003E6986">
        <w:trPr>
          <w:jc w:val="center"/>
        </w:trPr>
        <w:tc>
          <w:tcPr>
            <w:tcW w:w="4248" w:type="dxa"/>
          </w:tcPr>
          <w:p w14:paraId="051318DE" w14:textId="478C9BFF" w:rsidR="00B842F9" w:rsidRPr="003E6986" w:rsidRDefault="00053AF3" w:rsidP="003E6986">
            <w:pPr>
              <w:pStyle w:val="TableText0"/>
              <w:rPr>
                <w:rFonts w:asciiTheme="minorHAnsi" w:hAnsiTheme="minorHAnsi"/>
                <w:sz w:val="20"/>
                <w:lang w:val="es-ES_tradnl" w:eastAsia="zh-CN"/>
              </w:rPr>
            </w:pPr>
            <w:r>
              <w:rPr>
                <w:rFonts w:asciiTheme="minorHAnsi" w:hAnsiTheme="minorHAnsi"/>
                <w:sz w:val="20"/>
                <w:lang w:val="es-ES_tradnl" w:eastAsia="zh-CN"/>
              </w:rPr>
              <w:t>42,</w:t>
            </w:r>
            <w:r w:rsidR="00B842F9" w:rsidRPr="003E6986">
              <w:rPr>
                <w:rFonts w:asciiTheme="minorHAnsi" w:hAnsiTheme="minorHAnsi"/>
                <w:sz w:val="20"/>
                <w:lang w:val="es-ES_tradnl" w:eastAsia="zh-CN"/>
              </w:rPr>
              <w:t>5-43</w:t>
            </w:r>
            <w:r w:rsidR="00585B00" w:rsidRPr="003E6986">
              <w:rPr>
                <w:rFonts w:asciiTheme="minorHAnsi" w:hAnsiTheme="minorHAnsi"/>
                <w:sz w:val="20"/>
                <w:lang w:val="es-ES_tradnl" w:eastAsia="zh-CN"/>
              </w:rPr>
              <w:t>,</w:t>
            </w:r>
            <w:r w:rsidR="00B842F9" w:rsidRPr="003E6986">
              <w:rPr>
                <w:rFonts w:asciiTheme="minorHAnsi" w:hAnsiTheme="minorHAnsi"/>
                <w:sz w:val="20"/>
                <w:lang w:val="es-ES_tradnl" w:eastAsia="zh-CN"/>
              </w:rPr>
              <w:t>5 GHz</w:t>
            </w:r>
          </w:p>
        </w:tc>
        <w:tc>
          <w:tcPr>
            <w:tcW w:w="5386" w:type="dxa"/>
          </w:tcPr>
          <w:p w14:paraId="48ADB84B" w14:textId="356D6C1F"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1.6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4A); 1.16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7D)</w:t>
            </w:r>
          </w:p>
        </w:tc>
      </w:tr>
      <w:tr w:rsidR="00B842F9" w:rsidRPr="003E6986" w14:paraId="3E79AC0B" w14:textId="77777777" w:rsidTr="003E6986">
        <w:trPr>
          <w:jc w:val="center"/>
        </w:trPr>
        <w:tc>
          <w:tcPr>
            <w:tcW w:w="4248" w:type="dxa"/>
          </w:tcPr>
          <w:p w14:paraId="1D168C15" w14:textId="38CDD440" w:rsidR="00B842F9" w:rsidRPr="003E6986" w:rsidRDefault="00053AF3" w:rsidP="003E6986">
            <w:pPr>
              <w:pStyle w:val="TableText0"/>
              <w:rPr>
                <w:rFonts w:asciiTheme="minorHAnsi" w:hAnsiTheme="minorHAnsi"/>
                <w:sz w:val="20"/>
                <w:lang w:val="es-ES_tradnl" w:eastAsia="zh-CN"/>
              </w:rPr>
            </w:pPr>
            <w:r>
              <w:rPr>
                <w:rFonts w:asciiTheme="minorHAnsi" w:hAnsiTheme="minorHAnsi"/>
                <w:sz w:val="20"/>
                <w:lang w:val="es-ES_tradnl" w:eastAsia="zh-CN"/>
              </w:rPr>
              <w:t>47,</w:t>
            </w:r>
            <w:r w:rsidR="00B842F9" w:rsidRPr="003E6986">
              <w:rPr>
                <w:rFonts w:asciiTheme="minorHAnsi" w:hAnsiTheme="minorHAnsi"/>
                <w:sz w:val="20"/>
                <w:lang w:val="es-ES_tradnl" w:eastAsia="zh-CN"/>
              </w:rPr>
              <w:t>2-50</w:t>
            </w:r>
            <w:r w:rsidR="00585B00" w:rsidRPr="003E6986">
              <w:rPr>
                <w:rFonts w:asciiTheme="minorHAnsi" w:hAnsiTheme="minorHAnsi"/>
                <w:sz w:val="20"/>
                <w:lang w:val="es-ES_tradnl" w:eastAsia="zh-CN"/>
              </w:rPr>
              <w:t>,</w:t>
            </w:r>
            <w:r w:rsidR="00B842F9" w:rsidRPr="003E6986">
              <w:rPr>
                <w:rFonts w:asciiTheme="minorHAnsi" w:hAnsiTheme="minorHAnsi"/>
                <w:sz w:val="20"/>
                <w:lang w:val="es-ES_tradnl" w:eastAsia="zh-CN"/>
              </w:rPr>
              <w:t>2 GHz; 50</w:t>
            </w:r>
            <w:r w:rsidR="00585B00" w:rsidRPr="003E6986">
              <w:rPr>
                <w:rFonts w:asciiTheme="minorHAnsi" w:hAnsiTheme="minorHAnsi"/>
                <w:sz w:val="20"/>
                <w:lang w:val="es-ES_tradnl" w:eastAsia="zh-CN"/>
              </w:rPr>
              <w:t>,</w:t>
            </w:r>
            <w:r w:rsidR="00B842F9" w:rsidRPr="003E6986">
              <w:rPr>
                <w:rFonts w:asciiTheme="minorHAnsi" w:hAnsiTheme="minorHAnsi"/>
                <w:sz w:val="20"/>
                <w:lang w:val="es-ES_tradnl" w:eastAsia="zh-CN"/>
              </w:rPr>
              <w:t>4-51</w:t>
            </w:r>
            <w:r w:rsidR="00585B00" w:rsidRPr="003E6986">
              <w:rPr>
                <w:rFonts w:asciiTheme="minorHAnsi" w:hAnsiTheme="minorHAnsi"/>
                <w:sz w:val="20"/>
                <w:lang w:val="es-ES_tradnl" w:eastAsia="zh-CN"/>
              </w:rPr>
              <w:t>,</w:t>
            </w:r>
            <w:r w:rsidR="00B842F9" w:rsidRPr="003E6986">
              <w:rPr>
                <w:rFonts w:asciiTheme="minorHAnsi" w:hAnsiTheme="minorHAnsi"/>
                <w:sz w:val="20"/>
                <w:lang w:val="es-ES_tradnl" w:eastAsia="zh-CN"/>
              </w:rPr>
              <w:t>4 GHz</w:t>
            </w:r>
          </w:p>
        </w:tc>
        <w:tc>
          <w:tcPr>
            <w:tcW w:w="5386" w:type="dxa"/>
          </w:tcPr>
          <w:p w14:paraId="0508D255" w14:textId="5A4C56B8"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1.1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4A); 1.6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4A)</w:t>
            </w:r>
          </w:p>
        </w:tc>
      </w:tr>
      <w:tr w:rsidR="00B842F9" w:rsidRPr="008653C7" w14:paraId="0F3620A7" w14:textId="77777777" w:rsidTr="003E6986">
        <w:trPr>
          <w:jc w:val="center"/>
        </w:trPr>
        <w:tc>
          <w:tcPr>
            <w:tcW w:w="4248" w:type="dxa"/>
          </w:tcPr>
          <w:p w14:paraId="5CC9FF6E" w14:textId="77777777"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71-76 GHz</w:t>
            </w:r>
          </w:p>
        </w:tc>
        <w:tc>
          <w:tcPr>
            <w:tcW w:w="5386" w:type="dxa"/>
          </w:tcPr>
          <w:p w14:paraId="4C590C35" w14:textId="149DC175" w:rsidR="00B842F9" w:rsidRPr="008653C7" w:rsidRDefault="00B842F9" w:rsidP="003E6986">
            <w:pPr>
              <w:pStyle w:val="TableText0"/>
              <w:rPr>
                <w:rFonts w:asciiTheme="minorHAnsi" w:hAnsiTheme="minorHAnsi"/>
                <w:sz w:val="20"/>
                <w:lang w:val="fr-FR" w:eastAsia="zh-CN"/>
              </w:rPr>
            </w:pPr>
            <w:r w:rsidRPr="008653C7">
              <w:rPr>
                <w:rFonts w:asciiTheme="minorHAnsi" w:hAnsiTheme="minorHAnsi"/>
                <w:sz w:val="20"/>
                <w:lang w:val="fr-FR" w:eastAsia="zh-CN"/>
              </w:rPr>
              <w:t>1.10 (</w:t>
            </w:r>
            <w:r w:rsidR="00585B00" w:rsidRPr="008653C7">
              <w:rPr>
                <w:rFonts w:asciiTheme="minorHAnsi" w:hAnsiTheme="minorHAnsi"/>
                <w:sz w:val="20"/>
                <w:lang w:val="fr-FR" w:eastAsia="zh-CN"/>
              </w:rPr>
              <w:t xml:space="preserve">GT </w:t>
            </w:r>
            <w:proofErr w:type="spellStart"/>
            <w:r w:rsidRPr="008653C7">
              <w:rPr>
                <w:rFonts w:asciiTheme="minorHAnsi" w:hAnsiTheme="minorHAnsi"/>
                <w:sz w:val="20"/>
                <w:lang w:val="fr-FR" w:eastAsia="zh-CN"/>
              </w:rPr>
              <w:t>5C</w:t>
            </w:r>
            <w:proofErr w:type="spellEnd"/>
            <w:r w:rsidRPr="008653C7">
              <w:rPr>
                <w:rFonts w:asciiTheme="minorHAnsi" w:hAnsiTheme="minorHAnsi"/>
                <w:sz w:val="20"/>
                <w:lang w:val="fr-FR" w:eastAsia="zh-CN"/>
              </w:rPr>
              <w:t>); 1.16 (</w:t>
            </w:r>
            <w:r w:rsidR="00585B00" w:rsidRPr="008653C7">
              <w:rPr>
                <w:rFonts w:asciiTheme="minorHAnsi" w:hAnsiTheme="minorHAnsi"/>
                <w:sz w:val="20"/>
                <w:lang w:val="fr-FR" w:eastAsia="zh-CN"/>
              </w:rPr>
              <w:t xml:space="preserve">GT </w:t>
            </w:r>
            <w:proofErr w:type="spellStart"/>
            <w:r w:rsidRPr="008653C7">
              <w:rPr>
                <w:rFonts w:asciiTheme="minorHAnsi" w:hAnsiTheme="minorHAnsi"/>
                <w:sz w:val="20"/>
                <w:lang w:val="fr-FR" w:eastAsia="zh-CN"/>
              </w:rPr>
              <w:t>7D</w:t>
            </w:r>
            <w:proofErr w:type="spellEnd"/>
            <w:r w:rsidRPr="008653C7">
              <w:rPr>
                <w:rFonts w:asciiTheme="minorHAnsi" w:hAnsiTheme="minorHAnsi"/>
                <w:sz w:val="20"/>
                <w:lang w:val="fr-FR" w:eastAsia="zh-CN"/>
              </w:rPr>
              <w:t>); 1.18 (</w:t>
            </w:r>
            <w:r w:rsidR="00585B00" w:rsidRPr="008653C7">
              <w:rPr>
                <w:rFonts w:asciiTheme="minorHAnsi" w:hAnsiTheme="minorHAnsi"/>
                <w:sz w:val="20"/>
                <w:lang w:val="fr-FR" w:eastAsia="zh-CN"/>
              </w:rPr>
              <w:t>GT</w:t>
            </w:r>
            <w:r w:rsidRPr="008653C7">
              <w:rPr>
                <w:rFonts w:asciiTheme="minorHAnsi" w:hAnsiTheme="minorHAnsi"/>
                <w:sz w:val="20"/>
                <w:lang w:val="fr-FR" w:eastAsia="zh-CN"/>
              </w:rPr>
              <w:t xml:space="preserve"> </w:t>
            </w:r>
            <w:proofErr w:type="spellStart"/>
            <w:r w:rsidRPr="008653C7">
              <w:rPr>
                <w:rFonts w:asciiTheme="minorHAnsi" w:hAnsiTheme="minorHAnsi"/>
                <w:sz w:val="20"/>
                <w:lang w:val="fr-FR" w:eastAsia="zh-CN"/>
              </w:rPr>
              <w:t>7C</w:t>
            </w:r>
            <w:proofErr w:type="spellEnd"/>
            <w:r w:rsidRPr="008653C7">
              <w:rPr>
                <w:rFonts w:asciiTheme="minorHAnsi" w:hAnsiTheme="minorHAnsi"/>
                <w:sz w:val="20"/>
                <w:lang w:val="fr-FR" w:eastAsia="zh-CN"/>
              </w:rPr>
              <w:t xml:space="preserve"> </w:t>
            </w:r>
            <w:r w:rsidR="00585B00" w:rsidRPr="008653C7">
              <w:rPr>
                <w:rFonts w:asciiTheme="minorHAnsi" w:hAnsiTheme="minorHAnsi"/>
                <w:sz w:val="20"/>
                <w:lang w:val="fr-FR" w:eastAsia="zh-CN"/>
              </w:rPr>
              <w:t>y GT</w:t>
            </w:r>
            <w:r w:rsidRPr="008653C7">
              <w:rPr>
                <w:rFonts w:asciiTheme="minorHAnsi" w:hAnsiTheme="minorHAnsi"/>
                <w:sz w:val="20"/>
                <w:lang w:val="fr-FR" w:eastAsia="zh-CN"/>
              </w:rPr>
              <w:t xml:space="preserve"> </w:t>
            </w:r>
            <w:proofErr w:type="spellStart"/>
            <w:r w:rsidRPr="008653C7">
              <w:rPr>
                <w:rFonts w:asciiTheme="minorHAnsi" w:hAnsiTheme="minorHAnsi"/>
                <w:sz w:val="20"/>
                <w:lang w:val="fr-FR" w:eastAsia="zh-CN"/>
              </w:rPr>
              <w:t>7D</w:t>
            </w:r>
            <w:proofErr w:type="spellEnd"/>
            <w:r w:rsidRPr="008653C7">
              <w:rPr>
                <w:rFonts w:asciiTheme="minorHAnsi" w:hAnsiTheme="minorHAnsi"/>
                <w:sz w:val="20"/>
                <w:lang w:val="fr-FR" w:eastAsia="zh-CN"/>
              </w:rPr>
              <w:t>)</w:t>
            </w:r>
          </w:p>
        </w:tc>
      </w:tr>
      <w:tr w:rsidR="00B842F9" w:rsidRPr="00A527DC" w14:paraId="2DEBCDA2" w14:textId="77777777" w:rsidTr="003E6986">
        <w:trPr>
          <w:jc w:val="center"/>
        </w:trPr>
        <w:tc>
          <w:tcPr>
            <w:tcW w:w="4248" w:type="dxa"/>
          </w:tcPr>
          <w:p w14:paraId="2A8F6084" w14:textId="77777777"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81-86 GHz</w:t>
            </w:r>
          </w:p>
        </w:tc>
        <w:tc>
          <w:tcPr>
            <w:tcW w:w="5386" w:type="dxa"/>
          </w:tcPr>
          <w:p w14:paraId="5976641F" w14:textId="1B7F81DF"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1.10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5C); 1.18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 xml:space="preserve">7C </w:t>
            </w:r>
            <w:r w:rsidR="00585B00" w:rsidRPr="003E6986">
              <w:rPr>
                <w:rFonts w:asciiTheme="minorHAnsi" w:hAnsiTheme="minorHAnsi"/>
                <w:sz w:val="20"/>
                <w:lang w:val="es-ES_tradnl" w:eastAsia="zh-CN"/>
              </w:rPr>
              <w:t>y</w:t>
            </w:r>
            <w:r w:rsidRPr="003E6986">
              <w:rPr>
                <w:rFonts w:asciiTheme="minorHAnsi" w:hAnsiTheme="minorHAnsi"/>
                <w:sz w:val="20"/>
                <w:lang w:val="es-ES_tradnl" w:eastAsia="zh-CN"/>
              </w:rPr>
              <w:t xml:space="preserve">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7D)</w:t>
            </w:r>
          </w:p>
        </w:tc>
      </w:tr>
      <w:tr w:rsidR="00B842F9" w:rsidRPr="00A527DC" w14:paraId="3E5FCC4E" w14:textId="77777777" w:rsidTr="003E6986">
        <w:trPr>
          <w:jc w:val="center"/>
        </w:trPr>
        <w:tc>
          <w:tcPr>
            <w:tcW w:w="4248" w:type="dxa"/>
          </w:tcPr>
          <w:p w14:paraId="4A3C878F" w14:textId="03524316"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114</w:t>
            </w:r>
            <w:r w:rsidR="00585B00" w:rsidRPr="003E6986">
              <w:rPr>
                <w:rFonts w:asciiTheme="minorHAnsi" w:hAnsiTheme="minorHAnsi"/>
                <w:sz w:val="20"/>
                <w:lang w:val="es-ES_tradnl" w:eastAsia="zh-CN"/>
              </w:rPr>
              <w:t>,</w:t>
            </w:r>
            <w:r w:rsidRPr="003E6986">
              <w:rPr>
                <w:rFonts w:asciiTheme="minorHAnsi" w:hAnsiTheme="minorHAnsi"/>
                <w:sz w:val="20"/>
                <w:lang w:val="es-ES_tradnl" w:eastAsia="zh-CN"/>
              </w:rPr>
              <w:t>25-116 GHz; 130-134 GHz</w:t>
            </w:r>
          </w:p>
        </w:tc>
        <w:tc>
          <w:tcPr>
            <w:tcW w:w="5386" w:type="dxa"/>
          </w:tcPr>
          <w:p w14:paraId="0F294C46" w14:textId="41E7650D" w:rsidR="00B842F9" w:rsidRPr="003E6986" w:rsidRDefault="00B842F9" w:rsidP="003E6986">
            <w:pPr>
              <w:pStyle w:val="TableText0"/>
              <w:rPr>
                <w:rFonts w:asciiTheme="minorHAnsi" w:hAnsiTheme="minorHAnsi"/>
                <w:sz w:val="20"/>
                <w:lang w:val="es-ES_tradnl" w:eastAsia="zh-CN"/>
              </w:rPr>
            </w:pPr>
            <w:r w:rsidRPr="003E6986">
              <w:rPr>
                <w:rFonts w:asciiTheme="minorHAnsi" w:hAnsiTheme="minorHAnsi"/>
                <w:sz w:val="20"/>
                <w:lang w:val="es-ES_tradnl" w:eastAsia="zh-CN"/>
              </w:rPr>
              <w:t>1.16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7D); 1.18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 xml:space="preserve">7C </w:t>
            </w:r>
            <w:r w:rsidR="00585B00" w:rsidRPr="003E6986">
              <w:rPr>
                <w:rFonts w:asciiTheme="minorHAnsi" w:hAnsiTheme="minorHAnsi"/>
                <w:sz w:val="20"/>
                <w:lang w:val="es-ES_tradnl" w:eastAsia="zh-CN"/>
              </w:rPr>
              <w:t>y</w:t>
            </w:r>
            <w:r w:rsidRPr="003E6986">
              <w:rPr>
                <w:rFonts w:asciiTheme="minorHAnsi" w:hAnsiTheme="minorHAnsi"/>
                <w:sz w:val="20"/>
                <w:lang w:val="es-ES_tradnl" w:eastAsia="zh-CN"/>
              </w:rPr>
              <w:t xml:space="preserve"> </w:t>
            </w:r>
            <w:r w:rsidR="00585B00" w:rsidRPr="003E6986">
              <w:rPr>
                <w:rFonts w:asciiTheme="minorHAnsi" w:hAnsiTheme="minorHAnsi"/>
                <w:sz w:val="20"/>
                <w:lang w:val="es-ES_tradnl" w:eastAsia="zh-CN"/>
              </w:rPr>
              <w:t xml:space="preserve">GT </w:t>
            </w:r>
            <w:r w:rsidRPr="003E6986">
              <w:rPr>
                <w:rFonts w:asciiTheme="minorHAnsi" w:hAnsiTheme="minorHAnsi"/>
                <w:sz w:val="20"/>
                <w:lang w:val="es-ES_tradnl" w:eastAsia="zh-CN"/>
              </w:rPr>
              <w:t>7D)</w:t>
            </w:r>
          </w:p>
        </w:tc>
      </w:tr>
    </w:tbl>
    <w:p w14:paraId="7C2DB2FC" w14:textId="4236E090" w:rsidR="00B842F9" w:rsidRPr="003E6986" w:rsidRDefault="00B842F9" w:rsidP="00B842F9">
      <w:pPr>
        <w:pStyle w:val="Heading1"/>
        <w:spacing w:before="240"/>
        <w:rPr>
          <w:rStyle w:val="Heading1Char1"/>
          <w:rFonts w:asciiTheme="minorHAnsi" w:hAnsiTheme="minorHAnsi" w:cstheme="minorHAnsi"/>
          <w:b/>
          <w:bCs/>
          <w:lang w:val="es-ES_tradnl"/>
        </w:rPr>
      </w:pPr>
      <w:r w:rsidRPr="003E6986">
        <w:rPr>
          <w:rStyle w:val="Heading1Char1"/>
          <w:rFonts w:asciiTheme="minorHAnsi" w:hAnsiTheme="minorHAnsi" w:cstheme="minorHAnsi"/>
          <w:b/>
          <w:bCs/>
          <w:lang w:val="es-ES_tradnl"/>
        </w:rPr>
        <w:t>4</w:t>
      </w:r>
      <w:r w:rsidRPr="003E6986">
        <w:rPr>
          <w:rStyle w:val="Heading1Char1"/>
          <w:rFonts w:asciiTheme="minorHAnsi" w:hAnsiTheme="minorHAnsi" w:cstheme="minorHAnsi"/>
          <w:b/>
          <w:bCs/>
          <w:lang w:val="es-ES_tradnl"/>
        </w:rPr>
        <w:tab/>
      </w:r>
      <w:r w:rsidR="00585B00" w:rsidRPr="003E6986">
        <w:rPr>
          <w:rStyle w:val="Heading1Char1"/>
          <w:rFonts w:asciiTheme="minorHAnsi" w:hAnsiTheme="minorHAnsi" w:cstheme="minorHAnsi"/>
          <w:b/>
          <w:bCs/>
          <w:lang w:val="es-ES_tradnl"/>
        </w:rPr>
        <w:t>Organización de los estudios preparatorios para la CMR siguiente (CMR-31)</w:t>
      </w:r>
    </w:p>
    <w:p w14:paraId="003867E9" w14:textId="534C9201" w:rsidR="00B842F9" w:rsidRPr="003E6986" w:rsidRDefault="00585B00" w:rsidP="00B842F9">
      <w:pPr>
        <w:rPr>
          <w:rStyle w:val="Heading1Char1"/>
          <w:rFonts w:asciiTheme="minorHAnsi" w:hAnsiTheme="minorHAnsi" w:cstheme="minorHAnsi"/>
          <w:b w:val="0"/>
          <w:szCs w:val="24"/>
          <w:lang w:val="es-ES_tradnl" w:eastAsia="zh-CN"/>
        </w:rPr>
      </w:pPr>
      <w:r w:rsidRPr="003E6986">
        <w:rPr>
          <w:rFonts w:asciiTheme="minorHAnsi" w:hAnsiTheme="minorHAnsi" w:cstheme="minorHAnsi"/>
          <w:szCs w:val="24"/>
          <w:u w:val="single"/>
          <w:lang w:val="es-ES_tradnl"/>
        </w:rPr>
        <w:t>Contribuciones</w:t>
      </w:r>
      <w:r w:rsidR="00B842F9" w:rsidRPr="003E6986">
        <w:rPr>
          <w:rFonts w:asciiTheme="minorHAnsi" w:hAnsiTheme="minorHAnsi" w:cstheme="minorHAnsi"/>
          <w:szCs w:val="24"/>
          <w:lang w:val="es-ES_tradnl"/>
        </w:rPr>
        <w:t xml:space="preserve">: </w:t>
      </w:r>
      <w:hyperlink r:id="rId24" w:history="1">
        <w:proofErr w:type="spellStart"/>
        <w:r w:rsidR="00B842F9" w:rsidRPr="003E6986">
          <w:rPr>
            <w:rStyle w:val="Hyperlink"/>
            <w:rFonts w:asciiTheme="minorHAnsi" w:hAnsiTheme="minorHAnsi" w:cstheme="minorHAnsi"/>
            <w:szCs w:val="24"/>
            <w:lang w:val="es-ES_tradnl"/>
          </w:rPr>
          <w:t>CPM27</w:t>
        </w:r>
        <w:proofErr w:type="spellEnd"/>
        <w:r w:rsidR="00B842F9" w:rsidRPr="003E6986">
          <w:rPr>
            <w:rStyle w:val="Hyperlink"/>
            <w:rFonts w:asciiTheme="minorHAnsi" w:hAnsiTheme="minorHAnsi" w:cstheme="minorHAnsi"/>
            <w:szCs w:val="24"/>
            <w:lang w:val="es-ES_tradnl"/>
          </w:rPr>
          <w:t>-1/5 (Anex</w:t>
        </w:r>
        <w:r w:rsidRPr="003E6986">
          <w:rPr>
            <w:rStyle w:val="Hyperlink"/>
            <w:rFonts w:asciiTheme="minorHAnsi" w:hAnsiTheme="minorHAnsi" w:cstheme="minorHAnsi"/>
            <w:szCs w:val="24"/>
            <w:lang w:val="es-ES_tradnl"/>
          </w:rPr>
          <w:t>o</w:t>
        </w:r>
        <w:r w:rsidR="00B842F9" w:rsidRPr="003E6986">
          <w:rPr>
            <w:rStyle w:val="Hyperlink"/>
            <w:rFonts w:asciiTheme="minorHAnsi" w:hAnsiTheme="minorHAnsi" w:cstheme="minorHAnsi"/>
            <w:szCs w:val="24"/>
            <w:lang w:val="es-ES_tradnl"/>
          </w:rPr>
          <w:t xml:space="preserve"> 2)</w:t>
        </w:r>
      </w:hyperlink>
      <w:r w:rsidR="00B842F9" w:rsidRPr="003E6986">
        <w:rPr>
          <w:rFonts w:asciiTheme="minorHAnsi" w:hAnsiTheme="minorHAnsi" w:cstheme="minorHAnsi"/>
          <w:szCs w:val="24"/>
          <w:lang w:val="es-ES_tradnl"/>
        </w:rPr>
        <w:t xml:space="preserve">, </w:t>
      </w:r>
      <w:hyperlink r:id="rId25" w:history="1">
        <w:proofErr w:type="spellStart"/>
        <w:r w:rsidR="00B842F9" w:rsidRPr="003E6986">
          <w:rPr>
            <w:rStyle w:val="Hyperlink"/>
            <w:rFonts w:asciiTheme="minorHAnsi" w:hAnsiTheme="minorHAnsi" w:cstheme="minorHAnsi"/>
            <w:szCs w:val="24"/>
            <w:lang w:val="es-ES_tradnl"/>
          </w:rPr>
          <w:t>CPM27</w:t>
        </w:r>
        <w:proofErr w:type="spellEnd"/>
        <w:r w:rsidR="00B842F9" w:rsidRPr="003E6986">
          <w:rPr>
            <w:rStyle w:val="Hyperlink"/>
            <w:rFonts w:asciiTheme="minorHAnsi" w:hAnsiTheme="minorHAnsi" w:cstheme="minorHAnsi"/>
            <w:szCs w:val="24"/>
            <w:lang w:val="es-ES_tradnl"/>
          </w:rPr>
          <w:t>-1/6</w:t>
        </w:r>
        <w:r w:rsidR="00B842F9" w:rsidRPr="003E6986">
          <w:rPr>
            <w:rStyle w:val="Hyperlink"/>
            <w:rFonts w:asciiTheme="minorHAnsi" w:hAnsiTheme="minorHAnsi" w:cstheme="minorHAnsi"/>
            <w:position w:val="6"/>
            <w:szCs w:val="24"/>
            <w:lang w:val="es-ES_tradnl"/>
          </w:rPr>
          <w:t>*</w:t>
        </w:r>
        <w:r w:rsidR="00B842F9" w:rsidRPr="003E6986">
          <w:rPr>
            <w:rStyle w:val="Hyperlink"/>
            <w:rFonts w:asciiTheme="minorHAnsi" w:hAnsiTheme="minorHAnsi" w:cstheme="minorHAnsi"/>
            <w:szCs w:val="24"/>
            <w:lang w:val="es-ES_tradnl"/>
          </w:rPr>
          <w:t xml:space="preserve"> (Anex</w:t>
        </w:r>
        <w:r w:rsidRPr="003E6986">
          <w:rPr>
            <w:rStyle w:val="Hyperlink"/>
            <w:rFonts w:asciiTheme="minorHAnsi" w:hAnsiTheme="minorHAnsi" w:cstheme="minorHAnsi"/>
            <w:szCs w:val="24"/>
            <w:lang w:val="es-ES_tradnl"/>
          </w:rPr>
          <w:t>o</w:t>
        </w:r>
        <w:r w:rsidR="00B842F9" w:rsidRPr="003E6986">
          <w:rPr>
            <w:rStyle w:val="Hyperlink"/>
            <w:rFonts w:asciiTheme="minorHAnsi" w:hAnsiTheme="minorHAnsi" w:cstheme="minorHAnsi"/>
            <w:szCs w:val="24"/>
            <w:lang w:val="es-ES_tradnl"/>
          </w:rPr>
          <w:t xml:space="preserve"> 5)</w:t>
        </w:r>
      </w:hyperlink>
    </w:p>
    <w:p w14:paraId="0EF6FA96" w14:textId="7F7EA231" w:rsidR="00B842F9" w:rsidRPr="003E6986" w:rsidRDefault="00585B00" w:rsidP="003E6986">
      <w:pPr>
        <w:rPr>
          <w:lang w:val="es-ES_tradnl"/>
        </w:rPr>
      </w:pPr>
      <w:r w:rsidRPr="003E6986">
        <w:rPr>
          <w:lang w:val="es-ES_tradnl"/>
        </w:rPr>
        <w:t>Se presentaron brevemente la</w:t>
      </w:r>
      <w:r w:rsidR="00227689">
        <w:rPr>
          <w:lang w:val="es-ES_tradnl"/>
        </w:rPr>
        <w:t>s</w:t>
      </w:r>
      <w:r w:rsidRPr="003E6986">
        <w:rPr>
          <w:lang w:val="es-ES_tradnl"/>
        </w:rPr>
        <w:t xml:space="preserve"> partes pertinentes de los Documentos CPM27-1/5 y CPM27-1/6 sobre la organización de los estudio</w:t>
      </w:r>
      <w:r w:rsidR="00227689">
        <w:rPr>
          <w:lang w:val="es-ES_tradnl"/>
        </w:rPr>
        <w:t>s preparatorios para la CMR-31.</w:t>
      </w:r>
    </w:p>
    <w:p w14:paraId="33F81506" w14:textId="7EDD528C" w:rsidR="00B842F9" w:rsidRPr="003E6986" w:rsidRDefault="00585B00" w:rsidP="003E6986">
      <w:pPr>
        <w:rPr>
          <w:lang w:val="es-ES_tradnl"/>
        </w:rPr>
      </w:pPr>
      <w:r w:rsidRPr="003E6986">
        <w:rPr>
          <w:lang w:val="es-ES_tradnl"/>
        </w:rPr>
        <w:t>En general hubo consenso en que, para los puntos del orden del día preliminar de la CMR-31, basta</w:t>
      </w:r>
      <w:r w:rsidR="00EC1C3C" w:rsidRPr="003E6986">
        <w:rPr>
          <w:lang w:val="es-ES_tradnl"/>
        </w:rPr>
        <w:t>ba</w:t>
      </w:r>
      <w:r w:rsidRPr="003E6986">
        <w:rPr>
          <w:lang w:val="es-ES_tradnl"/>
        </w:rPr>
        <w:t xml:space="preserve"> con</w:t>
      </w:r>
      <w:r w:rsidR="00EC1C3C" w:rsidRPr="003E6986">
        <w:rPr>
          <w:lang w:val="es-ES_tradnl"/>
        </w:rPr>
        <w:t xml:space="preserve"> identificar </w:t>
      </w:r>
      <w:r w:rsidRPr="003E6986">
        <w:rPr>
          <w:lang w:val="es-ES_tradnl"/>
        </w:rPr>
        <w:t xml:space="preserve">un grupo como </w:t>
      </w:r>
      <w:r w:rsidR="00EC1C3C" w:rsidRPr="003E6986">
        <w:rPr>
          <w:lang w:val="es-ES_tradnl"/>
        </w:rPr>
        <w:t xml:space="preserve">encargado de </w:t>
      </w:r>
      <w:r w:rsidRPr="003E6986">
        <w:rPr>
          <w:lang w:val="es-ES_tradnl"/>
        </w:rPr>
        <w:t xml:space="preserve">recopilar información </w:t>
      </w:r>
      <w:r w:rsidR="00EC1C3C" w:rsidRPr="003E6986">
        <w:rPr>
          <w:lang w:val="es-ES_tradnl"/>
        </w:rPr>
        <w:t>para</w:t>
      </w:r>
      <w:r w:rsidRPr="003E6986">
        <w:rPr>
          <w:lang w:val="es-ES_tradnl"/>
        </w:rPr>
        <w:t xml:space="preserve"> los estudios y</w:t>
      </w:r>
      <w:r w:rsidR="00EC1C3C" w:rsidRPr="003E6986">
        <w:rPr>
          <w:lang w:val="es-ES_tradnl"/>
        </w:rPr>
        <w:t xml:space="preserve"> en que no era</w:t>
      </w:r>
      <w:r w:rsidRPr="003E6986">
        <w:rPr>
          <w:lang w:val="es-ES_tradnl"/>
        </w:rPr>
        <w:t xml:space="preserve"> necesario identificar a los grupos contribuyentes (con la excepción del punto 2.14 del orden del día preliminar). </w:t>
      </w:r>
      <w:r w:rsidR="00EC1C3C" w:rsidRPr="003E6986">
        <w:rPr>
          <w:lang w:val="es-ES_tradnl"/>
        </w:rPr>
        <w:t>También</w:t>
      </w:r>
      <w:r w:rsidRPr="003E6986">
        <w:rPr>
          <w:lang w:val="es-ES_tradnl"/>
        </w:rPr>
        <w:t xml:space="preserve"> se llevaron a cabo algunas consultas fuera de línea para aclarar las responsabilidades relativas al punto </w:t>
      </w:r>
      <w:r w:rsidR="00EC1C3C" w:rsidRPr="003E6986">
        <w:rPr>
          <w:lang w:val="es-ES_tradnl"/>
        </w:rPr>
        <w:t xml:space="preserve">2.13 </w:t>
      </w:r>
      <w:r w:rsidRPr="003E6986">
        <w:rPr>
          <w:lang w:val="es-ES_tradnl"/>
        </w:rPr>
        <w:t>del orden del día preliminar,</w:t>
      </w:r>
      <w:r w:rsidR="00EC1C3C" w:rsidRPr="003E6986">
        <w:rPr>
          <w:lang w:val="es-ES_tradnl"/>
        </w:rPr>
        <w:t xml:space="preserve"> tal y </w:t>
      </w:r>
      <w:r w:rsidRPr="003E6986">
        <w:rPr>
          <w:lang w:val="es-ES_tradnl"/>
        </w:rPr>
        <w:t xml:space="preserve">como se indica en la nota añadida al </w:t>
      </w:r>
      <w:r w:rsidR="00EC1C3C" w:rsidRPr="003E6986">
        <w:rPr>
          <w:lang w:val="es-ES_tradnl"/>
        </w:rPr>
        <w:t>c</w:t>
      </w:r>
      <w:r w:rsidRPr="003E6986">
        <w:rPr>
          <w:lang w:val="es-ES_tradnl"/>
        </w:rPr>
        <w:t xml:space="preserve">uadro </w:t>
      </w:r>
      <w:r w:rsidR="00EC1C3C" w:rsidRPr="003E6986">
        <w:rPr>
          <w:lang w:val="es-ES_tradnl"/>
        </w:rPr>
        <w:t>relativo a</w:t>
      </w:r>
      <w:r w:rsidRPr="003E6986">
        <w:rPr>
          <w:lang w:val="es-ES_tradnl"/>
        </w:rPr>
        <w:t xml:space="preserve"> la organización de los estudios preparatorios. También se añadió una nota </w:t>
      </w:r>
      <w:r w:rsidR="00016635" w:rsidRPr="003E6986">
        <w:rPr>
          <w:lang w:val="es-ES_tradnl"/>
        </w:rPr>
        <w:t>a</w:t>
      </w:r>
      <w:r w:rsidRPr="003E6986">
        <w:rPr>
          <w:lang w:val="es-ES_tradnl"/>
        </w:rPr>
        <w:t xml:space="preserve"> dicho cuadro para subrayar la importancia de las actividades de los GT de la CE 3 en relación con el punto </w:t>
      </w:r>
      <w:r w:rsidR="00EC1C3C" w:rsidRPr="003E6986">
        <w:rPr>
          <w:lang w:val="es-ES_tradnl"/>
        </w:rPr>
        <w:t xml:space="preserve">2.6 </w:t>
      </w:r>
      <w:r w:rsidRPr="003E6986">
        <w:rPr>
          <w:lang w:val="es-ES_tradnl"/>
        </w:rPr>
        <w:t>del orden del día preliminar.</w:t>
      </w:r>
    </w:p>
    <w:p w14:paraId="4F4B68CB" w14:textId="32FA5696" w:rsidR="00B842F9" w:rsidRPr="003E6986" w:rsidRDefault="00EC1C3C" w:rsidP="003E6986">
      <w:pPr>
        <w:rPr>
          <w:lang w:val="es-ES_tradnl"/>
        </w:rPr>
      </w:pPr>
      <w:r w:rsidRPr="003E6986">
        <w:rPr>
          <w:lang w:val="es-ES_tradnl"/>
        </w:rPr>
        <w:t>Partiendo de esa base, la reunión aprobó por consenso el cuadro de atribución de los trabajos preparatorios del UIT-R para la CMR-31 que figura en el Anexo 8 a la presente Circular Administrativa.</w:t>
      </w:r>
    </w:p>
    <w:p w14:paraId="1B000918" w14:textId="71DC539F" w:rsidR="00B842F9" w:rsidRPr="003E6986" w:rsidRDefault="00B842F9" w:rsidP="00EC1C3C">
      <w:pPr>
        <w:pStyle w:val="Heading1"/>
        <w:spacing w:before="240"/>
        <w:rPr>
          <w:rStyle w:val="Heading1Char1"/>
          <w:rFonts w:asciiTheme="minorHAnsi" w:hAnsiTheme="minorHAnsi" w:cstheme="minorHAnsi"/>
          <w:b/>
          <w:bCs/>
          <w:szCs w:val="24"/>
          <w:lang w:val="es-ES_tradnl"/>
        </w:rPr>
      </w:pPr>
      <w:r w:rsidRPr="003E6986">
        <w:rPr>
          <w:rStyle w:val="Heading1Char1"/>
          <w:rFonts w:asciiTheme="minorHAnsi" w:hAnsiTheme="minorHAnsi" w:cstheme="minorHAnsi"/>
          <w:b/>
          <w:bCs/>
          <w:szCs w:val="24"/>
          <w:lang w:val="es-ES_tradnl"/>
        </w:rPr>
        <w:t>5</w:t>
      </w:r>
      <w:r w:rsidRPr="003E6986">
        <w:rPr>
          <w:rStyle w:val="Heading1Char1"/>
          <w:rFonts w:asciiTheme="minorHAnsi" w:hAnsiTheme="minorHAnsi" w:cstheme="minorHAnsi"/>
          <w:b/>
          <w:bCs/>
          <w:szCs w:val="24"/>
          <w:lang w:val="es-ES_tradnl"/>
        </w:rPr>
        <w:tab/>
      </w:r>
      <w:r w:rsidR="00EC1C3C" w:rsidRPr="003E6986">
        <w:rPr>
          <w:rStyle w:val="Heading1Char1"/>
          <w:rFonts w:asciiTheme="minorHAnsi" w:hAnsiTheme="minorHAnsi" w:cstheme="minorHAnsi"/>
          <w:b/>
          <w:bCs/>
          <w:szCs w:val="24"/>
          <w:lang w:val="es-ES_tradnl"/>
        </w:rPr>
        <w:t>Propuesta de estructura/índice y esquema del proyect</w:t>
      </w:r>
      <w:r w:rsidR="003E6986" w:rsidRPr="003E6986">
        <w:rPr>
          <w:rStyle w:val="Heading1Char1"/>
          <w:rFonts w:asciiTheme="minorHAnsi" w:hAnsiTheme="minorHAnsi" w:cstheme="minorHAnsi"/>
          <w:b/>
          <w:bCs/>
          <w:szCs w:val="24"/>
          <w:lang w:val="es-ES_tradnl"/>
        </w:rPr>
        <w:t>o de Informe de la RPC a la CMR</w:t>
      </w:r>
      <w:r w:rsidR="003E6986" w:rsidRPr="003E6986">
        <w:rPr>
          <w:rStyle w:val="Heading1Char1"/>
          <w:rFonts w:asciiTheme="minorHAnsi" w:hAnsiTheme="minorHAnsi" w:cstheme="minorHAnsi"/>
          <w:b/>
          <w:bCs/>
          <w:szCs w:val="24"/>
          <w:lang w:val="es-ES_tradnl"/>
        </w:rPr>
        <w:noBreakHyphen/>
      </w:r>
      <w:r w:rsidR="00EC1C3C" w:rsidRPr="003E6986">
        <w:rPr>
          <w:rStyle w:val="Heading1Char1"/>
          <w:rFonts w:asciiTheme="minorHAnsi" w:hAnsiTheme="minorHAnsi" w:cstheme="minorHAnsi"/>
          <w:b/>
          <w:bCs/>
          <w:szCs w:val="24"/>
          <w:lang w:val="es-ES_tradnl"/>
        </w:rPr>
        <w:t>27</w:t>
      </w:r>
    </w:p>
    <w:p w14:paraId="6B698CEC" w14:textId="6785CD1F" w:rsidR="00B842F9" w:rsidRPr="003E6986" w:rsidRDefault="00EC1C3C" w:rsidP="00B842F9">
      <w:pPr>
        <w:rPr>
          <w:rFonts w:asciiTheme="minorHAnsi" w:hAnsiTheme="minorHAnsi" w:cstheme="minorHAnsi"/>
          <w:szCs w:val="24"/>
          <w:lang w:val="es-ES_tradnl"/>
        </w:rPr>
      </w:pPr>
      <w:r w:rsidRPr="003E6986">
        <w:rPr>
          <w:rFonts w:asciiTheme="minorHAnsi" w:hAnsiTheme="minorHAnsi" w:cstheme="minorHAnsi"/>
          <w:szCs w:val="24"/>
          <w:u w:val="single"/>
          <w:lang w:val="es-ES_tradnl"/>
        </w:rPr>
        <w:t>Contribuciones</w:t>
      </w:r>
      <w:r w:rsidR="00B842F9" w:rsidRPr="003E6986">
        <w:rPr>
          <w:rFonts w:asciiTheme="minorHAnsi" w:hAnsiTheme="minorHAnsi" w:cstheme="minorHAnsi"/>
          <w:szCs w:val="24"/>
          <w:lang w:val="es-ES_tradnl"/>
        </w:rPr>
        <w:t xml:space="preserve">: </w:t>
      </w:r>
      <w:hyperlink r:id="rId26" w:history="1">
        <w:r w:rsidR="00B842F9" w:rsidRPr="003E6986">
          <w:rPr>
            <w:rStyle w:val="Hyperlink"/>
            <w:rFonts w:asciiTheme="minorHAnsi" w:hAnsiTheme="minorHAnsi" w:cstheme="minorHAnsi"/>
            <w:color w:val="000000" w:themeColor="text1"/>
            <w:szCs w:val="24"/>
            <w:u w:val="none"/>
            <w:lang w:val="es-ES_tradnl"/>
          </w:rPr>
          <w:t>Resolu</w:t>
        </w:r>
        <w:r w:rsidRPr="003E6986">
          <w:rPr>
            <w:rStyle w:val="Hyperlink"/>
            <w:rFonts w:asciiTheme="minorHAnsi" w:hAnsiTheme="minorHAnsi" w:cstheme="minorHAnsi"/>
            <w:color w:val="000000" w:themeColor="text1"/>
            <w:szCs w:val="24"/>
            <w:u w:val="none"/>
            <w:lang w:val="es-ES_tradnl"/>
          </w:rPr>
          <w:t>ció</w:t>
        </w:r>
        <w:r w:rsidR="00B842F9" w:rsidRPr="003E6986">
          <w:rPr>
            <w:rStyle w:val="Hyperlink"/>
            <w:rFonts w:asciiTheme="minorHAnsi" w:hAnsiTheme="minorHAnsi" w:cstheme="minorHAnsi"/>
            <w:color w:val="000000" w:themeColor="text1"/>
            <w:szCs w:val="24"/>
            <w:u w:val="none"/>
            <w:lang w:val="es-ES_tradnl"/>
          </w:rPr>
          <w:t xml:space="preserve">n </w:t>
        </w:r>
        <w:r w:rsidR="00B842F9" w:rsidRPr="003E6986">
          <w:rPr>
            <w:rStyle w:val="Hyperlink"/>
            <w:rFonts w:asciiTheme="minorHAnsi" w:hAnsiTheme="minorHAnsi" w:cstheme="minorHAnsi"/>
            <w:szCs w:val="24"/>
            <w:lang w:val="es-ES_tradnl"/>
          </w:rPr>
          <w:t>U</w:t>
        </w:r>
        <w:r w:rsidRPr="003E6986">
          <w:rPr>
            <w:rStyle w:val="Hyperlink"/>
            <w:rFonts w:asciiTheme="minorHAnsi" w:hAnsiTheme="minorHAnsi" w:cstheme="minorHAnsi"/>
            <w:szCs w:val="24"/>
            <w:lang w:val="es-ES_tradnl"/>
          </w:rPr>
          <w:t>IT</w:t>
        </w:r>
        <w:r w:rsidR="00B842F9" w:rsidRPr="003E6986">
          <w:rPr>
            <w:rStyle w:val="Hyperlink"/>
            <w:rFonts w:asciiTheme="minorHAnsi" w:hAnsiTheme="minorHAnsi" w:cstheme="minorHAnsi"/>
            <w:szCs w:val="24"/>
            <w:lang w:val="es-ES_tradnl"/>
          </w:rPr>
          <w:t>-R 2-9</w:t>
        </w:r>
        <w:r w:rsidR="00B842F9" w:rsidRPr="003E6986">
          <w:rPr>
            <w:rStyle w:val="Hyperlink"/>
            <w:rFonts w:asciiTheme="minorHAnsi" w:hAnsiTheme="minorHAnsi" w:cstheme="minorHAnsi"/>
            <w:position w:val="6"/>
            <w:szCs w:val="24"/>
            <w:lang w:val="es-ES_tradnl"/>
          </w:rPr>
          <w:t>*</w:t>
        </w:r>
      </w:hyperlink>
      <w:r w:rsidR="00B842F9" w:rsidRPr="003E6986">
        <w:rPr>
          <w:rFonts w:asciiTheme="minorHAnsi" w:hAnsiTheme="minorHAnsi" w:cstheme="minorHAnsi"/>
          <w:szCs w:val="24"/>
          <w:lang w:val="es-ES_tradnl"/>
        </w:rPr>
        <w:t xml:space="preserve">, </w:t>
      </w:r>
      <w:hyperlink r:id="rId27" w:history="1">
        <w:proofErr w:type="spellStart"/>
        <w:r w:rsidR="00B842F9" w:rsidRPr="003E6986">
          <w:rPr>
            <w:rStyle w:val="Hyperlink"/>
            <w:rFonts w:asciiTheme="minorHAnsi" w:hAnsiTheme="minorHAnsi" w:cstheme="minorHAnsi"/>
            <w:szCs w:val="24"/>
            <w:lang w:val="es-ES_tradnl"/>
          </w:rPr>
          <w:t>CPM27</w:t>
        </w:r>
        <w:proofErr w:type="spellEnd"/>
        <w:r w:rsidR="00B842F9" w:rsidRPr="003E6986">
          <w:rPr>
            <w:rStyle w:val="Hyperlink"/>
            <w:rFonts w:asciiTheme="minorHAnsi" w:hAnsiTheme="minorHAnsi" w:cstheme="minorHAnsi"/>
            <w:szCs w:val="24"/>
            <w:lang w:val="es-ES_tradnl"/>
          </w:rPr>
          <w:t>-1/4</w:t>
        </w:r>
      </w:hyperlink>
      <w:r w:rsidR="00B842F9" w:rsidRPr="003E6986">
        <w:rPr>
          <w:rFonts w:asciiTheme="minorHAnsi" w:hAnsiTheme="minorHAnsi" w:cstheme="minorHAnsi"/>
          <w:szCs w:val="24"/>
          <w:lang w:val="es-ES_tradnl"/>
        </w:rPr>
        <w:t xml:space="preserve">, </w:t>
      </w:r>
      <w:hyperlink r:id="rId28" w:history="1">
        <w:proofErr w:type="spellStart"/>
        <w:r w:rsidR="00B842F9" w:rsidRPr="003E6986">
          <w:rPr>
            <w:rStyle w:val="Hyperlink"/>
            <w:rFonts w:asciiTheme="minorHAnsi" w:hAnsiTheme="minorHAnsi" w:cstheme="minorHAnsi"/>
            <w:szCs w:val="24"/>
            <w:lang w:val="es-ES_tradnl"/>
          </w:rPr>
          <w:t>CPM27</w:t>
        </w:r>
        <w:proofErr w:type="spellEnd"/>
        <w:r w:rsidR="00B842F9" w:rsidRPr="003E6986">
          <w:rPr>
            <w:rStyle w:val="Hyperlink"/>
            <w:rFonts w:asciiTheme="minorHAnsi" w:hAnsiTheme="minorHAnsi" w:cstheme="minorHAnsi"/>
            <w:szCs w:val="24"/>
            <w:lang w:val="es-ES_tradnl"/>
          </w:rPr>
          <w:t>-1/6</w:t>
        </w:r>
        <w:r w:rsidR="00B842F9" w:rsidRPr="003E6986">
          <w:rPr>
            <w:rStyle w:val="Hyperlink"/>
            <w:rFonts w:asciiTheme="minorHAnsi" w:hAnsiTheme="minorHAnsi" w:cstheme="minorHAnsi"/>
            <w:position w:val="6"/>
            <w:szCs w:val="24"/>
            <w:lang w:val="es-ES_tradnl"/>
          </w:rPr>
          <w:t>*</w:t>
        </w:r>
        <w:r w:rsidR="00B842F9" w:rsidRPr="003E6986">
          <w:rPr>
            <w:rStyle w:val="Hyperlink"/>
            <w:rFonts w:asciiTheme="minorHAnsi" w:hAnsiTheme="minorHAnsi" w:cstheme="minorHAnsi"/>
            <w:szCs w:val="24"/>
            <w:lang w:val="es-ES_tradnl"/>
          </w:rPr>
          <w:t xml:space="preserve"> (Anex</w:t>
        </w:r>
        <w:r w:rsidRPr="003E6986">
          <w:rPr>
            <w:rStyle w:val="Hyperlink"/>
            <w:rFonts w:asciiTheme="minorHAnsi" w:hAnsiTheme="minorHAnsi" w:cstheme="minorHAnsi"/>
            <w:szCs w:val="24"/>
            <w:lang w:val="es-ES_tradnl"/>
          </w:rPr>
          <w:t>o</w:t>
        </w:r>
        <w:r w:rsidR="00B842F9" w:rsidRPr="003E6986">
          <w:rPr>
            <w:rStyle w:val="Hyperlink"/>
            <w:rFonts w:asciiTheme="minorHAnsi" w:hAnsiTheme="minorHAnsi" w:cstheme="minorHAnsi"/>
            <w:szCs w:val="24"/>
            <w:lang w:val="es-ES_tradnl"/>
          </w:rPr>
          <w:t>s 2</w:t>
        </w:r>
        <w:r w:rsidRPr="003E6986">
          <w:rPr>
            <w:rStyle w:val="Hyperlink"/>
            <w:rFonts w:asciiTheme="minorHAnsi" w:hAnsiTheme="minorHAnsi" w:cstheme="minorHAnsi"/>
            <w:szCs w:val="24"/>
            <w:lang w:val="es-ES_tradnl"/>
          </w:rPr>
          <w:t xml:space="preserve"> y</w:t>
        </w:r>
        <w:r w:rsidR="00B842F9" w:rsidRPr="003E6986">
          <w:rPr>
            <w:rStyle w:val="Hyperlink"/>
            <w:rFonts w:asciiTheme="minorHAnsi" w:hAnsiTheme="minorHAnsi" w:cstheme="minorHAnsi"/>
            <w:szCs w:val="24"/>
            <w:lang w:val="es-ES_tradnl"/>
          </w:rPr>
          <w:t xml:space="preserve"> 3)</w:t>
        </w:r>
      </w:hyperlink>
      <w:r w:rsidR="00B842F9" w:rsidRPr="003E6986">
        <w:rPr>
          <w:rFonts w:asciiTheme="minorHAnsi" w:hAnsiTheme="minorHAnsi" w:cstheme="minorHAnsi"/>
          <w:szCs w:val="24"/>
          <w:lang w:val="es-ES_tradnl"/>
        </w:rPr>
        <w:t xml:space="preserve">, </w:t>
      </w:r>
      <w:hyperlink r:id="rId29" w:history="1">
        <w:proofErr w:type="spellStart"/>
        <w:r w:rsidR="00B842F9" w:rsidRPr="003E6986">
          <w:rPr>
            <w:rStyle w:val="Hyperlink"/>
            <w:rFonts w:asciiTheme="minorHAnsi" w:hAnsiTheme="minorHAnsi" w:cstheme="minorHAnsi"/>
            <w:szCs w:val="24"/>
            <w:lang w:val="es-ES_tradnl"/>
          </w:rPr>
          <w:t>CPM27</w:t>
        </w:r>
        <w:proofErr w:type="spellEnd"/>
        <w:r w:rsidR="00B842F9" w:rsidRPr="003E6986">
          <w:rPr>
            <w:rStyle w:val="Hyperlink"/>
            <w:rFonts w:asciiTheme="minorHAnsi" w:hAnsiTheme="minorHAnsi" w:cstheme="minorHAnsi"/>
            <w:szCs w:val="24"/>
            <w:lang w:val="es-ES_tradnl"/>
          </w:rPr>
          <w:t>-1/7</w:t>
        </w:r>
        <w:r w:rsidR="00B842F9" w:rsidRPr="003E6986">
          <w:rPr>
            <w:rStyle w:val="Hyperlink"/>
            <w:rFonts w:asciiTheme="minorHAnsi" w:hAnsiTheme="minorHAnsi" w:cstheme="minorHAnsi"/>
            <w:position w:val="6"/>
            <w:szCs w:val="24"/>
            <w:lang w:val="es-ES_tradnl"/>
          </w:rPr>
          <w:t>*</w:t>
        </w:r>
      </w:hyperlink>
    </w:p>
    <w:p w14:paraId="62B6C99D" w14:textId="19541BCA" w:rsidR="00EC1C3C" w:rsidRPr="003E6986" w:rsidRDefault="00EC1C3C" w:rsidP="003E6986">
      <w:pPr>
        <w:rPr>
          <w:lang w:val="es-ES_tradnl"/>
        </w:rPr>
      </w:pPr>
      <w:r w:rsidRPr="003E6986">
        <w:rPr>
          <w:lang w:val="es-ES_tradnl"/>
        </w:rPr>
        <w:t xml:space="preserve">La reunión examinó las propuestas presentadas y, </w:t>
      </w:r>
      <w:r w:rsidR="00370E74" w:rsidRPr="003E6986">
        <w:rPr>
          <w:lang w:val="es-ES_tradnl"/>
        </w:rPr>
        <w:t>dadas</w:t>
      </w:r>
      <w:r w:rsidRPr="003E6986">
        <w:rPr>
          <w:lang w:val="es-ES_tradnl"/>
        </w:rPr>
        <w:t xml:space="preserve"> las conclusiones alcanzadas sobre la organización de los estudios preparatorios para la CMR-27 y la CMR-31 (véanse las secciones 3 y 4 anteriores), se aprobó con ligeras modificaciones el índice del proyecto de Informe de la RPC propuesto por el Presidente. Dicho índice figura en el Anexo 5 </w:t>
      </w:r>
      <w:r w:rsidR="00FB7EF7" w:rsidRPr="003E6986">
        <w:rPr>
          <w:lang w:val="es-ES_tradnl"/>
        </w:rPr>
        <w:t>a</w:t>
      </w:r>
      <w:r w:rsidRPr="003E6986">
        <w:rPr>
          <w:lang w:val="es-ES_tradnl"/>
        </w:rPr>
        <w:t xml:space="preserve"> la presente Circular Administrativa.</w:t>
      </w:r>
    </w:p>
    <w:p w14:paraId="5C89E370" w14:textId="51B30568" w:rsidR="00B842F9" w:rsidRPr="003E6986" w:rsidRDefault="00016635" w:rsidP="003E6986">
      <w:pPr>
        <w:rPr>
          <w:lang w:val="es-ES_tradnl"/>
        </w:rPr>
      </w:pPr>
      <w:r w:rsidRPr="003E6986">
        <w:rPr>
          <w:lang w:val="es-ES_tradnl"/>
        </w:rPr>
        <w:lastRenderedPageBreak/>
        <w:t>L</w:t>
      </w:r>
      <w:r w:rsidR="00FB7EF7" w:rsidRPr="003E6986">
        <w:rPr>
          <w:lang w:val="es-ES_tradnl"/>
        </w:rPr>
        <w:t xml:space="preserve">os representantes de los grupos regionales celebraron </w:t>
      </w:r>
      <w:r w:rsidR="00EC1C3C" w:rsidRPr="003E6986">
        <w:rPr>
          <w:lang w:val="es-ES_tradnl"/>
        </w:rPr>
        <w:t xml:space="preserve">una sesión informal </w:t>
      </w:r>
      <w:r w:rsidR="00FB7EF7" w:rsidRPr="003E6986">
        <w:rPr>
          <w:lang w:val="es-ES_tradnl"/>
        </w:rPr>
        <w:t xml:space="preserve">a fin de examinar </w:t>
      </w:r>
      <w:r w:rsidR="00EC1C3C" w:rsidRPr="003E6986">
        <w:rPr>
          <w:lang w:val="es-ES_tradnl"/>
        </w:rPr>
        <w:t xml:space="preserve">las candidaturas </w:t>
      </w:r>
      <w:r w:rsidR="00FB7EF7" w:rsidRPr="003E6986">
        <w:rPr>
          <w:lang w:val="es-ES_tradnl"/>
        </w:rPr>
        <w:t>a</w:t>
      </w:r>
      <w:r w:rsidR="00EC1C3C" w:rsidRPr="003E6986">
        <w:rPr>
          <w:lang w:val="es-ES_tradnl"/>
        </w:rPr>
        <w:t xml:space="preserve"> Relator de Capítulo de la RPC-27. </w:t>
      </w:r>
      <w:r w:rsidR="00FB7EF7" w:rsidRPr="003E6986">
        <w:rPr>
          <w:lang w:val="es-ES_tradnl"/>
        </w:rPr>
        <w:t>El Presidente expuso los</w:t>
      </w:r>
      <w:r w:rsidR="00EC1C3C" w:rsidRPr="003E6986">
        <w:rPr>
          <w:lang w:val="es-ES_tradnl"/>
        </w:rPr>
        <w:t xml:space="preserve"> resultado</w:t>
      </w:r>
      <w:r w:rsidR="00FB7EF7" w:rsidRPr="003E6986">
        <w:rPr>
          <w:lang w:val="es-ES_tradnl"/>
        </w:rPr>
        <w:t>s</w:t>
      </w:r>
      <w:r w:rsidR="00EC1C3C" w:rsidRPr="003E6986">
        <w:rPr>
          <w:lang w:val="es-ES_tradnl"/>
        </w:rPr>
        <w:t xml:space="preserve"> de esa sesión a la reunión</w:t>
      </w:r>
      <w:r w:rsidR="00FB7EF7" w:rsidRPr="003E6986">
        <w:rPr>
          <w:lang w:val="es-ES_tradnl"/>
        </w:rPr>
        <w:t>, que los</w:t>
      </w:r>
      <w:r w:rsidR="00EC1C3C" w:rsidRPr="003E6986">
        <w:rPr>
          <w:lang w:val="es-ES_tradnl"/>
        </w:rPr>
        <w:t xml:space="preserve"> aprob</w:t>
      </w:r>
      <w:r w:rsidR="00FB7EF7" w:rsidRPr="003E6986">
        <w:rPr>
          <w:lang w:val="es-ES_tradnl"/>
        </w:rPr>
        <w:t>ó</w:t>
      </w:r>
      <w:r w:rsidR="00EC1C3C" w:rsidRPr="003E6986">
        <w:rPr>
          <w:lang w:val="es-ES_tradnl"/>
        </w:rPr>
        <w:t xml:space="preserve"> por unanimidad, </w:t>
      </w:r>
      <w:r w:rsidR="00FB7EF7" w:rsidRPr="003E6986">
        <w:rPr>
          <w:lang w:val="es-ES_tradnl"/>
        </w:rPr>
        <w:t>según se indica</w:t>
      </w:r>
      <w:r w:rsidR="00EC1C3C" w:rsidRPr="003E6986">
        <w:rPr>
          <w:lang w:val="es-ES_tradnl"/>
        </w:rPr>
        <w:t xml:space="preserve"> en el Anexo 5 </w:t>
      </w:r>
      <w:r w:rsidR="00FB7EF7" w:rsidRPr="003E6986">
        <w:rPr>
          <w:lang w:val="es-ES_tradnl"/>
        </w:rPr>
        <w:t>a</w:t>
      </w:r>
      <w:r w:rsidR="00EC1C3C" w:rsidRPr="003E6986">
        <w:rPr>
          <w:lang w:val="es-ES_tradnl"/>
        </w:rPr>
        <w:t xml:space="preserve"> la presente Circular Administrativa.</w:t>
      </w:r>
    </w:p>
    <w:p w14:paraId="30E725E4" w14:textId="730D4DE3" w:rsidR="00B842F9" w:rsidRPr="003E6986" w:rsidRDefault="00EC1C3C" w:rsidP="003E6986">
      <w:pPr>
        <w:rPr>
          <w:lang w:val="es-ES_tradnl"/>
        </w:rPr>
      </w:pPr>
      <w:r w:rsidRPr="003E6986">
        <w:rPr>
          <w:lang w:val="es-ES_tradnl"/>
        </w:rPr>
        <w:t>El Presidente expresó su gratitud a los representantes y a los candidatos</w:t>
      </w:r>
      <w:r w:rsidR="00FB7EF7" w:rsidRPr="003E6986">
        <w:rPr>
          <w:lang w:val="es-ES_tradnl"/>
        </w:rPr>
        <w:t>, y f</w:t>
      </w:r>
      <w:r w:rsidRPr="003E6986">
        <w:rPr>
          <w:lang w:val="es-ES_tradnl"/>
        </w:rPr>
        <w:t xml:space="preserve">elicitó a los Relatores de Capítulo </w:t>
      </w:r>
      <w:r w:rsidR="00FB7EF7" w:rsidRPr="003E6986">
        <w:rPr>
          <w:lang w:val="es-ES_tradnl"/>
        </w:rPr>
        <w:t>nombrados.</w:t>
      </w:r>
    </w:p>
    <w:p w14:paraId="2EA56C61" w14:textId="1559D0E8" w:rsidR="00B842F9" w:rsidRPr="003E6986" w:rsidRDefault="00EC1C3C" w:rsidP="003E6986">
      <w:pPr>
        <w:rPr>
          <w:highlight w:val="cyan"/>
          <w:lang w:val="es-ES_tradnl"/>
        </w:rPr>
      </w:pPr>
      <w:r w:rsidRPr="003E6986">
        <w:rPr>
          <w:lang w:val="es-ES_tradnl"/>
        </w:rPr>
        <w:t xml:space="preserve">Se acordó desarrollar el esquema del proyecto de Informe de la RPC a la CMR-27 después de la reunión, </w:t>
      </w:r>
      <w:r w:rsidR="00595847" w:rsidRPr="003E6986">
        <w:rPr>
          <w:lang w:val="es-ES_tradnl"/>
        </w:rPr>
        <w:t>de acuerdo con</w:t>
      </w:r>
      <w:r w:rsidRPr="003E6986">
        <w:rPr>
          <w:lang w:val="es-ES_tradnl"/>
        </w:rPr>
        <w:t xml:space="preserve"> las conclusiones alcanzadas sobre la organización de los estudios preparatorios para la CMR-27 y la CMR-31 (véanse las secciones 3 y 4 anteriores), el índice del proyecto de Informe de la RPC (</w:t>
      </w:r>
      <w:r w:rsidR="00595847" w:rsidRPr="003E6986">
        <w:rPr>
          <w:lang w:val="es-ES_tradnl"/>
        </w:rPr>
        <w:t>conforme a lo indicado</w:t>
      </w:r>
      <w:r w:rsidRPr="003E6986">
        <w:rPr>
          <w:lang w:val="es-ES_tradnl"/>
        </w:rPr>
        <w:t xml:space="preserve"> anteriormente) y la estructura de los capítulos (véase la sección 6 </w:t>
      </w:r>
      <w:r w:rsidRPr="00227689">
        <w:rPr>
          <w:i/>
          <w:lang w:val="es-ES_tradnl"/>
        </w:rPr>
        <w:t>infra</w:t>
      </w:r>
      <w:r w:rsidRPr="003E6986">
        <w:rPr>
          <w:lang w:val="es-ES_tradnl"/>
        </w:rPr>
        <w:t xml:space="preserve">). El esquema del proyecto de Informe de la RPC a la CMR-27 </w:t>
      </w:r>
      <w:r w:rsidR="00595847" w:rsidRPr="003E6986">
        <w:rPr>
          <w:lang w:val="es-ES_tradnl"/>
        </w:rPr>
        <w:t xml:space="preserve">resultante </w:t>
      </w:r>
      <w:r w:rsidRPr="003E6986">
        <w:rPr>
          <w:lang w:val="es-ES_tradnl"/>
        </w:rPr>
        <w:t xml:space="preserve">figura en el Anexo 9 </w:t>
      </w:r>
      <w:r w:rsidR="00595847" w:rsidRPr="003E6986">
        <w:rPr>
          <w:lang w:val="es-ES_tradnl"/>
        </w:rPr>
        <w:t>a</w:t>
      </w:r>
      <w:r w:rsidRPr="003E6986">
        <w:rPr>
          <w:lang w:val="es-ES_tradnl"/>
        </w:rPr>
        <w:t xml:space="preserve"> la presente Circular Administrativa.</w:t>
      </w:r>
    </w:p>
    <w:p w14:paraId="1B3B82D5" w14:textId="66DCB8C6" w:rsidR="00B842F9" w:rsidRPr="003E6986" w:rsidRDefault="00B842F9" w:rsidP="00B842F9">
      <w:pPr>
        <w:pStyle w:val="Heading1"/>
        <w:spacing w:before="240"/>
        <w:rPr>
          <w:rStyle w:val="Heading1Char1"/>
          <w:rFonts w:asciiTheme="minorHAnsi" w:hAnsiTheme="minorHAnsi" w:cstheme="minorHAnsi"/>
          <w:b/>
          <w:bCs/>
          <w:szCs w:val="24"/>
          <w:lang w:val="es-ES_tradnl"/>
        </w:rPr>
      </w:pPr>
      <w:r w:rsidRPr="003E6986">
        <w:rPr>
          <w:rStyle w:val="Heading1Char1"/>
          <w:rFonts w:asciiTheme="minorHAnsi" w:hAnsiTheme="minorHAnsi" w:cstheme="minorHAnsi"/>
          <w:b/>
          <w:bCs/>
          <w:szCs w:val="24"/>
          <w:lang w:val="es-ES_tradnl"/>
        </w:rPr>
        <w:t>6</w:t>
      </w:r>
      <w:r w:rsidRPr="003E6986">
        <w:rPr>
          <w:rStyle w:val="Heading1Char1"/>
          <w:rFonts w:asciiTheme="minorHAnsi" w:hAnsiTheme="minorHAnsi" w:cstheme="minorHAnsi"/>
          <w:b/>
          <w:bCs/>
          <w:szCs w:val="24"/>
          <w:lang w:val="es-ES_tradnl"/>
        </w:rPr>
        <w:tab/>
      </w:r>
      <w:r w:rsidR="006269FE" w:rsidRPr="003E6986">
        <w:rPr>
          <w:rStyle w:val="Heading1Char1"/>
          <w:rFonts w:asciiTheme="minorHAnsi" w:hAnsiTheme="minorHAnsi" w:cstheme="minorHAnsi"/>
          <w:b/>
          <w:bCs/>
          <w:szCs w:val="24"/>
          <w:lang w:val="es-ES_tradnl"/>
        </w:rPr>
        <w:t xml:space="preserve">Estructura de los </w:t>
      </w:r>
      <w:r w:rsidR="00486CD9" w:rsidRPr="003E6986">
        <w:rPr>
          <w:rStyle w:val="Heading1Char1"/>
          <w:rFonts w:asciiTheme="minorHAnsi" w:hAnsiTheme="minorHAnsi" w:cstheme="minorHAnsi"/>
          <w:b/>
          <w:bCs/>
          <w:szCs w:val="24"/>
          <w:lang w:val="es-ES_tradnl"/>
        </w:rPr>
        <w:t>c</w:t>
      </w:r>
      <w:r w:rsidR="006269FE" w:rsidRPr="003E6986">
        <w:rPr>
          <w:rStyle w:val="Heading1Char1"/>
          <w:rFonts w:asciiTheme="minorHAnsi" w:hAnsiTheme="minorHAnsi" w:cstheme="minorHAnsi"/>
          <w:b/>
          <w:bCs/>
          <w:szCs w:val="24"/>
          <w:lang w:val="es-ES_tradnl"/>
        </w:rPr>
        <w:t>apítulos y procedimiento</w:t>
      </w:r>
      <w:r w:rsidR="009D1077" w:rsidRPr="003E6986">
        <w:rPr>
          <w:rStyle w:val="Heading1Char1"/>
          <w:rFonts w:asciiTheme="minorHAnsi" w:hAnsiTheme="minorHAnsi" w:cstheme="minorHAnsi"/>
          <w:b/>
          <w:bCs/>
          <w:szCs w:val="24"/>
          <w:lang w:val="es-ES_tradnl"/>
        </w:rPr>
        <w:t>s</w:t>
      </w:r>
      <w:r w:rsidR="006269FE" w:rsidRPr="003E6986">
        <w:rPr>
          <w:rStyle w:val="Heading1Char1"/>
          <w:rFonts w:asciiTheme="minorHAnsi" w:hAnsiTheme="minorHAnsi" w:cstheme="minorHAnsi"/>
          <w:b/>
          <w:bCs/>
          <w:szCs w:val="24"/>
          <w:lang w:val="es-ES_tradnl"/>
        </w:rPr>
        <w:t xml:space="preserve"> de trabajo de la RPC-27</w:t>
      </w:r>
    </w:p>
    <w:p w14:paraId="5516E4B1" w14:textId="4B201046" w:rsidR="00B842F9" w:rsidRPr="003E6986" w:rsidRDefault="006269FE" w:rsidP="00B842F9">
      <w:pPr>
        <w:rPr>
          <w:rFonts w:asciiTheme="minorHAnsi" w:hAnsiTheme="minorHAnsi" w:cstheme="minorHAnsi"/>
          <w:szCs w:val="24"/>
          <w:lang w:val="es-ES_tradnl"/>
        </w:rPr>
      </w:pPr>
      <w:r w:rsidRPr="003E6986">
        <w:rPr>
          <w:rFonts w:asciiTheme="minorHAnsi" w:hAnsiTheme="minorHAnsi" w:cstheme="minorHAnsi"/>
          <w:szCs w:val="24"/>
          <w:u w:val="single"/>
          <w:lang w:val="es-ES_tradnl"/>
        </w:rPr>
        <w:t>Contribuciones</w:t>
      </w:r>
      <w:r w:rsidR="00B842F9" w:rsidRPr="003E6986">
        <w:rPr>
          <w:rFonts w:asciiTheme="minorHAnsi" w:hAnsiTheme="minorHAnsi" w:cstheme="minorHAnsi"/>
          <w:szCs w:val="24"/>
          <w:lang w:val="es-ES_tradnl"/>
        </w:rPr>
        <w:t xml:space="preserve">: </w:t>
      </w:r>
      <w:hyperlink r:id="rId30" w:history="1">
        <w:r w:rsidR="00B842F9" w:rsidRPr="003E6986">
          <w:rPr>
            <w:rStyle w:val="Hyperlink"/>
            <w:rFonts w:asciiTheme="minorHAnsi" w:hAnsiTheme="minorHAnsi" w:cstheme="minorHAnsi"/>
            <w:color w:val="000000" w:themeColor="text1"/>
            <w:szCs w:val="24"/>
            <w:u w:val="none"/>
            <w:lang w:val="es-ES_tradnl"/>
          </w:rPr>
          <w:t>Reso</w:t>
        </w:r>
        <w:r w:rsidRPr="003E6986">
          <w:rPr>
            <w:rStyle w:val="Hyperlink"/>
            <w:rFonts w:asciiTheme="minorHAnsi" w:hAnsiTheme="minorHAnsi" w:cstheme="minorHAnsi"/>
            <w:color w:val="000000" w:themeColor="text1"/>
            <w:szCs w:val="24"/>
            <w:u w:val="none"/>
            <w:lang w:val="es-ES_tradnl"/>
          </w:rPr>
          <w:t>lución</w:t>
        </w:r>
        <w:r w:rsidR="00B842F9" w:rsidRPr="003E6986">
          <w:rPr>
            <w:rStyle w:val="Hyperlink"/>
            <w:rFonts w:asciiTheme="minorHAnsi" w:hAnsiTheme="minorHAnsi" w:cstheme="minorHAnsi"/>
            <w:color w:val="000000" w:themeColor="text1"/>
            <w:szCs w:val="24"/>
            <w:u w:val="none"/>
            <w:lang w:val="es-ES_tradnl"/>
          </w:rPr>
          <w:t xml:space="preserve"> </w:t>
        </w:r>
        <w:r w:rsidR="00B842F9" w:rsidRPr="003E6986">
          <w:rPr>
            <w:rStyle w:val="Hyperlink"/>
            <w:rFonts w:asciiTheme="minorHAnsi" w:hAnsiTheme="minorHAnsi" w:cstheme="minorHAnsi"/>
            <w:szCs w:val="24"/>
            <w:lang w:val="es-ES_tradnl"/>
          </w:rPr>
          <w:t>U</w:t>
        </w:r>
        <w:r w:rsidRPr="003E6986">
          <w:rPr>
            <w:rStyle w:val="Hyperlink"/>
            <w:rFonts w:asciiTheme="minorHAnsi" w:hAnsiTheme="minorHAnsi" w:cstheme="minorHAnsi"/>
            <w:szCs w:val="24"/>
            <w:lang w:val="es-ES_tradnl"/>
          </w:rPr>
          <w:t>IT</w:t>
        </w:r>
        <w:r w:rsidR="00B842F9" w:rsidRPr="003E6986">
          <w:rPr>
            <w:rStyle w:val="Hyperlink"/>
            <w:rFonts w:asciiTheme="minorHAnsi" w:hAnsiTheme="minorHAnsi" w:cstheme="minorHAnsi"/>
            <w:szCs w:val="24"/>
            <w:lang w:val="es-ES_tradnl"/>
          </w:rPr>
          <w:t>-R 2-9</w:t>
        </w:r>
        <w:r w:rsidR="00B842F9" w:rsidRPr="003E6986">
          <w:rPr>
            <w:rStyle w:val="Hyperlink"/>
            <w:rFonts w:asciiTheme="minorHAnsi" w:hAnsiTheme="minorHAnsi" w:cstheme="minorHAnsi"/>
            <w:position w:val="6"/>
            <w:szCs w:val="24"/>
            <w:lang w:val="es-ES_tradnl"/>
          </w:rPr>
          <w:t>*</w:t>
        </w:r>
      </w:hyperlink>
      <w:r w:rsidR="00B842F9" w:rsidRPr="003E6986">
        <w:rPr>
          <w:rFonts w:asciiTheme="minorHAnsi" w:hAnsiTheme="minorHAnsi" w:cstheme="minorHAnsi"/>
          <w:szCs w:val="24"/>
          <w:lang w:val="es-ES_tradnl"/>
        </w:rPr>
        <w:t xml:space="preserve">, </w:t>
      </w:r>
      <w:hyperlink r:id="rId31" w:history="1">
        <w:proofErr w:type="spellStart"/>
        <w:r w:rsidR="00B842F9" w:rsidRPr="003E6986">
          <w:rPr>
            <w:rStyle w:val="Hyperlink"/>
            <w:rFonts w:asciiTheme="minorHAnsi" w:hAnsiTheme="minorHAnsi" w:cstheme="minorHAnsi"/>
            <w:szCs w:val="24"/>
            <w:lang w:val="es-ES_tradnl"/>
          </w:rPr>
          <w:t>CPM27</w:t>
        </w:r>
        <w:proofErr w:type="spellEnd"/>
        <w:r w:rsidR="00B842F9" w:rsidRPr="003E6986">
          <w:rPr>
            <w:rStyle w:val="Hyperlink"/>
            <w:rFonts w:asciiTheme="minorHAnsi" w:hAnsiTheme="minorHAnsi" w:cstheme="minorHAnsi"/>
            <w:szCs w:val="24"/>
            <w:lang w:val="es-ES_tradnl"/>
          </w:rPr>
          <w:t>-1/6</w:t>
        </w:r>
        <w:r w:rsidR="00B842F9" w:rsidRPr="003E6986">
          <w:rPr>
            <w:rStyle w:val="Hyperlink"/>
            <w:rFonts w:asciiTheme="minorHAnsi" w:hAnsiTheme="minorHAnsi" w:cstheme="minorHAnsi"/>
            <w:position w:val="6"/>
            <w:szCs w:val="24"/>
            <w:lang w:val="es-ES_tradnl"/>
          </w:rPr>
          <w:t>*</w:t>
        </w:r>
        <w:r w:rsidR="00B842F9" w:rsidRPr="003E6986">
          <w:rPr>
            <w:rStyle w:val="Hyperlink"/>
            <w:rFonts w:asciiTheme="minorHAnsi" w:hAnsiTheme="minorHAnsi" w:cstheme="minorHAnsi"/>
            <w:szCs w:val="24"/>
            <w:lang w:val="es-ES_tradnl"/>
          </w:rPr>
          <w:t xml:space="preserve"> (Anex</w:t>
        </w:r>
        <w:r w:rsidRPr="003E6986">
          <w:rPr>
            <w:rStyle w:val="Hyperlink"/>
            <w:rFonts w:asciiTheme="minorHAnsi" w:hAnsiTheme="minorHAnsi" w:cstheme="minorHAnsi"/>
            <w:szCs w:val="24"/>
            <w:lang w:val="es-ES_tradnl"/>
          </w:rPr>
          <w:t>o</w:t>
        </w:r>
        <w:r w:rsidR="00B842F9" w:rsidRPr="003E6986">
          <w:rPr>
            <w:rStyle w:val="Hyperlink"/>
            <w:rFonts w:asciiTheme="minorHAnsi" w:hAnsiTheme="minorHAnsi" w:cstheme="minorHAnsi"/>
            <w:szCs w:val="24"/>
            <w:lang w:val="es-ES_tradnl"/>
          </w:rPr>
          <w:t xml:space="preserve"> 1)</w:t>
        </w:r>
      </w:hyperlink>
    </w:p>
    <w:p w14:paraId="6A5046CB" w14:textId="4CB7EF9C" w:rsidR="00B842F9" w:rsidRPr="003E6986" w:rsidRDefault="006269FE" w:rsidP="003E6986">
      <w:pPr>
        <w:rPr>
          <w:lang w:val="es-ES_tradnl"/>
        </w:rPr>
      </w:pPr>
      <w:r w:rsidRPr="003E6986">
        <w:rPr>
          <w:lang w:val="es-ES_tradnl"/>
        </w:rPr>
        <w:t>La reunión examinó detenidamente la propuesta presentada y la aprobó con ligeras modificaciones. La estructura de</w:t>
      </w:r>
      <w:r w:rsidR="009D1077" w:rsidRPr="003E6986">
        <w:rPr>
          <w:lang w:val="es-ES_tradnl"/>
        </w:rPr>
        <w:t xml:space="preserve"> los</w:t>
      </w:r>
      <w:r w:rsidRPr="003E6986">
        <w:rPr>
          <w:lang w:val="es-ES_tradnl"/>
        </w:rPr>
        <w:t xml:space="preserve"> </w:t>
      </w:r>
      <w:r w:rsidR="00486CD9" w:rsidRPr="003E6986">
        <w:rPr>
          <w:lang w:val="es-ES_tradnl"/>
        </w:rPr>
        <w:t>c</w:t>
      </w:r>
      <w:r w:rsidRPr="003E6986">
        <w:rPr>
          <w:lang w:val="es-ES_tradnl"/>
        </w:rPr>
        <w:t>apítulos y l</w:t>
      </w:r>
      <w:r w:rsidR="009D1077" w:rsidRPr="003E6986">
        <w:rPr>
          <w:lang w:val="es-ES_tradnl"/>
        </w:rPr>
        <w:t>os</w:t>
      </w:r>
      <w:r w:rsidRPr="003E6986">
        <w:rPr>
          <w:lang w:val="es-ES_tradnl"/>
        </w:rPr>
        <w:t xml:space="preserve"> procedimiento</w:t>
      </w:r>
      <w:r w:rsidR="009D1077" w:rsidRPr="003E6986">
        <w:rPr>
          <w:lang w:val="es-ES_tradnl"/>
        </w:rPr>
        <w:t>s</w:t>
      </w:r>
      <w:r w:rsidRPr="003E6986">
        <w:rPr>
          <w:lang w:val="es-ES_tradnl"/>
        </w:rPr>
        <w:t xml:space="preserve"> de trabajo de la RPC</w:t>
      </w:r>
      <w:r w:rsidR="009D1077" w:rsidRPr="003E6986">
        <w:rPr>
          <w:lang w:val="es-ES_tradnl"/>
        </w:rPr>
        <w:t>,</w:t>
      </w:r>
      <w:r w:rsidRPr="003E6986">
        <w:rPr>
          <w:lang w:val="es-ES_tradnl"/>
        </w:rPr>
        <w:t xml:space="preserve"> de conformidad con la Resolución UIT-R 2-9</w:t>
      </w:r>
      <w:r w:rsidR="009D1077" w:rsidRPr="003E6986">
        <w:rPr>
          <w:lang w:val="es-ES_tradnl"/>
        </w:rPr>
        <w:t>,</w:t>
      </w:r>
      <w:r w:rsidRPr="003E6986">
        <w:rPr>
          <w:lang w:val="es-ES_tradnl"/>
        </w:rPr>
        <w:t xml:space="preserve"> figuran en el Anexo 6 a la presente Circular Administrativa.</w:t>
      </w:r>
    </w:p>
    <w:p w14:paraId="24B8DA8D" w14:textId="531A1385" w:rsidR="00B842F9" w:rsidRPr="003E6986" w:rsidRDefault="00B842F9" w:rsidP="00B842F9">
      <w:pPr>
        <w:pStyle w:val="Heading1"/>
        <w:spacing w:before="160"/>
        <w:rPr>
          <w:rStyle w:val="Heading1Char1"/>
          <w:rFonts w:asciiTheme="minorHAnsi" w:hAnsiTheme="minorHAnsi" w:cstheme="minorHAnsi"/>
          <w:b/>
          <w:bCs/>
          <w:szCs w:val="24"/>
          <w:lang w:val="es-ES_tradnl"/>
        </w:rPr>
      </w:pPr>
      <w:r w:rsidRPr="003E6986">
        <w:rPr>
          <w:rStyle w:val="Heading1Char1"/>
          <w:rFonts w:asciiTheme="minorHAnsi" w:hAnsiTheme="minorHAnsi" w:cstheme="minorHAnsi"/>
          <w:b/>
          <w:bCs/>
          <w:szCs w:val="24"/>
          <w:lang w:val="es-ES_tradnl"/>
        </w:rPr>
        <w:t>7</w:t>
      </w:r>
      <w:r w:rsidRPr="003E6986">
        <w:rPr>
          <w:rStyle w:val="Heading1Char1"/>
          <w:rFonts w:asciiTheme="minorHAnsi" w:hAnsiTheme="minorHAnsi" w:cstheme="minorHAnsi"/>
          <w:b/>
          <w:bCs/>
          <w:szCs w:val="24"/>
          <w:lang w:val="es-ES_tradnl"/>
        </w:rPr>
        <w:tab/>
      </w:r>
      <w:r w:rsidR="006269FE" w:rsidRPr="003E6986">
        <w:rPr>
          <w:rStyle w:val="Heading1Char1"/>
          <w:rFonts w:asciiTheme="minorHAnsi" w:hAnsiTheme="minorHAnsi" w:cstheme="minorHAnsi"/>
          <w:b/>
          <w:bCs/>
          <w:szCs w:val="24"/>
          <w:lang w:val="es-ES_tradnl"/>
        </w:rPr>
        <w:t>Otros asuntos</w:t>
      </w:r>
    </w:p>
    <w:p w14:paraId="62A50FEA" w14:textId="2F13C8AC" w:rsidR="00B842F9" w:rsidRPr="003E6986" w:rsidRDefault="006269FE" w:rsidP="003E6986">
      <w:pPr>
        <w:rPr>
          <w:lang w:val="es-ES_tradnl"/>
        </w:rPr>
      </w:pPr>
      <w:r w:rsidRPr="003E6986">
        <w:rPr>
          <w:lang w:val="es-ES_tradnl"/>
        </w:rPr>
        <w:t>Ninguno</w:t>
      </w:r>
      <w:r w:rsidR="00B842F9" w:rsidRPr="003E6986">
        <w:rPr>
          <w:lang w:val="es-ES_tradnl"/>
        </w:rPr>
        <w:t>.</w:t>
      </w:r>
    </w:p>
    <w:p w14:paraId="716062CA" w14:textId="758A6500" w:rsidR="00B842F9" w:rsidRPr="003E6986" w:rsidRDefault="00B842F9" w:rsidP="00B842F9">
      <w:pPr>
        <w:pStyle w:val="Heading1"/>
        <w:spacing w:before="240"/>
        <w:rPr>
          <w:rStyle w:val="Heading1Char1"/>
          <w:rFonts w:asciiTheme="minorHAnsi" w:hAnsiTheme="minorHAnsi" w:cstheme="minorHAnsi"/>
          <w:b/>
          <w:bCs/>
          <w:szCs w:val="24"/>
          <w:lang w:val="es-ES_tradnl"/>
        </w:rPr>
      </w:pPr>
      <w:r w:rsidRPr="003E6986">
        <w:rPr>
          <w:rStyle w:val="Heading1Char1"/>
          <w:rFonts w:asciiTheme="minorHAnsi" w:hAnsiTheme="minorHAnsi" w:cstheme="minorHAnsi"/>
          <w:b/>
          <w:bCs/>
          <w:szCs w:val="24"/>
          <w:lang w:val="es-ES_tradnl"/>
        </w:rPr>
        <w:t>8</w:t>
      </w:r>
      <w:r w:rsidRPr="003E6986">
        <w:rPr>
          <w:rStyle w:val="Heading1Char1"/>
          <w:rFonts w:asciiTheme="minorHAnsi" w:hAnsiTheme="minorHAnsi" w:cstheme="minorHAnsi"/>
          <w:b/>
          <w:bCs/>
          <w:szCs w:val="24"/>
          <w:lang w:val="es-ES_tradnl"/>
        </w:rPr>
        <w:tab/>
      </w:r>
      <w:r w:rsidR="006269FE" w:rsidRPr="003E6986">
        <w:rPr>
          <w:rStyle w:val="Heading1Char1"/>
          <w:rFonts w:asciiTheme="minorHAnsi" w:hAnsiTheme="minorHAnsi" w:cstheme="minorHAnsi"/>
          <w:b/>
          <w:bCs/>
          <w:szCs w:val="24"/>
          <w:lang w:val="es-ES_tradnl"/>
        </w:rPr>
        <w:t>Clausura de la RPC27-1</w:t>
      </w:r>
    </w:p>
    <w:p w14:paraId="6A4181A2" w14:textId="67530AAD" w:rsidR="00422A03" w:rsidRPr="003E6986" w:rsidRDefault="00422A03" w:rsidP="003E6986">
      <w:pPr>
        <w:rPr>
          <w:lang w:val="es-ES_tradnl"/>
        </w:rPr>
      </w:pPr>
      <w:r w:rsidRPr="003E6986">
        <w:rPr>
          <w:lang w:val="es-ES_tradnl"/>
        </w:rPr>
        <w:t xml:space="preserve">El Presidente dio las gracias a todos los participantes por su </w:t>
      </w:r>
      <w:r w:rsidR="00650050" w:rsidRPr="003E6986">
        <w:rPr>
          <w:lang w:val="es-ES_tradnl"/>
        </w:rPr>
        <w:t>excelente</w:t>
      </w:r>
      <w:r w:rsidRPr="003E6986">
        <w:rPr>
          <w:lang w:val="es-ES_tradnl"/>
        </w:rPr>
        <w:t xml:space="preserve"> espíritu de compromiso y colaboración</w:t>
      </w:r>
      <w:r w:rsidR="00650050" w:rsidRPr="003E6986">
        <w:rPr>
          <w:lang w:val="es-ES_tradnl"/>
        </w:rPr>
        <w:t>, y deseó que esa misma actitud reinara</w:t>
      </w:r>
      <w:r w:rsidRPr="003E6986">
        <w:rPr>
          <w:lang w:val="es-ES_tradnl"/>
        </w:rPr>
        <w:t xml:space="preserve"> durante todo el ciclo de estudio</w:t>
      </w:r>
      <w:r w:rsidR="00650050" w:rsidRPr="003E6986">
        <w:rPr>
          <w:lang w:val="es-ES_tradnl"/>
        </w:rPr>
        <w:t>s</w:t>
      </w:r>
      <w:r w:rsidRPr="003E6986">
        <w:rPr>
          <w:lang w:val="es-ES_tradnl"/>
        </w:rPr>
        <w:t xml:space="preserve">. </w:t>
      </w:r>
      <w:r w:rsidR="00650050" w:rsidRPr="003E6986">
        <w:rPr>
          <w:lang w:val="es-ES_tradnl"/>
        </w:rPr>
        <w:t xml:space="preserve">También expresó su agradecimiento </w:t>
      </w:r>
      <w:r w:rsidRPr="003E6986">
        <w:rPr>
          <w:lang w:val="es-ES_tradnl"/>
        </w:rPr>
        <w:t>al anfitrión de la primera sesión de la RPC-27 y, por último, pero no por ello menos importante, al Director, a los intérpretes, al personal de la UIT y al Consejero de la RPC, Sr. Philippe Aubineau, por su excelente y extraordinari</w:t>
      </w:r>
      <w:r w:rsidR="00650050" w:rsidRPr="003E6986">
        <w:rPr>
          <w:lang w:val="es-ES_tradnl"/>
        </w:rPr>
        <w:t>a labor</w:t>
      </w:r>
      <w:r w:rsidRPr="003E6986">
        <w:rPr>
          <w:lang w:val="es-ES_tradnl"/>
        </w:rPr>
        <w:t>.</w:t>
      </w:r>
    </w:p>
    <w:p w14:paraId="2FD5BE0A" w14:textId="3DE614B7" w:rsidR="00B842F9" w:rsidRPr="003E6986" w:rsidRDefault="00422A03" w:rsidP="003E6986">
      <w:pPr>
        <w:rPr>
          <w:lang w:val="es-ES_tradnl"/>
        </w:rPr>
      </w:pPr>
      <w:r w:rsidRPr="003E6986">
        <w:rPr>
          <w:lang w:val="es-ES_tradnl"/>
        </w:rPr>
        <w:t>La primera sesión de la RPC-27 se clausuró el 19 de diciembre de 2023 a las 15.00 horas.</w:t>
      </w:r>
    </w:p>
    <w:p w14:paraId="0B984360" w14:textId="77777777" w:rsidR="00BC0E33" w:rsidRPr="003E6986" w:rsidRDefault="00BC0E33">
      <w:pPr>
        <w:tabs>
          <w:tab w:val="clear" w:pos="794"/>
          <w:tab w:val="clear" w:pos="1191"/>
          <w:tab w:val="clear" w:pos="1588"/>
          <w:tab w:val="clear" w:pos="1985"/>
        </w:tabs>
        <w:overflowPunct/>
        <w:autoSpaceDE/>
        <w:autoSpaceDN/>
        <w:adjustRightInd/>
        <w:spacing w:before="0" w:line="240" w:lineRule="auto"/>
        <w:jc w:val="left"/>
        <w:textAlignment w:val="auto"/>
        <w:rPr>
          <w:rFonts w:cs="Times New Roman"/>
          <w:szCs w:val="24"/>
          <w:lang w:val="es-ES_tradnl"/>
        </w:rPr>
      </w:pPr>
      <w:r w:rsidRPr="003E6986">
        <w:rPr>
          <w:caps/>
          <w:szCs w:val="24"/>
          <w:lang w:val="es-ES_tradnl"/>
        </w:rPr>
        <w:br w:type="page"/>
      </w:r>
    </w:p>
    <w:p w14:paraId="31EA9D35" w14:textId="63CEB23A" w:rsidR="00EB337E" w:rsidRPr="003E6986" w:rsidRDefault="00EB337E" w:rsidP="00BC0E33">
      <w:pPr>
        <w:pStyle w:val="AnnexNo"/>
        <w:rPr>
          <w:lang w:val="es-ES_tradnl"/>
        </w:rPr>
      </w:pPr>
      <w:r w:rsidRPr="003E6986">
        <w:rPr>
          <w:lang w:val="es-ES_tradnl"/>
        </w:rPr>
        <w:lastRenderedPageBreak/>
        <w:t>ANEXO 5</w:t>
      </w:r>
    </w:p>
    <w:p w14:paraId="109DBD05" w14:textId="513C1B82" w:rsidR="00EB337E" w:rsidRPr="003E6986" w:rsidRDefault="006F1107" w:rsidP="00C6600E">
      <w:pPr>
        <w:pStyle w:val="Annextitle0"/>
        <w:rPr>
          <w:lang w:val="es-ES_tradnl"/>
        </w:rPr>
      </w:pPr>
      <w:r w:rsidRPr="003E6986">
        <w:rPr>
          <w:lang w:val="es-ES_tradnl"/>
        </w:rPr>
        <w:t xml:space="preserve">Índice del proyecto de Informe de la RPC a la CMR-27 y </w:t>
      </w:r>
      <w:r w:rsidR="00EB337E" w:rsidRPr="003E6986">
        <w:rPr>
          <w:lang w:val="es-ES_tradnl"/>
        </w:rPr>
        <w:t>Relatores de Capítulo</w:t>
      </w:r>
    </w:p>
    <w:p w14:paraId="3FD746BA" w14:textId="198E5579" w:rsidR="009E1AFD" w:rsidRPr="003E6986" w:rsidRDefault="0006092D" w:rsidP="0042126E">
      <w:pPr>
        <w:pStyle w:val="Headingb"/>
        <w:spacing w:before="480" w:line="240" w:lineRule="auto"/>
        <w:rPr>
          <w:rFonts w:asciiTheme="minorHAnsi" w:hAnsiTheme="minorHAnsi" w:cstheme="minorHAnsi"/>
          <w:lang w:val="es-ES_tradnl"/>
        </w:rPr>
      </w:pPr>
      <w:r w:rsidRPr="003E6986">
        <w:rPr>
          <w:rFonts w:asciiTheme="minorHAnsi" w:hAnsiTheme="minorHAnsi" w:cstheme="minorHAnsi"/>
          <w:lang w:val="es-ES_tradnl"/>
        </w:rPr>
        <w:t xml:space="preserve">CAPÍTULO </w:t>
      </w:r>
      <w:r w:rsidR="009E1AFD" w:rsidRPr="003E6986">
        <w:rPr>
          <w:rFonts w:asciiTheme="minorHAnsi" w:hAnsiTheme="minorHAnsi" w:cstheme="minorHAnsi"/>
          <w:lang w:val="es-ES_tradnl"/>
        </w:rPr>
        <w:t>1</w:t>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Pr="003E6986">
        <w:rPr>
          <w:rFonts w:asciiTheme="minorHAnsi" w:hAnsiTheme="minorHAnsi" w:cstheme="minorHAnsi"/>
          <w:lang w:val="es-ES_tradnl"/>
        </w:rPr>
        <w:t>Temas relativos a los servicios fijo por satélite y de radiodifusión por satélite</w:t>
      </w:r>
    </w:p>
    <w:p w14:paraId="40C11F2B" w14:textId="29621208" w:rsidR="009E1AFD" w:rsidRPr="003E6986" w:rsidRDefault="0006092D" w:rsidP="0042126E">
      <w:pPr>
        <w:tabs>
          <w:tab w:val="left" w:pos="2552"/>
          <w:tab w:val="left" w:pos="3119"/>
          <w:tab w:val="left" w:pos="3686"/>
          <w:tab w:val="left" w:pos="4253"/>
          <w:tab w:val="left" w:pos="4820"/>
          <w:tab w:val="left" w:pos="5387"/>
        </w:tabs>
        <w:spacing w:line="240" w:lineRule="auto"/>
        <w:jc w:val="left"/>
        <w:rPr>
          <w:rFonts w:asciiTheme="minorHAnsi" w:hAnsiTheme="minorHAnsi" w:cstheme="minorHAnsi"/>
          <w:lang w:val="es-ES_tradnl"/>
        </w:rPr>
      </w:pPr>
      <w:r w:rsidRPr="003E6986">
        <w:rPr>
          <w:rFonts w:asciiTheme="minorHAnsi" w:hAnsiTheme="minorHAnsi" w:cstheme="minorHAnsi"/>
          <w:lang w:val="es-ES_tradnl"/>
        </w:rPr>
        <w:t xml:space="preserve">Puntos del orden </w:t>
      </w:r>
      <w:r w:rsidR="00E703DD" w:rsidRPr="003E6986">
        <w:rPr>
          <w:rFonts w:asciiTheme="minorHAnsi" w:hAnsiTheme="minorHAnsi" w:cstheme="minorHAnsi"/>
          <w:lang w:val="es-ES_tradnl"/>
        </w:rPr>
        <w:br/>
      </w:r>
      <w:r w:rsidRPr="003E6986">
        <w:rPr>
          <w:rFonts w:asciiTheme="minorHAnsi" w:hAnsiTheme="minorHAnsi" w:cstheme="minorHAnsi"/>
          <w:lang w:val="es-ES_tradnl"/>
        </w:rPr>
        <w:t>del día:</w:t>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00E703DD" w:rsidRPr="003E6986">
        <w:rPr>
          <w:rFonts w:asciiTheme="minorHAnsi" w:hAnsiTheme="minorHAnsi" w:cstheme="minorHAnsi"/>
          <w:lang w:val="es-ES_tradnl"/>
        </w:rPr>
        <w:tab/>
      </w:r>
      <w:r w:rsidR="00E703DD" w:rsidRPr="003E6986">
        <w:rPr>
          <w:rFonts w:asciiTheme="minorHAnsi" w:hAnsiTheme="minorHAnsi" w:cstheme="minorHAnsi"/>
          <w:lang w:val="es-ES_tradnl"/>
        </w:rPr>
        <w:tab/>
      </w:r>
      <w:r w:rsidR="009E1AFD" w:rsidRPr="003E6986">
        <w:rPr>
          <w:rFonts w:asciiTheme="minorHAnsi" w:hAnsiTheme="minorHAnsi" w:cstheme="minorHAnsi"/>
          <w:lang w:val="es-ES_tradnl"/>
        </w:rPr>
        <w:t>1.1, 1.2, 1.3, 1.4, 1.5, 1.6, 7</w:t>
      </w:r>
    </w:p>
    <w:p w14:paraId="4BD5870B" w14:textId="60F32D12" w:rsidR="009E1AFD" w:rsidRPr="003E6986" w:rsidRDefault="0006092D" w:rsidP="0042126E">
      <w:pPr>
        <w:tabs>
          <w:tab w:val="left" w:pos="4536"/>
        </w:tabs>
        <w:spacing w:line="240" w:lineRule="auto"/>
        <w:rPr>
          <w:rFonts w:asciiTheme="minorHAnsi" w:hAnsiTheme="minorHAnsi" w:cstheme="minorHAnsi"/>
          <w:lang w:val="es-ES_tradnl"/>
        </w:rPr>
      </w:pPr>
      <w:r w:rsidRPr="003E6986">
        <w:rPr>
          <w:rFonts w:asciiTheme="minorHAnsi" w:hAnsiTheme="minorHAnsi" w:cstheme="minorHAnsi"/>
          <w:lang w:val="es-ES_tradnl"/>
        </w:rPr>
        <w:t>Correlatores:</w:t>
      </w:r>
      <w:r w:rsidR="009E1AFD" w:rsidRPr="003E6986">
        <w:rPr>
          <w:rFonts w:asciiTheme="minorHAnsi" w:hAnsiTheme="minorHAnsi" w:cstheme="minorHAnsi"/>
          <w:lang w:val="es-ES_tradnl"/>
        </w:rPr>
        <w:tab/>
      </w:r>
      <w:r w:rsidR="00E703DD" w:rsidRPr="003E6986">
        <w:rPr>
          <w:rFonts w:asciiTheme="minorHAnsi" w:hAnsiTheme="minorHAnsi" w:cstheme="minorHAnsi"/>
          <w:lang w:val="es-ES_tradnl"/>
        </w:rPr>
        <w:tab/>
      </w:r>
      <w:r w:rsidR="00FB4EE1" w:rsidRPr="003E6986">
        <w:rPr>
          <w:rFonts w:asciiTheme="minorHAnsi" w:hAnsiTheme="minorHAnsi" w:cstheme="minorHAnsi"/>
          <w:lang w:val="es-ES_tradnl"/>
        </w:rPr>
        <w:t>Sr.</w:t>
      </w:r>
      <w:r w:rsidR="009E1AFD" w:rsidRPr="003E6986">
        <w:rPr>
          <w:rFonts w:asciiTheme="minorHAnsi" w:hAnsiTheme="minorHAnsi" w:cstheme="minorHAnsi"/>
          <w:lang w:val="es-ES_tradnl"/>
        </w:rPr>
        <w:t xml:space="preserve"> Andrew PEGUES (</w:t>
      </w:r>
      <w:r w:rsidR="00FB4EE1" w:rsidRPr="003E6986">
        <w:rPr>
          <w:rFonts w:asciiTheme="minorHAnsi" w:hAnsiTheme="minorHAnsi" w:cstheme="minorHAnsi"/>
          <w:lang w:val="es-ES_tradnl"/>
        </w:rPr>
        <w:t>para los puntos</w:t>
      </w:r>
      <w:r w:rsidR="009E1AFD" w:rsidRPr="003E6986">
        <w:rPr>
          <w:rFonts w:asciiTheme="minorHAnsi" w:hAnsiTheme="minorHAnsi" w:cstheme="minorHAnsi"/>
          <w:lang w:val="es-ES_tradnl"/>
        </w:rPr>
        <w:t xml:space="preserve"> 1.1, 1.2, 1.3, 1.4</w:t>
      </w:r>
      <w:r w:rsidR="00FB4EE1" w:rsidRPr="003E6986">
        <w:rPr>
          <w:rFonts w:asciiTheme="minorHAnsi" w:hAnsiTheme="minorHAnsi" w:cstheme="minorHAnsi"/>
          <w:lang w:val="es-ES_tradnl"/>
        </w:rPr>
        <w:t xml:space="preserve"> y</w:t>
      </w:r>
      <w:r w:rsidR="009E1AFD" w:rsidRPr="003E6986">
        <w:rPr>
          <w:rFonts w:asciiTheme="minorHAnsi" w:hAnsiTheme="minorHAnsi" w:cstheme="minorHAnsi"/>
          <w:lang w:val="es-ES_tradnl"/>
        </w:rPr>
        <w:t xml:space="preserve"> 1.6)</w:t>
      </w:r>
    </w:p>
    <w:p w14:paraId="59AA8357" w14:textId="3266B3EA" w:rsidR="009E1AFD" w:rsidRPr="003E6986" w:rsidRDefault="009E1AFD" w:rsidP="0042126E">
      <w:pPr>
        <w:tabs>
          <w:tab w:val="left" w:pos="4536"/>
        </w:tabs>
        <w:spacing w:line="240" w:lineRule="auto"/>
        <w:rPr>
          <w:rFonts w:asciiTheme="minorHAnsi" w:hAnsiTheme="minorHAnsi" w:cstheme="minorHAnsi"/>
          <w:lang w:val="es-ES_tradnl"/>
        </w:rPr>
      </w:pPr>
      <w:r w:rsidRPr="003E6986">
        <w:rPr>
          <w:rFonts w:asciiTheme="minorHAnsi" w:hAnsiTheme="minorHAnsi" w:cstheme="minorHAnsi"/>
          <w:lang w:val="es-ES_tradnl"/>
        </w:rPr>
        <w:tab/>
      </w:r>
      <w:r w:rsidRPr="003E6986">
        <w:rPr>
          <w:rFonts w:asciiTheme="minorHAnsi" w:hAnsiTheme="minorHAnsi" w:cstheme="minorHAnsi"/>
          <w:lang w:val="es-ES_tradnl"/>
        </w:rPr>
        <w:tab/>
      </w:r>
      <w:r w:rsidRPr="003E6986">
        <w:rPr>
          <w:rFonts w:asciiTheme="minorHAnsi" w:hAnsiTheme="minorHAnsi" w:cstheme="minorHAnsi"/>
          <w:lang w:val="es-ES_tradnl"/>
        </w:rPr>
        <w:tab/>
      </w:r>
      <w:r w:rsidRPr="003E6986">
        <w:rPr>
          <w:rFonts w:asciiTheme="minorHAnsi" w:hAnsiTheme="minorHAnsi" w:cstheme="minorHAnsi"/>
          <w:lang w:val="es-ES_tradnl"/>
        </w:rPr>
        <w:tab/>
      </w:r>
      <w:r w:rsidR="00FB4EE1" w:rsidRPr="003E6986">
        <w:rPr>
          <w:rFonts w:asciiTheme="minorHAnsi" w:hAnsiTheme="minorHAnsi" w:cstheme="minorHAnsi"/>
          <w:lang w:val="es-ES_tradnl"/>
        </w:rPr>
        <w:t>Sr.</w:t>
      </w:r>
      <w:r w:rsidRPr="003E6986">
        <w:rPr>
          <w:rFonts w:asciiTheme="minorHAnsi" w:hAnsiTheme="minorHAnsi" w:cstheme="minorHAnsi"/>
          <w:lang w:val="es-ES_tradnl"/>
        </w:rPr>
        <w:t xml:space="preserve"> Mostafa MOUSA (</w:t>
      </w:r>
      <w:r w:rsidR="00FB4EE1" w:rsidRPr="003E6986">
        <w:rPr>
          <w:rFonts w:asciiTheme="minorHAnsi" w:hAnsiTheme="minorHAnsi" w:cstheme="minorHAnsi"/>
          <w:lang w:val="es-ES_tradnl"/>
        </w:rPr>
        <w:t xml:space="preserve">para los puntos </w:t>
      </w:r>
      <w:r w:rsidRPr="003E6986">
        <w:rPr>
          <w:rFonts w:asciiTheme="minorHAnsi" w:hAnsiTheme="minorHAnsi" w:cstheme="minorHAnsi"/>
          <w:lang w:val="es-ES_tradnl"/>
        </w:rPr>
        <w:t>1.5</w:t>
      </w:r>
      <w:r w:rsidR="00FB4EE1" w:rsidRPr="003E6986">
        <w:rPr>
          <w:rFonts w:asciiTheme="minorHAnsi" w:hAnsiTheme="minorHAnsi" w:cstheme="minorHAnsi"/>
          <w:lang w:val="es-ES_tradnl"/>
        </w:rPr>
        <w:t xml:space="preserve"> y</w:t>
      </w:r>
      <w:r w:rsidRPr="003E6986">
        <w:rPr>
          <w:rFonts w:asciiTheme="minorHAnsi" w:hAnsiTheme="minorHAnsi" w:cstheme="minorHAnsi"/>
          <w:lang w:val="es-ES_tradnl"/>
        </w:rPr>
        <w:t xml:space="preserve"> 7)</w:t>
      </w:r>
    </w:p>
    <w:p w14:paraId="7D7D9258" w14:textId="482D2798" w:rsidR="009E1AFD" w:rsidRPr="003E6986" w:rsidRDefault="0006092D" w:rsidP="0042126E">
      <w:pPr>
        <w:pStyle w:val="Headingb"/>
        <w:spacing w:line="240" w:lineRule="auto"/>
        <w:rPr>
          <w:rFonts w:asciiTheme="minorHAnsi" w:hAnsiTheme="minorHAnsi" w:cstheme="minorHAnsi"/>
          <w:lang w:val="es-ES_tradnl"/>
        </w:rPr>
      </w:pPr>
      <w:r w:rsidRPr="003E6986">
        <w:rPr>
          <w:rFonts w:asciiTheme="minorHAnsi" w:hAnsiTheme="minorHAnsi" w:cstheme="minorHAnsi"/>
          <w:lang w:val="es-ES_tradnl"/>
        </w:rPr>
        <w:t xml:space="preserve">CAPÍTULO </w:t>
      </w:r>
      <w:r w:rsidR="009E1AFD" w:rsidRPr="003E6986">
        <w:rPr>
          <w:rFonts w:asciiTheme="minorHAnsi" w:hAnsiTheme="minorHAnsi" w:cstheme="minorHAnsi"/>
          <w:lang w:val="es-ES_tradnl"/>
        </w:rPr>
        <w:t>2</w:t>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00FB4EE1" w:rsidRPr="003E6986">
        <w:rPr>
          <w:rFonts w:asciiTheme="minorHAnsi" w:hAnsiTheme="minorHAnsi" w:cstheme="minorHAnsi"/>
          <w:lang w:val="es-ES_tradnl"/>
        </w:rPr>
        <w:t>Temas relativos a los servicios fijo, móvil y de radiolocalización</w:t>
      </w:r>
    </w:p>
    <w:p w14:paraId="55642FD4" w14:textId="154B5D2D" w:rsidR="009E1AFD" w:rsidRPr="003E6986" w:rsidRDefault="0042126E" w:rsidP="0042126E">
      <w:pPr>
        <w:tabs>
          <w:tab w:val="left" w:pos="2552"/>
          <w:tab w:val="left" w:pos="3119"/>
          <w:tab w:val="left" w:pos="3686"/>
          <w:tab w:val="left" w:pos="4253"/>
          <w:tab w:val="left" w:pos="4820"/>
          <w:tab w:val="left" w:pos="5387"/>
        </w:tabs>
        <w:spacing w:line="240" w:lineRule="auto"/>
        <w:jc w:val="left"/>
        <w:rPr>
          <w:rFonts w:asciiTheme="minorHAnsi" w:hAnsiTheme="minorHAnsi" w:cstheme="minorHAnsi"/>
          <w:lang w:val="es-ES_tradnl"/>
        </w:rPr>
      </w:pPr>
      <w:r w:rsidRPr="003E6986">
        <w:rPr>
          <w:rFonts w:asciiTheme="minorHAnsi" w:hAnsiTheme="minorHAnsi" w:cstheme="minorHAnsi"/>
          <w:lang w:val="es-ES_tradnl"/>
        </w:rPr>
        <w:t>Puntos del orden</w:t>
      </w:r>
      <w:r w:rsidRPr="003E6986">
        <w:rPr>
          <w:rFonts w:asciiTheme="minorHAnsi" w:hAnsiTheme="minorHAnsi" w:cstheme="minorHAnsi"/>
          <w:lang w:val="es-ES_tradnl"/>
        </w:rPr>
        <w:br/>
      </w:r>
      <w:r w:rsidR="0006092D" w:rsidRPr="003E6986">
        <w:rPr>
          <w:rFonts w:asciiTheme="minorHAnsi" w:hAnsiTheme="minorHAnsi" w:cstheme="minorHAnsi"/>
          <w:lang w:val="es-ES_tradnl"/>
        </w:rPr>
        <w:t>del día:</w:t>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Pr="003E6986">
        <w:rPr>
          <w:rFonts w:asciiTheme="minorHAnsi" w:hAnsiTheme="minorHAnsi" w:cstheme="minorHAnsi"/>
          <w:lang w:val="es-ES_tradnl"/>
        </w:rPr>
        <w:tab/>
      </w:r>
      <w:r w:rsidRPr="003E6986">
        <w:rPr>
          <w:rFonts w:asciiTheme="minorHAnsi" w:hAnsiTheme="minorHAnsi" w:cstheme="minorHAnsi"/>
          <w:lang w:val="es-ES_tradnl"/>
        </w:rPr>
        <w:tab/>
      </w:r>
      <w:r w:rsidR="009E1AFD" w:rsidRPr="003E6986">
        <w:rPr>
          <w:rFonts w:asciiTheme="minorHAnsi" w:hAnsiTheme="minorHAnsi" w:cstheme="minorHAnsi"/>
          <w:lang w:val="es-ES_tradnl"/>
        </w:rPr>
        <w:t>1.7, 1.8, 1.9, 1.10</w:t>
      </w:r>
    </w:p>
    <w:p w14:paraId="7F8BCD93" w14:textId="5D949F6A" w:rsidR="009E1AFD" w:rsidRPr="003E6986" w:rsidRDefault="0006092D" w:rsidP="00C6600E">
      <w:pPr>
        <w:tabs>
          <w:tab w:val="left" w:pos="4536"/>
        </w:tabs>
        <w:spacing w:line="240" w:lineRule="auto"/>
        <w:rPr>
          <w:rFonts w:asciiTheme="minorHAnsi" w:hAnsiTheme="minorHAnsi" w:cstheme="minorHAnsi"/>
          <w:lang w:val="es-ES_tradnl"/>
        </w:rPr>
      </w:pPr>
      <w:r w:rsidRPr="003E6986">
        <w:rPr>
          <w:rFonts w:asciiTheme="minorHAnsi" w:hAnsiTheme="minorHAnsi" w:cstheme="minorHAnsi"/>
          <w:lang w:val="es-ES_tradnl"/>
        </w:rPr>
        <w:t>Correlatores:</w:t>
      </w:r>
      <w:r w:rsidR="009E1AFD" w:rsidRPr="003E6986">
        <w:rPr>
          <w:rFonts w:asciiTheme="minorHAnsi" w:hAnsiTheme="minorHAnsi" w:cstheme="minorHAnsi"/>
          <w:lang w:val="es-ES_tradnl"/>
        </w:rPr>
        <w:tab/>
      </w:r>
      <w:r w:rsidR="0042126E" w:rsidRPr="003E6986">
        <w:rPr>
          <w:rFonts w:asciiTheme="minorHAnsi" w:hAnsiTheme="minorHAnsi" w:cstheme="minorHAnsi"/>
          <w:lang w:val="es-ES_tradnl"/>
        </w:rPr>
        <w:tab/>
      </w:r>
      <w:r w:rsidR="00FB4EE1" w:rsidRPr="003E6986">
        <w:rPr>
          <w:rFonts w:asciiTheme="minorHAnsi" w:hAnsiTheme="minorHAnsi" w:cstheme="minorHAnsi"/>
          <w:lang w:val="es-ES_tradnl"/>
        </w:rPr>
        <w:t>Sr.</w:t>
      </w:r>
      <w:r w:rsidR="009E1AFD" w:rsidRPr="003E6986">
        <w:rPr>
          <w:rFonts w:asciiTheme="minorHAnsi" w:hAnsiTheme="minorHAnsi" w:cstheme="minorHAnsi"/>
          <w:lang w:val="es-ES_tradnl"/>
        </w:rPr>
        <w:t xml:space="preserve"> Richard MAKGOTLHO </w:t>
      </w:r>
      <w:r w:rsidR="00FB4EE1" w:rsidRPr="003E6986">
        <w:rPr>
          <w:rFonts w:asciiTheme="minorHAnsi" w:hAnsiTheme="minorHAnsi" w:cstheme="minorHAnsi"/>
          <w:lang w:val="es-ES_tradnl"/>
        </w:rPr>
        <w:t xml:space="preserve">(para los puntos </w:t>
      </w:r>
      <w:r w:rsidR="009E1AFD" w:rsidRPr="003E6986">
        <w:rPr>
          <w:rFonts w:asciiTheme="minorHAnsi" w:hAnsiTheme="minorHAnsi" w:cstheme="minorHAnsi"/>
          <w:lang w:val="es-ES_tradnl"/>
        </w:rPr>
        <w:t>1.8</w:t>
      </w:r>
      <w:r w:rsidR="00FB4EE1" w:rsidRPr="003E6986">
        <w:rPr>
          <w:rFonts w:asciiTheme="minorHAnsi" w:hAnsiTheme="minorHAnsi" w:cstheme="minorHAnsi"/>
          <w:lang w:val="es-ES_tradnl"/>
        </w:rPr>
        <w:t xml:space="preserve"> y</w:t>
      </w:r>
      <w:r w:rsidR="009E1AFD" w:rsidRPr="003E6986">
        <w:rPr>
          <w:rFonts w:asciiTheme="minorHAnsi" w:hAnsiTheme="minorHAnsi" w:cstheme="minorHAnsi"/>
          <w:lang w:val="es-ES_tradnl"/>
        </w:rPr>
        <w:t xml:space="preserve"> 1.9)</w:t>
      </w:r>
    </w:p>
    <w:p w14:paraId="315A8062" w14:textId="26B2CBC0" w:rsidR="009E1AFD" w:rsidRPr="003E6986" w:rsidRDefault="009E1AFD" w:rsidP="00C6600E">
      <w:pPr>
        <w:tabs>
          <w:tab w:val="left" w:pos="4536"/>
        </w:tabs>
        <w:spacing w:line="240" w:lineRule="auto"/>
        <w:rPr>
          <w:rFonts w:asciiTheme="minorHAnsi" w:hAnsiTheme="minorHAnsi" w:cstheme="minorHAnsi"/>
          <w:lang w:val="es-ES_tradnl"/>
        </w:rPr>
      </w:pPr>
      <w:r w:rsidRPr="003E6986">
        <w:rPr>
          <w:rFonts w:asciiTheme="minorHAnsi" w:hAnsiTheme="minorHAnsi" w:cstheme="minorHAnsi"/>
          <w:lang w:val="es-ES_tradnl"/>
        </w:rPr>
        <w:tab/>
      </w:r>
      <w:r w:rsidRPr="003E6986">
        <w:rPr>
          <w:rFonts w:asciiTheme="minorHAnsi" w:hAnsiTheme="minorHAnsi" w:cstheme="minorHAnsi"/>
          <w:lang w:val="es-ES_tradnl"/>
        </w:rPr>
        <w:tab/>
      </w:r>
      <w:r w:rsidRPr="003E6986">
        <w:rPr>
          <w:rFonts w:asciiTheme="minorHAnsi" w:hAnsiTheme="minorHAnsi" w:cstheme="minorHAnsi"/>
          <w:lang w:val="es-ES_tradnl"/>
        </w:rPr>
        <w:tab/>
      </w:r>
      <w:r w:rsidRPr="003E6986">
        <w:rPr>
          <w:rFonts w:asciiTheme="minorHAnsi" w:hAnsiTheme="minorHAnsi" w:cstheme="minorHAnsi"/>
          <w:lang w:val="es-ES_tradnl"/>
        </w:rPr>
        <w:tab/>
      </w:r>
      <w:r w:rsidR="00FB4EE1" w:rsidRPr="003E6986">
        <w:rPr>
          <w:rFonts w:asciiTheme="minorHAnsi" w:hAnsiTheme="minorHAnsi" w:cstheme="minorHAnsi"/>
          <w:lang w:val="es-ES_tradnl"/>
        </w:rPr>
        <w:t>Sr.</w:t>
      </w:r>
      <w:r w:rsidRPr="003E6986">
        <w:rPr>
          <w:rFonts w:asciiTheme="minorHAnsi" w:hAnsiTheme="minorHAnsi" w:cstheme="minorHAnsi"/>
          <w:lang w:val="es-ES_tradnl"/>
        </w:rPr>
        <w:t xml:space="preserve"> </w:t>
      </w:r>
      <w:proofErr w:type="spellStart"/>
      <w:r w:rsidRPr="003E6986">
        <w:rPr>
          <w:rFonts w:asciiTheme="minorHAnsi" w:hAnsiTheme="minorHAnsi" w:cstheme="minorHAnsi"/>
          <w:lang w:val="es-ES_tradnl"/>
        </w:rPr>
        <w:t>Abdulla</w:t>
      </w:r>
      <w:proofErr w:type="spellEnd"/>
      <w:r w:rsidRPr="003E6986">
        <w:rPr>
          <w:rFonts w:asciiTheme="minorHAnsi" w:hAnsiTheme="minorHAnsi" w:cstheme="minorHAnsi"/>
          <w:lang w:val="es-ES_tradnl"/>
        </w:rPr>
        <w:t xml:space="preserve"> </w:t>
      </w:r>
      <w:proofErr w:type="spellStart"/>
      <w:r w:rsidRPr="003E6986">
        <w:rPr>
          <w:rFonts w:asciiTheme="minorHAnsi" w:hAnsiTheme="minorHAnsi" w:cstheme="minorHAnsi"/>
          <w:lang w:val="es-ES_tradnl"/>
        </w:rPr>
        <w:t>JABER</w:t>
      </w:r>
      <w:proofErr w:type="spellEnd"/>
      <w:r w:rsidRPr="003E6986">
        <w:rPr>
          <w:rFonts w:asciiTheme="minorHAnsi" w:hAnsiTheme="minorHAnsi" w:cstheme="minorHAnsi"/>
          <w:lang w:val="es-ES_tradnl"/>
        </w:rPr>
        <w:t xml:space="preserve"> </w:t>
      </w:r>
      <w:r w:rsidR="00FB4EE1" w:rsidRPr="003E6986">
        <w:rPr>
          <w:rFonts w:asciiTheme="minorHAnsi" w:hAnsiTheme="minorHAnsi" w:cstheme="minorHAnsi"/>
          <w:lang w:val="es-ES_tradnl"/>
        </w:rPr>
        <w:t xml:space="preserve">(para los puntos </w:t>
      </w:r>
      <w:r w:rsidRPr="003E6986">
        <w:rPr>
          <w:rFonts w:asciiTheme="minorHAnsi" w:hAnsiTheme="minorHAnsi" w:cstheme="minorHAnsi"/>
          <w:lang w:val="es-ES_tradnl"/>
        </w:rPr>
        <w:t>1.7</w:t>
      </w:r>
      <w:r w:rsidR="00FB4EE1" w:rsidRPr="003E6986">
        <w:rPr>
          <w:rFonts w:asciiTheme="minorHAnsi" w:hAnsiTheme="minorHAnsi" w:cstheme="minorHAnsi"/>
          <w:lang w:val="es-ES_tradnl"/>
        </w:rPr>
        <w:t xml:space="preserve"> y</w:t>
      </w:r>
      <w:r w:rsidRPr="003E6986">
        <w:rPr>
          <w:rFonts w:asciiTheme="minorHAnsi" w:hAnsiTheme="minorHAnsi" w:cstheme="minorHAnsi"/>
          <w:lang w:val="es-ES_tradnl"/>
        </w:rPr>
        <w:t xml:space="preserve"> 1.10)</w:t>
      </w:r>
    </w:p>
    <w:p w14:paraId="77FBEC5E" w14:textId="3441C1AC" w:rsidR="009E1AFD" w:rsidRPr="003E6986" w:rsidRDefault="0006092D" w:rsidP="00C6600E">
      <w:pPr>
        <w:pStyle w:val="Headingb"/>
        <w:spacing w:line="240" w:lineRule="auto"/>
        <w:rPr>
          <w:rFonts w:asciiTheme="minorHAnsi" w:hAnsiTheme="minorHAnsi" w:cstheme="minorHAnsi"/>
          <w:lang w:val="es-ES_tradnl"/>
        </w:rPr>
      </w:pPr>
      <w:r w:rsidRPr="003E6986">
        <w:rPr>
          <w:rFonts w:asciiTheme="minorHAnsi" w:hAnsiTheme="minorHAnsi" w:cstheme="minorHAnsi"/>
          <w:lang w:val="es-ES_tradnl"/>
        </w:rPr>
        <w:t xml:space="preserve">CAPÍTULO </w:t>
      </w:r>
      <w:r w:rsidR="009E1AFD" w:rsidRPr="003E6986">
        <w:rPr>
          <w:rFonts w:asciiTheme="minorHAnsi" w:hAnsiTheme="minorHAnsi" w:cstheme="minorHAnsi"/>
          <w:lang w:val="es-ES_tradnl"/>
        </w:rPr>
        <w:t>3</w:t>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00FB4EE1" w:rsidRPr="003E6986">
        <w:rPr>
          <w:rFonts w:asciiTheme="minorHAnsi" w:hAnsiTheme="minorHAnsi" w:cstheme="minorHAnsi"/>
          <w:lang w:val="es-ES_tradnl"/>
        </w:rPr>
        <w:t>Temas relativos al servicio móvil por satélite</w:t>
      </w:r>
    </w:p>
    <w:p w14:paraId="16A7B7E7" w14:textId="4044F183" w:rsidR="009E1AFD" w:rsidRPr="003E6986" w:rsidRDefault="0042126E" w:rsidP="0042126E">
      <w:pPr>
        <w:tabs>
          <w:tab w:val="left" w:pos="2552"/>
          <w:tab w:val="left" w:pos="3119"/>
          <w:tab w:val="left" w:pos="3686"/>
          <w:tab w:val="left" w:pos="4253"/>
          <w:tab w:val="left" w:pos="4820"/>
          <w:tab w:val="left" w:pos="5387"/>
        </w:tabs>
        <w:spacing w:line="240" w:lineRule="auto"/>
        <w:jc w:val="left"/>
        <w:rPr>
          <w:rFonts w:asciiTheme="minorHAnsi" w:hAnsiTheme="minorHAnsi" w:cstheme="minorHAnsi"/>
          <w:lang w:val="es-ES_tradnl"/>
        </w:rPr>
      </w:pPr>
      <w:r w:rsidRPr="003E6986">
        <w:rPr>
          <w:rFonts w:asciiTheme="minorHAnsi" w:hAnsiTheme="minorHAnsi" w:cstheme="minorHAnsi"/>
          <w:lang w:val="es-ES_tradnl"/>
        </w:rPr>
        <w:t>Puntos del orden</w:t>
      </w:r>
      <w:r w:rsidRPr="003E6986">
        <w:rPr>
          <w:rFonts w:asciiTheme="minorHAnsi" w:hAnsiTheme="minorHAnsi" w:cstheme="minorHAnsi"/>
          <w:lang w:val="es-ES_tradnl"/>
        </w:rPr>
        <w:br/>
      </w:r>
      <w:r w:rsidR="0006092D" w:rsidRPr="003E6986">
        <w:rPr>
          <w:rFonts w:asciiTheme="minorHAnsi" w:hAnsiTheme="minorHAnsi" w:cstheme="minorHAnsi"/>
          <w:lang w:val="es-ES_tradnl"/>
        </w:rPr>
        <w:t>del día:</w:t>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Pr="003E6986">
        <w:rPr>
          <w:rFonts w:asciiTheme="minorHAnsi" w:hAnsiTheme="minorHAnsi" w:cstheme="minorHAnsi"/>
          <w:lang w:val="es-ES_tradnl"/>
        </w:rPr>
        <w:tab/>
      </w:r>
      <w:r w:rsidRPr="003E6986">
        <w:rPr>
          <w:rFonts w:asciiTheme="minorHAnsi" w:hAnsiTheme="minorHAnsi" w:cstheme="minorHAnsi"/>
          <w:lang w:val="es-ES_tradnl"/>
        </w:rPr>
        <w:tab/>
      </w:r>
      <w:r w:rsidR="009E1AFD" w:rsidRPr="003E6986">
        <w:rPr>
          <w:rFonts w:asciiTheme="minorHAnsi" w:hAnsiTheme="minorHAnsi" w:cstheme="minorHAnsi"/>
          <w:lang w:val="es-ES_tradnl"/>
        </w:rPr>
        <w:t>1.11, 1.12, 1.13, 1.14</w:t>
      </w:r>
    </w:p>
    <w:p w14:paraId="3B46E62B" w14:textId="1C002185" w:rsidR="009E1AFD" w:rsidRPr="003E6986" w:rsidRDefault="0006092D" w:rsidP="00C6600E">
      <w:pPr>
        <w:tabs>
          <w:tab w:val="left" w:pos="4536"/>
        </w:tabs>
        <w:spacing w:line="240" w:lineRule="auto"/>
        <w:rPr>
          <w:rFonts w:asciiTheme="minorHAnsi" w:hAnsiTheme="minorHAnsi" w:cstheme="minorHAnsi"/>
          <w:lang w:val="es-ES_tradnl"/>
        </w:rPr>
      </w:pPr>
      <w:r w:rsidRPr="003E6986">
        <w:rPr>
          <w:rFonts w:asciiTheme="minorHAnsi" w:hAnsiTheme="minorHAnsi" w:cstheme="minorHAnsi"/>
          <w:lang w:val="es-ES_tradnl"/>
        </w:rPr>
        <w:t>Relator:</w:t>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0042126E" w:rsidRPr="003E6986">
        <w:rPr>
          <w:rFonts w:asciiTheme="minorHAnsi" w:hAnsiTheme="minorHAnsi" w:cstheme="minorHAnsi"/>
          <w:lang w:val="es-ES_tradnl"/>
        </w:rPr>
        <w:tab/>
      </w:r>
      <w:r w:rsidR="00FB4EE1" w:rsidRPr="003E6986">
        <w:rPr>
          <w:rFonts w:asciiTheme="minorHAnsi" w:hAnsiTheme="minorHAnsi" w:cstheme="minorHAnsi"/>
          <w:lang w:val="es-ES_tradnl"/>
        </w:rPr>
        <w:t>Sr.</w:t>
      </w:r>
      <w:r w:rsidR="009E1AFD" w:rsidRPr="003E6986">
        <w:rPr>
          <w:rFonts w:asciiTheme="minorHAnsi" w:hAnsiTheme="minorHAnsi" w:cstheme="minorHAnsi"/>
          <w:lang w:val="es-ES_tradnl"/>
        </w:rPr>
        <w:t xml:space="preserve"> Sergey S. UVAROV</w:t>
      </w:r>
    </w:p>
    <w:p w14:paraId="29F8E3E0" w14:textId="52370ED9" w:rsidR="009E1AFD" w:rsidRPr="003E6986" w:rsidRDefault="0006092D" w:rsidP="00C6600E">
      <w:pPr>
        <w:pStyle w:val="Headingb"/>
        <w:spacing w:line="240" w:lineRule="auto"/>
        <w:rPr>
          <w:rFonts w:asciiTheme="minorHAnsi" w:hAnsiTheme="minorHAnsi" w:cstheme="minorHAnsi"/>
          <w:lang w:val="es-ES_tradnl"/>
        </w:rPr>
      </w:pPr>
      <w:r w:rsidRPr="003E6986">
        <w:rPr>
          <w:rFonts w:asciiTheme="minorHAnsi" w:hAnsiTheme="minorHAnsi" w:cstheme="minorHAnsi"/>
          <w:lang w:val="es-ES_tradnl"/>
        </w:rPr>
        <w:t xml:space="preserve">CAPÍTULO </w:t>
      </w:r>
      <w:r w:rsidR="009E1AFD" w:rsidRPr="003E6986">
        <w:rPr>
          <w:rFonts w:asciiTheme="minorHAnsi" w:hAnsiTheme="minorHAnsi" w:cstheme="minorHAnsi"/>
          <w:lang w:val="es-ES_tradnl"/>
        </w:rPr>
        <w:t>4</w:t>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00FB4EE1" w:rsidRPr="003E6986">
        <w:rPr>
          <w:rFonts w:asciiTheme="minorHAnsi" w:hAnsiTheme="minorHAnsi" w:cstheme="minorHAnsi"/>
          <w:lang w:val="es-ES_tradnl"/>
        </w:rPr>
        <w:t>Temas científicos</w:t>
      </w:r>
    </w:p>
    <w:p w14:paraId="4C4AE390" w14:textId="0599956C" w:rsidR="009E1AFD" w:rsidRPr="003E6986" w:rsidRDefault="0042126E" w:rsidP="0042126E">
      <w:pPr>
        <w:tabs>
          <w:tab w:val="left" w:pos="2552"/>
          <w:tab w:val="left" w:pos="3119"/>
          <w:tab w:val="left" w:pos="3686"/>
          <w:tab w:val="left" w:pos="4253"/>
          <w:tab w:val="left" w:pos="4820"/>
          <w:tab w:val="left" w:pos="5387"/>
        </w:tabs>
        <w:spacing w:line="240" w:lineRule="auto"/>
        <w:jc w:val="left"/>
        <w:rPr>
          <w:rFonts w:asciiTheme="minorHAnsi" w:hAnsiTheme="minorHAnsi" w:cstheme="minorHAnsi"/>
          <w:lang w:val="es-ES_tradnl"/>
        </w:rPr>
      </w:pPr>
      <w:r w:rsidRPr="003E6986">
        <w:rPr>
          <w:rFonts w:asciiTheme="minorHAnsi" w:hAnsiTheme="minorHAnsi" w:cstheme="minorHAnsi"/>
          <w:lang w:val="es-ES_tradnl"/>
        </w:rPr>
        <w:t>Puntos del orden</w:t>
      </w:r>
      <w:r w:rsidRPr="003E6986">
        <w:rPr>
          <w:rFonts w:asciiTheme="minorHAnsi" w:hAnsiTheme="minorHAnsi" w:cstheme="minorHAnsi"/>
          <w:lang w:val="es-ES_tradnl"/>
        </w:rPr>
        <w:br/>
      </w:r>
      <w:r w:rsidR="0006092D" w:rsidRPr="003E6986">
        <w:rPr>
          <w:rFonts w:asciiTheme="minorHAnsi" w:hAnsiTheme="minorHAnsi" w:cstheme="minorHAnsi"/>
          <w:lang w:val="es-ES_tradnl"/>
        </w:rPr>
        <w:t>del día:</w:t>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Pr="003E6986">
        <w:rPr>
          <w:rFonts w:asciiTheme="minorHAnsi" w:hAnsiTheme="minorHAnsi" w:cstheme="minorHAnsi"/>
          <w:lang w:val="es-ES_tradnl"/>
        </w:rPr>
        <w:tab/>
      </w:r>
      <w:r w:rsidRPr="003E6986">
        <w:rPr>
          <w:rFonts w:asciiTheme="minorHAnsi" w:hAnsiTheme="minorHAnsi" w:cstheme="minorHAnsi"/>
          <w:lang w:val="es-ES_tradnl"/>
        </w:rPr>
        <w:tab/>
      </w:r>
      <w:r w:rsidR="009E1AFD" w:rsidRPr="003E6986">
        <w:rPr>
          <w:rFonts w:asciiTheme="minorHAnsi" w:hAnsiTheme="minorHAnsi" w:cstheme="minorHAnsi"/>
          <w:lang w:val="es-ES_tradnl"/>
        </w:rPr>
        <w:t>1.15, 1.16, 1.17, 1.18, 1.19</w:t>
      </w:r>
    </w:p>
    <w:p w14:paraId="7008E752" w14:textId="1BA25337" w:rsidR="009E1AFD" w:rsidRPr="003E6986" w:rsidRDefault="0006092D" w:rsidP="00C6600E">
      <w:pPr>
        <w:tabs>
          <w:tab w:val="left" w:pos="4536"/>
        </w:tabs>
        <w:spacing w:line="240" w:lineRule="auto"/>
        <w:rPr>
          <w:rFonts w:asciiTheme="minorHAnsi" w:hAnsiTheme="minorHAnsi" w:cstheme="minorHAnsi"/>
          <w:lang w:val="es-ES_tradnl"/>
        </w:rPr>
      </w:pPr>
      <w:r w:rsidRPr="003E6986">
        <w:rPr>
          <w:rFonts w:asciiTheme="minorHAnsi" w:hAnsiTheme="minorHAnsi" w:cstheme="minorHAnsi"/>
          <w:lang w:val="es-ES_tradnl"/>
        </w:rPr>
        <w:t>Relator:</w:t>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0042126E" w:rsidRPr="003E6986">
        <w:rPr>
          <w:rFonts w:asciiTheme="minorHAnsi" w:hAnsiTheme="minorHAnsi" w:cstheme="minorHAnsi"/>
          <w:lang w:val="es-ES_tradnl"/>
        </w:rPr>
        <w:tab/>
      </w:r>
      <w:r w:rsidR="00FB4EE1" w:rsidRPr="003E6986">
        <w:rPr>
          <w:rFonts w:asciiTheme="minorHAnsi" w:hAnsiTheme="minorHAnsi" w:cstheme="minorHAnsi"/>
          <w:lang w:val="es-ES_tradnl"/>
        </w:rPr>
        <w:t>Sr.</w:t>
      </w:r>
      <w:r w:rsidR="009E1AFD" w:rsidRPr="003E6986">
        <w:rPr>
          <w:rFonts w:asciiTheme="minorHAnsi" w:hAnsiTheme="minorHAnsi" w:cstheme="minorHAnsi"/>
          <w:lang w:val="es-ES_tradnl"/>
        </w:rPr>
        <w:t xml:space="preserve"> Jean PLA</w:t>
      </w:r>
    </w:p>
    <w:p w14:paraId="209F3717" w14:textId="03126749" w:rsidR="009E1AFD" w:rsidRPr="003E6986" w:rsidRDefault="0006092D" w:rsidP="00C6600E">
      <w:pPr>
        <w:pStyle w:val="Headingb"/>
        <w:spacing w:line="240" w:lineRule="auto"/>
        <w:rPr>
          <w:rFonts w:asciiTheme="minorHAnsi" w:hAnsiTheme="minorHAnsi" w:cstheme="minorHAnsi"/>
          <w:lang w:val="es-ES_tradnl"/>
        </w:rPr>
      </w:pPr>
      <w:r w:rsidRPr="003E6986">
        <w:rPr>
          <w:rFonts w:asciiTheme="minorHAnsi" w:hAnsiTheme="minorHAnsi" w:cstheme="minorHAnsi"/>
          <w:lang w:val="es-ES_tradnl"/>
        </w:rPr>
        <w:t xml:space="preserve">CAPÍTULO </w:t>
      </w:r>
      <w:r w:rsidR="009E1AFD" w:rsidRPr="003E6986">
        <w:rPr>
          <w:rFonts w:asciiTheme="minorHAnsi" w:hAnsiTheme="minorHAnsi" w:cstheme="minorHAnsi"/>
          <w:lang w:val="es-ES_tradnl"/>
        </w:rPr>
        <w:t>5:</w:t>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00FB4EE1" w:rsidRPr="003E6986">
        <w:rPr>
          <w:rFonts w:asciiTheme="minorHAnsi" w:hAnsiTheme="minorHAnsi" w:cstheme="minorHAnsi"/>
          <w:lang w:val="es-ES_tradnl"/>
        </w:rPr>
        <w:t>Temas generales</w:t>
      </w:r>
    </w:p>
    <w:p w14:paraId="17114267" w14:textId="270BF739" w:rsidR="009E1AFD" w:rsidRPr="003E6986" w:rsidRDefault="0042126E" w:rsidP="0042126E">
      <w:pPr>
        <w:tabs>
          <w:tab w:val="left" w:pos="2552"/>
          <w:tab w:val="left" w:pos="3119"/>
          <w:tab w:val="left" w:pos="3686"/>
          <w:tab w:val="left" w:pos="4253"/>
          <w:tab w:val="left" w:pos="4536"/>
          <w:tab w:val="left" w:pos="4820"/>
          <w:tab w:val="left" w:pos="5387"/>
        </w:tabs>
        <w:spacing w:line="240" w:lineRule="auto"/>
        <w:jc w:val="left"/>
        <w:rPr>
          <w:rFonts w:asciiTheme="minorHAnsi" w:hAnsiTheme="minorHAnsi" w:cstheme="minorHAnsi"/>
          <w:lang w:val="es-ES_tradnl"/>
        </w:rPr>
      </w:pPr>
      <w:r w:rsidRPr="003E6986">
        <w:rPr>
          <w:rFonts w:asciiTheme="minorHAnsi" w:hAnsiTheme="minorHAnsi" w:cstheme="minorHAnsi"/>
          <w:lang w:val="es-ES_tradnl"/>
        </w:rPr>
        <w:t>Puntos del orden</w:t>
      </w:r>
      <w:r w:rsidRPr="003E6986">
        <w:rPr>
          <w:rFonts w:asciiTheme="minorHAnsi" w:hAnsiTheme="minorHAnsi" w:cstheme="minorHAnsi"/>
          <w:lang w:val="es-ES_tradnl"/>
        </w:rPr>
        <w:br/>
      </w:r>
      <w:r w:rsidR="0006092D" w:rsidRPr="003E6986">
        <w:rPr>
          <w:rFonts w:asciiTheme="minorHAnsi" w:hAnsiTheme="minorHAnsi" w:cstheme="minorHAnsi"/>
          <w:lang w:val="es-ES_tradnl"/>
        </w:rPr>
        <w:t>del día:</w:t>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Pr="003E6986">
        <w:rPr>
          <w:rFonts w:asciiTheme="minorHAnsi" w:hAnsiTheme="minorHAnsi" w:cstheme="minorHAnsi"/>
          <w:lang w:val="es-ES_tradnl"/>
        </w:rPr>
        <w:tab/>
      </w:r>
      <w:r w:rsidRPr="003E6986">
        <w:rPr>
          <w:rFonts w:asciiTheme="minorHAnsi" w:hAnsiTheme="minorHAnsi" w:cstheme="minorHAnsi"/>
          <w:lang w:val="es-ES_tradnl"/>
        </w:rPr>
        <w:tab/>
      </w:r>
      <w:r w:rsidR="009E1AFD" w:rsidRPr="003E6986">
        <w:rPr>
          <w:rFonts w:asciiTheme="minorHAnsi" w:hAnsiTheme="minorHAnsi" w:cstheme="minorHAnsi"/>
          <w:lang w:val="es-ES_tradnl"/>
        </w:rPr>
        <w:t xml:space="preserve">2 </w:t>
      </w:r>
      <w:r w:rsidR="00FB4EE1" w:rsidRPr="003E6986">
        <w:rPr>
          <w:rFonts w:asciiTheme="minorHAnsi" w:hAnsiTheme="minorHAnsi" w:cstheme="minorHAnsi"/>
          <w:lang w:val="es-ES_tradnl"/>
        </w:rPr>
        <w:t>y</w:t>
      </w:r>
      <w:r w:rsidR="009E1AFD" w:rsidRPr="003E6986">
        <w:rPr>
          <w:rFonts w:asciiTheme="minorHAnsi" w:hAnsiTheme="minorHAnsi" w:cstheme="minorHAnsi"/>
          <w:lang w:val="es-ES_tradnl"/>
        </w:rPr>
        <w:t xml:space="preserve"> 4</w:t>
      </w:r>
    </w:p>
    <w:p w14:paraId="0C2D231E" w14:textId="082F4A17" w:rsidR="009E1AFD" w:rsidRPr="003E6986" w:rsidRDefault="0006092D" w:rsidP="00C6600E">
      <w:pPr>
        <w:tabs>
          <w:tab w:val="left" w:pos="4536"/>
        </w:tabs>
        <w:spacing w:line="240" w:lineRule="auto"/>
        <w:rPr>
          <w:rFonts w:asciiTheme="minorHAnsi" w:hAnsiTheme="minorHAnsi" w:cstheme="minorHAnsi"/>
          <w:lang w:val="es-ES_tradnl"/>
        </w:rPr>
      </w:pPr>
      <w:r w:rsidRPr="003E6986">
        <w:rPr>
          <w:rFonts w:asciiTheme="minorHAnsi" w:hAnsiTheme="minorHAnsi" w:cstheme="minorHAnsi"/>
          <w:lang w:val="es-ES_tradnl"/>
        </w:rPr>
        <w:t>Relator:</w:t>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009E1AFD" w:rsidRPr="003E6986">
        <w:rPr>
          <w:rFonts w:asciiTheme="minorHAnsi" w:hAnsiTheme="minorHAnsi" w:cstheme="minorHAnsi"/>
          <w:lang w:val="es-ES_tradnl"/>
        </w:rPr>
        <w:tab/>
      </w:r>
      <w:r w:rsidR="0042126E" w:rsidRPr="003E6986">
        <w:rPr>
          <w:rFonts w:asciiTheme="minorHAnsi" w:hAnsiTheme="minorHAnsi" w:cstheme="minorHAnsi"/>
          <w:lang w:val="es-ES_tradnl"/>
        </w:rPr>
        <w:tab/>
      </w:r>
      <w:r w:rsidR="00FB4EE1" w:rsidRPr="003E6986">
        <w:rPr>
          <w:rFonts w:asciiTheme="minorHAnsi" w:hAnsiTheme="minorHAnsi" w:cstheme="minorHAnsi"/>
          <w:lang w:val="es-ES_tradnl"/>
        </w:rPr>
        <w:t>Sr.</w:t>
      </w:r>
      <w:r w:rsidR="009E1AFD" w:rsidRPr="003E6986">
        <w:rPr>
          <w:rFonts w:asciiTheme="minorHAnsi" w:hAnsiTheme="minorHAnsi" w:cstheme="minorHAnsi"/>
          <w:lang w:val="es-ES_tradnl"/>
        </w:rPr>
        <w:t xml:space="preserve"> </w:t>
      </w:r>
      <w:proofErr w:type="spellStart"/>
      <w:r w:rsidR="009E1AFD" w:rsidRPr="003E6986">
        <w:rPr>
          <w:rFonts w:asciiTheme="minorHAnsi" w:hAnsiTheme="minorHAnsi" w:cstheme="minorHAnsi"/>
          <w:lang w:val="es-ES_tradnl"/>
        </w:rPr>
        <w:t>Bin</w:t>
      </w:r>
      <w:proofErr w:type="spellEnd"/>
      <w:r w:rsidR="009E1AFD" w:rsidRPr="003E6986">
        <w:rPr>
          <w:rFonts w:asciiTheme="minorHAnsi" w:hAnsiTheme="minorHAnsi" w:cstheme="minorHAnsi"/>
          <w:lang w:val="es-ES_tradnl"/>
        </w:rPr>
        <w:t xml:space="preserve"> LIU</w:t>
      </w:r>
    </w:p>
    <w:p w14:paraId="3AA8E421" w14:textId="74519FAB" w:rsidR="009E1AFD" w:rsidRPr="003E6986" w:rsidRDefault="009E1AFD" w:rsidP="00C6600E">
      <w:pPr>
        <w:keepNext/>
        <w:tabs>
          <w:tab w:val="left" w:pos="4536"/>
        </w:tabs>
        <w:spacing w:line="240" w:lineRule="auto"/>
        <w:rPr>
          <w:rFonts w:asciiTheme="minorHAnsi" w:hAnsiTheme="minorHAnsi" w:cstheme="minorHAnsi"/>
          <w:b/>
          <w:lang w:val="es-ES_tradnl"/>
        </w:rPr>
      </w:pPr>
      <w:r w:rsidRPr="003E6986">
        <w:rPr>
          <w:rFonts w:asciiTheme="minorHAnsi" w:hAnsiTheme="minorHAnsi" w:cstheme="minorHAnsi"/>
          <w:b/>
          <w:lang w:val="es-ES_tradnl"/>
        </w:rPr>
        <w:t>ANEX</w:t>
      </w:r>
      <w:r w:rsidR="00690016" w:rsidRPr="003E6986">
        <w:rPr>
          <w:rFonts w:asciiTheme="minorHAnsi" w:hAnsiTheme="minorHAnsi" w:cstheme="minorHAnsi"/>
          <w:b/>
          <w:lang w:val="es-ES_tradnl"/>
        </w:rPr>
        <w:t>O</w:t>
      </w:r>
      <w:r w:rsidRPr="003E6986">
        <w:rPr>
          <w:rFonts w:asciiTheme="minorHAnsi" w:hAnsiTheme="minorHAnsi" w:cstheme="minorHAnsi"/>
          <w:b/>
          <w:lang w:val="es-ES_tradnl"/>
        </w:rPr>
        <w:t xml:space="preserve"> 1</w:t>
      </w:r>
      <w:r w:rsidRPr="003E6986">
        <w:rPr>
          <w:rFonts w:asciiTheme="minorHAnsi" w:hAnsiTheme="minorHAnsi" w:cstheme="minorHAnsi"/>
          <w:b/>
          <w:lang w:val="es-ES_tradnl"/>
        </w:rPr>
        <w:tab/>
      </w:r>
      <w:r w:rsidRPr="003E6986">
        <w:rPr>
          <w:rFonts w:asciiTheme="minorHAnsi" w:hAnsiTheme="minorHAnsi" w:cstheme="minorHAnsi"/>
          <w:b/>
          <w:lang w:val="es-ES_tradnl"/>
        </w:rPr>
        <w:tab/>
      </w:r>
      <w:r w:rsidRPr="003E6986">
        <w:rPr>
          <w:rFonts w:asciiTheme="minorHAnsi" w:hAnsiTheme="minorHAnsi" w:cstheme="minorHAnsi"/>
          <w:b/>
          <w:lang w:val="es-ES_tradnl"/>
        </w:rPr>
        <w:tab/>
      </w:r>
      <w:r w:rsidR="00FB4EE1" w:rsidRPr="003E6986">
        <w:rPr>
          <w:rFonts w:asciiTheme="minorHAnsi" w:hAnsiTheme="minorHAnsi" w:cstheme="minorHAnsi"/>
          <w:b/>
          <w:lang w:val="es-ES_tradnl"/>
        </w:rPr>
        <w:t>Información relativa al punto 10 del orden del día de la CMR-27</w:t>
      </w:r>
    </w:p>
    <w:p w14:paraId="5EDB72CA" w14:textId="6652F15F" w:rsidR="009E1AFD" w:rsidRPr="003E6986" w:rsidRDefault="009E1AFD" w:rsidP="00C6600E">
      <w:pPr>
        <w:keepNext/>
        <w:tabs>
          <w:tab w:val="left" w:pos="4536"/>
        </w:tabs>
        <w:spacing w:line="240" w:lineRule="auto"/>
        <w:rPr>
          <w:rFonts w:asciiTheme="minorHAnsi" w:hAnsiTheme="minorHAnsi" w:cstheme="minorHAnsi"/>
          <w:b/>
          <w:lang w:val="es-ES_tradnl"/>
        </w:rPr>
      </w:pPr>
      <w:r w:rsidRPr="003E6986">
        <w:rPr>
          <w:rFonts w:asciiTheme="minorHAnsi" w:hAnsiTheme="minorHAnsi" w:cstheme="minorHAnsi"/>
          <w:b/>
          <w:lang w:val="es-ES_tradnl"/>
        </w:rPr>
        <w:t>ANEX</w:t>
      </w:r>
      <w:r w:rsidR="00690016" w:rsidRPr="003E6986">
        <w:rPr>
          <w:rFonts w:asciiTheme="minorHAnsi" w:hAnsiTheme="minorHAnsi" w:cstheme="minorHAnsi"/>
          <w:b/>
          <w:lang w:val="es-ES_tradnl"/>
        </w:rPr>
        <w:t>O</w:t>
      </w:r>
      <w:r w:rsidRPr="003E6986">
        <w:rPr>
          <w:rFonts w:asciiTheme="minorHAnsi" w:hAnsiTheme="minorHAnsi" w:cstheme="minorHAnsi"/>
          <w:b/>
          <w:lang w:val="es-ES_tradnl"/>
        </w:rPr>
        <w:t xml:space="preserve"> 2</w:t>
      </w:r>
      <w:r w:rsidRPr="003E6986">
        <w:rPr>
          <w:rFonts w:asciiTheme="minorHAnsi" w:hAnsiTheme="minorHAnsi" w:cstheme="minorHAnsi"/>
          <w:b/>
          <w:lang w:val="es-ES_tradnl"/>
        </w:rPr>
        <w:tab/>
      </w:r>
      <w:r w:rsidRPr="003E6986">
        <w:rPr>
          <w:rFonts w:asciiTheme="minorHAnsi" w:hAnsiTheme="minorHAnsi" w:cstheme="minorHAnsi"/>
          <w:b/>
          <w:lang w:val="es-ES_tradnl"/>
        </w:rPr>
        <w:tab/>
      </w:r>
      <w:r w:rsidRPr="003E6986">
        <w:rPr>
          <w:rFonts w:asciiTheme="minorHAnsi" w:hAnsiTheme="minorHAnsi" w:cstheme="minorHAnsi"/>
          <w:b/>
          <w:lang w:val="es-ES_tradnl"/>
        </w:rPr>
        <w:tab/>
      </w:r>
      <w:r w:rsidR="00FB4EE1" w:rsidRPr="003E6986">
        <w:rPr>
          <w:rFonts w:asciiTheme="minorHAnsi" w:hAnsiTheme="minorHAnsi" w:cstheme="minorHAnsi"/>
          <w:b/>
          <w:lang w:val="es-ES_tradnl"/>
        </w:rPr>
        <w:t>Información relativa al punto 8 del orden del día de la CMR-27</w:t>
      </w:r>
    </w:p>
    <w:p w14:paraId="17108165" w14:textId="02A4C435" w:rsidR="00EB337E" w:rsidRPr="003E6986" w:rsidRDefault="00EB337E" w:rsidP="00C6600E">
      <w:pPr>
        <w:spacing w:line="240" w:lineRule="auto"/>
        <w:rPr>
          <w:lang w:val="es-ES_tradnl"/>
        </w:rPr>
      </w:pPr>
      <w:r w:rsidRPr="003E6986">
        <w:rPr>
          <w:lang w:val="es-ES_tradnl"/>
        </w:rPr>
        <w:br w:type="page"/>
      </w:r>
    </w:p>
    <w:p w14:paraId="7DF2421A" w14:textId="77777777" w:rsidR="008D60CF" w:rsidRPr="003E6986" w:rsidRDefault="008D60CF" w:rsidP="00690016">
      <w:pPr>
        <w:pStyle w:val="AnnexNo"/>
        <w:rPr>
          <w:lang w:val="es-ES_tradnl"/>
        </w:rPr>
      </w:pPr>
      <w:r w:rsidRPr="003E6986">
        <w:rPr>
          <w:lang w:val="es-ES_tradnl"/>
        </w:rPr>
        <w:lastRenderedPageBreak/>
        <w:t>ANEXO 6</w:t>
      </w:r>
    </w:p>
    <w:p w14:paraId="51DECDBD" w14:textId="3432C4B0" w:rsidR="008D60CF" w:rsidRPr="003E6986" w:rsidRDefault="00690016" w:rsidP="0042126E">
      <w:pPr>
        <w:pStyle w:val="Annextitle0"/>
        <w:spacing w:before="200" w:after="120"/>
        <w:rPr>
          <w:lang w:val="es-ES_tradnl"/>
        </w:rPr>
      </w:pPr>
      <w:r w:rsidRPr="003E6986">
        <w:rPr>
          <w:lang w:val="es-ES_tradnl"/>
        </w:rPr>
        <w:t xml:space="preserve">Estructura de los </w:t>
      </w:r>
      <w:r w:rsidR="00486CD9" w:rsidRPr="003E6986">
        <w:rPr>
          <w:lang w:val="es-ES_tradnl"/>
        </w:rPr>
        <w:t>c</w:t>
      </w:r>
      <w:r w:rsidRPr="003E6986">
        <w:rPr>
          <w:lang w:val="es-ES_tradnl"/>
        </w:rPr>
        <w:t>apítulos y procedi</w:t>
      </w:r>
      <w:r w:rsidR="003600D8" w:rsidRPr="003E6986">
        <w:rPr>
          <w:lang w:val="es-ES_tradnl"/>
        </w:rPr>
        <w:t>mientos de trabajo de la RPC</w:t>
      </w:r>
      <w:r w:rsidR="003600D8" w:rsidRPr="003E6986">
        <w:rPr>
          <w:lang w:val="es-ES_tradnl"/>
        </w:rPr>
        <w:br/>
      </w:r>
      <w:r w:rsidRPr="003E6986">
        <w:rPr>
          <w:lang w:val="es-ES_tradnl"/>
        </w:rPr>
        <w:t>de conformidad con la Resolución UIT-R 2-9</w:t>
      </w:r>
    </w:p>
    <w:p w14:paraId="2480EED1" w14:textId="7E1CB534" w:rsidR="009E1AFD" w:rsidRPr="003E6986" w:rsidRDefault="009E1AFD" w:rsidP="00690016">
      <w:pPr>
        <w:pStyle w:val="Heading1"/>
        <w:spacing w:line="240" w:lineRule="auto"/>
        <w:rPr>
          <w:lang w:val="es-ES_tradnl"/>
        </w:rPr>
      </w:pPr>
      <w:r w:rsidRPr="003E6986">
        <w:rPr>
          <w:lang w:val="es-ES_tradnl"/>
        </w:rPr>
        <w:t>1</w:t>
      </w:r>
      <w:r w:rsidRPr="003E6986">
        <w:rPr>
          <w:lang w:val="es-ES_tradnl"/>
        </w:rPr>
        <w:tab/>
      </w:r>
      <w:r w:rsidR="00690016" w:rsidRPr="003E6986">
        <w:rPr>
          <w:lang w:val="es-ES_tradnl"/>
        </w:rPr>
        <w:t xml:space="preserve">Estructura de los </w:t>
      </w:r>
      <w:r w:rsidR="00486CD9" w:rsidRPr="003E6986">
        <w:rPr>
          <w:lang w:val="es-ES_tradnl"/>
        </w:rPr>
        <w:t>c</w:t>
      </w:r>
      <w:r w:rsidR="00690016" w:rsidRPr="003E6986">
        <w:rPr>
          <w:lang w:val="es-ES_tradnl"/>
        </w:rPr>
        <w:t>apítulos relacionados con todos los puntos del orden del día, excepto el punto 10</w:t>
      </w:r>
    </w:p>
    <w:p w14:paraId="0CEF02E3" w14:textId="7D975BFE" w:rsidR="00690016" w:rsidRPr="003E6986" w:rsidRDefault="00690016" w:rsidP="00690016">
      <w:pPr>
        <w:spacing w:line="240" w:lineRule="auto"/>
        <w:rPr>
          <w:lang w:val="es-ES_tradnl"/>
        </w:rPr>
      </w:pPr>
      <w:r w:rsidRPr="003E6986">
        <w:rPr>
          <w:lang w:val="es-ES_tradnl"/>
        </w:rPr>
        <w:t>1.1</w:t>
      </w:r>
      <w:r w:rsidRPr="003E6986">
        <w:rPr>
          <w:lang w:val="es-ES_tradnl"/>
        </w:rPr>
        <w:tab/>
        <w:t xml:space="preserve">Punto </w:t>
      </w:r>
      <w:proofErr w:type="spellStart"/>
      <w:r w:rsidRPr="003E6986">
        <w:rPr>
          <w:lang w:val="es-ES_tradnl"/>
        </w:rPr>
        <w:t>X.xx</w:t>
      </w:r>
      <w:proofErr w:type="spellEnd"/>
      <w:r w:rsidRPr="003E6986">
        <w:rPr>
          <w:lang w:val="es-ES_tradnl"/>
        </w:rPr>
        <w:t xml:space="preserve"> del orden del día de la CMR </w:t>
      </w:r>
      <w:r w:rsidR="00E90AF1" w:rsidRPr="003E6986">
        <w:rPr>
          <w:lang w:val="es-ES_tradnl"/>
        </w:rPr>
        <w:t>(</w:t>
      </w:r>
      <w:r w:rsidR="00E90AF1" w:rsidRPr="003E6986">
        <w:rPr>
          <w:i/>
          <w:iCs/>
          <w:lang w:val="es-ES_tradnl"/>
        </w:rPr>
        <w:t>i</w:t>
      </w:r>
      <w:r w:rsidRPr="003E6986">
        <w:rPr>
          <w:i/>
          <w:iCs/>
          <w:lang w:val="es-ES_tradnl"/>
        </w:rPr>
        <w:t>nsértese el texto del punto del orden del día correspondiente</w:t>
      </w:r>
      <w:r w:rsidR="00E90AF1" w:rsidRPr="003E6986">
        <w:rPr>
          <w:lang w:val="es-ES_tradnl"/>
        </w:rPr>
        <w:t>)</w:t>
      </w:r>
      <w:r w:rsidRPr="003E6986">
        <w:rPr>
          <w:lang w:val="es-ES_tradnl"/>
        </w:rPr>
        <w:t>.</w:t>
      </w:r>
    </w:p>
    <w:p w14:paraId="7591ADFF" w14:textId="17461BE5" w:rsidR="00690016" w:rsidRPr="003E6986" w:rsidRDefault="00690016" w:rsidP="00690016">
      <w:pPr>
        <w:spacing w:line="240" w:lineRule="auto"/>
        <w:rPr>
          <w:lang w:val="es-ES_tradnl"/>
        </w:rPr>
      </w:pPr>
      <w:r w:rsidRPr="003E6986">
        <w:rPr>
          <w:lang w:val="es-ES_tradnl"/>
        </w:rPr>
        <w:t>1.2</w:t>
      </w:r>
      <w:r w:rsidRPr="003E6986">
        <w:rPr>
          <w:lang w:val="es-ES_tradnl"/>
        </w:rPr>
        <w:tab/>
      </w:r>
      <w:r w:rsidR="006F1107" w:rsidRPr="003E6986">
        <w:rPr>
          <w:lang w:val="es-ES_tradnl"/>
        </w:rPr>
        <w:t>U</w:t>
      </w:r>
      <w:r w:rsidR="00E90AF1" w:rsidRPr="003E6986">
        <w:rPr>
          <w:lang w:val="es-ES_tradnl"/>
        </w:rPr>
        <w:t>n r</w:t>
      </w:r>
      <w:r w:rsidRPr="003E6986">
        <w:rPr>
          <w:lang w:val="es-ES_tradnl"/>
        </w:rPr>
        <w:t>esumen ejecutivo</w:t>
      </w:r>
      <w:r w:rsidR="006F1107" w:rsidRPr="003E6986">
        <w:rPr>
          <w:lang w:val="es-ES_tradnl"/>
        </w:rPr>
        <w:t>,</w:t>
      </w:r>
      <w:r w:rsidRPr="003E6986">
        <w:rPr>
          <w:lang w:val="es-ES_tradnl"/>
        </w:rPr>
        <w:t xml:space="preserve"> para describir brevemente el propósito del punto del orden del día, resumir los resultados de los estudios realizados y, lo que es más importante, </w:t>
      </w:r>
      <w:r w:rsidR="00E90AF1" w:rsidRPr="003E6986">
        <w:rPr>
          <w:lang w:val="es-ES_tradnl"/>
        </w:rPr>
        <w:t>facilitar</w:t>
      </w:r>
      <w:r w:rsidRPr="003E6986">
        <w:rPr>
          <w:lang w:val="es-ES_tradnl"/>
        </w:rPr>
        <w:t xml:space="preserve"> una breve descripción del método o métodos identificados </w:t>
      </w:r>
      <w:r w:rsidR="00E90AF1" w:rsidRPr="003E6986">
        <w:rPr>
          <w:lang w:val="es-ES_tradnl"/>
        </w:rPr>
        <w:t>para dar respuesta</w:t>
      </w:r>
      <w:r w:rsidRPr="003E6986">
        <w:rPr>
          <w:lang w:val="es-ES_tradnl"/>
        </w:rPr>
        <w:t xml:space="preserve"> el punto del orden del día.</w:t>
      </w:r>
    </w:p>
    <w:p w14:paraId="05227478" w14:textId="3F7180B3" w:rsidR="00690016" w:rsidRPr="003E6986" w:rsidRDefault="00690016" w:rsidP="00E90AF1">
      <w:pPr>
        <w:spacing w:line="240" w:lineRule="auto"/>
        <w:rPr>
          <w:lang w:val="es-ES_tradnl"/>
        </w:rPr>
      </w:pPr>
      <w:r w:rsidRPr="003E6986">
        <w:rPr>
          <w:lang w:val="es-ES_tradnl"/>
        </w:rPr>
        <w:t>1.3</w:t>
      </w:r>
      <w:r w:rsidRPr="003E6986">
        <w:rPr>
          <w:lang w:val="es-ES_tradnl"/>
        </w:rPr>
        <w:tab/>
      </w:r>
      <w:r w:rsidR="006F1107" w:rsidRPr="003E6986">
        <w:rPr>
          <w:lang w:val="es-ES_tradnl"/>
        </w:rPr>
        <w:t>Una</w:t>
      </w:r>
      <w:r w:rsidR="00E90AF1" w:rsidRPr="003E6986">
        <w:rPr>
          <w:lang w:val="es-ES_tradnl"/>
        </w:rPr>
        <w:t xml:space="preserve"> s</w:t>
      </w:r>
      <w:r w:rsidRPr="003E6986">
        <w:rPr>
          <w:lang w:val="es-ES_tradnl"/>
        </w:rPr>
        <w:t>ección de antecedentes</w:t>
      </w:r>
      <w:r w:rsidR="00E90AF1" w:rsidRPr="003E6986">
        <w:rPr>
          <w:rStyle w:val="FootnoteReference"/>
          <w:rFonts w:eastAsia="SimSun"/>
          <w:lang w:val="es-ES_tradnl" w:eastAsia="zh-CN"/>
        </w:rPr>
        <w:footnoteReference w:customMarkFollows="1" w:id="11"/>
        <w:t>1</w:t>
      </w:r>
      <w:r w:rsidR="006F1107" w:rsidRPr="003E6986">
        <w:rPr>
          <w:lang w:val="es-ES_tradnl"/>
        </w:rPr>
        <w:t xml:space="preserve">, para facilitar </w:t>
      </w:r>
      <w:r w:rsidRPr="003E6986">
        <w:rPr>
          <w:lang w:val="es-ES_tradnl"/>
        </w:rPr>
        <w:t xml:space="preserve">información general </w:t>
      </w:r>
      <w:r w:rsidR="00E90AF1" w:rsidRPr="003E6986">
        <w:rPr>
          <w:lang w:val="es-ES_tradnl"/>
        </w:rPr>
        <w:t>y</w:t>
      </w:r>
      <w:r w:rsidRPr="003E6986">
        <w:rPr>
          <w:lang w:val="es-ES_tradnl"/>
        </w:rPr>
        <w:t xml:space="preserve"> concisa</w:t>
      </w:r>
      <w:r w:rsidR="006F1107" w:rsidRPr="003E6986">
        <w:rPr>
          <w:lang w:val="es-ES_tradnl"/>
        </w:rPr>
        <w:t>,</w:t>
      </w:r>
      <w:r w:rsidRPr="003E6986">
        <w:rPr>
          <w:lang w:val="es-ES_tradnl"/>
        </w:rPr>
        <w:t xml:space="preserve"> con </w:t>
      </w:r>
      <w:r w:rsidR="00E90AF1" w:rsidRPr="003E6986">
        <w:rPr>
          <w:lang w:val="es-ES_tradnl"/>
        </w:rPr>
        <w:t>miras a</w:t>
      </w:r>
      <w:r w:rsidRPr="003E6986">
        <w:rPr>
          <w:lang w:val="es-ES_tradnl"/>
        </w:rPr>
        <w:t xml:space="preserve"> describir</w:t>
      </w:r>
      <w:r w:rsidR="00E90AF1" w:rsidRPr="003E6986">
        <w:rPr>
          <w:lang w:val="es-ES_tradnl"/>
        </w:rPr>
        <w:t xml:space="preserve"> el fundamento </w:t>
      </w:r>
      <w:r w:rsidRPr="003E6986">
        <w:rPr>
          <w:lang w:val="es-ES_tradnl"/>
        </w:rPr>
        <w:t>del punto del orden del día (o tema)</w:t>
      </w:r>
      <w:r w:rsidR="00E90AF1" w:rsidRPr="003E6986">
        <w:rPr>
          <w:lang w:val="es-ES_tradnl"/>
        </w:rPr>
        <w:t xml:space="preserve"> correspondiente</w:t>
      </w:r>
      <w:r w:rsidRPr="003E6986">
        <w:rPr>
          <w:lang w:val="es-ES_tradnl"/>
        </w:rPr>
        <w:t>.</w:t>
      </w:r>
    </w:p>
    <w:p w14:paraId="15DAC18A" w14:textId="07FCC224" w:rsidR="00690016" w:rsidRPr="003E6986" w:rsidRDefault="00690016" w:rsidP="00E90AF1">
      <w:pPr>
        <w:spacing w:line="240" w:lineRule="auto"/>
        <w:rPr>
          <w:lang w:val="es-ES_tradnl"/>
        </w:rPr>
      </w:pPr>
      <w:r w:rsidRPr="003E6986">
        <w:rPr>
          <w:lang w:val="es-ES_tradnl"/>
        </w:rPr>
        <w:t>1.4</w:t>
      </w:r>
      <w:r w:rsidRPr="003E6986">
        <w:rPr>
          <w:lang w:val="es-ES_tradnl"/>
        </w:rPr>
        <w:tab/>
      </w:r>
      <w:r w:rsidR="006F1107" w:rsidRPr="003E6986">
        <w:rPr>
          <w:lang w:val="es-ES_tradnl"/>
        </w:rPr>
        <w:t>Un r</w:t>
      </w:r>
      <w:r w:rsidRPr="003E6986">
        <w:rPr>
          <w:lang w:val="es-ES_tradnl"/>
        </w:rPr>
        <w:t>esumen de los estudios técnicos y operativos, incluida una lista de Recomendaciones UIT</w:t>
      </w:r>
      <w:r w:rsidR="00E90AF1" w:rsidRPr="003E6986">
        <w:rPr>
          <w:lang w:val="es-ES_tradnl"/>
        </w:rPr>
        <w:t>-</w:t>
      </w:r>
      <w:r w:rsidRPr="003E6986">
        <w:rPr>
          <w:lang w:val="es-ES_tradnl"/>
        </w:rPr>
        <w:t>R pertinentes.</w:t>
      </w:r>
    </w:p>
    <w:p w14:paraId="043F897A" w14:textId="6E04B5C1" w:rsidR="00690016" w:rsidRPr="003E6986" w:rsidRDefault="00690016" w:rsidP="00E90AF1">
      <w:pPr>
        <w:spacing w:line="240" w:lineRule="auto"/>
        <w:rPr>
          <w:spacing w:val="-4"/>
          <w:lang w:val="es-ES_tradnl"/>
        </w:rPr>
      </w:pPr>
      <w:r w:rsidRPr="003E6986">
        <w:rPr>
          <w:lang w:val="es-ES_tradnl"/>
        </w:rPr>
        <w:t>1.5</w:t>
      </w:r>
      <w:r w:rsidRPr="003E6986">
        <w:rPr>
          <w:lang w:val="es-ES_tradnl"/>
        </w:rPr>
        <w:tab/>
      </w:r>
      <w:r w:rsidR="006F1107" w:rsidRPr="003E6986">
        <w:rPr>
          <w:lang w:val="es-ES_tradnl"/>
        </w:rPr>
        <w:t>Un a</w:t>
      </w:r>
      <w:r w:rsidRPr="003E6986">
        <w:rPr>
          <w:lang w:val="es-ES_tradnl"/>
        </w:rPr>
        <w:t xml:space="preserve">nálisis de los resultados de los estudios relativos a los posibles métodos para </w:t>
      </w:r>
      <w:r w:rsidR="00E90AF1" w:rsidRPr="003E6986">
        <w:rPr>
          <w:lang w:val="es-ES_tradnl"/>
        </w:rPr>
        <w:t>responder</w:t>
      </w:r>
      <w:r w:rsidRPr="003E6986">
        <w:rPr>
          <w:lang w:val="es-ES_tradnl"/>
        </w:rPr>
        <w:t xml:space="preserve"> </w:t>
      </w:r>
      <w:r w:rsidR="00E90AF1" w:rsidRPr="003E6986">
        <w:rPr>
          <w:lang w:val="es-ES_tradnl"/>
        </w:rPr>
        <w:t>a</w:t>
      </w:r>
      <w:r w:rsidRPr="003E6986">
        <w:rPr>
          <w:lang w:val="es-ES_tradnl"/>
        </w:rPr>
        <w:t>l punto del orden del día.</w:t>
      </w:r>
    </w:p>
    <w:p w14:paraId="1489C598" w14:textId="54118A89" w:rsidR="00690016" w:rsidRPr="003E6986" w:rsidRDefault="00690016" w:rsidP="00690016">
      <w:pPr>
        <w:spacing w:line="240" w:lineRule="auto"/>
        <w:rPr>
          <w:lang w:val="es-ES_tradnl"/>
        </w:rPr>
      </w:pPr>
      <w:r w:rsidRPr="003E6986">
        <w:rPr>
          <w:lang w:val="es-ES_tradnl"/>
        </w:rPr>
        <w:t>1.6</w:t>
      </w:r>
      <w:r w:rsidRPr="003E6986">
        <w:rPr>
          <w:lang w:val="es-ES_tradnl"/>
        </w:rPr>
        <w:tab/>
      </w:r>
      <w:r w:rsidR="006F1107" w:rsidRPr="003E6986">
        <w:rPr>
          <w:lang w:val="es-ES_tradnl"/>
        </w:rPr>
        <w:t>Los m</w:t>
      </w:r>
      <w:r w:rsidRPr="003E6986">
        <w:rPr>
          <w:lang w:val="es-ES_tradnl"/>
        </w:rPr>
        <w:t xml:space="preserve">étodos para </w:t>
      </w:r>
      <w:r w:rsidR="00E90AF1" w:rsidRPr="003E6986">
        <w:rPr>
          <w:lang w:val="es-ES_tradnl"/>
        </w:rPr>
        <w:t>responder a</w:t>
      </w:r>
      <w:r w:rsidRPr="003E6986">
        <w:rPr>
          <w:lang w:val="es-ES_tradnl"/>
        </w:rPr>
        <w:t>l punto del orden del día.</w:t>
      </w:r>
    </w:p>
    <w:p w14:paraId="046E1B82" w14:textId="6F83803E" w:rsidR="00690016" w:rsidRPr="003E6986" w:rsidRDefault="00690016" w:rsidP="00690016">
      <w:pPr>
        <w:spacing w:line="240" w:lineRule="auto"/>
        <w:rPr>
          <w:lang w:val="es-ES_tradnl"/>
        </w:rPr>
      </w:pPr>
      <w:r w:rsidRPr="003E6986">
        <w:rPr>
          <w:lang w:val="es-ES_tradnl"/>
        </w:rPr>
        <w:t>1.7</w:t>
      </w:r>
      <w:r w:rsidRPr="003E6986">
        <w:rPr>
          <w:lang w:val="es-ES_tradnl"/>
        </w:rPr>
        <w:tab/>
      </w:r>
      <w:r w:rsidR="006F1107" w:rsidRPr="003E6986">
        <w:rPr>
          <w:lang w:val="es-ES_tradnl"/>
        </w:rPr>
        <w:t>Las c</w:t>
      </w:r>
      <w:r w:rsidRPr="003E6986">
        <w:rPr>
          <w:lang w:val="es-ES_tradnl"/>
        </w:rPr>
        <w:t>onsideraciones reglamentarias y de procedimiento.</w:t>
      </w:r>
    </w:p>
    <w:p w14:paraId="0F22020D" w14:textId="45D36899" w:rsidR="00690016" w:rsidRPr="003E6986" w:rsidRDefault="00690016" w:rsidP="00E90AF1">
      <w:pPr>
        <w:pStyle w:val="Heading1"/>
        <w:spacing w:line="240" w:lineRule="auto"/>
        <w:rPr>
          <w:lang w:val="es-ES_tradnl"/>
        </w:rPr>
      </w:pPr>
      <w:r w:rsidRPr="003E6986">
        <w:rPr>
          <w:lang w:val="es-ES_tradnl"/>
        </w:rPr>
        <w:t>2</w:t>
      </w:r>
      <w:r w:rsidRPr="003E6986">
        <w:rPr>
          <w:lang w:val="es-ES_tradnl"/>
        </w:rPr>
        <w:tab/>
      </w:r>
      <w:r w:rsidR="00E90AF1" w:rsidRPr="003E6986">
        <w:rPr>
          <w:lang w:val="es-ES_tradnl"/>
        </w:rPr>
        <w:t xml:space="preserve">Estructura del anexo relativo al punto 10 del orden del día </w:t>
      </w:r>
    </w:p>
    <w:p w14:paraId="38F62EB0" w14:textId="0F304345" w:rsidR="00E90AF1" w:rsidRPr="003E6986" w:rsidRDefault="00690016" w:rsidP="00690016">
      <w:pPr>
        <w:spacing w:line="240" w:lineRule="auto"/>
        <w:rPr>
          <w:lang w:val="es-ES_tradnl"/>
        </w:rPr>
      </w:pPr>
      <w:r w:rsidRPr="003E6986">
        <w:rPr>
          <w:lang w:val="es-ES_tradnl"/>
        </w:rPr>
        <w:t>2.1</w:t>
      </w:r>
      <w:r w:rsidRPr="003E6986">
        <w:rPr>
          <w:lang w:val="es-ES_tradnl"/>
        </w:rPr>
        <w:tab/>
      </w:r>
      <w:r w:rsidR="00E90AF1" w:rsidRPr="003E6986">
        <w:rPr>
          <w:lang w:val="es-ES_tradnl"/>
        </w:rPr>
        <w:t xml:space="preserve">Punto del orden del día </w:t>
      </w:r>
      <w:proofErr w:type="spellStart"/>
      <w:r w:rsidR="00E90AF1" w:rsidRPr="003E6986">
        <w:rPr>
          <w:lang w:val="es-ES_tradnl"/>
        </w:rPr>
        <w:t>X.xx</w:t>
      </w:r>
      <w:proofErr w:type="spellEnd"/>
      <w:r w:rsidR="00E90AF1" w:rsidRPr="003E6986">
        <w:rPr>
          <w:lang w:val="es-ES_tradnl"/>
        </w:rPr>
        <w:t xml:space="preserve"> propuesto para la CMR-23 - Resolución XXX</w:t>
      </w:r>
    </w:p>
    <w:p w14:paraId="30E49BCE" w14:textId="709503CB" w:rsidR="00E90AF1" w:rsidRPr="003E6986" w:rsidRDefault="00690016" w:rsidP="00690016">
      <w:pPr>
        <w:spacing w:line="240" w:lineRule="auto"/>
        <w:rPr>
          <w:lang w:val="es-ES_tradnl"/>
        </w:rPr>
      </w:pPr>
      <w:r w:rsidRPr="003E6986">
        <w:rPr>
          <w:lang w:val="es-ES_tradnl"/>
        </w:rPr>
        <w:t>2.2</w:t>
      </w:r>
      <w:r w:rsidRPr="003E6986">
        <w:rPr>
          <w:lang w:val="es-ES_tradnl"/>
        </w:rPr>
        <w:tab/>
      </w:r>
      <w:r w:rsidR="00E90AF1" w:rsidRPr="003E6986">
        <w:rPr>
          <w:i/>
          <w:iCs/>
          <w:lang w:val="es-ES_tradnl"/>
        </w:rPr>
        <w:t>Para puntos del orden del día preliminares</w:t>
      </w:r>
      <w:r w:rsidR="00E90AF1" w:rsidRPr="003E6986">
        <w:rPr>
          <w:lang w:val="es-ES_tradnl"/>
        </w:rPr>
        <w:t>: Se resumen brevemente los estudios del UIT-R finalizados en relación con el punto del orden del día preliminar, únicamente a título informativo.</w:t>
      </w:r>
    </w:p>
    <w:p w14:paraId="4A14692D" w14:textId="77777777" w:rsidR="0042126E" w:rsidRPr="003E6986" w:rsidRDefault="00690016" w:rsidP="0042126E">
      <w:pPr>
        <w:spacing w:line="240" w:lineRule="auto"/>
        <w:rPr>
          <w:lang w:val="es-ES_tradnl"/>
        </w:rPr>
      </w:pPr>
      <w:r w:rsidRPr="003E6986">
        <w:rPr>
          <w:lang w:val="es-ES_tradnl"/>
        </w:rPr>
        <w:tab/>
      </w:r>
      <w:r w:rsidR="00E90AF1" w:rsidRPr="003E6986">
        <w:rPr>
          <w:i/>
          <w:iCs/>
          <w:lang w:val="es-ES_tradnl"/>
        </w:rPr>
        <w:t xml:space="preserve">Para nuevos puntos de </w:t>
      </w:r>
      <w:r w:rsidR="00A26A6D" w:rsidRPr="003E6986">
        <w:rPr>
          <w:i/>
          <w:iCs/>
          <w:lang w:val="es-ES_tradnl"/>
        </w:rPr>
        <w:t xml:space="preserve">futuros órdenes </w:t>
      </w:r>
      <w:r w:rsidR="00E90AF1" w:rsidRPr="003E6986">
        <w:rPr>
          <w:i/>
          <w:iCs/>
          <w:lang w:val="es-ES_tradnl"/>
        </w:rPr>
        <w:t>del día</w:t>
      </w:r>
      <w:r w:rsidR="00E90AF1" w:rsidRPr="003E6986">
        <w:rPr>
          <w:lang w:val="es-ES_tradnl"/>
        </w:rPr>
        <w:t xml:space="preserve">: </w:t>
      </w:r>
      <w:r w:rsidR="00A26A6D" w:rsidRPr="003E6986">
        <w:rPr>
          <w:lang w:val="es-ES_tradnl"/>
        </w:rPr>
        <w:t>Se incluyen los r</w:t>
      </w:r>
      <w:r w:rsidR="00E90AF1" w:rsidRPr="003E6986">
        <w:rPr>
          <w:lang w:val="es-ES_tradnl"/>
        </w:rPr>
        <w:t xml:space="preserve">esúmenes ejecutivos elaborados por los Estados Miembros contribuyentes, </w:t>
      </w:r>
      <w:r w:rsidR="00A26A6D" w:rsidRPr="003E6986">
        <w:rPr>
          <w:lang w:val="es-ES_tradnl"/>
        </w:rPr>
        <w:t>los cuales no excederán de</w:t>
      </w:r>
      <w:r w:rsidR="00E90AF1" w:rsidRPr="003E6986">
        <w:rPr>
          <w:lang w:val="es-ES_tradnl"/>
        </w:rPr>
        <w:t xml:space="preserve"> media página, </w:t>
      </w:r>
      <w:r w:rsidR="00A26A6D" w:rsidRPr="003E6986">
        <w:rPr>
          <w:lang w:val="es-ES_tradnl"/>
        </w:rPr>
        <w:t>únicamente a título informativo</w:t>
      </w:r>
      <w:r w:rsidR="00E90AF1" w:rsidRPr="003E6986">
        <w:rPr>
          <w:lang w:val="es-ES_tradnl"/>
        </w:rPr>
        <w:t>.</w:t>
      </w:r>
    </w:p>
    <w:p w14:paraId="39400174" w14:textId="69A06A21" w:rsidR="00536980" w:rsidRPr="003E6986" w:rsidRDefault="009E1AFD" w:rsidP="0042126E">
      <w:pPr>
        <w:pStyle w:val="Heading1"/>
        <w:spacing w:line="240" w:lineRule="auto"/>
        <w:rPr>
          <w:lang w:val="es-ES_tradnl"/>
        </w:rPr>
      </w:pPr>
      <w:r w:rsidRPr="003E6986">
        <w:rPr>
          <w:lang w:val="es-ES_tradnl"/>
        </w:rPr>
        <w:t>3</w:t>
      </w:r>
      <w:r w:rsidR="00536980" w:rsidRPr="003E6986">
        <w:rPr>
          <w:lang w:val="es-ES_tradnl"/>
        </w:rPr>
        <w:tab/>
        <w:t>Funciones de los Relatores de Capítulo</w:t>
      </w:r>
    </w:p>
    <w:p w14:paraId="6784869F" w14:textId="48FEA0B7" w:rsidR="00536980" w:rsidRPr="003E6986" w:rsidRDefault="00536980" w:rsidP="0042126E">
      <w:pPr>
        <w:spacing w:line="240" w:lineRule="auto"/>
        <w:rPr>
          <w:lang w:val="es-ES_tradnl"/>
        </w:rPr>
      </w:pPr>
      <w:r w:rsidRPr="003E6986">
        <w:rPr>
          <w:lang w:val="es-ES_tradnl"/>
        </w:rPr>
        <w:t>3.1</w:t>
      </w:r>
      <w:r w:rsidRPr="003E6986">
        <w:rPr>
          <w:lang w:val="es-ES_tradnl"/>
        </w:rPr>
        <w:tab/>
        <w:t>De concierto con el Presidente de la RPC, garantizar que se observa escrupulosamente la coherencia del formato, y la estructura y las directrices en cuanto a la longitud del texto.</w:t>
      </w:r>
    </w:p>
    <w:p w14:paraId="622D668A" w14:textId="73E55477" w:rsidR="00536980" w:rsidRPr="003E6986" w:rsidRDefault="00536980" w:rsidP="0042126E">
      <w:pPr>
        <w:spacing w:line="240" w:lineRule="auto"/>
        <w:rPr>
          <w:lang w:val="es-ES_tradnl"/>
        </w:rPr>
      </w:pPr>
      <w:r w:rsidRPr="003E6986">
        <w:rPr>
          <w:lang w:val="es-ES_tradnl"/>
        </w:rPr>
        <w:t>3.2</w:t>
      </w:r>
      <w:r w:rsidRPr="003E6986">
        <w:rPr>
          <w:lang w:val="es-ES_tradnl"/>
        </w:rPr>
        <w:tab/>
        <w:t xml:space="preserve">Asegurar la incorporación de los resultados más recientes de los Grupos de Trabajo en el </w:t>
      </w:r>
      <w:r w:rsidR="00F80B2E" w:rsidRPr="003E6986">
        <w:rPr>
          <w:lang w:val="es-ES_tradnl"/>
        </w:rPr>
        <w:t xml:space="preserve">proyecto de </w:t>
      </w:r>
      <w:r w:rsidRPr="003E6986">
        <w:rPr>
          <w:lang w:val="es-ES_tradnl"/>
        </w:rPr>
        <w:t>texto refundido de la RPC mediante consulta con los Presidentes de los Grupos de Trabajo o con su ayuda, para garantizar que se completan a su debido tiempo los trabajos de la RPC.</w:t>
      </w:r>
    </w:p>
    <w:p w14:paraId="02C3A1BD" w14:textId="75E2367A" w:rsidR="00536980" w:rsidRPr="003E6986" w:rsidRDefault="00536980" w:rsidP="0042126E">
      <w:pPr>
        <w:pStyle w:val="Heading1"/>
        <w:spacing w:line="240" w:lineRule="auto"/>
        <w:rPr>
          <w:lang w:val="es-ES_tradnl"/>
        </w:rPr>
      </w:pPr>
      <w:r w:rsidRPr="003E6986">
        <w:rPr>
          <w:lang w:val="es-ES_tradnl"/>
        </w:rPr>
        <w:lastRenderedPageBreak/>
        <w:t>4</w:t>
      </w:r>
      <w:r w:rsidRPr="003E6986">
        <w:rPr>
          <w:lang w:val="es-ES_tradnl"/>
        </w:rPr>
        <w:tab/>
        <w:t>Procedimientos de trabajo de la RPC</w:t>
      </w:r>
    </w:p>
    <w:p w14:paraId="26208ED4" w14:textId="7BD203F9" w:rsidR="00536980" w:rsidRPr="003E6986" w:rsidRDefault="00536980" w:rsidP="0042126E">
      <w:pPr>
        <w:spacing w:line="240" w:lineRule="auto"/>
        <w:rPr>
          <w:lang w:val="es-ES_tradnl"/>
        </w:rPr>
      </w:pPr>
      <w:r w:rsidRPr="003E6986">
        <w:rPr>
          <w:lang w:val="es-ES_tradnl"/>
        </w:rPr>
        <w:t>4.1</w:t>
      </w:r>
      <w:r w:rsidRPr="003E6986">
        <w:rPr>
          <w:lang w:val="es-ES_tradnl"/>
        </w:rPr>
        <w:tab/>
        <w:t xml:space="preserve">Para cada punto del orden del día se identifica una única Comisión de Estudio o Grupo de Trabajo </w:t>
      </w:r>
      <w:r w:rsidRPr="003E6986">
        <w:rPr>
          <w:i/>
          <w:iCs/>
          <w:lang w:val="es-ES_tradnl"/>
        </w:rPr>
        <w:t>responsable</w:t>
      </w:r>
      <w:r w:rsidRPr="003E6986">
        <w:rPr>
          <w:lang w:val="es-ES_tradnl"/>
        </w:rPr>
        <w:t xml:space="preserve">. También puede designarse un grupo </w:t>
      </w:r>
      <w:r w:rsidRPr="003E6986">
        <w:rPr>
          <w:i/>
          <w:iCs/>
          <w:lang w:val="es-ES_tradnl"/>
        </w:rPr>
        <w:t>responsable</w:t>
      </w:r>
      <w:r w:rsidRPr="003E6986">
        <w:rPr>
          <w:lang w:val="es-ES_tradnl"/>
        </w:rPr>
        <w:t xml:space="preserve"> para cada subpunto cuando un punto del orden del día pueda dividirse fácilmente en paquetes de trabajo coherentes; por ejemplo, en relación con una Resolución o Recomendación específica o con</w:t>
      </w:r>
      <w:r w:rsidR="00F80B2E" w:rsidRPr="003E6986">
        <w:rPr>
          <w:lang w:val="es-ES_tradnl"/>
        </w:rPr>
        <w:t xml:space="preserve"> una o varias</w:t>
      </w:r>
      <w:r w:rsidRPr="003E6986">
        <w:rPr>
          <w:lang w:val="es-ES_tradnl"/>
        </w:rPr>
        <w:t xml:space="preserve"> parte</w:t>
      </w:r>
      <w:r w:rsidR="00F80B2E" w:rsidRPr="003E6986">
        <w:rPr>
          <w:lang w:val="es-ES_tradnl"/>
        </w:rPr>
        <w:t>s</w:t>
      </w:r>
      <w:r w:rsidRPr="003E6986">
        <w:rPr>
          <w:lang w:val="es-ES_tradnl"/>
        </w:rPr>
        <w:t xml:space="preserve"> de </w:t>
      </w:r>
      <w:proofErr w:type="gramStart"/>
      <w:r w:rsidRPr="003E6986">
        <w:rPr>
          <w:lang w:val="es-ES_tradnl"/>
        </w:rPr>
        <w:t>la misma</w:t>
      </w:r>
      <w:proofErr w:type="gramEnd"/>
      <w:r w:rsidRPr="003E6986">
        <w:rPr>
          <w:lang w:val="es-ES_tradnl"/>
        </w:rPr>
        <w:t>.</w:t>
      </w:r>
    </w:p>
    <w:p w14:paraId="4A141337" w14:textId="7BDB3C0A" w:rsidR="00536980" w:rsidRPr="003E6986" w:rsidRDefault="00536980" w:rsidP="0042126E">
      <w:pPr>
        <w:spacing w:line="240" w:lineRule="auto"/>
        <w:rPr>
          <w:lang w:val="es-ES_tradnl"/>
        </w:rPr>
      </w:pPr>
      <w:r w:rsidRPr="003E6986">
        <w:rPr>
          <w:lang w:val="es-ES_tradnl"/>
        </w:rPr>
        <w:t>4.2</w:t>
      </w:r>
      <w:r w:rsidRPr="003E6986">
        <w:rPr>
          <w:lang w:val="es-ES_tradnl"/>
        </w:rPr>
        <w:tab/>
        <w:t xml:space="preserve">Las Comisiones de Estudio o Grupos Trabajo </w:t>
      </w:r>
      <w:r w:rsidRPr="003E6986">
        <w:rPr>
          <w:i/>
          <w:iCs/>
          <w:lang w:val="es-ES_tradnl"/>
        </w:rPr>
        <w:t>responsables</w:t>
      </w:r>
      <w:r w:rsidRPr="003E6986">
        <w:rPr>
          <w:lang w:val="es-ES_tradnl"/>
        </w:rPr>
        <w:t xml:space="preserve"> se encargan de preparar un proyecto de elemento del Informe de la RPC relativo a un determinado punto o subpunto del orden del día del que son los principales responsables. Estas Comisiones de Estudio o Grupos de Trabajo deben garantizar la coordinación necesaria con los grupos </w:t>
      </w:r>
      <w:r w:rsidRPr="003E6986">
        <w:rPr>
          <w:i/>
          <w:lang w:val="es-ES_tradnl"/>
        </w:rPr>
        <w:t>contribuyente</w:t>
      </w:r>
      <w:r w:rsidR="00A527DC">
        <w:rPr>
          <w:i/>
          <w:lang w:val="es-ES_tradnl"/>
        </w:rPr>
        <w:t>s</w:t>
      </w:r>
      <w:r w:rsidRPr="003E6986">
        <w:rPr>
          <w:iCs/>
          <w:lang w:val="es-ES_tradnl"/>
        </w:rPr>
        <w:t>.</w:t>
      </w:r>
    </w:p>
    <w:p w14:paraId="7F31F84C" w14:textId="5F097247" w:rsidR="00536980" w:rsidRPr="003E6986" w:rsidRDefault="00536980" w:rsidP="0042126E">
      <w:pPr>
        <w:spacing w:line="240" w:lineRule="auto"/>
        <w:rPr>
          <w:lang w:val="es-ES_tradnl"/>
        </w:rPr>
      </w:pPr>
      <w:r w:rsidRPr="003E6986">
        <w:rPr>
          <w:lang w:val="es-ES_tradnl"/>
        </w:rPr>
        <w:t>4.3</w:t>
      </w:r>
      <w:r w:rsidRPr="003E6986">
        <w:rPr>
          <w:lang w:val="es-ES_tradnl"/>
        </w:rPr>
        <w:tab/>
        <w:t xml:space="preserve">En la preparación del Informe de la RPC, deberán armonizarse en la medida de lo posible las diferencias de criterio que figuran en el material de origen. Cuando se hayan agotado todas las vías </w:t>
      </w:r>
      <w:r w:rsidR="00F80B2E" w:rsidRPr="003E6986">
        <w:rPr>
          <w:lang w:val="es-ES_tradnl"/>
        </w:rPr>
        <w:t xml:space="preserve">disponibles </w:t>
      </w:r>
      <w:r w:rsidRPr="003E6986">
        <w:rPr>
          <w:lang w:val="es-ES_tradnl"/>
        </w:rPr>
        <w:t>para reconciliar las divergencias, podrán incluirse métodos alternativos, justificándolos debidamente</w:t>
      </w:r>
      <w:r w:rsidR="00F80B2E" w:rsidRPr="003E6986">
        <w:rPr>
          <w:lang w:val="es-ES_tradnl"/>
        </w:rPr>
        <w:t xml:space="preserve"> (véanse las secciones A2.3 y A2.4 de la Resolución UIT-R 2-9)</w:t>
      </w:r>
      <w:r w:rsidRPr="003E6986">
        <w:rPr>
          <w:lang w:val="es-ES_tradnl"/>
        </w:rPr>
        <w:t>.</w:t>
      </w:r>
    </w:p>
    <w:p w14:paraId="3B0F7B36" w14:textId="6D02890D" w:rsidR="00536980" w:rsidRPr="003E6986" w:rsidRDefault="00536980" w:rsidP="0042126E">
      <w:pPr>
        <w:spacing w:line="240" w:lineRule="auto"/>
        <w:rPr>
          <w:lang w:val="es-ES_tradnl"/>
        </w:rPr>
      </w:pPr>
      <w:r w:rsidRPr="003E6986">
        <w:rPr>
          <w:lang w:val="es-ES_tradnl"/>
        </w:rPr>
        <w:t>4.4</w:t>
      </w:r>
      <w:r w:rsidRPr="003E6986">
        <w:rPr>
          <w:lang w:val="es-ES_tradnl"/>
        </w:rPr>
        <w:tab/>
        <w:t xml:space="preserve">Las Comisiones de Estudio o los Grupos de Trabajo </w:t>
      </w:r>
      <w:r w:rsidRPr="003E6986">
        <w:rPr>
          <w:i/>
          <w:iCs/>
          <w:lang w:val="es-ES_tradnl"/>
        </w:rPr>
        <w:t>contribuyentes</w:t>
      </w:r>
      <w:r w:rsidRPr="003E6986">
        <w:rPr>
          <w:lang w:val="es-ES_tradnl"/>
        </w:rPr>
        <w:t xml:space="preserve"> encargados de los puntos o subpuntos no contribuirán directamente a la RPC, sino que pueden contribuir a la labor de los grupos </w:t>
      </w:r>
      <w:r w:rsidRPr="003E6986">
        <w:rPr>
          <w:i/>
          <w:lang w:val="es-ES_tradnl"/>
        </w:rPr>
        <w:t>responsables</w:t>
      </w:r>
      <w:r w:rsidRPr="003E6986">
        <w:rPr>
          <w:lang w:val="es-ES_tradnl"/>
        </w:rPr>
        <w:t xml:space="preserve"> encargados de dicho punto o subpunto:</w:t>
      </w:r>
    </w:p>
    <w:p w14:paraId="5BF6AD58" w14:textId="77777777" w:rsidR="00536980" w:rsidRPr="003E6986" w:rsidRDefault="00536980" w:rsidP="0042126E">
      <w:pPr>
        <w:pStyle w:val="enumlev1"/>
        <w:spacing w:line="240" w:lineRule="auto"/>
        <w:rPr>
          <w:lang w:val="es-ES_tradnl"/>
        </w:rPr>
      </w:pPr>
      <w:r w:rsidRPr="003E6986">
        <w:rPr>
          <w:lang w:val="es-ES_tradnl"/>
        </w:rPr>
        <w:t>–</w:t>
      </w:r>
      <w:r w:rsidRPr="003E6986">
        <w:rPr>
          <w:lang w:val="es-ES_tradnl"/>
        </w:rPr>
        <w:tab/>
        <w:t xml:space="preserve">participación de miembros de los grupos </w:t>
      </w:r>
      <w:r w:rsidRPr="003E6986">
        <w:rPr>
          <w:i/>
          <w:iCs/>
          <w:lang w:val="es-ES_tradnl"/>
        </w:rPr>
        <w:t>contribuyentes</w:t>
      </w:r>
      <w:r w:rsidRPr="003E6986">
        <w:rPr>
          <w:b/>
          <w:bCs/>
          <w:i/>
          <w:iCs/>
          <w:lang w:val="es-ES_tradnl"/>
        </w:rPr>
        <w:t xml:space="preserve"> </w:t>
      </w:r>
      <w:r w:rsidRPr="003E6986">
        <w:rPr>
          <w:lang w:val="es-ES_tradnl"/>
        </w:rPr>
        <w:t xml:space="preserve">en el trabajo y las reuniones de los grupos </w:t>
      </w:r>
      <w:r w:rsidRPr="003E6986">
        <w:rPr>
          <w:i/>
          <w:lang w:val="es-ES_tradnl"/>
        </w:rPr>
        <w:t>responsables</w:t>
      </w:r>
      <w:r w:rsidRPr="003E6986">
        <w:rPr>
          <w:lang w:val="es-ES_tradnl"/>
        </w:rPr>
        <w:t>;</w:t>
      </w:r>
    </w:p>
    <w:p w14:paraId="2164E3EF" w14:textId="77777777" w:rsidR="00536980" w:rsidRPr="003E6986" w:rsidRDefault="00536980" w:rsidP="0042126E">
      <w:pPr>
        <w:pStyle w:val="enumlev1"/>
        <w:spacing w:line="240" w:lineRule="auto"/>
        <w:rPr>
          <w:lang w:val="es-ES_tradnl"/>
        </w:rPr>
      </w:pPr>
      <w:r w:rsidRPr="003E6986">
        <w:rPr>
          <w:lang w:val="es-ES_tradnl"/>
        </w:rPr>
        <w:t>–</w:t>
      </w:r>
      <w:r w:rsidRPr="003E6986">
        <w:rPr>
          <w:lang w:val="es-ES_tradnl"/>
        </w:rPr>
        <w:tab/>
        <w:t xml:space="preserve">nombramiento de relatores que representen sus intereses en el trabajo y las reuniones de los grupos </w:t>
      </w:r>
      <w:r w:rsidRPr="003E6986">
        <w:rPr>
          <w:i/>
          <w:lang w:val="es-ES_tradnl"/>
        </w:rPr>
        <w:t>responsables</w:t>
      </w:r>
      <w:r w:rsidRPr="003E6986">
        <w:rPr>
          <w:lang w:val="es-ES_tradnl"/>
        </w:rPr>
        <w:t>;</w:t>
      </w:r>
    </w:p>
    <w:p w14:paraId="36890EEF" w14:textId="157E378B" w:rsidR="00536980" w:rsidRPr="003E6986" w:rsidRDefault="00536980" w:rsidP="0042126E">
      <w:pPr>
        <w:pStyle w:val="enumlev1"/>
        <w:spacing w:line="240" w:lineRule="auto"/>
        <w:rPr>
          <w:lang w:val="es-ES_tradnl"/>
        </w:rPr>
      </w:pPr>
      <w:r w:rsidRPr="003E6986">
        <w:rPr>
          <w:lang w:val="es-ES_tradnl"/>
        </w:rPr>
        <w:t>–</w:t>
      </w:r>
      <w:r w:rsidRPr="003E6986">
        <w:rPr>
          <w:lang w:val="es-ES_tradnl"/>
        </w:rPr>
        <w:tab/>
        <w:t>declaraciones de coordinación.</w:t>
      </w:r>
    </w:p>
    <w:p w14:paraId="246D14B0" w14:textId="44938B12" w:rsidR="00536980" w:rsidRPr="003E6986" w:rsidRDefault="00536980" w:rsidP="0042126E">
      <w:pPr>
        <w:spacing w:line="240" w:lineRule="auto"/>
        <w:rPr>
          <w:lang w:val="es-ES_tradnl"/>
        </w:rPr>
      </w:pPr>
      <w:r w:rsidRPr="003E6986">
        <w:rPr>
          <w:lang w:val="es-ES_tradnl"/>
        </w:rPr>
        <w:t>4.5</w:t>
      </w:r>
      <w:r w:rsidRPr="003E6986">
        <w:rPr>
          <w:lang w:val="es-ES_tradnl"/>
        </w:rPr>
        <w:tab/>
        <w:t xml:space="preserve">Los </w:t>
      </w:r>
      <w:r w:rsidR="00F80B2E" w:rsidRPr="003E6986">
        <w:rPr>
          <w:lang w:val="es-ES_tradnl"/>
        </w:rPr>
        <w:t>resultados</w:t>
      </w:r>
      <w:r w:rsidRPr="003E6986">
        <w:rPr>
          <w:lang w:val="es-ES_tradnl"/>
        </w:rPr>
        <w:t xml:space="preserve"> de los grupos </w:t>
      </w:r>
      <w:r w:rsidRPr="003E6986">
        <w:rPr>
          <w:i/>
          <w:lang w:val="es-ES_tradnl"/>
        </w:rPr>
        <w:t>responsables</w:t>
      </w:r>
      <w:r w:rsidRPr="003E6986">
        <w:rPr>
          <w:lang w:val="es-ES_tradnl"/>
        </w:rPr>
        <w:t xml:space="preserve"> deberán someterse a la RPC de conformidad con lo dispuesto en la Resolución UIT-R 2-</w:t>
      </w:r>
      <w:r w:rsidR="00F80B2E" w:rsidRPr="003E6986">
        <w:rPr>
          <w:lang w:val="es-ES_tradnl"/>
        </w:rPr>
        <w:t xml:space="preserve">9 </w:t>
      </w:r>
      <w:r w:rsidRPr="003E6986">
        <w:rPr>
          <w:lang w:val="es-ES_tradnl"/>
        </w:rPr>
        <w:t>y con los métodos de trabajo definidos en su Anexo 1.</w:t>
      </w:r>
    </w:p>
    <w:p w14:paraId="07BF613C" w14:textId="76FA5C81" w:rsidR="00536980" w:rsidRPr="003E6986" w:rsidRDefault="00536980" w:rsidP="0042126E">
      <w:pPr>
        <w:spacing w:line="240" w:lineRule="auto"/>
        <w:rPr>
          <w:lang w:val="es-ES_tradnl"/>
        </w:rPr>
      </w:pPr>
      <w:r w:rsidRPr="003E6986">
        <w:rPr>
          <w:lang w:val="es-ES_tradnl"/>
        </w:rPr>
        <w:t>4.6</w:t>
      </w:r>
      <w:r w:rsidRPr="003E6986">
        <w:rPr>
          <w:lang w:val="es-ES_tradnl"/>
        </w:rPr>
        <w:tab/>
        <w:t xml:space="preserve">El Equipo de Gestión de la RPC preparará, con la asistencia, si procede, de los Presidentes de las Comisiones de Estudio o Grupos de Trabajo, un proyecto de Informe de la RPC refundido para su presentación a los Estados Miembros y Miembros de Sector </w:t>
      </w:r>
      <w:r w:rsidR="00F80B2E" w:rsidRPr="003E6986">
        <w:rPr>
          <w:lang w:val="es-ES_tradnl"/>
        </w:rPr>
        <w:t xml:space="preserve">del UIT-R </w:t>
      </w:r>
      <w:r w:rsidRPr="003E6986">
        <w:rPr>
          <w:lang w:val="es-ES_tradnl"/>
        </w:rPr>
        <w:t>a tiempo para la segunda sesión de la RPC.</w:t>
      </w:r>
    </w:p>
    <w:p w14:paraId="5401DE3D" w14:textId="19CC8882" w:rsidR="00536980" w:rsidRPr="003E6986" w:rsidRDefault="00536980" w:rsidP="0042126E">
      <w:pPr>
        <w:pStyle w:val="Note"/>
        <w:spacing w:line="240" w:lineRule="auto"/>
        <w:rPr>
          <w:lang w:val="es-ES_tradnl"/>
        </w:rPr>
      </w:pPr>
      <w:r w:rsidRPr="003E6986">
        <w:rPr>
          <w:lang w:val="es-ES_tradnl"/>
        </w:rPr>
        <w:t xml:space="preserve">NOTA – </w:t>
      </w:r>
      <w:r w:rsidR="00F80B2E" w:rsidRPr="003E6986">
        <w:rPr>
          <w:lang w:val="es-ES_tradnl"/>
        </w:rPr>
        <w:t>El Presidente</w:t>
      </w:r>
      <w:r w:rsidRPr="003E6986">
        <w:rPr>
          <w:lang w:val="es-ES_tradnl"/>
        </w:rPr>
        <w:t>,</w:t>
      </w:r>
      <w:r w:rsidR="00F80B2E" w:rsidRPr="003E6986">
        <w:rPr>
          <w:lang w:val="es-ES_tradnl"/>
        </w:rPr>
        <w:t xml:space="preserve"> los</w:t>
      </w:r>
      <w:r w:rsidRPr="003E6986">
        <w:rPr>
          <w:lang w:val="es-ES_tradnl"/>
        </w:rPr>
        <w:t xml:space="preserve"> Vicepresidentes</w:t>
      </w:r>
      <w:r w:rsidR="00F80B2E" w:rsidRPr="003E6986">
        <w:rPr>
          <w:lang w:val="es-ES_tradnl"/>
        </w:rPr>
        <w:t>, los</w:t>
      </w:r>
      <w:r w:rsidRPr="003E6986">
        <w:rPr>
          <w:lang w:val="es-ES_tradnl"/>
        </w:rPr>
        <w:t xml:space="preserve"> Relatores de Capítulo y el </w:t>
      </w:r>
      <w:r w:rsidR="00F80B2E" w:rsidRPr="003E6986">
        <w:rPr>
          <w:lang w:val="es-ES_tradnl"/>
        </w:rPr>
        <w:t>Secretario</w:t>
      </w:r>
      <w:r w:rsidRPr="003E6986">
        <w:rPr>
          <w:lang w:val="es-ES_tradnl"/>
        </w:rPr>
        <w:t xml:space="preserve"> de la RPC constituirán </w:t>
      </w:r>
      <w:r w:rsidR="00F80B2E" w:rsidRPr="003E6986">
        <w:rPr>
          <w:lang w:val="es-ES_tradnl"/>
        </w:rPr>
        <w:t>la Comisión</w:t>
      </w:r>
      <w:r w:rsidRPr="003E6986">
        <w:rPr>
          <w:lang w:val="es-ES_tradnl"/>
        </w:rPr>
        <w:t xml:space="preserve"> de Dirección de la RPC.</w:t>
      </w:r>
    </w:p>
    <w:p w14:paraId="7C809396" w14:textId="5C57873C" w:rsidR="00A527DC" w:rsidRDefault="00A527DC">
      <w:pPr>
        <w:tabs>
          <w:tab w:val="clear" w:pos="794"/>
          <w:tab w:val="clear" w:pos="1191"/>
          <w:tab w:val="clear" w:pos="1588"/>
          <w:tab w:val="clear" w:pos="1985"/>
        </w:tabs>
        <w:overflowPunct/>
        <w:autoSpaceDE/>
        <w:autoSpaceDN/>
        <w:adjustRightInd/>
        <w:spacing w:before="0" w:line="240" w:lineRule="auto"/>
        <w:jc w:val="left"/>
        <w:textAlignment w:val="auto"/>
        <w:rPr>
          <w:lang w:val="es-ES_tradnl"/>
        </w:rPr>
      </w:pPr>
      <w:r>
        <w:rPr>
          <w:lang w:val="es-ES_tradnl"/>
        </w:rPr>
        <w:br w:type="page"/>
      </w:r>
    </w:p>
    <w:p w14:paraId="6BAACC30" w14:textId="64F0CB62" w:rsidR="008D60CF" w:rsidRPr="003E6986" w:rsidRDefault="008D60CF" w:rsidP="00690016">
      <w:pPr>
        <w:pStyle w:val="AnnexNo"/>
        <w:rPr>
          <w:lang w:val="es-ES_tradnl"/>
        </w:rPr>
      </w:pPr>
      <w:r w:rsidRPr="003E6986">
        <w:rPr>
          <w:lang w:val="es-ES_tradnl"/>
        </w:rPr>
        <w:lastRenderedPageBreak/>
        <w:t>ANEXO 7</w:t>
      </w:r>
      <w:r w:rsidR="00561013" w:rsidRPr="003E6986">
        <w:rPr>
          <w:position w:val="6"/>
          <w:sz w:val="18"/>
          <w:lang w:val="es-ES_tradnl"/>
        </w:rPr>
        <w:footnoteReference w:customMarkFollows="1" w:id="12"/>
        <w:t>**</w:t>
      </w:r>
    </w:p>
    <w:p w14:paraId="447D7516" w14:textId="5E2EF367" w:rsidR="008D60CF" w:rsidRPr="003E6986" w:rsidRDefault="008D60CF" w:rsidP="00690016">
      <w:pPr>
        <w:pStyle w:val="Annextitle0"/>
        <w:rPr>
          <w:lang w:val="es-ES_tradnl"/>
        </w:rPr>
      </w:pPr>
      <w:r w:rsidRPr="003E6986">
        <w:rPr>
          <w:lang w:val="es-ES_tradnl"/>
        </w:rPr>
        <w:t>Atribución de los trabajos preparatorios del UIT</w:t>
      </w:r>
      <w:r w:rsidRPr="003E6986">
        <w:rPr>
          <w:lang w:val="es-ES_tradnl"/>
        </w:rPr>
        <w:noBreakHyphen/>
        <w:t>R para la CMR-</w:t>
      </w:r>
      <w:r w:rsidR="00D02BC7" w:rsidRPr="003E6986">
        <w:rPr>
          <w:lang w:val="es-ES_tradnl"/>
        </w:rPr>
        <w:t>27</w:t>
      </w:r>
    </w:p>
    <w:p w14:paraId="1C01A9C2" w14:textId="706B6DCB" w:rsidR="008D60CF" w:rsidRPr="003E6986" w:rsidRDefault="008D60CF" w:rsidP="00AC121C">
      <w:pPr>
        <w:pStyle w:val="Normalaftertitle"/>
        <w:spacing w:line="240" w:lineRule="auto"/>
        <w:rPr>
          <w:b/>
          <w:bCs/>
          <w:lang w:val="es-ES_tradnl"/>
        </w:rPr>
      </w:pPr>
      <w:r w:rsidRPr="003E6986">
        <w:rPr>
          <w:lang w:val="es-ES_tradnl"/>
        </w:rPr>
        <w:t>El Cuadro que figura a continuación recoge la atribución de los trabajos preparatorios del UIT-R para los puntos del orden del día de la CMR-</w:t>
      </w:r>
      <w:r w:rsidR="00D02BC7" w:rsidRPr="003E6986">
        <w:rPr>
          <w:lang w:val="es-ES_tradnl"/>
        </w:rPr>
        <w:t>27</w:t>
      </w:r>
      <w:r w:rsidRPr="003E6986">
        <w:rPr>
          <w:lang w:val="es-ES_tradnl"/>
        </w:rPr>
        <w:t xml:space="preserve">, que se proponen en la Resolución </w:t>
      </w:r>
      <w:r w:rsidR="00E36EC4" w:rsidRPr="003E6986">
        <w:rPr>
          <w:b/>
          <w:lang w:val="es-ES_tradnl"/>
        </w:rPr>
        <w:t>813</w:t>
      </w:r>
      <w:r w:rsidR="00CD0DD6" w:rsidRPr="003E6986">
        <w:rPr>
          <w:b/>
          <w:bCs/>
          <w:lang w:val="es-ES_tradnl"/>
        </w:rPr>
        <w:t xml:space="preserve"> </w:t>
      </w:r>
      <w:r w:rsidRPr="003E6986">
        <w:rPr>
          <w:b/>
          <w:bCs/>
          <w:lang w:val="es-ES_tradnl"/>
        </w:rPr>
        <w:t>(CMR</w:t>
      </w:r>
      <w:r w:rsidRPr="003E6986">
        <w:rPr>
          <w:b/>
          <w:bCs/>
          <w:lang w:val="es-ES_tradnl"/>
        </w:rPr>
        <w:noBreakHyphen/>
      </w:r>
      <w:r w:rsidR="00D02BC7" w:rsidRPr="003E6986">
        <w:rPr>
          <w:b/>
          <w:bCs/>
          <w:lang w:val="es-ES_tradnl"/>
        </w:rPr>
        <w:t>23</w:t>
      </w:r>
      <w:r w:rsidRPr="003E6986">
        <w:rPr>
          <w:b/>
          <w:bCs/>
          <w:lang w:val="es-ES_tradnl"/>
        </w:rPr>
        <w:t>)</w:t>
      </w:r>
      <w:r w:rsidRPr="003E6986">
        <w:rPr>
          <w:lang w:val="es-ES_tradnl"/>
        </w:rPr>
        <w:t>.</w:t>
      </w:r>
    </w:p>
    <w:p w14:paraId="06DA2603" w14:textId="0066501A" w:rsidR="008D60CF" w:rsidRPr="003E6986" w:rsidRDefault="008D60CF" w:rsidP="00AC121C">
      <w:pPr>
        <w:spacing w:line="240" w:lineRule="auto"/>
        <w:rPr>
          <w:lang w:val="es-ES_tradnl"/>
        </w:rPr>
      </w:pPr>
      <w:r w:rsidRPr="003E6986">
        <w:rPr>
          <w:lang w:val="es-ES_tradnl"/>
        </w:rPr>
        <w:t>Incluye anotaciones para la identificación de los «</w:t>
      </w:r>
      <w:r w:rsidR="00B84217" w:rsidRPr="003E6986">
        <w:rPr>
          <w:lang w:val="es-ES_tradnl"/>
        </w:rPr>
        <w:t>g</w:t>
      </w:r>
      <w:r w:rsidRPr="003E6986">
        <w:rPr>
          <w:lang w:val="es-ES_tradnl"/>
        </w:rPr>
        <w:t>rupos responsables» y los «</w:t>
      </w:r>
      <w:r w:rsidR="00B84217" w:rsidRPr="003E6986">
        <w:rPr>
          <w:lang w:val="es-ES_tradnl"/>
        </w:rPr>
        <w:t>g</w:t>
      </w:r>
      <w:r w:rsidRPr="003E6986">
        <w:rPr>
          <w:lang w:val="es-ES_tradnl"/>
        </w:rPr>
        <w:t xml:space="preserve">rupos </w:t>
      </w:r>
      <w:r w:rsidR="00CD0DD6" w:rsidRPr="003E6986">
        <w:rPr>
          <w:rFonts w:asciiTheme="minorHAnsi" w:hAnsiTheme="minorHAnsi"/>
          <w:szCs w:val="24"/>
          <w:lang w:val="es-ES_tradnl"/>
        </w:rPr>
        <w:t>contribu</w:t>
      </w:r>
      <w:r w:rsidR="008D1C1F" w:rsidRPr="003E6986">
        <w:rPr>
          <w:rFonts w:asciiTheme="minorHAnsi" w:hAnsiTheme="minorHAnsi"/>
          <w:szCs w:val="24"/>
          <w:lang w:val="es-ES_tradnl"/>
        </w:rPr>
        <w:t>yentes</w:t>
      </w:r>
      <w:r w:rsidRPr="003E6986">
        <w:rPr>
          <w:lang w:val="es-ES_tradnl"/>
        </w:rPr>
        <w:t>»</w:t>
      </w:r>
      <w:r w:rsidR="00561013" w:rsidRPr="003E6986">
        <w:rPr>
          <w:rFonts w:asciiTheme="minorHAnsi" w:hAnsiTheme="minorHAnsi"/>
          <w:lang w:val="es-ES_tradnl"/>
        </w:rPr>
        <w:t xml:space="preserve"> </w:t>
      </w:r>
      <w:r w:rsidRPr="003E6986">
        <w:rPr>
          <w:lang w:val="es-ES_tradnl"/>
        </w:rPr>
        <w:t>del UIT-R para los puntos del orden del día de la CMR-</w:t>
      </w:r>
      <w:r w:rsidR="00D02BC7" w:rsidRPr="003E6986">
        <w:rPr>
          <w:lang w:val="es-ES_tradnl"/>
        </w:rPr>
        <w:t>27</w:t>
      </w:r>
      <w:r w:rsidRPr="003E6986">
        <w:rPr>
          <w:lang w:val="es-ES_tradnl"/>
        </w:rPr>
        <w:t>.</w:t>
      </w:r>
    </w:p>
    <w:p w14:paraId="79F0ECD8" w14:textId="355D938E" w:rsidR="008D60CF" w:rsidRPr="003E6986" w:rsidRDefault="008D60CF" w:rsidP="00AC121C">
      <w:pPr>
        <w:pStyle w:val="Note"/>
        <w:spacing w:line="240" w:lineRule="auto"/>
        <w:rPr>
          <w:lang w:val="es-ES_tradnl"/>
        </w:rPr>
      </w:pPr>
      <w:r w:rsidRPr="003E6986">
        <w:rPr>
          <w:lang w:val="es-ES_tradnl"/>
        </w:rPr>
        <w:t xml:space="preserve">NOTA 1 – Los Grupos de Trabajo del UIT-R indicados en el siguiente Cuadro se han identificado </w:t>
      </w:r>
      <w:r w:rsidR="000F517C" w:rsidRPr="003E6986">
        <w:rPr>
          <w:lang w:val="es-ES_tradnl"/>
        </w:rPr>
        <w:t>de acuerdo con</w:t>
      </w:r>
      <w:r w:rsidRPr="003E6986">
        <w:rPr>
          <w:lang w:val="es-ES_tradnl"/>
        </w:rPr>
        <w:t xml:space="preserve"> la estructura de las Comisiones de Estudio contenida en el Documento</w:t>
      </w:r>
      <w:r w:rsidR="00E95AE3" w:rsidRPr="003E6986">
        <w:rPr>
          <w:lang w:val="es-ES_tradnl"/>
        </w:rPr>
        <w:t xml:space="preserve"> </w:t>
      </w:r>
      <w:hyperlink r:id="rId32" w:history="1">
        <w:proofErr w:type="spellStart"/>
        <w:r w:rsidR="00CD0DD6" w:rsidRPr="003E6986">
          <w:rPr>
            <w:rStyle w:val="Hyperlink"/>
            <w:rFonts w:asciiTheme="minorHAnsi" w:hAnsiTheme="minorHAnsi"/>
            <w:szCs w:val="24"/>
            <w:lang w:val="es-ES_tradnl"/>
          </w:rPr>
          <w:t>CPM2</w:t>
        </w:r>
        <w:r w:rsidR="00D02BC7" w:rsidRPr="003E6986">
          <w:rPr>
            <w:rStyle w:val="Hyperlink"/>
            <w:rFonts w:asciiTheme="minorHAnsi" w:hAnsiTheme="minorHAnsi"/>
            <w:szCs w:val="24"/>
            <w:lang w:val="es-ES_tradnl"/>
          </w:rPr>
          <w:t>7</w:t>
        </w:r>
        <w:proofErr w:type="spellEnd"/>
        <w:r w:rsidR="00CD0DD6" w:rsidRPr="003E6986">
          <w:rPr>
            <w:rStyle w:val="Hyperlink"/>
            <w:rFonts w:asciiTheme="minorHAnsi" w:hAnsiTheme="minorHAnsi"/>
            <w:szCs w:val="24"/>
            <w:lang w:val="es-ES_tradnl"/>
          </w:rPr>
          <w:t>-1/1</w:t>
        </w:r>
      </w:hyperlink>
      <w:r w:rsidRPr="003E6986">
        <w:rPr>
          <w:lang w:val="es-ES_tradnl"/>
        </w:rPr>
        <w:t>.</w:t>
      </w:r>
    </w:p>
    <w:p w14:paraId="03F98CA5" w14:textId="784BDA18" w:rsidR="004A7B85" w:rsidRPr="003E6986" w:rsidRDefault="008D60CF" w:rsidP="003600D8">
      <w:pPr>
        <w:pStyle w:val="Note"/>
        <w:spacing w:line="240" w:lineRule="auto"/>
        <w:rPr>
          <w:lang w:val="es-ES_tradnl"/>
        </w:rPr>
      </w:pPr>
      <w:r w:rsidRPr="003E6986">
        <w:rPr>
          <w:lang w:val="es-ES_tradnl"/>
        </w:rPr>
        <w:t xml:space="preserve">NOTA 2 – Se ruega a los grupos responsables que comuniquen periódicamente a las Comisiones </w:t>
      </w:r>
      <w:r w:rsidR="00CD0DD6" w:rsidRPr="003E6986">
        <w:rPr>
          <w:lang w:val="es-ES_tradnl"/>
        </w:rPr>
        <w:t>contribu</w:t>
      </w:r>
      <w:r w:rsidR="008D1C1F" w:rsidRPr="003E6986">
        <w:rPr>
          <w:lang w:val="es-ES_tradnl"/>
        </w:rPr>
        <w:t>yentes</w:t>
      </w:r>
      <w:r w:rsidRPr="003E6986">
        <w:rPr>
          <w:lang w:val="es-ES_tradnl"/>
        </w:rPr>
        <w:t xml:space="preserve"> los progresos realizados y los resultados de sus estudios.</w:t>
      </w:r>
    </w:p>
    <w:p w14:paraId="168BB842" w14:textId="77777777" w:rsidR="004A7B85" w:rsidRPr="003E6986" w:rsidRDefault="004A7B85" w:rsidP="00152DD6">
      <w:pPr>
        <w:rPr>
          <w:lang w:val="es-ES_tradnl"/>
        </w:rPr>
        <w:sectPr w:rsidR="004A7B85" w:rsidRPr="003E6986" w:rsidSect="009A67E7">
          <w:headerReference w:type="even" r:id="rId33"/>
          <w:headerReference w:type="default" r:id="rId34"/>
          <w:headerReference w:type="first" r:id="rId35"/>
          <w:footerReference w:type="first" r:id="rId36"/>
          <w:pgSz w:w="11907" w:h="16834" w:code="9"/>
          <w:pgMar w:top="1134" w:right="1134" w:bottom="1134" w:left="1134" w:header="567" w:footer="397" w:gutter="0"/>
          <w:cols w:space="720"/>
          <w:titlePg/>
        </w:sectPr>
      </w:pPr>
    </w:p>
    <w:tbl>
      <w:tblPr>
        <w:tblW w:w="14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4"/>
        <w:gridCol w:w="1517"/>
        <w:gridCol w:w="7809"/>
        <w:gridCol w:w="1406"/>
        <w:gridCol w:w="27"/>
      </w:tblGrid>
      <w:tr w:rsidR="004A7B85" w:rsidRPr="008653C7" w14:paraId="49CA58C6" w14:textId="77777777" w:rsidTr="003F05FF">
        <w:trPr>
          <w:gridAfter w:val="1"/>
          <w:wAfter w:w="27" w:type="dxa"/>
          <w:cantSplit/>
          <w:tblHeader/>
          <w:jc w:val="center"/>
        </w:trPr>
        <w:tc>
          <w:tcPr>
            <w:tcW w:w="14036" w:type="dxa"/>
            <w:gridSpan w:val="4"/>
            <w:tcBorders>
              <w:top w:val="nil"/>
              <w:left w:val="nil"/>
              <w:right w:val="nil"/>
            </w:tcBorders>
          </w:tcPr>
          <w:p w14:paraId="0BBC16FB" w14:textId="10C7AC8E" w:rsidR="004A7B85" w:rsidRPr="003E6986" w:rsidRDefault="004A7B85">
            <w:pPr>
              <w:pStyle w:val="Tablehead"/>
              <w:rPr>
                <w:color w:val="000000" w:themeColor="text1"/>
                <w:sz w:val="22"/>
                <w:lang w:val="es-ES_tradnl"/>
              </w:rPr>
            </w:pPr>
            <w:bookmarkStart w:id="15" w:name="_Hlk26879998"/>
            <w:r w:rsidRPr="003E6986">
              <w:rPr>
                <w:color w:val="000000" w:themeColor="text1"/>
                <w:lang w:val="es-ES_tradnl"/>
              </w:rPr>
              <w:lastRenderedPageBreak/>
              <w:t>Atribución de los trabajos preparatorios del UIT-R para la CMR-</w:t>
            </w:r>
            <w:r w:rsidR="00D02BC7" w:rsidRPr="003E6986">
              <w:rPr>
                <w:color w:val="000000" w:themeColor="text1"/>
                <w:lang w:val="es-ES_tradnl"/>
              </w:rPr>
              <w:t>27</w:t>
            </w:r>
          </w:p>
        </w:tc>
      </w:tr>
      <w:tr w:rsidR="004A7B85" w:rsidRPr="003E6986" w14:paraId="4D362BD5" w14:textId="77777777" w:rsidTr="003F05FF">
        <w:trPr>
          <w:gridAfter w:val="1"/>
          <w:wAfter w:w="27" w:type="dxa"/>
          <w:cantSplit/>
          <w:tblHeader/>
          <w:jc w:val="center"/>
        </w:trPr>
        <w:tc>
          <w:tcPr>
            <w:tcW w:w="3304" w:type="dxa"/>
            <w:vAlign w:val="center"/>
          </w:tcPr>
          <w:p w14:paraId="72BC899B" w14:textId="278C76D6" w:rsidR="004A7B85" w:rsidRPr="003E6986" w:rsidRDefault="00A5775C" w:rsidP="00C163BA">
            <w:pPr>
              <w:pStyle w:val="Tablehead"/>
              <w:rPr>
                <w:color w:val="000000" w:themeColor="text1"/>
                <w:lang w:val="es-ES_tradnl"/>
              </w:rPr>
            </w:pPr>
            <w:r w:rsidRPr="003E6986">
              <w:rPr>
                <w:color w:val="000000" w:themeColor="text1"/>
                <w:lang w:val="es-ES_tradnl"/>
              </w:rPr>
              <w:t>Tema</w:t>
            </w:r>
          </w:p>
        </w:tc>
        <w:tc>
          <w:tcPr>
            <w:tcW w:w="1517" w:type="dxa"/>
            <w:vAlign w:val="center"/>
          </w:tcPr>
          <w:p w14:paraId="45F7EBCE" w14:textId="603002CA" w:rsidR="004A7B85" w:rsidRPr="003E6986" w:rsidRDefault="002603D5" w:rsidP="00C163BA">
            <w:pPr>
              <w:pStyle w:val="Tablehead"/>
              <w:rPr>
                <w:color w:val="000000" w:themeColor="text1"/>
                <w:lang w:val="es-ES_tradnl"/>
              </w:rPr>
            </w:pPr>
            <w:r w:rsidRPr="003E6986">
              <w:rPr>
                <w:color w:val="000000" w:themeColor="text1"/>
                <w:lang w:val="es-ES_tradnl"/>
              </w:rPr>
              <w:t xml:space="preserve">Grupo </w:t>
            </w:r>
            <w:r w:rsidR="00826E16" w:rsidRPr="003E6986">
              <w:rPr>
                <w:color w:val="000000" w:themeColor="text1"/>
                <w:lang w:val="es-ES_tradnl"/>
              </w:rPr>
              <w:t>responsable</w:t>
            </w:r>
          </w:p>
        </w:tc>
        <w:tc>
          <w:tcPr>
            <w:tcW w:w="7809" w:type="dxa"/>
            <w:vAlign w:val="center"/>
          </w:tcPr>
          <w:p w14:paraId="531E1846" w14:textId="5A632C65" w:rsidR="004A7B85" w:rsidRPr="003E6986" w:rsidRDefault="002603D5" w:rsidP="00C163BA">
            <w:pPr>
              <w:pStyle w:val="Tablehead"/>
              <w:rPr>
                <w:color w:val="000000" w:themeColor="text1"/>
                <w:lang w:val="es-ES_tradnl"/>
              </w:rPr>
            </w:pPr>
            <w:r w:rsidRPr="003E6986">
              <w:rPr>
                <w:color w:val="000000" w:themeColor="text1"/>
                <w:lang w:val="es-ES_tradnl"/>
              </w:rPr>
              <w:t>Cometido del Grupo</w:t>
            </w:r>
          </w:p>
        </w:tc>
        <w:tc>
          <w:tcPr>
            <w:tcW w:w="1406" w:type="dxa"/>
            <w:vAlign w:val="center"/>
          </w:tcPr>
          <w:p w14:paraId="4496187C" w14:textId="3114E1A6" w:rsidR="004A7B85" w:rsidRPr="003E6986" w:rsidRDefault="002603D5" w:rsidP="00C163BA">
            <w:pPr>
              <w:pStyle w:val="Tablehead"/>
              <w:rPr>
                <w:color w:val="000000" w:themeColor="text1"/>
                <w:lang w:val="es-ES_tradnl"/>
              </w:rPr>
            </w:pPr>
            <w:r w:rsidRPr="003E6986">
              <w:rPr>
                <w:color w:val="000000" w:themeColor="text1"/>
                <w:lang w:val="es-ES_tradnl"/>
              </w:rPr>
              <w:t xml:space="preserve">Grupo </w:t>
            </w:r>
            <w:r w:rsidR="00826E16" w:rsidRPr="003E6986">
              <w:rPr>
                <w:color w:val="000000" w:themeColor="text1"/>
                <w:lang w:val="es-ES_tradnl"/>
              </w:rPr>
              <w:t>contribuyente</w:t>
            </w:r>
          </w:p>
        </w:tc>
      </w:tr>
      <w:tr w:rsidR="004A7B85" w:rsidRPr="008653C7" w14:paraId="5092F8E3" w14:textId="77777777" w:rsidTr="003F05FF">
        <w:trPr>
          <w:gridAfter w:val="1"/>
          <w:wAfter w:w="27" w:type="dxa"/>
          <w:cantSplit/>
          <w:jc w:val="center"/>
        </w:trPr>
        <w:tc>
          <w:tcPr>
            <w:tcW w:w="14036" w:type="dxa"/>
            <w:gridSpan w:val="4"/>
            <w:vAlign w:val="center"/>
          </w:tcPr>
          <w:p w14:paraId="323C5B9A" w14:textId="3AE9AB3F" w:rsidR="004A7B85" w:rsidRPr="003E6986" w:rsidRDefault="005B01A7">
            <w:pPr>
              <w:pStyle w:val="Tabletext"/>
              <w:tabs>
                <w:tab w:val="clear" w:pos="284"/>
                <w:tab w:val="left" w:pos="594"/>
              </w:tabs>
              <w:jc w:val="both"/>
              <w:rPr>
                <w:lang w:val="es-ES_tradnl" w:eastAsia="nl-NL"/>
              </w:rPr>
            </w:pPr>
            <w:r w:rsidRPr="003E6986">
              <w:rPr>
                <w:lang w:val="es-ES_tradnl" w:eastAsia="nl-NL"/>
              </w:rPr>
              <w:t>1</w:t>
            </w:r>
            <w:r w:rsidRPr="003E6986">
              <w:rPr>
                <w:lang w:val="es-ES_tradnl" w:eastAsia="nl-NL"/>
              </w:rPr>
              <w:tab/>
              <w:t>sobre la base de las propuestas de las administraciones, teniendo en cuenta los resultados de la CMR-</w:t>
            </w:r>
            <w:r w:rsidR="00D02BC7" w:rsidRPr="003E6986">
              <w:rPr>
                <w:lang w:val="es-ES_tradnl" w:eastAsia="nl-NL"/>
              </w:rPr>
              <w:t>23</w:t>
            </w:r>
            <w:r w:rsidRPr="003E6986">
              <w:rPr>
                <w:lang w:val="es-ES_tradnl" w:eastAsia="nl-NL"/>
              </w:rPr>
              <w:t xml:space="preserve"> y del Informe de la Reunión Preparatoria de la Conferencia, y con la debida consideración a las necesidades de servicios existentes y futuros en las bandas de frecuencias:</w:t>
            </w:r>
          </w:p>
        </w:tc>
      </w:tr>
      <w:tr w:rsidR="004B4C74" w:rsidRPr="008653C7" w14:paraId="3E86E960" w14:textId="77777777" w:rsidTr="003F05FF">
        <w:trPr>
          <w:gridAfter w:val="1"/>
          <w:wAfter w:w="27" w:type="dxa"/>
          <w:cantSplit/>
          <w:jc w:val="center"/>
        </w:trPr>
        <w:tc>
          <w:tcPr>
            <w:tcW w:w="14036" w:type="dxa"/>
            <w:gridSpan w:val="4"/>
          </w:tcPr>
          <w:p w14:paraId="3163036B" w14:textId="76312495" w:rsidR="004B4C74" w:rsidRPr="003E6986" w:rsidRDefault="004B4C74" w:rsidP="004B4C74">
            <w:pPr>
              <w:pStyle w:val="Tabletext"/>
              <w:tabs>
                <w:tab w:val="clear" w:pos="284"/>
                <w:tab w:val="left" w:pos="594"/>
              </w:tabs>
              <w:jc w:val="both"/>
              <w:rPr>
                <w:lang w:val="es-ES_tradnl" w:eastAsia="nl-NL"/>
              </w:rPr>
            </w:pPr>
            <w:r w:rsidRPr="003E6986">
              <w:rPr>
                <w:lang w:val="es-ES_tradnl" w:eastAsia="nl-NL"/>
              </w:rPr>
              <w:t>1.1</w:t>
            </w:r>
            <w:r w:rsidRPr="003E6986">
              <w:rPr>
                <w:lang w:val="es-ES_tradnl" w:eastAsia="nl-NL"/>
              </w:rPr>
              <w:tab/>
              <w:t xml:space="preserve">considerar las condiciones técnicas y operativas para la utilización de las bandas de frecuencias 47,2-50,2 GHz y 50,4-51,4 GHz (Tierra-espacio), o partes de las mismas, por estaciones terrenas en movimiento aeronáuticas y marítimas que se comunican con estaciones espaciales del servicio fijo por satélite y elaborar medidas reglamentarias, según proceda, para facilitar la utilización de las bandas de frecuencias 47,2-50,2 GHz y 50,4-51,4 GHz (Tierra-espacio), o partes de las mismas, por estaciones terrenas en movimiento aeronáuticas y marítimas que se comunican con estaciones espaciales geoestacionarias y estaciones espaciales no geoestacionarias del servicio fijo por satélite, de conformidad con la Resolución </w:t>
            </w:r>
            <w:r w:rsidRPr="003E6986">
              <w:rPr>
                <w:b/>
                <w:lang w:val="es-ES_tradnl" w:eastAsia="nl-NL"/>
              </w:rPr>
              <w:t>176 (Rev.CMR-23)</w:t>
            </w:r>
            <w:r w:rsidRPr="003E6986">
              <w:rPr>
                <w:lang w:val="es-ES_tradnl" w:eastAsia="nl-NL"/>
              </w:rPr>
              <w:t>;</w:t>
            </w:r>
          </w:p>
        </w:tc>
      </w:tr>
      <w:tr w:rsidR="004A7B85" w:rsidRPr="003E6986" w14:paraId="4C19279F" w14:textId="77777777" w:rsidTr="003F05FF">
        <w:trPr>
          <w:gridAfter w:val="1"/>
          <w:wAfter w:w="27" w:type="dxa"/>
          <w:jc w:val="center"/>
        </w:trPr>
        <w:tc>
          <w:tcPr>
            <w:tcW w:w="3304" w:type="dxa"/>
          </w:tcPr>
          <w:p w14:paraId="7C4F209A" w14:textId="2EB791EC" w:rsidR="004B4C74" w:rsidRPr="003E6986" w:rsidRDefault="004B4C74" w:rsidP="008653C7">
            <w:pPr>
              <w:pStyle w:val="Tabletext"/>
              <w:tabs>
                <w:tab w:val="left" w:pos="463"/>
              </w:tabs>
              <w:spacing w:before="0" w:after="0"/>
              <w:rPr>
                <w:b/>
                <w:lang w:val="es-ES_tradnl" w:eastAsia="nl-NL"/>
              </w:rPr>
            </w:pPr>
            <w:r w:rsidRPr="003E6986">
              <w:rPr>
                <w:lang w:val="es-ES_tradnl" w:eastAsia="nl-NL"/>
              </w:rPr>
              <w:t xml:space="preserve">Resolución </w:t>
            </w:r>
            <w:r w:rsidRPr="003E6986">
              <w:rPr>
                <w:b/>
                <w:lang w:val="es-ES_tradnl" w:eastAsia="nl-NL"/>
              </w:rPr>
              <w:t>176 (</w:t>
            </w:r>
            <w:proofErr w:type="spellStart"/>
            <w:r w:rsidRPr="003E6986">
              <w:rPr>
                <w:b/>
                <w:lang w:val="es-ES_tradnl" w:eastAsia="nl-NL"/>
              </w:rPr>
              <w:t>R</w:t>
            </w:r>
            <w:r w:rsidR="00CC514C">
              <w:rPr>
                <w:b/>
                <w:lang w:val="es-ES_tradnl" w:eastAsia="nl-NL"/>
              </w:rPr>
              <w:t>ev</w:t>
            </w:r>
            <w:r w:rsidRPr="003E6986">
              <w:rPr>
                <w:b/>
                <w:lang w:val="es-ES_tradnl" w:eastAsia="nl-NL"/>
              </w:rPr>
              <w:t>.CMR</w:t>
            </w:r>
            <w:proofErr w:type="spellEnd"/>
            <w:r w:rsidRPr="003E6986">
              <w:rPr>
                <w:b/>
                <w:lang w:val="es-ES_tradnl" w:eastAsia="nl-NL"/>
              </w:rPr>
              <w:t>-23)</w:t>
            </w:r>
          </w:p>
          <w:p w14:paraId="08FDCE9D" w14:textId="02A2B2E1" w:rsidR="004A7B85" w:rsidRPr="003E6986" w:rsidRDefault="004B4C74" w:rsidP="002232AC">
            <w:pPr>
              <w:pStyle w:val="Tabletext"/>
              <w:tabs>
                <w:tab w:val="clear" w:pos="284"/>
                <w:tab w:val="left" w:pos="463"/>
              </w:tabs>
              <w:spacing w:before="0" w:after="0"/>
              <w:rPr>
                <w:lang w:val="es-ES_tradnl" w:eastAsia="nl-NL"/>
              </w:rPr>
            </w:pPr>
            <w:r w:rsidRPr="003E6986">
              <w:rPr>
                <w:lang w:val="es-ES_tradnl" w:eastAsia="nl-NL"/>
              </w:rPr>
              <w:t xml:space="preserve">Estudios sobre la utilización de las bandas de frecuencias 47,2 50,2 GHz (Tierra espacio) y 50,4 51,4 GHz (Tierra espacio), o partes de </w:t>
            </w:r>
            <w:proofErr w:type="gramStart"/>
            <w:r w:rsidRPr="003E6986">
              <w:rPr>
                <w:lang w:val="es-ES_tradnl" w:eastAsia="nl-NL"/>
              </w:rPr>
              <w:t>las mismas</w:t>
            </w:r>
            <w:proofErr w:type="gramEnd"/>
            <w:r w:rsidRPr="003E6986">
              <w:rPr>
                <w:lang w:val="es-ES_tradnl" w:eastAsia="nl-NL"/>
              </w:rPr>
              <w:t>, por estaciones terrenas en movimiento aeronáuticas y marítimas del servicio fijo por satélite</w:t>
            </w:r>
          </w:p>
        </w:tc>
        <w:tc>
          <w:tcPr>
            <w:tcW w:w="1517" w:type="dxa"/>
          </w:tcPr>
          <w:p w14:paraId="77C6FFD7" w14:textId="106A5FAA" w:rsidR="004A7B85" w:rsidRPr="003E6986" w:rsidRDefault="00A92266" w:rsidP="008653C7">
            <w:pPr>
              <w:tabs>
                <w:tab w:val="clear" w:pos="794"/>
                <w:tab w:val="clear" w:pos="1191"/>
                <w:tab w:val="clear" w:pos="1588"/>
                <w:tab w:val="left" w:pos="851"/>
                <w:tab w:val="left" w:pos="1134"/>
                <w:tab w:val="left" w:pos="1418"/>
                <w:tab w:val="left" w:pos="1701"/>
                <w:tab w:val="left" w:pos="2268"/>
                <w:tab w:val="left" w:pos="2552"/>
                <w:tab w:val="left" w:pos="2835"/>
                <w:tab w:val="left" w:pos="3119"/>
                <w:tab w:val="left" w:pos="3402"/>
                <w:tab w:val="left" w:pos="3686"/>
                <w:tab w:val="left" w:pos="3969"/>
              </w:tabs>
              <w:spacing w:before="0" w:line="240" w:lineRule="auto"/>
              <w:jc w:val="center"/>
              <w:rPr>
                <w:lang w:val="es-ES_tradnl" w:eastAsia="nl-NL"/>
              </w:rPr>
            </w:pPr>
            <w:r w:rsidRPr="003E6986">
              <w:rPr>
                <w:b/>
                <w:sz w:val="20"/>
                <w:lang w:val="es-ES_tradnl" w:eastAsia="nl-NL"/>
              </w:rPr>
              <w:t>GT</w:t>
            </w:r>
            <w:r w:rsidR="004A7B85" w:rsidRPr="003E6986">
              <w:rPr>
                <w:b/>
                <w:sz w:val="20"/>
                <w:lang w:val="es-ES_tradnl" w:eastAsia="nl-NL"/>
              </w:rPr>
              <w:t> </w:t>
            </w:r>
            <w:r w:rsidR="00F23365" w:rsidRPr="003E6986">
              <w:rPr>
                <w:b/>
                <w:sz w:val="20"/>
                <w:lang w:val="es-ES_tradnl" w:eastAsia="nl-NL"/>
              </w:rPr>
              <w:t>4A</w:t>
            </w:r>
          </w:p>
        </w:tc>
        <w:tc>
          <w:tcPr>
            <w:tcW w:w="7809" w:type="dxa"/>
          </w:tcPr>
          <w:p w14:paraId="3C56EEC6" w14:textId="77777777" w:rsidR="004B4C74" w:rsidRPr="003E6986" w:rsidRDefault="004B4C74" w:rsidP="008653C7">
            <w:pPr>
              <w:pStyle w:val="Tabletext"/>
              <w:tabs>
                <w:tab w:val="left" w:pos="463"/>
              </w:tabs>
              <w:spacing w:before="0" w:after="0"/>
              <w:ind w:left="454"/>
              <w:rPr>
                <w:rFonts w:eastAsia="???"/>
                <w:i/>
                <w:iCs/>
                <w:lang w:val="es-ES_tradnl" w:eastAsia="nl-NL"/>
              </w:rPr>
            </w:pPr>
            <w:r w:rsidRPr="003E6986">
              <w:rPr>
                <w:rFonts w:eastAsia="???"/>
                <w:i/>
                <w:iCs/>
                <w:lang w:val="es-ES_tradnl" w:eastAsia="nl-NL"/>
              </w:rPr>
              <w:t>considerando</w:t>
            </w:r>
          </w:p>
          <w:p w14:paraId="194B3EAB" w14:textId="6E12E909" w:rsidR="004B4C74" w:rsidRPr="003E6986" w:rsidRDefault="004B4C74" w:rsidP="008653C7">
            <w:pPr>
              <w:pStyle w:val="Tabletext"/>
              <w:tabs>
                <w:tab w:val="clear" w:pos="284"/>
                <w:tab w:val="left" w:pos="463"/>
              </w:tabs>
              <w:spacing w:before="0" w:after="0"/>
              <w:jc w:val="both"/>
              <w:rPr>
                <w:rFonts w:eastAsia="???"/>
                <w:i/>
                <w:iCs/>
                <w:lang w:val="es-ES_tradnl" w:eastAsia="nl-NL"/>
              </w:rPr>
            </w:pPr>
            <w:r w:rsidRPr="003E6986">
              <w:rPr>
                <w:rFonts w:eastAsia="???"/>
                <w:i/>
                <w:iCs/>
                <w:lang w:val="es-ES_tradnl" w:eastAsia="nl-NL"/>
              </w:rPr>
              <w:t>a)</w:t>
            </w:r>
            <w:r w:rsidRPr="003E6986">
              <w:rPr>
                <w:rFonts w:eastAsia="???"/>
                <w:i/>
                <w:iCs/>
                <w:lang w:val="es-ES_tradnl" w:eastAsia="nl-NL"/>
              </w:rPr>
              <w:tab/>
            </w:r>
            <w:r w:rsidRPr="003E6986">
              <w:rPr>
                <w:rFonts w:eastAsia="???"/>
                <w:iCs/>
                <w:lang w:val="es-ES_tradnl" w:eastAsia="nl-NL"/>
              </w:rPr>
              <w:t xml:space="preserve">que las bandas de frecuencias 47,2-50,2 GHz (Tierra espacio) y 50,4-51,4 GHz (Tierra-espacio) están </w:t>
            </w:r>
            <w:r w:rsidRPr="003E6986">
              <w:rPr>
                <w:rFonts w:eastAsia="???"/>
                <w:lang w:val="es-ES_tradnl" w:eastAsia="nl-NL"/>
              </w:rPr>
              <w:t>atribuidas</w:t>
            </w:r>
            <w:r w:rsidRPr="003E6986">
              <w:rPr>
                <w:rFonts w:eastAsia="???"/>
                <w:iCs/>
                <w:lang w:val="es-ES_tradnl" w:eastAsia="nl-NL"/>
              </w:rPr>
              <w:t xml:space="preserve"> en todo el mundo a título primario al servicio fijo por satélite (SFS);</w:t>
            </w:r>
          </w:p>
          <w:p w14:paraId="4FDCF14E" w14:textId="3C3E74E0" w:rsidR="006B12DC" w:rsidRPr="003E6986" w:rsidRDefault="006B12DC" w:rsidP="008653C7">
            <w:pPr>
              <w:pStyle w:val="Tabletext"/>
              <w:tabs>
                <w:tab w:val="clear" w:pos="284"/>
                <w:tab w:val="left" w:pos="463"/>
              </w:tabs>
              <w:spacing w:before="0" w:after="0"/>
              <w:jc w:val="both"/>
              <w:rPr>
                <w:rFonts w:eastAsia="???"/>
                <w:iCs/>
                <w:lang w:val="es-ES_tradnl" w:eastAsia="nl-NL"/>
              </w:rPr>
            </w:pPr>
            <w:r w:rsidRPr="003E6986">
              <w:rPr>
                <w:rFonts w:eastAsia="???"/>
                <w:iCs/>
                <w:lang w:val="es-ES_tradnl" w:eastAsia="nl-NL"/>
              </w:rPr>
              <w:t>…</w:t>
            </w:r>
          </w:p>
          <w:p w14:paraId="136BC5DA" w14:textId="03E6FF4D" w:rsidR="00F23365" w:rsidRPr="003E6986" w:rsidRDefault="00F23365" w:rsidP="008653C7">
            <w:pPr>
              <w:pStyle w:val="Tabletext"/>
              <w:tabs>
                <w:tab w:val="left" w:pos="463"/>
              </w:tabs>
              <w:spacing w:before="0" w:after="0"/>
              <w:ind w:left="454"/>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2027</w:t>
            </w:r>
          </w:p>
          <w:p w14:paraId="2891FCC9" w14:textId="77777777" w:rsidR="00F23365" w:rsidRPr="003E6986" w:rsidRDefault="00F23365" w:rsidP="008653C7">
            <w:pPr>
              <w:pStyle w:val="Tabletext"/>
              <w:tabs>
                <w:tab w:val="clear" w:pos="284"/>
                <w:tab w:val="left" w:pos="463"/>
              </w:tabs>
              <w:spacing w:before="0" w:after="0"/>
              <w:jc w:val="both"/>
              <w:rPr>
                <w:rFonts w:eastAsia="???"/>
                <w:iCs/>
                <w:lang w:val="es-ES_tradnl" w:eastAsia="nl-NL"/>
              </w:rPr>
            </w:pPr>
            <w:r w:rsidRPr="003E6986">
              <w:rPr>
                <w:rFonts w:eastAsia="???"/>
                <w:iCs/>
                <w:lang w:val="es-ES_tradnl" w:eastAsia="nl-NL"/>
              </w:rPr>
              <w:t>1</w:t>
            </w:r>
            <w:r w:rsidRPr="003E6986">
              <w:rPr>
                <w:rFonts w:eastAsia="???"/>
                <w:iCs/>
                <w:lang w:val="es-ES_tradnl" w:eastAsia="nl-NL"/>
              </w:rPr>
              <w:tab/>
              <w:t xml:space="preserve">estudios sobre las necesidades de espectro y las características técnicas y operativas de las ETEM-M y ETEM-A que prevén utilizar las atribuciones al SFS en las bandas de frecuencias indicadas en el </w:t>
            </w:r>
            <w:r w:rsidRPr="003E6986">
              <w:rPr>
                <w:rFonts w:eastAsia="???"/>
                <w:i/>
                <w:iCs/>
                <w:lang w:val="es-ES_tradnl" w:eastAsia="nl-NL"/>
              </w:rPr>
              <w:t>considerando a)</w:t>
            </w:r>
            <w:r w:rsidRPr="003E6986">
              <w:rPr>
                <w:rFonts w:eastAsia="???"/>
                <w:iCs/>
                <w:lang w:val="es-ES_tradnl" w:eastAsia="nl-NL"/>
              </w:rPr>
              <w:t xml:space="preserve">, o partes de </w:t>
            </w:r>
            <w:proofErr w:type="gramStart"/>
            <w:r w:rsidRPr="003E6986">
              <w:rPr>
                <w:rFonts w:eastAsia="???"/>
                <w:iCs/>
                <w:lang w:val="es-ES_tradnl" w:eastAsia="nl-NL"/>
              </w:rPr>
              <w:t>las mismas</w:t>
            </w:r>
            <w:proofErr w:type="gramEnd"/>
            <w:r w:rsidRPr="003E6986">
              <w:rPr>
                <w:rFonts w:eastAsia="???"/>
                <w:iCs/>
                <w:lang w:val="es-ES_tradnl" w:eastAsia="nl-NL"/>
              </w:rPr>
              <w:t>;</w:t>
            </w:r>
          </w:p>
          <w:p w14:paraId="039B7487" w14:textId="77777777" w:rsidR="00F23365" w:rsidRPr="003E6986" w:rsidRDefault="00F23365" w:rsidP="008653C7">
            <w:pPr>
              <w:pStyle w:val="Tabletext"/>
              <w:tabs>
                <w:tab w:val="clear" w:pos="284"/>
                <w:tab w:val="left" w:pos="463"/>
              </w:tabs>
              <w:spacing w:before="0" w:after="0"/>
              <w:jc w:val="both"/>
              <w:rPr>
                <w:rFonts w:eastAsia="???"/>
                <w:iCs/>
                <w:lang w:val="es-ES_tradnl" w:eastAsia="nl-NL"/>
              </w:rPr>
            </w:pPr>
            <w:r w:rsidRPr="003E6986">
              <w:rPr>
                <w:rFonts w:eastAsia="???"/>
                <w:iCs/>
                <w:lang w:val="es-ES_tradnl" w:eastAsia="nl-NL"/>
              </w:rPr>
              <w:t>2</w:t>
            </w:r>
            <w:r w:rsidRPr="003E6986">
              <w:rPr>
                <w:rFonts w:eastAsia="???"/>
                <w:iCs/>
                <w:lang w:val="es-ES_tradnl" w:eastAsia="nl-NL"/>
              </w:rPr>
              <w:tab/>
              <w:t xml:space="preserve">estudios </w:t>
            </w:r>
            <w:r w:rsidRPr="003E6986">
              <w:rPr>
                <w:rFonts w:eastAsia="???"/>
                <w:lang w:val="es-ES_tradnl" w:eastAsia="nl-NL"/>
              </w:rPr>
              <w:t>sobre</w:t>
            </w:r>
            <w:r w:rsidRPr="003E6986">
              <w:rPr>
                <w:rFonts w:eastAsia="???"/>
                <w:iCs/>
                <w:lang w:val="es-ES_tradnl" w:eastAsia="nl-NL"/>
              </w:rPr>
              <w:t xml:space="preserve"> la compartición y compatibilidad entre las ETEM-M y ETEM-A que se comunican con las estaciones espaciales del SFS en las bandas de frecuencias mencionadas en el </w:t>
            </w:r>
            <w:r w:rsidRPr="003E6986">
              <w:rPr>
                <w:rFonts w:eastAsia="???"/>
                <w:i/>
                <w:iCs/>
                <w:lang w:val="es-ES_tradnl" w:eastAsia="nl-NL"/>
              </w:rPr>
              <w:t>considerando a)</w:t>
            </w:r>
            <w:r w:rsidRPr="003E6986">
              <w:rPr>
                <w:rFonts w:eastAsia="???"/>
                <w:iCs/>
                <w:lang w:val="es-ES_tradnl" w:eastAsia="nl-NL"/>
              </w:rPr>
              <w:t>, o partes de las mismas, y con las estaciones de los servicios primarios con atribuciones en estas bandas de frecuencias y en las bandas de frecuencias adyacentes, incluidos los servicios pasivos en bandas adyacentes y cuasi adyacentes, para garantizar la protección de esos servicios sin imponerles restricciones indebidas;</w:t>
            </w:r>
          </w:p>
          <w:p w14:paraId="7DD219C9" w14:textId="77777777" w:rsidR="00F23365" w:rsidRPr="003E6986" w:rsidRDefault="00F23365" w:rsidP="008653C7">
            <w:pPr>
              <w:pStyle w:val="Tabletext"/>
              <w:tabs>
                <w:tab w:val="clear" w:pos="284"/>
                <w:tab w:val="left" w:pos="463"/>
              </w:tabs>
              <w:spacing w:before="0" w:after="0"/>
              <w:jc w:val="both"/>
              <w:rPr>
                <w:rFonts w:eastAsia="???"/>
                <w:iCs/>
                <w:lang w:val="es-ES_tradnl" w:eastAsia="nl-NL"/>
              </w:rPr>
            </w:pPr>
            <w:r w:rsidRPr="003E6986">
              <w:rPr>
                <w:rFonts w:eastAsia="???"/>
                <w:iCs/>
                <w:lang w:val="es-ES_tradnl" w:eastAsia="nl-NL"/>
              </w:rPr>
              <w:t>3</w:t>
            </w:r>
            <w:r w:rsidRPr="003E6986">
              <w:rPr>
                <w:rFonts w:eastAsia="???"/>
                <w:iCs/>
                <w:lang w:val="es-ES_tradnl" w:eastAsia="nl-NL"/>
              </w:rPr>
              <w:tab/>
              <w:t xml:space="preserve">la </w:t>
            </w:r>
            <w:r w:rsidRPr="003E6986">
              <w:rPr>
                <w:rFonts w:eastAsia="???"/>
                <w:lang w:val="es-ES_tradnl" w:eastAsia="nl-NL"/>
              </w:rPr>
              <w:t>definición</w:t>
            </w:r>
            <w:r w:rsidRPr="003E6986">
              <w:rPr>
                <w:rFonts w:eastAsia="???"/>
                <w:iCs/>
                <w:lang w:val="es-ES_tradnl" w:eastAsia="nl-NL"/>
              </w:rPr>
              <w:t>, para las ETEM-M y ETEM-A, de las condiciones técnicas aplicables a su funcionamiento, teniendo en cuenta los resultados de los estudios anteriormente citados;</w:t>
            </w:r>
          </w:p>
          <w:p w14:paraId="00341D73" w14:textId="77777777" w:rsidR="00F23365" w:rsidRPr="003E6986" w:rsidRDefault="00F23365" w:rsidP="008653C7">
            <w:pPr>
              <w:pStyle w:val="Tabletext"/>
              <w:tabs>
                <w:tab w:val="clear" w:pos="284"/>
                <w:tab w:val="left" w:pos="463"/>
              </w:tabs>
              <w:spacing w:before="0" w:after="0"/>
              <w:jc w:val="both"/>
              <w:rPr>
                <w:rFonts w:eastAsia="???"/>
                <w:iCs/>
                <w:lang w:val="es-ES_tradnl" w:eastAsia="nl-NL"/>
              </w:rPr>
            </w:pPr>
            <w:r w:rsidRPr="003E6986">
              <w:rPr>
                <w:rFonts w:eastAsia="???"/>
                <w:iCs/>
                <w:lang w:val="es-ES_tradnl" w:eastAsia="nl-NL"/>
              </w:rPr>
              <w:t>4</w:t>
            </w:r>
            <w:r w:rsidRPr="003E6986">
              <w:rPr>
                <w:rFonts w:eastAsia="???"/>
                <w:iCs/>
                <w:lang w:val="es-ES_tradnl" w:eastAsia="nl-NL"/>
              </w:rPr>
              <w:tab/>
              <w:t>la definición, para las ETEM-M y ETEM-A que se comunican con redes OSG y sistemas no OSG, de las disposiciones reglamentarias aplicables a su funcionamiento, teniendo en cuenta los resultados de los estudios anteriormente citados;</w:t>
            </w:r>
          </w:p>
          <w:p w14:paraId="6A5A67C4" w14:textId="77777777" w:rsidR="00F23365" w:rsidRPr="003E6986" w:rsidRDefault="00F23365" w:rsidP="008653C7">
            <w:pPr>
              <w:pStyle w:val="Tabletext"/>
              <w:tabs>
                <w:tab w:val="clear" w:pos="284"/>
                <w:tab w:val="left" w:pos="463"/>
              </w:tabs>
              <w:spacing w:before="0" w:after="0"/>
              <w:jc w:val="both"/>
              <w:rPr>
                <w:rFonts w:eastAsia="???"/>
                <w:iCs/>
                <w:lang w:val="es-ES_tradnl" w:eastAsia="nl-NL"/>
              </w:rPr>
            </w:pPr>
            <w:r w:rsidRPr="003E6986">
              <w:rPr>
                <w:rFonts w:eastAsia="???"/>
                <w:iCs/>
                <w:lang w:val="es-ES_tradnl" w:eastAsia="nl-NL"/>
              </w:rPr>
              <w:t>5</w:t>
            </w:r>
            <w:r w:rsidRPr="003E6986">
              <w:rPr>
                <w:rFonts w:eastAsia="???"/>
                <w:iCs/>
                <w:lang w:val="es-ES_tradnl" w:eastAsia="nl-NL"/>
              </w:rPr>
              <w:tab/>
              <w:t xml:space="preserve">la </w:t>
            </w:r>
            <w:r w:rsidRPr="003E6986">
              <w:rPr>
                <w:rFonts w:eastAsia="???"/>
                <w:lang w:val="es-ES_tradnl" w:eastAsia="nl-NL"/>
              </w:rPr>
              <w:t>consideración</w:t>
            </w:r>
            <w:r w:rsidRPr="003E6986">
              <w:rPr>
                <w:rFonts w:eastAsia="???"/>
                <w:iCs/>
                <w:lang w:val="es-ES_tradnl" w:eastAsia="nl-NL"/>
              </w:rPr>
              <w:t xml:space="preserve"> de los resultados de los estudios realizados por el Sector de Radiocomunicaciones de la UIT (UIT-R) para la elaboración de una nueva Recomendación sobre el centro de control y supervisión de la red para el funcionamiento de las ETEM;</w:t>
            </w:r>
          </w:p>
          <w:p w14:paraId="294BC3BD" w14:textId="77777777" w:rsidR="00F23365" w:rsidRDefault="00F23365" w:rsidP="008653C7">
            <w:pPr>
              <w:pStyle w:val="Tabletext"/>
              <w:tabs>
                <w:tab w:val="clear" w:pos="284"/>
                <w:tab w:val="left" w:pos="463"/>
              </w:tabs>
              <w:spacing w:before="0" w:after="0"/>
              <w:jc w:val="both"/>
              <w:rPr>
                <w:rFonts w:eastAsia="???"/>
                <w:iCs/>
                <w:lang w:val="es-ES_tradnl" w:eastAsia="nl-NL"/>
              </w:rPr>
            </w:pPr>
            <w:r w:rsidRPr="003E6986">
              <w:rPr>
                <w:rFonts w:eastAsia="???"/>
                <w:iCs/>
                <w:lang w:val="es-ES_tradnl" w:eastAsia="nl-NL"/>
              </w:rPr>
              <w:t>6</w:t>
            </w:r>
            <w:r w:rsidRPr="003E6986">
              <w:rPr>
                <w:rFonts w:eastAsia="???"/>
                <w:iCs/>
                <w:lang w:val="es-ES_tradnl" w:eastAsia="nl-NL"/>
              </w:rPr>
              <w:tab/>
              <w:t>estudios sobre la responsabilidad de las administraciones implicadas en el funcionamiento de las ETEM-M y ETEM-A a que se refiere esta Resolución,</w:t>
            </w:r>
          </w:p>
          <w:p w14:paraId="6CAFCC71" w14:textId="77777777" w:rsidR="002232AC" w:rsidRPr="003E6986" w:rsidRDefault="002232AC" w:rsidP="008653C7">
            <w:pPr>
              <w:pStyle w:val="Tabletext"/>
              <w:tabs>
                <w:tab w:val="clear" w:pos="284"/>
                <w:tab w:val="left" w:pos="463"/>
              </w:tabs>
              <w:spacing w:before="0" w:after="0"/>
              <w:jc w:val="both"/>
              <w:rPr>
                <w:rFonts w:eastAsia="???"/>
                <w:iCs/>
                <w:lang w:val="es-ES_tradnl" w:eastAsia="nl-NL"/>
              </w:rPr>
            </w:pPr>
          </w:p>
          <w:p w14:paraId="5AA10359" w14:textId="77777777" w:rsidR="00F23365" w:rsidRPr="003E6986" w:rsidRDefault="00F23365" w:rsidP="008653C7">
            <w:pPr>
              <w:pStyle w:val="Tabletext"/>
              <w:tabs>
                <w:tab w:val="left" w:pos="463"/>
              </w:tabs>
              <w:spacing w:before="0" w:after="0"/>
              <w:ind w:left="454"/>
              <w:rPr>
                <w:rFonts w:eastAsia="???"/>
                <w:i/>
                <w:iCs/>
                <w:lang w:val="es-ES_tradnl" w:eastAsia="nl-NL"/>
              </w:rPr>
            </w:pPr>
            <w:r w:rsidRPr="003E6986">
              <w:rPr>
                <w:rFonts w:eastAsia="???"/>
                <w:i/>
                <w:iCs/>
                <w:lang w:val="es-ES_tradnl" w:eastAsia="nl-NL"/>
              </w:rPr>
              <w:lastRenderedPageBreak/>
              <w:t>invita al Sector de Radiocomunicaciones de la UIT a finalizar a tiempo para la Conferencia Mundial de Radiocomunicaciones de 2027</w:t>
            </w:r>
          </w:p>
          <w:p w14:paraId="6E0A576E" w14:textId="77777777" w:rsidR="00F23365" w:rsidRPr="003E6986" w:rsidRDefault="00F23365" w:rsidP="008653C7">
            <w:pPr>
              <w:pStyle w:val="Tabletext"/>
              <w:tabs>
                <w:tab w:val="clear" w:pos="284"/>
                <w:tab w:val="left" w:pos="463"/>
              </w:tabs>
              <w:spacing w:before="0" w:after="0"/>
              <w:jc w:val="both"/>
              <w:rPr>
                <w:rFonts w:eastAsia="???"/>
                <w:iCs/>
                <w:lang w:val="es-ES_tradnl" w:eastAsia="nl-NL"/>
              </w:rPr>
            </w:pPr>
            <w:r w:rsidRPr="003E6986">
              <w:rPr>
                <w:rFonts w:eastAsia="???"/>
                <w:iCs/>
                <w:lang w:val="es-ES_tradnl" w:eastAsia="nl-NL"/>
              </w:rPr>
              <w:t xml:space="preserve">a definir, para las ETEM-M y ETEM-A que se comunican con redes OSG o sistemas no OSG, las disposiciones reglamentarias aplicables a su funcionamiento, teniendo en cuenta los resultados de los estudios anteriormente citados, </w:t>
            </w:r>
          </w:p>
          <w:p w14:paraId="453760F3" w14:textId="1DC8F898" w:rsidR="00F23365" w:rsidRPr="003E6986" w:rsidRDefault="00F23365" w:rsidP="008653C7">
            <w:pPr>
              <w:pStyle w:val="Tabletext"/>
              <w:tabs>
                <w:tab w:val="clear" w:pos="284"/>
                <w:tab w:val="left" w:pos="463"/>
              </w:tabs>
              <w:spacing w:before="0" w:after="0"/>
              <w:ind w:left="454"/>
              <w:jc w:val="both"/>
              <w:rPr>
                <w:rFonts w:eastAsia="???"/>
                <w:i/>
                <w:iCs/>
                <w:lang w:val="es-ES_tradnl" w:eastAsia="nl-NL"/>
              </w:rPr>
            </w:pPr>
            <w:r w:rsidRPr="003E6986">
              <w:rPr>
                <w:rFonts w:eastAsia="???"/>
                <w:i/>
                <w:iCs/>
                <w:lang w:val="es-ES_tradnl" w:eastAsia="nl-NL"/>
              </w:rPr>
              <w:t>invita a la Conferencia Mundial de Radiocomunicaciones de 2027</w:t>
            </w:r>
          </w:p>
          <w:p w14:paraId="0996692F" w14:textId="4799301D" w:rsidR="004A7B85" w:rsidRPr="003E6986" w:rsidRDefault="00F23365" w:rsidP="008653C7">
            <w:pPr>
              <w:pStyle w:val="Tabletext"/>
              <w:tabs>
                <w:tab w:val="clear" w:pos="284"/>
                <w:tab w:val="left" w:pos="463"/>
              </w:tabs>
              <w:spacing w:before="0" w:after="0"/>
              <w:jc w:val="both"/>
              <w:rPr>
                <w:rFonts w:eastAsia="???"/>
                <w:iCs/>
                <w:lang w:val="es-ES_tradnl" w:eastAsia="nl-NL"/>
              </w:rPr>
            </w:pPr>
            <w:r w:rsidRPr="003E6986">
              <w:rPr>
                <w:rFonts w:eastAsia="???"/>
                <w:iCs/>
                <w:lang w:val="es-ES_tradnl" w:eastAsia="nl-NL"/>
              </w:rPr>
              <w:t xml:space="preserve">a examinar los </w:t>
            </w:r>
            <w:r w:rsidRPr="003E6986">
              <w:rPr>
                <w:rFonts w:eastAsia="???"/>
                <w:lang w:val="es-ES_tradnl" w:eastAsia="nl-NL"/>
              </w:rPr>
              <w:t>resultados</w:t>
            </w:r>
            <w:r w:rsidRPr="003E6986">
              <w:rPr>
                <w:rFonts w:eastAsia="???"/>
                <w:iCs/>
                <w:lang w:val="es-ES_tradnl" w:eastAsia="nl-NL"/>
              </w:rPr>
              <w:t xml:space="preserve"> de los estudios antes mencionados y adoptar las medidas necesarias, según proceda, siempre y </w:t>
            </w:r>
            <w:r w:rsidRPr="003E6986">
              <w:rPr>
                <w:rFonts w:eastAsia="???"/>
                <w:lang w:val="es-ES_tradnl" w:eastAsia="nl-NL"/>
              </w:rPr>
              <w:t>cuando</w:t>
            </w:r>
            <w:r w:rsidRPr="003E6986">
              <w:rPr>
                <w:rFonts w:eastAsia="???"/>
                <w:iCs/>
                <w:lang w:val="es-ES_tradnl" w:eastAsia="nl-NL"/>
              </w:rPr>
              <w:t xml:space="preserve"> los resultados de los estudios mencionados en el </w:t>
            </w:r>
            <w:r w:rsidRPr="003E6986">
              <w:rPr>
                <w:rFonts w:eastAsia="???"/>
                <w:i/>
                <w:iCs/>
                <w:lang w:val="es-ES_tradnl" w:eastAsia="nl-NL"/>
              </w:rPr>
              <w:t>resuelve invitar al Sector de Radiocomunicaciones de la UIT</w:t>
            </w:r>
            <w:r w:rsidR="00413B58" w:rsidRPr="003E6986">
              <w:rPr>
                <w:rFonts w:eastAsia="???"/>
                <w:i/>
                <w:iCs/>
                <w:lang w:val="es-ES_tradnl" w:eastAsia="nl-NL"/>
              </w:rPr>
              <w:t xml:space="preserve"> a finalizar a tiempo para la Conferencia Mundial de Radiocomunicaciones</w:t>
            </w:r>
            <w:r w:rsidRPr="003E6986">
              <w:rPr>
                <w:rFonts w:eastAsia="???"/>
                <w:iCs/>
                <w:lang w:val="es-ES_tradnl" w:eastAsia="nl-NL"/>
              </w:rPr>
              <w:t xml:space="preserve"> estén completos y hayan recibido el acuerdo de las Comisiones de Estudio de Radiocomunicaciones.</w:t>
            </w:r>
          </w:p>
        </w:tc>
        <w:tc>
          <w:tcPr>
            <w:tcW w:w="1406" w:type="dxa"/>
          </w:tcPr>
          <w:p w14:paraId="736750BB" w14:textId="77B4EEE4" w:rsidR="000F517C" w:rsidRPr="008653C7" w:rsidRDefault="000F517C" w:rsidP="008653C7">
            <w:pPr>
              <w:pStyle w:val="Tabletext"/>
              <w:spacing w:before="0" w:after="0"/>
              <w:jc w:val="center"/>
              <w:rPr>
                <w:rFonts w:eastAsia="Calibri"/>
                <w:b/>
                <w:bCs/>
                <w:lang w:val="fr-FR"/>
              </w:rPr>
            </w:pPr>
            <w:r w:rsidRPr="008653C7">
              <w:rPr>
                <w:rFonts w:eastAsia="Calibri"/>
                <w:b/>
                <w:bCs/>
                <w:lang w:val="fr-FR"/>
              </w:rPr>
              <w:lastRenderedPageBreak/>
              <w:t>GT 3M</w:t>
            </w:r>
          </w:p>
          <w:p w14:paraId="5D911456" w14:textId="5C460C73" w:rsidR="000F517C" w:rsidRPr="008653C7" w:rsidRDefault="000F517C" w:rsidP="008653C7">
            <w:pPr>
              <w:pStyle w:val="Tabletext"/>
              <w:spacing w:before="0" w:after="0"/>
              <w:jc w:val="center"/>
              <w:rPr>
                <w:rFonts w:eastAsia="Calibri"/>
                <w:b/>
                <w:bCs/>
                <w:lang w:val="fr-FR"/>
              </w:rPr>
            </w:pPr>
            <w:r w:rsidRPr="008653C7">
              <w:rPr>
                <w:rFonts w:eastAsia="Calibri"/>
                <w:b/>
                <w:bCs/>
                <w:lang w:val="fr-FR"/>
              </w:rPr>
              <w:t xml:space="preserve">GT </w:t>
            </w:r>
            <w:proofErr w:type="spellStart"/>
            <w:r w:rsidRPr="008653C7">
              <w:rPr>
                <w:rFonts w:eastAsia="Calibri"/>
                <w:b/>
                <w:bCs/>
                <w:lang w:val="fr-FR"/>
              </w:rPr>
              <w:t>4C</w:t>
            </w:r>
            <w:proofErr w:type="spellEnd"/>
          </w:p>
          <w:p w14:paraId="21C61191" w14:textId="5CCCBB6A" w:rsidR="000F517C" w:rsidRPr="008653C7" w:rsidRDefault="000F517C" w:rsidP="008653C7">
            <w:pPr>
              <w:pStyle w:val="Tabletext"/>
              <w:spacing w:before="0" w:after="0"/>
              <w:jc w:val="center"/>
              <w:rPr>
                <w:rFonts w:eastAsia="Calibri"/>
                <w:b/>
                <w:bCs/>
                <w:lang w:val="fr-FR"/>
              </w:rPr>
            </w:pPr>
            <w:r w:rsidRPr="008653C7">
              <w:rPr>
                <w:rFonts w:eastAsia="Calibri"/>
                <w:b/>
                <w:bCs/>
                <w:lang w:val="fr-FR"/>
              </w:rPr>
              <w:t xml:space="preserve">GT </w:t>
            </w:r>
            <w:proofErr w:type="spellStart"/>
            <w:r w:rsidRPr="008653C7">
              <w:rPr>
                <w:rFonts w:eastAsia="Calibri"/>
                <w:b/>
                <w:bCs/>
                <w:lang w:val="fr-FR"/>
              </w:rPr>
              <w:t>5A</w:t>
            </w:r>
            <w:proofErr w:type="spellEnd"/>
          </w:p>
          <w:p w14:paraId="469CB7D9" w14:textId="14E68DC5" w:rsidR="000F517C" w:rsidRPr="008653C7" w:rsidRDefault="000F517C" w:rsidP="008653C7">
            <w:pPr>
              <w:pStyle w:val="Tabletext"/>
              <w:spacing w:before="0" w:after="0"/>
              <w:jc w:val="center"/>
              <w:rPr>
                <w:rFonts w:eastAsia="Calibri"/>
                <w:b/>
                <w:bCs/>
                <w:lang w:val="fr-FR"/>
              </w:rPr>
            </w:pPr>
            <w:r w:rsidRPr="008653C7">
              <w:rPr>
                <w:rFonts w:eastAsia="Calibri"/>
                <w:b/>
                <w:bCs/>
                <w:lang w:val="fr-FR"/>
              </w:rPr>
              <w:t xml:space="preserve">GT </w:t>
            </w:r>
            <w:proofErr w:type="spellStart"/>
            <w:r w:rsidRPr="008653C7">
              <w:rPr>
                <w:rFonts w:eastAsia="Calibri"/>
                <w:b/>
                <w:bCs/>
                <w:lang w:val="fr-FR"/>
              </w:rPr>
              <w:t>5B</w:t>
            </w:r>
            <w:proofErr w:type="spellEnd"/>
          </w:p>
          <w:p w14:paraId="0545E750" w14:textId="08904B13" w:rsidR="000F517C" w:rsidRPr="008653C7" w:rsidRDefault="000F517C" w:rsidP="008653C7">
            <w:pPr>
              <w:pStyle w:val="Tabletext"/>
              <w:spacing w:before="0" w:after="0"/>
              <w:jc w:val="center"/>
              <w:rPr>
                <w:rFonts w:eastAsia="Calibri"/>
                <w:b/>
                <w:bCs/>
                <w:lang w:val="fr-FR"/>
              </w:rPr>
            </w:pPr>
            <w:r w:rsidRPr="008653C7">
              <w:rPr>
                <w:rFonts w:eastAsia="Calibri"/>
                <w:b/>
                <w:bCs/>
                <w:lang w:val="fr-FR"/>
              </w:rPr>
              <w:t xml:space="preserve">GT </w:t>
            </w:r>
            <w:proofErr w:type="spellStart"/>
            <w:r w:rsidRPr="008653C7">
              <w:rPr>
                <w:rFonts w:eastAsia="Calibri"/>
                <w:b/>
                <w:bCs/>
                <w:lang w:val="fr-FR"/>
              </w:rPr>
              <w:t>5C</w:t>
            </w:r>
            <w:proofErr w:type="spellEnd"/>
          </w:p>
          <w:p w14:paraId="65C7959E" w14:textId="5579B3AB" w:rsidR="000F517C" w:rsidRPr="008653C7" w:rsidRDefault="000F517C" w:rsidP="008653C7">
            <w:pPr>
              <w:pStyle w:val="Tabletext"/>
              <w:spacing w:before="0" w:after="0"/>
              <w:jc w:val="center"/>
              <w:rPr>
                <w:rFonts w:eastAsia="Calibri"/>
                <w:b/>
                <w:bCs/>
                <w:lang w:val="fr-FR"/>
              </w:rPr>
            </w:pPr>
            <w:r w:rsidRPr="008653C7">
              <w:rPr>
                <w:rFonts w:eastAsia="Calibri"/>
                <w:b/>
                <w:bCs/>
                <w:lang w:val="fr-FR"/>
              </w:rPr>
              <w:t xml:space="preserve">GT </w:t>
            </w:r>
            <w:proofErr w:type="spellStart"/>
            <w:r w:rsidRPr="008653C7">
              <w:rPr>
                <w:rFonts w:eastAsia="Calibri"/>
                <w:b/>
                <w:bCs/>
                <w:lang w:val="fr-FR"/>
              </w:rPr>
              <w:t>5D</w:t>
            </w:r>
            <w:proofErr w:type="spellEnd"/>
          </w:p>
          <w:p w14:paraId="34C3B906" w14:textId="637C2FF8" w:rsidR="000F517C" w:rsidRPr="008653C7" w:rsidRDefault="000F517C" w:rsidP="008653C7">
            <w:pPr>
              <w:pStyle w:val="Tabletext"/>
              <w:spacing w:before="0" w:after="0"/>
              <w:jc w:val="center"/>
              <w:rPr>
                <w:rFonts w:eastAsia="Calibri"/>
                <w:b/>
                <w:bCs/>
                <w:lang w:val="fr-FR"/>
              </w:rPr>
            </w:pPr>
            <w:r w:rsidRPr="008653C7">
              <w:rPr>
                <w:rFonts w:eastAsia="Calibri"/>
                <w:b/>
                <w:bCs/>
                <w:lang w:val="fr-FR"/>
              </w:rPr>
              <w:t xml:space="preserve">GT </w:t>
            </w:r>
            <w:proofErr w:type="spellStart"/>
            <w:r w:rsidRPr="008653C7">
              <w:rPr>
                <w:rFonts w:eastAsia="Calibri"/>
                <w:b/>
                <w:bCs/>
                <w:lang w:val="fr-FR"/>
              </w:rPr>
              <w:t>7B</w:t>
            </w:r>
            <w:proofErr w:type="spellEnd"/>
          </w:p>
          <w:p w14:paraId="539DE0DD" w14:textId="7BFB0E67" w:rsidR="000F517C" w:rsidRPr="008653C7" w:rsidRDefault="000F517C" w:rsidP="008653C7">
            <w:pPr>
              <w:pStyle w:val="Tabletext"/>
              <w:spacing w:before="0" w:after="0"/>
              <w:jc w:val="center"/>
              <w:rPr>
                <w:rFonts w:eastAsia="Calibri"/>
                <w:b/>
                <w:bCs/>
                <w:lang w:val="fr-FR"/>
              </w:rPr>
            </w:pPr>
            <w:r w:rsidRPr="008653C7">
              <w:rPr>
                <w:rFonts w:eastAsia="Calibri"/>
                <w:b/>
                <w:bCs/>
                <w:lang w:val="fr-FR"/>
              </w:rPr>
              <w:t xml:space="preserve">GT </w:t>
            </w:r>
            <w:proofErr w:type="spellStart"/>
            <w:r w:rsidRPr="008653C7">
              <w:rPr>
                <w:rFonts w:eastAsia="Calibri"/>
                <w:b/>
                <w:bCs/>
                <w:lang w:val="fr-FR"/>
              </w:rPr>
              <w:t>7C</w:t>
            </w:r>
            <w:proofErr w:type="spellEnd"/>
          </w:p>
          <w:p w14:paraId="6A4DF767" w14:textId="1A4F376B" w:rsidR="004A7B85" w:rsidRPr="003E6986" w:rsidRDefault="000F517C" w:rsidP="008653C7">
            <w:pPr>
              <w:pStyle w:val="Tabletext"/>
              <w:tabs>
                <w:tab w:val="clear" w:pos="284"/>
                <w:tab w:val="left" w:pos="463"/>
              </w:tabs>
              <w:spacing w:before="0" w:after="0" w:line="480" w:lineRule="auto"/>
              <w:jc w:val="center"/>
              <w:rPr>
                <w:b/>
                <w:bCs/>
                <w:lang w:val="es-ES_tradnl" w:eastAsia="nl-NL"/>
              </w:rPr>
            </w:pPr>
            <w:r w:rsidRPr="003E6986">
              <w:rPr>
                <w:rFonts w:eastAsia="Calibri"/>
                <w:b/>
                <w:bCs/>
                <w:lang w:val="es-ES_tradnl"/>
              </w:rPr>
              <w:t xml:space="preserve">GT </w:t>
            </w:r>
            <w:proofErr w:type="spellStart"/>
            <w:r w:rsidRPr="003E6986">
              <w:rPr>
                <w:rFonts w:eastAsia="Calibri"/>
                <w:b/>
                <w:bCs/>
                <w:lang w:val="es-ES_tradnl"/>
              </w:rPr>
              <w:t>7D</w:t>
            </w:r>
            <w:proofErr w:type="spellEnd"/>
          </w:p>
        </w:tc>
      </w:tr>
      <w:tr w:rsidR="004A7B85" w:rsidRPr="008653C7" w14:paraId="56AEDB16" w14:textId="77777777" w:rsidTr="003F05FF">
        <w:trPr>
          <w:gridAfter w:val="1"/>
          <w:wAfter w:w="27" w:type="dxa"/>
          <w:cantSplit/>
          <w:jc w:val="center"/>
        </w:trPr>
        <w:tc>
          <w:tcPr>
            <w:tcW w:w="14036" w:type="dxa"/>
            <w:gridSpan w:val="4"/>
          </w:tcPr>
          <w:p w14:paraId="7C11EC9A" w14:textId="72AE4858" w:rsidR="004A7B85" w:rsidRPr="003E6986" w:rsidRDefault="00F23365" w:rsidP="008653C7">
            <w:pPr>
              <w:pStyle w:val="Tabletext"/>
              <w:tabs>
                <w:tab w:val="clear" w:pos="284"/>
                <w:tab w:val="left" w:pos="594"/>
              </w:tabs>
              <w:spacing w:before="0" w:after="0"/>
              <w:jc w:val="both"/>
              <w:rPr>
                <w:lang w:val="es-ES_tradnl" w:eastAsia="nl-NL"/>
              </w:rPr>
            </w:pPr>
            <w:r w:rsidRPr="003E6986">
              <w:rPr>
                <w:lang w:val="es-ES_tradnl" w:eastAsia="nl-NL"/>
              </w:rPr>
              <w:t>1.2</w:t>
            </w:r>
            <w:r w:rsidRPr="003E6986">
              <w:rPr>
                <w:lang w:val="es-ES_tradnl" w:eastAsia="nl-NL"/>
              </w:rPr>
              <w:tab/>
              <w:t xml:space="preserve">considerar la posible revisión de las condiciones de compartición en la banda de frecuencias 13,75-14 GHz para permitir la utilización de estaciones terrenas de enlace ascendente del servicio fijo por satélite con antenas de menor tamaño, de conformidad con la Resolución </w:t>
            </w:r>
            <w:r w:rsidR="003E7D98" w:rsidRPr="003E6986">
              <w:rPr>
                <w:b/>
                <w:lang w:val="es-ES_tradnl" w:eastAsia="nl-NL"/>
              </w:rPr>
              <w:t>129</w:t>
            </w:r>
            <w:r w:rsidRPr="003E6986">
              <w:rPr>
                <w:b/>
                <w:lang w:val="es-ES_tradnl" w:eastAsia="nl-NL"/>
              </w:rPr>
              <w:t xml:space="preserve"> (CMR-23)</w:t>
            </w:r>
            <w:r w:rsidRPr="003E6986">
              <w:rPr>
                <w:lang w:val="es-ES_tradnl" w:eastAsia="nl-NL"/>
              </w:rPr>
              <w:t>;</w:t>
            </w:r>
          </w:p>
        </w:tc>
      </w:tr>
      <w:tr w:rsidR="004A7B85" w:rsidRPr="003E6986" w14:paraId="29F79A45" w14:textId="77777777" w:rsidTr="003F05FF">
        <w:trPr>
          <w:gridAfter w:val="1"/>
          <w:wAfter w:w="27" w:type="dxa"/>
          <w:jc w:val="center"/>
        </w:trPr>
        <w:tc>
          <w:tcPr>
            <w:tcW w:w="3304" w:type="dxa"/>
          </w:tcPr>
          <w:p w14:paraId="1630CA0A" w14:textId="3B2BF93D" w:rsidR="00F23365" w:rsidRPr="003E6986" w:rsidRDefault="00F23365" w:rsidP="008653C7">
            <w:pPr>
              <w:pStyle w:val="Tabletext"/>
              <w:tabs>
                <w:tab w:val="left" w:pos="463"/>
              </w:tabs>
              <w:spacing w:before="0" w:after="0"/>
              <w:rPr>
                <w:lang w:val="es-ES_tradnl" w:eastAsia="nl-NL"/>
              </w:rPr>
            </w:pPr>
            <w:r w:rsidRPr="003E6986">
              <w:rPr>
                <w:lang w:val="es-ES_tradnl" w:eastAsia="nl-NL"/>
              </w:rPr>
              <w:t>Resolución</w:t>
            </w:r>
            <w:r w:rsidR="003E7D98" w:rsidRPr="003E6986">
              <w:rPr>
                <w:lang w:val="es-ES_tradnl" w:eastAsia="nl-NL"/>
              </w:rPr>
              <w:t xml:space="preserve"> </w:t>
            </w:r>
            <w:r w:rsidR="003E7D98" w:rsidRPr="003E6986">
              <w:rPr>
                <w:b/>
                <w:lang w:val="es-ES_tradnl" w:eastAsia="nl-NL"/>
              </w:rPr>
              <w:t>129</w:t>
            </w:r>
            <w:r w:rsidRPr="003E6986">
              <w:rPr>
                <w:b/>
                <w:lang w:val="es-ES_tradnl" w:eastAsia="nl-NL"/>
              </w:rPr>
              <w:t xml:space="preserve"> (</w:t>
            </w:r>
            <w:proofErr w:type="spellStart"/>
            <w:r w:rsidRPr="003E6986">
              <w:rPr>
                <w:b/>
                <w:lang w:val="es-ES_tradnl" w:eastAsia="nl-NL"/>
              </w:rPr>
              <w:t>CMR</w:t>
            </w:r>
            <w:proofErr w:type="spellEnd"/>
            <w:r w:rsidRPr="003E6986">
              <w:rPr>
                <w:b/>
                <w:lang w:val="es-ES_tradnl" w:eastAsia="nl-NL"/>
              </w:rPr>
              <w:t>-23)</w:t>
            </w:r>
          </w:p>
          <w:p w14:paraId="6ED58FE4" w14:textId="2A0A3EF2" w:rsidR="004A7B85" w:rsidRPr="003E6986" w:rsidRDefault="00F23365" w:rsidP="002232AC">
            <w:pPr>
              <w:pStyle w:val="Tabletext"/>
              <w:tabs>
                <w:tab w:val="left" w:pos="463"/>
              </w:tabs>
              <w:spacing w:before="0" w:after="0"/>
              <w:rPr>
                <w:lang w:val="es-ES_tradnl" w:eastAsia="nl-NL"/>
              </w:rPr>
            </w:pPr>
            <w:r w:rsidRPr="003E6986">
              <w:rPr>
                <w:lang w:val="es-ES_tradnl" w:eastAsia="nl-NL"/>
              </w:rPr>
              <w:t>Los estudios sobre la posible revisión de las condiciones de compartición en la banda de frecuencias 13,75-14</w:t>
            </w:r>
            <w:r w:rsidR="00054956">
              <w:rPr>
                <w:lang w:val="es-ES_tradnl" w:eastAsia="nl-NL"/>
              </w:rPr>
              <w:t> </w:t>
            </w:r>
            <w:r w:rsidRPr="003E6986">
              <w:rPr>
                <w:lang w:val="es-ES_tradnl" w:eastAsia="nl-NL"/>
              </w:rPr>
              <w:t>GHz para permitir la utilización de estaciones terrenas de enlace ascendente del servicio fijo por satélite con antenas de menor tamaño</w:t>
            </w:r>
          </w:p>
        </w:tc>
        <w:tc>
          <w:tcPr>
            <w:tcW w:w="1517" w:type="dxa"/>
          </w:tcPr>
          <w:p w14:paraId="11FE156B" w14:textId="78695505" w:rsidR="004A7B85" w:rsidRPr="003E6986" w:rsidRDefault="00A92266" w:rsidP="008653C7">
            <w:pPr>
              <w:pStyle w:val="Tabletext"/>
              <w:tabs>
                <w:tab w:val="clear" w:pos="284"/>
                <w:tab w:val="left" w:pos="463"/>
              </w:tabs>
              <w:spacing w:before="0" w:after="0"/>
              <w:jc w:val="center"/>
              <w:rPr>
                <w:b/>
                <w:bCs/>
                <w:lang w:val="es-ES_tradnl" w:eastAsia="nl-NL"/>
              </w:rPr>
            </w:pPr>
            <w:r w:rsidRPr="003E6986">
              <w:rPr>
                <w:b/>
                <w:bCs/>
                <w:lang w:val="es-ES_tradnl" w:eastAsia="nl-NL"/>
              </w:rPr>
              <w:t>GT</w:t>
            </w:r>
            <w:r w:rsidR="004A7B85" w:rsidRPr="003E6986">
              <w:rPr>
                <w:b/>
                <w:bCs/>
                <w:lang w:val="es-ES_tradnl" w:eastAsia="nl-NL"/>
              </w:rPr>
              <w:t> </w:t>
            </w:r>
            <w:r w:rsidR="00F23365" w:rsidRPr="003E6986">
              <w:rPr>
                <w:b/>
                <w:bCs/>
                <w:lang w:val="es-ES_tradnl"/>
              </w:rPr>
              <w:t>4A</w:t>
            </w:r>
            <w:r w:rsidR="00F23365" w:rsidRPr="003E6986">
              <w:rPr>
                <w:rStyle w:val="FootnoteReference"/>
                <w:b/>
                <w:bCs/>
                <w:lang w:val="es-ES_tradnl"/>
              </w:rPr>
              <w:footnoteReference w:customMarkFollows="1" w:id="13"/>
              <w:sym w:font="Symbol" w:char="F02A"/>
            </w:r>
          </w:p>
        </w:tc>
        <w:tc>
          <w:tcPr>
            <w:tcW w:w="7809" w:type="dxa"/>
          </w:tcPr>
          <w:p w14:paraId="684C672E" w14:textId="77777777" w:rsidR="00F23365" w:rsidRPr="003E6986" w:rsidRDefault="00F23365" w:rsidP="008653C7">
            <w:pPr>
              <w:pStyle w:val="Tabletext"/>
              <w:tabs>
                <w:tab w:val="clear" w:pos="284"/>
                <w:tab w:val="left" w:pos="463"/>
              </w:tabs>
              <w:spacing w:before="0" w:after="0"/>
              <w:ind w:left="454"/>
              <w:jc w:val="both"/>
              <w:rPr>
                <w:i/>
                <w:lang w:val="es-ES_tradnl" w:eastAsia="nl-NL"/>
              </w:rPr>
            </w:pPr>
            <w:r w:rsidRPr="003E6986">
              <w:rPr>
                <w:i/>
                <w:lang w:val="es-ES_tradnl" w:eastAsia="nl-NL"/>
              </w:rPr>
              <w:t xml:space="preserve">resuelve </w:t>
            </w:r>
            <w:r w:rsidRPr="003E6986">
              <w:rPr>
                <w:rFonts w:eastAsia="???"/>
                <w:i/>
                <w:iCs/>
                <w:lang w:val="es-ES_tradnl" w:eastAsia="nl-NL"/>
              </w:rPr>
              <w:t>invitar</w:t>
            </w:r>
            <w:r w:rsidRPr="003E6986">
              <w:rPr>
                <w:i/>
                <w:lang w:val="es-ES_tradnl" w:eastAsia="nl-NL"/>
              </w:rPr>
              <w:t xml:space="preserve"> al Sector de Radiocomunicaciones de la UIT a finalizar a tiempo para la Conferencia Mundial de Radiocomunicaciones 2027</w:t>
            </w:r>
          </w:p>
          <w:p w14:paraId="561F38C2" w14:textId="77777777" w:rsidR="00F23365" w:rsidRPr="003E6986" w:rsidRDefault="00F23365" w:rsidP="008653C7">
            <w:pPr>
              <w:pStyle w:val="Tabletext"/>
              <w:tabs>
                <w:tab w:val="clear" w:pos="284"/>
                <w:tab w:val="left" w:pos="463"/>
              </w:tabs>
              <w:spacing w:before="0" w:after="0"/>
              <w:jc w:val="both"/>
              <w:rPr>
                <w:lang w:val="es-ES_tradnl" w:eastAsia="nl-NL"/>
              </w:rPr>
            </w:pPr>
            <w:r w:rsidRPr="003E6986">
              <w:rPr>
                <w:lang w:val="es-ES_tradnl" w:eastAsia="nl-NL"/>
              </w:rPr>
              <w:t>1</w:t>
            </w:r>
            <w:r w:rsidRPr="003E6986">
              <w:rPr>
                <w:lang w:val="es-ES_tradnl" w:eastAsia="nl-NL"/>
              </w:rPr>
              <w:tab/>
              <w:t xml:space="preserve">estudios sobre las limitaciones técnicas y operativas relativas al tamaño mínimo de antena y las limitaciones de potencia asociadas de las estaciones terrenas del SFS OSG y no OSG en la banda de frecuencias 13,75-14 GHz (Tierra-espacio), garantizando al mismo tiempo la protección de los servicios previstos en los números </w:t>
            </w:r>
            <w:r w:rsidRPr="003E6986">
              <w:rPr>
                <w:b/>
                <w:lang w:val="es-ES_tradnl" w:eastAsia="nl-NL"/>
              </w:rPr>
              <w:t>5.502</w:t>
            </w:r>
            <w:r w:rsidRPr="003E6986">
              <w:rPr>
                <w:lang w:val="es-ES_tradnl" w:eastAsia="nl-NL"/>
              </w:rPr>
              <w:t xml:space="preserve"> y </w:t>
            </w:r>
            <w:r w:rsidRPr="003E6986">
              <w:rPr>
                <w:b/>
                <w:lang w:val="es-ES_tradnl" w:eastAsia="nl-NL"/>
              </w:rPr>
              <w:t>5.503</w:t>
            </w:r>
            <w:r w:rsidRPr="003E6986">
              <w:rPr>
                <w:lang w:val="es-ES_tradnl" w:eastAsia="nl-NL"/>
              </w:rPr>
              <w:t>;</w:t>
            </w:r>
          </w:p>
          <w:p w14:paraId="405D50E3" w14:textId="77777777" w:rsidR="004A7B85" w:rsidRPr="003E6986" w:rsidRDefault="00F23365" w:rsidP="008653C7">
            <w:pPr>
              <w:pStyle w:val="Tabletext"/>
              <w:tabs>
                <w:tab w:val="clear" w:pos="284"/>
                <w:tab w:val="left" w:pos="463"/>
              </w:tabs>
              <w:spacing w:before="0" w:after="0"/>
              <w:jc w:val="both"/>
              <w:rPr>
                <w:lang w:val="es-ES_tradnl" w:eastAsia="nl-NL"/>
              </w:rPr>
            </w:pPr>
            <w:r w:rsidRPr="003E6986">
              <w:rPr>
                <w:lang w:val="es-ES_tradnl" w:eastAsia="nl-NL"/>
              </w:rPr>
              <w:t>2</w:t>
            </w:r>
            <w:r w:rsidRPr="003E6986">
              <w:rPr>
                <w:lang w:val="es-ES_tradnl" w:eastAsia="nl-NL"/>
              </w:rPr>
              <w:tab/>
              <w:t xml:space="preserve">estudios sobre posibles modificaciones de los números </w:t>
            </w:r>
            <w:r w:rsidRPr="003E6986">
              <w:rPr>
                <w:b/>
                <w:lang w:val="es-ES_tradnl" w:eastAsia="nl-NL"/>
              </w:rPr>
              <w:t>5.502</w:t>
            </w:r>
            <w:r w:rsidRPr="003E6986">
              <w:rPr>
                <w:lang w:val="es-ES_tradnl" w:eastAsia="nl-NL"/>
              </w:rPr>
              <w:t xml:space="preserve"> y </w:t>
            </w:r>
            <w:r w:rsidRPr="003E6986">
              <w:rPr>
                <w:b/>
                <w:lang w:val="es-ES_tradnl" w:eastAsia="nl-NL"/>
              </w:rPr>
              <w:t>5.503</w:t>
            </w:r>
            <w:r w:rsidRPr="003E6986">
              <w:rPr>
                <w:lang w:val="es-ES_tradnl" w:eastAsia="nl-NL"/>
              </w:rPr>
              <w:t xml:space="preserve"> y posibles medidas reglamentarias conexas,</w:t>
            </w:r>
          </w:p>
          <w:p w14:paraId="253ED6BD" w14:textId="77777777" w:rsidR="00F23365" w:rsidRPr="003E6986" w:rsidRDefault="00F23365" w:rsidP="008653C7">
            <w:pPr>
              <w:pStyle w:val="Tabletext"/>
              <w:tabs>
                <w:tab w:val="clear" w:pos="284"/>
                <w:tab w:val="left" w:pos="463"/>
              </w:tabs>
              <w:spacing w:before="0" w:after="0"/>
              <w:jc w:val="both"/>
              <w:rPr>
                <w:lang w:val="es-ES_tradnl" w:eastAsia="nl-NL"/>
              </w:rPr>
            </w:pPr>
            <w:r w:rsidRPr="003E6986">
              <w:rPr>
                <w:lang w:val="es-ES_tradnl" w:eastAsia="nl-NL"/>
              </w:rPr>
              <w:t>…</w:t>
            </w:r>
          </w:p>
          <w:p w14:paraId="27D75F84" w14:textId="77777777" w:rsidR="00F23365" w:rsidRPr="003E6986" w:rsidRDefault="00F23365" w:rsidP="008653C7">
            <w:pPr>
              <w:pStyle w:val="Tabletext"/>
              <w:tabs>
                <w:tab w:val="clear" w:pos="284"/>
                <w:tab w:val="left" w:pos="463"/>
              </w:tabs>
              <w:spacing w:before="0" w:after="0"/>
              <w:ind w:left="454"/>
              <w:jc w:val="both"/>
              <w:rPr>
                <w:i/>
                <w:lang w:val="es-ES_tradnl" w:eastAsia="nl-NL"/>
              </w:rPr>
            </w:pPr>
            <w:r w:rsidRPr="003E6986">
              <w:rPr>
                <w:i/>
                <w:lang w:val="es-ES_tradnl" w:eastAsia="nl-NL"/>
              </w:rPr>
              <w:t xml:space="preserve">invita a la </w:t>
            </w:r>
            <w:r w:rsidRPr="003E6986">
              <w:rPr>
                <w:rFonts w:eastAsia="???"/>
                <w:i/>
                <w:iCs/>
                <w:lang w:val="es-ES_tradnl" w:eastAsia="nl-NL"/>
              </w:rPr>
              <w:t>Conferencia</w:t>
            </w:r>
            <w:r w:rsidRPr="003E6986">
              <w:rPr>
                <w:i/>
                <w:lang w:val="es-ES_tradnl" w:eastAsia="nl-NL"/>
              </w:rPr>
              <w:t xml:space="preserve"> Mundial de Radiocomunicaciones 2027</w:t>
            </w:r>
          </w:p>
          <w:p w14:paraId="028340BC" w14:textId="0C780207" w:rsidR="00F23365" w:rsidRPr="003E6986" w:rsidRDefault="00F23365" w:rsidP="008653C7">
            <w:pPr>
              <w:pStyle w:val="Tabletext"/>
              <w:tabs>
                <w:tab w:val="clear" w:pos="284"/>
                <w:tab w:val="left" w:pos="463"/>
              </w:tabs>
              <w:spacing w:before="0" w:after="0"/>
              <w:jc w:val="both"/>
              <w:rPr>
                <w:lang w:val="es-ES_tradnl" w:eastAsia="nl-NL"/>
              </w:rPr>
            </w:pPr>
            <w:r w:rsidRPr="003E6986">
              <w:rPr>
                <w:lang w:val="es-ES_tradnl" w:eastAsia="nl-NL"/>
              </w:rPr>
              <w:t xml:space="preserve">a considerar, basándose en los resultados de los estudios mencionados, el tamaño mínimo de antena y las limitaciones de potencia asociadas de las estaciones terrenas del SFS OSG y no OSG en la banda de frecuencias 13,75-14 GHz (Tierra-espacio), la posible modificación de los números </w:t>
            </w:r>
            <w:r w:rsidRPr="003E6986">
              <w:rPr>
                <w:b/>
                <w:lang w:val="es-ES_tradnl" w:eastAsia="nl-NL"/>
              </w:rPr>
              <w:t>5.502</w:t>
            </w:r>
            <w:r w:rsidRPr="003E6986">
              <w:rPr>
                <w:lang w:val="es-ES_tradnl" w:eastAsia="nl-NL"/>
              </w:rPr>
              <w:t xml:space="preserve"> y </w:t>
            </w:r>
            <w:r w:rsidRPr="003E6986">
              <w:rPr>
                <w:b/>
                <w:lang w:val="es-ES_tradnl" w:eastAsia="nl-NL"/>
              </w:rPr>
              <w:t>5.503</w:t>
            </w:r>
            <w:r w:rsidRPr="003E6986">
              <w:rPr>
                <w:lang w:val="es-ES_tradnl" w:eastAsia="nl-NL"/>
              </w:rPr>
              <w:t>, y las medidas reglamentarias consiguientes.</w:t>
            </w:r>
          </w:p>
        </w:tc>
        <w:tc>
          <w:tcPr>
            <w:tcW w:w="1406" w:type="dxa"/>
          </w:tcPr>
          <w:p w14:paraId="4391F8F4" w14:textId="464AA022" w:rsidR="004A6070" w:rsidRPr="008653C7" w:rsidRDefault="00855045" w:rsidP="008653C7">
            <w:pPr>
              <w:pStyle w:val="Tabletext"/>
              <w:spacing w:before="0" w:after="0"/>
              <w:jc w:val="center"/>
              <w:rPr>
                <w:b/>
                <w:bCs/>
                <w:lang w:val="fr-FR"/>
              </w:rPr>
            </w:pPr>
            <w:r w:rsidRPr="008653C7">
              <w:rPr>
                <w:b/>
                <w:bCs/>
                <w:lang w:val="fr-FR"/>
              </w:rPr>
              <w:t xml:space="preserve">GT </w:t>
            </w:r>
            <w:r w:rsidR="004A6070" w:rsidRPr="008653C7">
              <w:rPr>
                <w:b/>
                <w:bCs/>
                <w:lang w:val="fr-FR"/>
              </w:rPr>
              <w:t>3M</w:t>
            </w:r>
          </w:p>
          <w:p w14:paraId="52088853" w14:textId="3FF3A762" w:rsidR="004A6070" w:rsidRPr="008653C7" w:rsidRDefault="00855045" w:rsidP="008653C7">
            <w:pPr>
              <w:pStyle w:val="Tabletext"/>
              <w:spacing w:before="0" w:after="0"/>
              <w:jc w:val="center"/>
              <w:rPr>
                <w:b/>
                <w:bCs/>
                <w:lang w:val="fr-FR"/>
              </w:rPr>
            </w:pPr>
            <w:r w:rsidRPr="008653C7">
              <w:rPr>
                <w:b/>
                <w:bCs/>
                <w:lang w:val="fr-FR"/>
              </w:rPr>
              <w:t xml:space="preserve">GT </w:t>
            </w:r>
            <w:proofErr w:type="spellStart"/>
            <w:r w:rsidR="004A6070" w:rsidRPr="008653C7">
              <w:rPr>
                <w:b/>
                <w:bCs/>
                <w:lang w:val="fr-FR"/>
              </w:rPr>
              <w:t>5A</w:t>
            </w:r>
            <w:proofErr w:type="spellEnd"/>
          </w:p>
          <w:p w14:paraId="2C62B045" w14:textId="64D102EB" w:rsidR="004A6070" w:rsidRPr="008653C7" w:rsidRDefault="00855045" w:rsidP="008653C7">
            <w:pPr>
              <w:pStyle w:val="Tabletext"/>
              <w:spacing w:before="0" w:after="0"/>
              <w:jc w:val="center"/>
              <w:rPr>
                <w:b/>
                <w:bCs/>
                <w:lang w:val="fr-FR"/>
              </w:rPr>
            </w:pPr>
            <w:r w:rsidRPr="008653C7">
              <w:rPr>
                <w:b/>
                <w:bCs/>
                <w:lang w:val="fr-FR"/>
              </w:rPr>
              <w:t>GT</w:t>
            </w:r>
            <w:r w:rsidR="004A6070" w:rsidRPr="008653C7">
              <w:rPr>
                <w:b/>
                <w:bCs/>
                <w:lang w:val="fr-FR"/>
              </w:rPr>
              <w:t xml:space="preserve"> </w:t>
            </w:r>
            <w:proofErr w:type="spellStart"/>
            <w:r w:rsidR="004A6070" w:rsidRPr="008653C7">
              <w:rPr>
                <w:b/>
                <w:bCs/>
                <w:lang w:val="fr-FR"/>
              </w:rPr>
              <w:t>5B</w:t>
            </w:r>
            <w:proofErr w:type="spellEnd"/>
            <w:r w:rsidR="004A6070" w:rsidRPr="008653C7">
              <w:rPr>
                <w:b/>
                <w:bCs/>
                <w:lang w:val="fr-FR"/>
              </w:rPr>
              <w:t>*</w:t>
            </w:r>
          </w:p>
          <w:p w14:paraId="611111EB" w14:textId="3FEAD281" w:rsidR="004A6070" w:rsidRPr="008653C7" w:rsidRDefault="00855045" w:rsidP="008653C7">
            <w:pPr>
              <w:pStyle w:val="Tabletext"/>
              <w:spacing w:before="0" w:after="0"/>
              <w:jc w:val="center"/>
              <w:rPr>
                <w:b/>
                <w:bCs/>
                <w:lang w:val="fr-FR"/>
              </w:rPr>
            </w:pPr>
            <w:r w:rsidRPr="008653C7">
              <w:rPr>
                <w:b/>
                <w:bCs/>
                <w:lang w:val="fr-FR"/>
              </w:rPr>
              <w:t>GT</w:t>
            </w:r>
            <w:r w:rsidR="004A6070" w:rsidRPr="008653C7">
              <w:rPr>
                <w:b/>
                <w:bCs/>
                <w:lang w:val="fr-FR"/>
              </w:rPr>
              <w:t xml:space="preserve"> </w:t>
            </w:r>
            <w:proofErr w:type="spellStart"/>
            <w:r w:rsidR="004A6070" w:rsidRPr="008653C7">
              <w:rPr>
                <w:b/>
                <w:bCs/>
                <w:lang w:val="fr-FR"/>
              </w:rPr>
              <w:t>5C</w:t>
            </w:r>
            <w:proofErr w:type="spellEnd"/>
          </w:p>
          <w:p w14:paraId="66E94FD1" w14:textId="537CB5C9" w:rsidR="004A6070" w:rsidRPr="003E6986" w:rsidRDefault="00413B58" w:rsidP="008653C7">
            <w:pPr>
              <w:pStyle w:val="Tabletext"/>
              <w:spacing w:before="0" w:after="0"/>
              <w:jc w:val="center"/>
              <w:rPr>
                <w:b/>
                <w:bCs/>
                <w:lang w:val="es-ES_tradnl"/>
              </w:rPr>
            </w:pPr>
            <w:r w:rsidRPr="003E6986">
              <w:rPr>
                <w:b/>
                <w:bCs/>
                <w:lang w:val="es-ES_tradnl"/>
              </w:rPr>
              <w:t>GT</w:t>
            </w:r>
            <w:r w:rsidR="004A6070" w:rsidRPr="003E6986">
              <w:rPr>
                <w:b/>
                <w:bCs/>
                <w:lang w:val="es-ES_tradnl"/>
              </w:rPr>
              <w:t xml:space="preserve"> </w:t>
            </w:r>
            <w:proofErr w:type="spellStart"/>
            <w:r w:rsidR="004A6070" w:rsidRPr="003E6986">
              <w:rPr>
                <w:b/>
                <w:bCs/>
                <w:lang w:val="es-ES_tradnl"/>
              </w:rPr>
              <w:t>7A</w:t>
            </w:r>
            <w:proofErr w:type="spellEnd"/>
          </w:p>
          <w:p w14:paraId="1FA7F0E6" w14:textId="73918EDB" w:rsidR="004A6070" w:rsidRPr="003E6986" w:rsidRDefault="00413B58" w:rsidP="008653C7">
            <w:pPr>
              <w:pStyle w:val="Tabletext"/>
              <w:spacing w:before="0" w:after="0"/>
              <w:jc w:val="center"/>
              <w:rPr>
                <w:b/>
                <w:bCs/>
                <w:lang w:val="es-ES_tradnl"/>
              </w:rPr>
            </w:pPr>
            <w:r w:rsidRPr="003E6986">
              <w:rPr>
                <w:b/>
                <w:bCs/>
                <w:lang w:val="es-ES_tradnl"/>
              </w:rPr>
              <w:t xml:space="preserve">GT </w:t>
            </w:r>
            <w:r w:rsidR="004A6070" w:rsidRPr="003E6986">
              <w:rPr>
                <w:b/>
                <w:bCs/>
                <w:lang w:val="es-ES_tradnl"/>
              </w:rPr>
              <w:t>7B</w:t>
            </w:r>
          </w:p>
          <w:p w14:paraId="00572373" w14:textId="4B4E80A5" w:rsidR="004A7B85" w:rsidRPr="003E6986" w:rsidRDefault="00413B58" w:rsidP="008653C7">
            <w:pPr>
              <w:pStyle w:val="Tabletext"/>
              <w:tabs>
                <w:tab w:val="clear" w:pos="284"/>
                <w:tab w:val="left" w:pos="463"/>
              </w:tabs>
              <w:spacing w:before="0" w:after="0" w:line="480" w:lineRule="auto"/>
              <w:jc w:val="center"/>
              <w:rPr>
                <w:b/>
                <w:bCs/>
                <w:lang w:val="es-ES_tradnl" w:eastAsia="nl-NL"/>
              </w:rPr>
            </w:pPr>
            <w:r w:rsidRPr="003E6986">
              <w:rPr>
                <w:b/>
                <w:bCs/>
                <w:lang w:val="es-ES_tradnl"/>
              </w:rPr>
              <w:t xml:space="preserve">GT </w:t>
            </w:r>
            <w:r w:rsidR="004A6070" w:rsidRPr="003E6986">
              <w:rPr>
                <w:b/>
                <w:bCs/>
                <w:lang w:val="es-ES_tradnl"/>
              </w:rPr>
              <w:t>7C</w:t>
            </w:r>
          </w:p>
        </w:tc>
      </w:tr>
      <w:tr w:rsidR="004A7B85" w:rsidRPr="008653C7" w14:paraId="5C089D23" w14:textId="77777777" w:rsidTr="003F05FF">
        <w:trPr>
          <w:gridAfter w:val="1"/>
          <w:wAfter w:w="27" w:type="dxa"/>
          <w:cantSplit/>
          <w:jc w:val="center"/>
        </w:trPr>
        <w:tc>
          <w:tcPr>
            <w:tcW w:w="14036" w:type="dxa"/>
            <w:gridSpan w:val="4"/>
          </w:tcPr>
          <w:p w14:paraId="05F32615" w14:textId="24E22355" w:rsidR="004A7B85" w:rsidRPr="003E6986" w:rsidRDefault="006644AB" w:rsidP="001E2EFF">
            <w:pPr>
              <w:pStyle w:val="Tabletext"/>
              <w:keepNext/>
              <w:tabs>
                <w:tab w:val="clear" w:pos="284"/>
                <w:tab w:val="left" w:pos="594"/>
              </w:tabs>
              <w:jc w:val="both"/>
              <w:rPr>
                <w:lang w:val="es-ES_tradnl" w:eastAsia="nl-NL"/>
              </w:rPr>
            </w:pPr>
            <w:r w:rsidRPr="003E6986">
              <w:rPr>
                <w:lang w:val="es-ES_tradnl" w:eastAsia="nl-NL"/>
              </w:rPr>
              <w:lastRenderedPageBreak/>
              <w:t>1.3</w:t>
            </w:r>
            <w:r w:rsidRPr="003E6986">
              <w:rPr>
                <w:lang w:val="es-ES_tradnl" w:eastAsia="nl-NL"/>
              </w:rPr>
              <w:tab/>
              <w:t xml:space="preserve">considerar estudios sobre la utilización de la banda de frecuencias 51,4-52,4 GHz para permitir su utilización por las estaciones terrenas de pasarela que transmitan a sistemas en la órbita de los satélites no geoestacionarios del servicio fijo por satélite (Tierra-espacio), de conformidad con la Resolución </w:t>
            </w:r>
            <w:r w:rsidR="003E7D98" w:rsidRPr="003E6986">
              <w:rPr>
                <w:b/>
                <w:lang w:val="es-ES_tradnl" w:eastAsia="nl-NL"/>
              </w:rPr>
              <w:t>130</w:t>
            </w:r>
            <w:r w:rsidRPr="003E6986">
              <w:rPr>
                <w:b/>
                <w:lang w:val="es-ES_tradnl" w:eastAsia="nl-NL"/>
              </w:rPr>
              <w:t xml:space="preserve"> (CMR-23)</w:t>
            </w:r>
            <w:r w:rsidRPr="003E6986">
              <w:rPr>
                <w:lang w:val="es-ES_tradnl" w:eastAsia="nl-NL"/>
              </w:rPr>
              <w:t>;</w:t>
            </w:r>
          </w:p>
        </w:tc>
      </w:tr>
      <w:tr w:rsidR="004A7B85" w:rsidRPr="003E6986" w14:paraId="088EBF85" w14:textId="77777777" w:rsidTr="003F05FF">
        <w:trPr>
          <w:gridAfter w:val="1"/>
          <w:wAfter w:w="27" w:type="dxa"/>
          <w:cantSplit/>
          <w:jc w:val="center"/>
        </w:trPr>
        <w:tc>
          <w:tcPr>
            <w:tcW w:w="3304" w:type="dxa"/>
          </w:tcPr>
          <w:p w14:paraId="4E6178C9" w14:textId="031D4927" w:rsidR="006644AB" w:rsidRPr="003E6986" w:rsidRDefault="006644AB" w:rsidP="006644AB">
            <w:pPr>
              <w:pStyle w:val="Tabletext"/>
              <w:tabs>
                <w:tab w:val="left" w:pos="463"/>
              </w:tabs>
              <w:rPr>
                <w:lang w:val="es-ES_tradnl" w:eastAsia="nl-NL"/>
              </w:rPr>
            </w:pPr>
            <w:r w:rsidRPr="003E6986">
              <w:rPr>
                <w:lang w:val="es-ES_tradnl" w:eastAsia="nl-NL"/>
              </w:rPr>
              <w:t xml:space="preserve">Resolución </w:t>
            </w:r>
            <w:r w:rsidR="003E7D98" w:rsidRPr="003E6986">
              <w:rPr>
                <w:b/>
                <w:lang w:val="es-ES_tradnl" w:eastAsia="nl-NL"/>
              </w:rPr>
              <w:t>130</w:t>
            </w:r>
            <w:r w:rsidRPr="003E6986">
              <w:rPr>
                <w:b/>
                <w:lang w:val="es-ES_tradnl" w:eastAsia="nl-NL"/>
              </w:rPr>
              <w:t xml:space="preserve"> (</w:t>
            </w:r>
            <w:proofErr w:type="spellStart"/>
            <w:r w:rsidRPr="003E6986">
              <w:rPr>
                <w:b/>
                <w:lang w:val="es-ES_tradnl" w:eastAsia="nl-NL"/>
              </w:rPr>
              <w:t>CMR</w:t>
            </w:r>
            <w:proofErr w:type="spellEnd"/>
            <w:r w:rsidRPr="003E6986">
              <w:rPr>
                <w:b/>
                <w:lang w:val="es-ES_tradnl" w:eastAsia="nl-NL"/>
              </w:rPr>
              <w:t xml:space="preserve"> 23)</w:t>
            </w:r>
          </w:p>
          <w:p w14:paraId="658EAC9D" w14:textId="63BDD370" w:rsidR="004A7B85" w:rsidRPr="003E6986" w:rsidRDefault="006644AB" w:rsidP="002232AC">
            <w:pPr>
              <w:pStyle w:val="Tabletext"/>
              <w:tabs>
                <w:tab w:val="left" w:pos="463"/>
              </w:tabs>
              <w:rPr>
                <w:lang w:val="es-ES_tradnl" w:eastAsia="nl-NL"/>
              </w:rPr>
            </w:pPr>
            <w:r w:rsidRPr="003E6986">
              <w:rPr>
                <w:lang w:val="es-ES_tradnl" w:eastAsia="nl-NL"/>
              </w:rPr>
              <w:t>Estudios relacionados con la utilización de la banda de frecuencias 51,4 52,4 GHz para permitir el funcionamiento de estaciones terrenas de pasarela que transmiten a sistemas de satélites no geoestacionarios del servicio fijo por satélite (Tierra-espacio)</w:t>
            </w:r>
          </w:p>
        </w:tc>
        <w:tc>
          <w:tcPr>
            <w:tcW w:w="1517" w:type="dxa"/>
          </w:tcPr>
          <w:p w14:paraId="2D80EC29" w14:textId="1FD73E0B" w:rsidR="004A7B85" w:rsidRPr="003E6986" w:rsidRDefault="00A92266" w:rsidP="009E58DC">
            <w:pPr>
              <w:pStyle w:val="Tabletext"/>
              <w:tabs>
                <w:tab w:val="clear" w:pos="284"/>
                <w:tab w:val="left" w:pos="463"/>
              </w:tabs>
              <w:jc w:val="center"/>
              <w:rPr>
                <w:b/>
                <w:bCs/>
                <w:lang w:val="es-ES_tradnl" w:eastAsia="nl-NL"/>
              </w:rPr>
            </w:pPr>
            <w:r w:rsidRPr="003E6986">
              <w:rPr>
                <w:b/>
                <w:bCs/>
                <w:lang w:val="es-ES_tradnl" w:eastAsia="nl-NL"/>
              </w:rPr>
              <w:t>GT</w:t>
            </w:r>
            <w:r w:rsidR="006644AB" w:rsidRPr="003E6986">
              <w:rPr>
                <w:b/>
                <w:bCs/>
                <w:lang w:val="es-ES_tradnl" w:eastAsia="nl-NL"/>
              </w:rPr>
              <w:t> 4</w:t>
            </w:r>
            <w:r w:rsidR="004A7B85" w:rsidRPr="003E6986">
              <w:rPr>
                <w:b/>
                <w:bCs/>
                <w:lang w:val="es-ES_tradnl" w:eastAsia="nl-NL"/>
              </w:rPr>
              <w:t>A</w:t>
            </w:r>
          </w:p>
        </w:tc>
        <w:tc>
          <w:tcPr>
            <w:tcW w:w="7809" w:type="dxa"/>
          </w:tcPr>
          <w:p w14:paraId="4736CC09" w14:textId="77777777" w:rsidR="006644AB" w:rsidRPr="003E6986" w:rsidRDefault="006644AB" w:rsidP="006644AB">
            <w:pPr>
              <w:pStyle w:val="Tabletext"/>
              <w:tabs>
                <w:tab w:val="left" w:pos="463"/>
              </w:tabs>
              <w:ind w:left="454"/>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2027</w:t>
            </w:r>
          </w:p>
          <w:p w14:paraId="1C3E4179" w14:textId="77777777" w:rsidR="006644AB" w:rsidRPr="003E6986" w:rsidRDefault="006644AB" w:rsidP="006644AB">
            <w:pPr>
              <w:pStyle w:val="Tabletext"/>
              <w:tabs>
                <w:tab w:val="clear" w:pos="284"/>
                <w:tab w:val="left" w:pos="463"/>
              </w:tabs>
              <w:jc w:val="both"/>
              <w:rPr>
                <w:rFonts w:eastAsia="???"/>
                <w:iCs/>
                <w:lang w:val="es-ES_tradnl" w:eastAsia="nl-NL"/>
              </w:rPr>
            </w:pPr>
            <w:r w:rsidRPr="003E6986">
              <w:rPr>
                <w:rFonts w:eastAsia="???"/>
                <w:iCs/>
                <w:lang w:val="es-ES_tradnl" w:eastAsia="nl-NL"/>
              </w:rPr>
              <w:t>1</w:t>
            </w:r>
            <w:r w:rsidRPr="003E6986">
              <w:rPr>
                <w:rFonts w:eastAsia="???"/>
                <w:iCs/>
                <w:lang w:val="es-ES_tradnl" w:eastAsia="nl-NL"/>
              </w:rPr>
              <w:tab/>
              <w:t xml:space="preserve">estudios de compartición y compatibilidad con los servicios existentes, incluso en bandas adyacentes, incluida la protección de los servicios fijos y móviles, así como estudios </w:t>
            </w:r>
            <w:r w:rsidRPr="003E6986">
              <w:rPr>
                <w:lang w:val="es-ES_tradnl" w:eastAsia="nl-NL"/>
              </w:rPr>
              <w:t>relacionados</w:t>
            </w:r>
            <w:r w:rsidRPr="003E6986">
              <w:rPr>
                <w:rFonts w:eastAsia="???"/>
                <w:iCs/>
                <w:lang w:val="es-ES_tradnl" w:eastAsia="nl-NL"/>
              </w:rPr>
              <w:t xml:space="preserve"> con la conveniencia de revisar las condiciones asociadas a las atribuciones primarias al SFS en la banda de frecuencias 51,4-52,4 GHz (Tierra-espacio) para permitir su utilización por las estaciones terrenas de pasarela de sistemas no OSG del SFS (Tierra-espacio), y los estudios reglamentarios pertinentes;</w:t>
            </w:r>
          </w:p>
          <w:p w14:paraId="1B628E62" w14:textId="77777777" w:rsidR="006644AB" w:rsidRPr="003E6986" w:rsidRDefault="006644AB" w:rsidP="006644AB">
            <w:pPr>
              <w:pStyle w:val="Tabletext"/>
              <w:tabs>
                <w:tab w:val="clear" w:pos="284"/>
                <w:tab w:val="left" w:pos="463"/>
              </w:tabs>
              <w:jc w:val="both"/>
              <w:rPr>
                <w:rFonts w:eastAsia="???"/>
                <w:iCs/>
                <w:lang w:val="es-ES_tradnl" w:eastAsia="nl-NL"/>
              </w:rPr>
            </w:pPr>
            <w:r w:rsidRPr="003E6986">
              <w:rPr>
                <w:rFonts w:eastAsia="???"/>
                <w:iCs/>
                <w:lang w:val="es-ES_tradnl" w:eastAsia="nl-NL"/>
              </w:rPr>
              <w:t>2</w:t>
            </w:r>
            <w:r w:rsidRPr="003E6986">
              <w:rPr>
                <w:rFonts w:eastAsia="???"/>
                <w:iCs/>
                <w:lang w:val="es-ES_tradnl" w:eastAsia="nl-NL"/>
              </w:rPr>
              <w:tab/>
              <w:t xml:space="preserve">estudios de compatibilidad entre el funcionamiento de las pasarelas no OSG del SFS en la banda de frecuencias 51,4-52,4 GHz y los servicios pasivos primarios existentes que funcionan en la banda de frecuencias 52,6-54,25 GHz a fin de examinar y revisar la Resolución </w:t>
            </w:r>
            <w:r w:rsidRPr="003E6986">
              <w:rPr>
                <w:rFonts w:eastAsia="???"/>
                <w:b/>
                <w:iCs/>
                <w:lang w:val="es-ES_tradnl" w:eastAsia="nl-NL"/>
              </w:rPr>
              <w:t>750 (Rev.CMR-19)</w:t>
            </w:r>
            <w:r w:rsidRPr="003E6986">
              <w:rPr>
                <w:rFonts w:eastAsia="???"/>
                <w:iCs/>
                <w:lang w:val="es-ES_tradnl" w:eastAsia="nl-NL"/>
              </w:rPr>
              <w:t xml:space="preserve"> para proteger el SETS (pasivo), teniendo en cuenta la interferencia combinada producida por las estaciones terrenas de pasarela OSG y las estaciones terrenas de pasarela no OSG del SFS y que los actuales límites de las redes OSG del SFS para proteger el SETS (pasivo) que funciona en la banda de frecuencias 52,6-54,25 GHz, establecidos en la Resolución </w:t>
            </w:r>
            <w:r w:rsidRPr="003E6986">
              <w:rPr>
                <w:rFonts w:eastAsia="???"/>
                <w:b/>
                <w:iCs/>
                <w:lang w:val="es-ES_tradnl" w:eastAsia="nl-NL"/>
              </w:rPr>
              <w:t>750 (Rev.CMR-19)</w:t>
            </w:r>
            <w:r w:rsidRPr="003E6986">
              <w:rPr>
                <w:rFonts w:eastAsia="???"/>
                <w:iCs/>
                <w:lang w:val="es-ES_tradnl" w:eastAsia="nl-NL"/>
              </w:rPr>
              <w:t>, se siguen aplicando a aquellas redes OSG del SFS que se notificaron/pusieron en servicio antes de una fecha que determinará la CMR-27;</w:t>
            </w:r>
          </w:p>
          <w:p w14:paraId="2EFD0DC2" w14:textId="77777777" w:rsidR="006644AB" w:rsidRPr="003E6986" w:rsidRDefault="006644AB" w:rsidP="006644AB">
            <w:pPr>
              <w:pStyle w:val="Tabletext"/>
              <w:tabs>
                <w:tab w:val="clear" w:pos="284"/>
                <w:tab w:val="left" w:pos="463"/>
              </w:tabs>
              <w:jc w:val="both"/>
              <w:rPr>
                <w:rFonts w:eastAsia="???"/>
                <w:iCs/>
                <w:lang w:val="es-ES_tradnl" w:eastAsia="nl-NL"/>
              </w:rPr>
            </w:pPr>
            <w:r w:rsidRPr="003E6986">
              <w:rPr>
                <w:rFonts w:eastAsia="???"/>
                <w:iCs/>
                <w:lang w:val="es-ES_tradnl" w:eastAsia="nl-NL"/>
              </w:rPr>
              <w:t>3</w:t>
            </w:r>
            <w:r w:rsidRPr="003E6986">
              <w:rPr>
                <w:rFonts w:eastAsia="???"/>
                <w:iCs/>
                <w:lang w:val="es-ES_tradnl" w:eastAsia="nl-NL"/>
              </w:rPr>
              <w:tab/>
              <w:t xml:space="preserve">estudios de compartición y compatibilidad entre el funcionamiento de las pasarelas no OSG del SFS en la banda de frecuencias 51,4-52,4 GHz y las observaciones radioastronómicas en la banda de frecuencias 51,4-54,25 GHz de conformidad con el número </w:t>
            </w:r>
            <w:r w:rsidRPr="003E6986">
              <w:rPr>
                <w:rFonts w:eastAsia="???"/>
                <w:b/>
                <w:iCs/>
                <w:lang w:val="es-ES_tradnl" w:eastAsia="nl-NL"/>
              </w:rPr>
              <w:t>5.556</w:t>
            </w:r>
            <w:r w:rsidRPr="003E6986">
              <w:rPr>
                <w:rFonts w:eastAsia="???"/>
                <w:iCs/>
                <w:lang w:val="es-ES_tradnl" w:eastAsia="nl-NL"/>
              </w:rPr>
              <w:t>, con el fin de determinar las condiciones que garanticen la protección de dichas observaciones;</w:t>
            </w:r>
          </w:p>
          <w:p w14:paraId="17CF0135" w14:textId="3B4B71A5" w:rsidR="004A7B85" w:rsidRPr="003E6986" w:rsidRDefault="006644AB" w:rsidP="006644AB">
            <w:pPr>
              <w:pStyle w:val="Tabletext"/>
              <w:tabs>
                <w:tab w:val="clear" w:pos="284"/>
                <w:tab w:val="left" w:pos="463"/>
              </w:tabs>
              <w:jc w:val="both"/>
              <w:rPr>
                <w:rFonts w:eastAsia="???"/>
                <w:iCs/>
                <w:lang w:val="es-ES_tradnl" w:eastAsia="nl-NL"/>
              </w:rPr>
            </w:pPr>
            <w:r w:rsidRPr="003E6986">
              <w:rPr>
                <w:rFonts w:eastAsia="???"/>
                <w:iCs/>
                <w:lang w:val="es-ES_tradnl" w:eastAsia="nl-NL"/>
              </w:rPr>
              <w:t>4</w:t>
            </w:r>
            <w:r w:rsidRPr="003E6986">
              <w:rPr>
                <w:rFonts w:eastAsia="???"/>
                <w:iCs/>
                <w:lang w:val="es-ES_tradnl" w:eastAsia="nl-NL"/>
              </w:rPr>
              <w:tab/>
              <w:t xml:space="preserve">estudios sobre la protección de las estaciones espaciales OSG del SFS contra las </w:t>
            </w:r>
            <w:r w:rsidRPr="003E6986">
              <w:rPr>
                <w:lang w:val="es-ES_tradnl" w:eastAsia="nl-NL"/>
              </w:rPr>
              <w:t>emisiones</w:t>
            </w:r>
            <w:r w:rsidRPr="003E6986">
              <w:rPr>
                <w:rFonts w:eastAsia="???"/>
                <w:iCs/>
                <w:lang w:val="es-ES_tradnl" w:eastAsia="nl-NL"/>
              </w:rPr>
              <w:t xml:space="preserve"> de las estaciones terrenas de pasarela no OSG del SFS, incluidas las posibles medidas reglamentarias conexas y la posible inclusión de la banda de frecuencias 51,4-52,4 GHz en el alcance de las Resoluciones </w:t>
            </w:r>
            <w:r w:rsidRPr="003E6986">
              <w:rPr>
                <w:rFonts w:eastAsia="???"/>
                <w:b/>
                <w:iCs/>
                <w:lang w:val="es-ES_tradnl" w:eastAsia="nl-NL"/>
              </w:rPr>
              <w:t>769 (CMR 19)</w:t>
            </w:r>
            <w:r w:rsidRPr="003E6986">
              <w:rPr>
                <w:rFonts w:eastAsia="???"/>
                <w:iCs/>
                <w:lang w:val="es-ES_tradnl" w:eastAsia="nl-NL"/>
              </w:rPr>
              <w:t xml:space="preserve"> y </w:t>
            </w:r>
            <w:r w:rsidRPr="003E6986">
              <w:rPr>
                <w:rFonts w:eastAsia="???"/>
                <w:b/>
                <w:iCs/>
                <w:lang w:val="es-ES_tradnl" w:eastAsia="nl-NL"/>
              </w:rPr>
              <w:t>770 (Rev.CMR-23)</w:t>
            </w:r>
            <w:r w:rsidRPr="003E6986">
              <w:rPr>
                <w:rFonts w:eastAsia="???"/>
                <w:iCs/>
                <w:lang w:val="es-ES_tradnl" w:eastAsia="nl-NL"/>
              </w:rPr>
              <w:t>,</w:t>
            </w:r>
          </w:p>
          <w:p w14:paraId="5853880E" w14:textId="030053A9" w:rsidR="006B12DC" w:rsidRPr="003E6986" w:rsidRDefault="006B12DC" w:rsidP="006644AB">
            <w:pPr>
              <w:pStyle w:val="Tabletext"/>
              <w:tabs>
                <w:tab w:val="clear" w:pos="284"/>
                <w:tab w:val="left" w:pos="463"/>
              </w:tabs>
              <w:jc w:val="both"/>
              <w:rPr>
                <w:rFonts w:eastAsia="???"/>
                <w:iCs/>
                <w:lang w:val="es-ES_tradnl" w:eastAsia="nl-NL"/>
              </w:rPr>
            </w:pPr>
            <w:r w:rsidRPr="003E6986">
              <w:rPr>
                <w:rFonts w:eastAsia="???"/>
                <w:iCs/>
                <w:lang w:val="es-ES_tradnl" w:eastAsia="nl-NL"/>
              </w:rPr>
              <w:t>…</w:t>
            </w:r>
          </w:p>
          <w:p w14:paraId="142CBA61" w14:textId="77777777" w:rsidR="006644AB" w:rsidRPr="003E6986" w:rsidRDefault="006644AB" w:rsidP="006644AB">
            <w:pPr>
              <w:pStyle w:val="Tabletext"/>
              <w:tabs>
                <w:tab w:val="left" w:pos="463"/>
              </w:tabs>
              <w:ind w:left="454"/>
              <w:rPr>
                <w:rFonts w:eastAsia="???"/>
                <w:i/>
                <w:iCs/>
                <w:lang w:val="es-ES_tradnl" w:eastAsia="nl-NL"/>
              </w:rPr>
            </w:pPr>
            <w:r w:rsidRPr="003E6986">
              <w:rPr>
                <w:rFonts w:eastAsia="???"/>
                <w:i/>
                <w:iCs/>
                <w:lang w:val="es-ES_tradnl" w:eastAsia="nl-NL"/>
              </w:rPr>
              <w:t>invita a la Conferencia Mundial de Radiocomunicaciones de 2027</w:t>
            </w:r>
          </w:p>
          <w:p w14:paraId="7A2EF7D5" w14:textId="12F6CDF8" w:rsidR="006644AB" w:rsidRPr="003E6986" w:rsidRDefault="006644AB" w:rsidP="006644AB">
            <w:pPr>
              <w:pStyle w:val="Tabletext"/>
              <w:tabs>
                <w:tab w:val="clear" w:pos="284"/>
                <w:tab w:val="left" w:pos="463"/>
              </w:tabs>
              <w:jc w:val="both"/>
              <w:rPr>
                <w:lang w:val="es-ES_tradnl" w:eastAsia="nl-NL"/>
              </w:rPr>
            </w:pPr>
            <w:r w:rsidRPr="003E6986">
              <w:rPr>
                <w:lang w:val="es-ES_tradnl" w:eastAsia="nl-NL"/>
              </w:rPr>
              <w:t>a considerar, basándose en los resultados de los estudios del UIT-R, la posible revisión de las condiciones relacionadas con la atribución al SFS de la banda de frecuencias 51,4-52,4 GHz para permitir su utilización por estaciones terrenas de pasarela no OSG del SFS asociadas a título primario, así como cualquier otra disposición reglamentaria conexa.</w:t>
            </w:r>
          </w:p>
        </w:tc>
        <w:tc>
          <w:tcPr>
            <w:tcW w:w="1406" w:type="dxa"/>
          </w:tcPr>
          <w:p w14:paraId="2288BD68" w14:textId="3067E33D" w:rsidR="004A6070" w:rsidRPr="008653C7" w:rsidRDefault="00855045" w:rsidP="004A6070">
            <w:pPr>
              <w:pStyle w:val="Tabletext"/>
              <w:jc w:val="center"/>
              <w:rPr>
                <w:rFonts w:eastAsia="Calibri"/>
                <w:b/>
                <w:bCs/>
                <w:lang w:val="fr-FR"/>
              </w:rPr>
            </w:pPr>
            <w:r w:rsidRPr="008653C7">
              <w:rPr>
                <w:b/>
                <w:bCs/>
                <w:lang w:val="fr-FR"/>
              </w:rPr>
              <w:t xml:space="preserve">GT </w:t>
            </w:r>
            <w:r w:rsidR="004A6070" w:rsidRPr="008653C7">
              <w:rPr>
                <w:b/>
                <w:bCs/>
                <w:lang w:val="fr-FR"/>
              </w:rPr>
              <w:t>3M</w:t>
            </w:r>
          </w:p>
          <w:p w14:paraId="72D6F1A8" w14:textId="19F03404" w:rsidR="004A6070" w:rsidRPr="008653C7" w:rsidRDefault="00855045" w:rsidP="004A6070">
            <w:pPr>
              <w:pStyle w:val="Tabletext"/>
              <w:jc w:val="center"/>
              <w:rPr>
                <w:rFonts w:eastAsia="Calibri"/>
                <w:b/>
                <w:bCs/>
                <w:lang w:val="fr-FR"/>
              </w:rPr>
            </w:pPr>
            <w:r w:rsidRPr="008653C7">
              <w:rPr>
                <w:rFonts w:eastAsia="Calibri"/>
                <w:b/>
                <w:bCs/>
                <w:lang w:val="fr-FR"/>
              </w:rPr>
              <w:t xml:space="preserve">GT </w:t>
            </w:r>
            <w:proofErr w:type="spellStart"/>
            <w:r w:rsidR="004A6070" w:rsidRPr="008653C7">
              <w:rPr>
                <w:rFonts w:eastAsia="Calibri"/>
                <w:b/>
                <w:bCs/>
                <w:lang w:val="fr-FR"/>
              </w:rPr>
              <w:t>5A</w:t>
            </w:r>
            <w:proofErr w:type="spellEnd"/>
          </w:p>
          <w:p w14:paraId="3B01A0AF" w14:textId="4AD269AE" w:rsidR="004A6070" w:rsidRPr="008653C7" w:rsidRDefault="00855045" w:rsidP="004A6070">
            <w:pPr>
              <w:pStyle w:val="Tabletext"/>
              <w:jc w:val="center"/>
              <w:rPr>
                <w:rFonts w:eastAsia="Calibri"/>
                <w:b/>
                <w:bCs/>
                <w:lang w:val="fr-FR"/>
              </w:rPr>
            </w:pPr>
            <w:r w:rsidRPr="008653C7">
              <w:rPr>
                <w:rFonts w:eastAsia="Calibri"/>
                <w:b/>
                <w:bCs/>
                <w:lang w:val="fr-FR"/>
              </w:rPr>
              <w:t xml:space="preserve">GT </w:t>
            </w:r>
            <w:proofErr w:type="spellStart"/>
            <w:r w:rsidR="004A6070" w:rsidRPr="008653C7">
              <w:rPr>
                <w:rFonts w:eastAsia="Calibri"/>
                <w:b/>
                <w:bCs/>
                <w:lang w:val="fr-FR"/>
              </w:rPr>
              <w:t>5C</w:t>
            </w:r>
            <w:proofErr w:type="spellEnd"/>
          </w:p>
          <w:p w14:paraId="487E2DB8" w14:textId="5E1F3414" w:rsidR="004A6070" w:rsidRPr="008653C7" w:rsidRDefault="008F3050" w:rsidP="004A6070">
            <w:pPr>
              <w:pStyle w:val="Tabletext"/>
              <w:jc w:val="center"/>
              <w:rPr>
                <w:rFonts w:eastAsia="Calibri"/>
                <w:b/>
                <w:bCs/>
                <w:lang w:val="fr-FR"/>
              </w:rPr>
            </w:pPr>
            <w:r w:rsidRPr="008653C7">
              <w:rPr>
                <w:rFonts w:eastAsia="Calibri"/>
                <w:b/>
                <w:bCs/>
                <w:lang w:val="fr-FR"/>
              </w:rPr>
              <w:t xml:space="preserve">GT </w:t>
            </w:r>
            <w:proofErr w:type="spellStart"/>
            <w:r w:rsidR="004A6070" w:rsidRPr="008653C7">
              <w:rPr>
                <w:rFonts w:eastAsia="Calibri"/>
                <w:b/>
                <w:bCs/>
                <w:lang w:val="fr-FR"/>
              </w:rPr>
              <w:t>7C</w:t>
            </w:r>
            <w:proofErr w:type="spellEnd"/>
          </w:p>
          <w:p w14:paraId="76E69FD6" w14:textId="5A395EBD" w:rsidR="004A7B85" w:rsidRPr="003E6986" w:rsidRDefault="008F3050" w:rsidP="004A6070">
            <w:pPr>
              <w:pStyle w:val="Tabletext"/>
              <w:tabs>
                <w:tab w:val="clear" w:pos="284"/>
                <w:tab w:val="left" w:pos="463"/>
              </w:tabs>
              <w:spacing w:line="480" w:lineRule="auto"/>
              <w:jc w:val="center"/>
              <w:rPr>
                <w:b/>
                <w:bCs/>
                <w:lang w:val="es-ES_tradnl" w:eastAsia="nl-NL"/>
              </w:rPr>
            </w:pPr>
            <w:r w:rsidRPr="003E6986">
              <w:rPr>
                <w:rFonts w:eastAsia="Calibri"/>
                <w:b/>
                <w:bCs/>
                <w:lang w:val="es-ES_tradnl"/>
              </w:rPr>
              <w:t xml:space="preserve">GT </w:t>
            </w:r>
            <w:proofErr w:type="spellStart"/>
            <w:r w:rsidR="004A6070" w:rsidRPr="003E6986">
              <w:rPr>
                <w:rFonts w:eastAsia="Calibri"/>
                <w:b/>
                <w:bCs/>
                <w:lang w:val="es-ES_tradnl"/>
              </w:rPr>
              <w:t>7D</w:t>
            </w:r>
            <w:proofErr w:type="spellEnd"/>
          </w:p>
        </w:tc>
      </w:tr>
      <w:tr w:rsidR="004A7B85" w:rsidRPr="008653C7" w14:paraId="6916FC05" w14:textId="77777777" w:rsidTr="003F05FF">
        <w:trPr>
          <w:gridAfter w:val="1"/>
          <w:wAfter w:w="27" w:type="dxa"/>
          <w:jc w:val="center"/>
        </w:trPr>
        <w:tc>
          <w:tcPr>
            <w:tcW w:w="14036" w:type="dxa"/>
            <w:gridSpan w:val="4"/>
          </w:tcPr>
          <w:p w14:paraId="6755FEA5" w14:textId="59E2D647" w:rsidR="004A7B85" w:rsidRPr="003E6986" w:rsidRDefault="006B12DC" w:rsidP="008F3050">
            <w:pPr>
              <w:pStyle w:val="Tabletext"/>
              <w:tabs>
                <w:tab w:val="clear" w:pos="284"/>
                <w:tab w:val="left" w:pos="594"/>
                <w:tab w:val="left" w:pos="9716"/>
              </w:tabs>
              <w:jc w:val="both"/>
              <w:rPr>
                <w:lang w:val="es-ES_tradnl" w:eastAsia="nl-NL"/>
              </w:rPr>
            </w:pPr>
            <w:r w:rsidRPr="003E6986">
              <w:rPr>
                <w:lang w:val="es-ES_tradnl" w:eastAsia="nl-NL"/>
              </w:rPr>
              <w:lastRenderedPageBreak/>
              <w:t>1.4</w:t>
            </w:r>
            <w:r w:rsidRPr="003E6986">
              <w:rPr>
                <w:lang w:val="es-ES_tradnl" w:eastAsia="nl-NL"/>
              </w:rPr>
              <w:tab/>
              <w:t xml:space="preserve">considerar una posible nueva atribución a título primario al servicio fijo por satélite (espacio-Tierra) en la banda de frecuencias 17,3-17,7 GHz y una posible nueva atribución a título primario al servicio de radiodifusión por satélite (espacio-Tierra) en la banda de frecuencias 17,3 17,8 GHz en la Región 3, garantizando a su vez la protección de las atribuciones existentes a título primario en la misma banda de frecuencias y en las bandas de frecuencias adyacentes, y considerar los límites de densidad de flujo de potencia equivalente que habrán de aplicarse en las Regiones 1 y 3 a los sistemas de satélites no geoestacionarios del servicio fijo por satélite (espacio Tierra) en la banda de frecuencias 17,3-17,7 GHz, de conformidad con la Resolución </w:t>
            </w:r>
            <w:r w:rsidR="00343213" w:rsidRPr="003E6986">
              <w:rPr>
                <w:b/>
                <w:lang w:val="es-ES_tradnl" w:eastAsia="nl-NL"/>
              </w:rPr>
              <w:t>726</w:t>
            </w:r>
            <w:r w:rsidRPr="003E6986">
              <w:rPr>
                <w:b/>
                <w:lang w:val="es-ES_tradnl" w:eastAsia="nl-NL"/>
              </w:rPr>
              <w:t xml:space="preserve"> (CMR 23);</w:t>
            </w:r>
          </w:p>
        </w:tc>
      </w:tr>
      <w:tr w:rsidR="004A7B85" w:rsidRPr="003E6986" w14:paraId="05E02668" w14:textId="77777777" w:rsidTr="003F05FF">
        <w:trPr>
          <w:gridAfter w:val="1"/>
          <w:wAfter w:w="27" w:type="dxa"/>
          <w:jc w:val="center"/>
        </w:trPr>
        <w:tc>
          <w:tcPr>
            <w:tcW w:w="3304" w:type="dxa"/>
          </w:tcPr>
          <w:p w14:paraId="43D60068" w14:textId="1C08780C" w:rsidR="006B12DC" w:rsidRPr="003E6986" w:rsidRDefault="006B12DC" w:rsidP="006B12DC">
            <w:pPr>
              <w:pStyle w:val="Tabletext"/>
              <w:tabs>
                <w:tab w:val="left" w:pos="463"/>
              </w:tabs>
              <w:rPr>
                <w:lang w:val="es-ES_tradnl" w:eastAsia="nl-NL"/>
              </w:rPr>
            </w:pPr>
            <w:r w:rsidRPr="003E6986">
              <w:rPr>
                <w:lang w:val="es-ES_tradnl" w:eastAsia="nl-NL"/>
              </w:rPr>
              <w:t xml:space="preserve">Resolución </w:t>
            </w:r>
            <w:r w:rsidR="00343213" w:rsidRPr="003E6986">
              <w:rPr>
                <w:b/>
                <w:lang w:val="es-ES_tradnl" w:eastAsia="nl-NL"/>
              </w:rPr>
              <w:t>726</w:t>
            </w:r>
            <w:r w:rsidRPr="003E6986">
              <w:rPr>
                <w:b/>
                <w:lang w:val="es-ES_tradnl" w:eastAsia="nl-NL"/>
              </w:rPr>
              <w:t xml:space="preserve"> (</w:t>
            </w:r>
            <w:proofErr w:type="spellStart"/>
            <w:r w:rsidRPr="003E6986">
              <w:rPr>
                <w:b/>
                <w:lang w:val="es-ES_tradnl" w:eastAsia="nl-NL"/>
              </w:rPr>
              <w:t>CMR</w:t>
            </w:r>
            <w:proofErr w:type="spellEnd"/>
            <w:r w:rsidRPr="003E6986">
              <w:rPr>
                <w:b/>
                <w:lang w:val="es-ES_tradnl" w:eastAsia="nl-NL"/>
              </w:rPr>
              <w:t>-23)</w:t>
            </w:r>
          </w:p>
          <w:p w14:paraId="77793AEF" w14:textId="31810395" w:rsidR="004A7B85" w:rsidRPr="003E6986" w:rsidRDefault="006B12DC" w:rsidP="002232AC">
            <w:pPr>
              <w:pStyle w:val="Tabletext"/>
              <w:tabs>
                <w:tab w:val="left" w:pos="463"/>
              </w:tabs>
              <w:rPr>
                <w:lang w:val="es-ES_tradnl" w:eastAsia="nl-NL"/>
              </w:rPr>
            </w:pPr>
            <w:r w:rsidRPr="003E6986">
              <w:rPr>
                <w:lang w:val="es-ES_tradnl" w:eastAsia="nl-NL"/>
              </w:rPr>
              <w:t>Posible nueva atribución a título primario al servicio fijo por satélite (espacio-Tierra) en la banda de frecuencias 17,3-17,7 GHz y posible nueva atribución a título primario al servicio de radiodifusión por satélite (espacio Tierra) en la banda de frecuencias 17,3-17,8 GHz en la Región 3, y consideración de los límites de densidad de flujo de potencia equivalente aplicables en las Regiones 1 y 3 a los sistemas de satélites no geoestacionarios del servicio fijo por satélite (espacio-Tierra) en la banda de frecuencias 17,3-17,7 GHz</w:t>
            </w:r>
          </w:p>
        </w:tc>
        <w:tc>
          <w:tcPr>
            <w:tcW w:w="1517" w:type="dxa"/>
          </w:tcPr>
          <w:p w14:paraId="00D6E92D" w14:textId="172026E0" w:rsidR="004A7B85" w:rsidRPr="003E6986" w:rsidRDefault="00A92266" w:rsidP="009E58DC">
            <w:pPr>
              <w:pStyle w:val="Tabletext"/>
              <w:tabs>
                <w:tab w:val="clear" w:pos="284"/>
                <w:tab w:val="left" w:pos="463"/>
              </w:tabs>
              <w:jc w:val="center"/>
              <w:rPr>
                <w:b/>
                <w:bCs/>
                <w:lang w:val="es-ES_tradnl" w:eastAsia="nl-NL"/>
              </w:rPr>
            </w:pPr>
            <w:r w:rsidRPr="003E6986">
              <w:rPr>
                <w:b/>
                <w:bCs/>
                <w:lang w:val="es-ES_tradnl" w:eastAsia="nl-NL"/>
              </w:rPr>
              <w:t>GT</w:t>
            </w:r>
            <w:r w:rsidR="006B12DC" w:rsidRPr="003E6986">
              <w:rPr>
                <w:b/>
                <w:bCs/>
                <w:lang w:val="es-ES_tradnl" w:eastAsia="nl-NL"/>
              </w:rPr>
              <w:t> 4A</w:t>
            </w:r>
          </w:p>
        </w:tc>
        <w:tc>
          <w:tcPr>
            <w:tcW w:w="7809" w:type="dxa"/>
          </w:tcPr>
          <w:p w14:paraId="2A2A8247" w14:textId="4671D65D" w:rsidR="006B12DC" w:rsidRPr="003E6986" w:rsidRDefault="00876E70" w:rsidP="006B12DC">
            <w:pPr>
              <w:pStyle w:val="Tabletext"/>
              <w:tabs>
                <w:tab w:val="left" w:pos="463"/>
              </w:tabs>
              <w:ind w:left="454"/>
              <w:rPr>
                <w:rFonts w:eastAsia="???"/>
                <w:i/>
                <w:iCs/>
                <w:lang w:val="es-ES_tradnl" w:eastAsia="nl-NL"/>
              </w:rPr>
            </w:pPr>
            <w:r w:rsidRPr="003E6986">
              <w:rPr>
                <w:rFonts w:eastAsia="???"/>
                <w:i/>
                <w:iCs/>
                <w:lang w:val="es-ES_tradnl" w:eastAsia="nl-NL"/>
              </w:rPr>
              <w:t>resuelve</w:t>
            </w:r>
          </w:p>
          <w:p w14:paraId="3BD4A68D" w14:textId="77777777" w:rsidR="006B12DC" w:rsidRPr="003E6986" w:rsidRDefault="006B12DC" w:rsidP="006B12DC">
            <w:pPr>
              <w:pStyle w:val="Tabletext"/>
              <w:tabs>
                <w:tab w:val="left" w:pos="463"/>
              </w:tabs>
              <w:rPr>
                <w:rFonts w:eastAsia="???"/>
                <w:iCs/>
                <w:lang w:val="es-ES_tradnl" w:eastAsia="nl-NL"/>
              </w:rPr>
            </w:pPr>
            <w:r w:rsidRPr="003E6986">
              <w:rPr>
                <w:rFonts w:eastAsia="???"/>
                <w:iCs/>
                <w:lang w:val="es-ES_tradnl" w:eastAsia="nl-NL"/>
              </w:rPr>
              <w:t xml:space="preserve">que los estudios mencionados en el </w:t>
            </w:r>
            <w:r w:rsidRPr="002232AC">
              <w:rPr>
                <w:rFonts w:eastAsia="???"/>
                <w:i/>
                <w:lang w:val="es-ES_tradnl" w:eastAsia="nl-NL"/>
              </w:rPr>
              <w:t>resuelve invitar al Sector de Radiocomunicaciones de la UIT a realizar y finalizar a tiempo para la Conferencia Mundial de Radiocomunicaciones</w:t>
            </w:r>
            <w:r w:rsidRPr="003E6986">
              <w:rPr>
                <w:rFonts w:eastAsia="???"/>
                <w:iCs/>
                <w:lang w:val="es-ES_tradnl" w:eastAsia="nl-NL"/>
              </w:rPr>
              <w:t xml:space="preserve"> </w:t>
            </w:r>
            <w:r w:rsidRPr="002232AC">
              <w:rPr>
                <w:rFonts w:eastAsia="???"/>
                <w:i/>
                <w:lang w:val="es-ES_tradnl" w:eastAsia="nl-NL"/>
              </w:rPr>
              <w:t>de 2027</w:t>
            </w:r>
            <w:r w:rsidRPr="003E6986">
              <w:rPr>
                <w:rFonts w:eastAsia="???"/>
                <w:iCs/>
                <w:lang w:val="es-ES_tradnl" w:eastAsia="nl-NL"/>
              </w:rPr>
              <w:t xml:space="preserve"> que figura a continuación, brinden protección a los servicios de radiocomunicaciones a los que esté atribuida la banda de frecuencias a título primario, incluidos los servicios fijo y móvil, y en particular a las asignaciones a los enlaces de conexión del SRS que figuran en el Apéndice </w:t>
            </w:r>
            <w:r w:rsidRPr="003E6986">
              <w:rPr>
                <w:rFonts w:eastAsia="???"/>
                <w:b/>
                <w:iCs/>
                <w:lang w:val="es-ES_tradnl" w:eastAsia="nl-NL"/>
              </w:rPr>
              <w:t>30A</w:t>
            </w:r>
            <w:r w:rsidRPr="003E6986">
              <w:rPr>
                <w:rFonts w:eastAsia="???"/>
                <w:iCs/>
                <w:lang w:val="es-ES_tradnl" w:eastAsia="nl-NL"/>
              </w:rPr>
              <w:t>,</w:t>
            </w:r>
          </w:p>
          <w:p w14:paraId="68063102" w14:textId="77777777" w:rsidR="006B12DC" w:rsidRPr="003E6986" w:rsidRDefault="006B12DC" w:rsidP="006B12DC">
            <w:pPr>
              <w:pStyle w:val="Tabletext"/>
              <w:tabs>
                <w:tab w:val="left" w:pos="463"/>
              </w:tabs>
              <w:ind w:left="454"/>
              <w:rPr>
                <w:rFonts w:eastAsia="???"/>
                <w:i/>
                <w:iCs/>
                <w:lang w:val="es-ES_tradnl" w:eastAsia="nl-NL"/>
              </w:rPr>
            </w:pPr>
            <w:r w:rsidRPr="003E6986">
              <w:rPr>
                <w:rFonts w:eastAsia="???"/>
                <w:i/>
                <w:iCs/>
                <w:lang w:val="es-ES_tradnl" w:eastAsia="nl-NL"/>
              </w:rPr>
              <w:t>resuelve invitar al Sector de Radiocomunicaciones de la UIT a realizar y finalizar a tiempo para la Conferencia Mundial de Radiocomunicaciones de 2027</w:t>
            </w:r>
          </w:p>
          <w:p w14:paraId="509305FF" w14:textId="77777777" w:rsidR="006B12DC" w:rsidRPr="003E6986" w:rsidRDefault="006B12DC" w:rsidP="008F3050">
            <w:pPr>
              <w:pStyle w:val="Tabletext"/>
              <w:tabs>
                <w:tab w:val="clear" w:pos="284"/>
                <w:tab w:val="left" w:pos="463"/>
              </w:tabs>
              <w:jc w:val="both"/>
              <w:rPr>
                <w:rFonts w:eastAsia="???"/>
                <w:iCs/>
                <w:lang w:val="es-ES_tradnl" w:eastAsia="nl-NL"/>
              </w:rPr>
            </w:pPr>
            <w:r w:rsidRPr="003E6986">
              <w:rPr>
                <w:rFonts w:eastAsia="???"/>
                <w:iCs/>
                <w:lang w:val="es-ES_tradnl" w:eastAsia="nl-NL"/>
              </w:rPr>
              <w:t>1</w:t>
            </w:r>
            <w:r w:rsidRPr="003E6986">
              <w:rPr>
                <w:rFonts w:eastAsia="???"/>
                <w:iCs/>
                <w:lang w:val="es-ES_tradnl" w:eastAsia="nl-NL"/>
              </w:rPr>
              <w:tab/>
              <w:t xml:space="preserve">estudios sobre la compartición y la compatibilidad entre el SFS (espacio-Tierra), el SRS (espacio-Tierra) y el SFS (Tierra-espacio) designados en el número </w:t>
            </w:r>
            <w:r w:rsidRPr="003E6986">
              <w:rPr>
                <w:rFonts w:eastAsia="???"/>
                <w:b/>
                <w:iCs/>
                <w:lang w:val="es-ES_tradnl" w:eastAsia="nl-NL"/>
              </w:rPr>
              <w:t>5.516</w:t>
            </w:r>
            <w:r w:rsidRPr="003E6986">
              <w:rPr>
                <w:rFonts w:eastAsia="???"/>
                <w:iCs/>
                <w:lang w:val="es-ES_tradnl" w:eastAsia="nl-NL"/>
              </w:rPr>
              <w:t xml:space="preserve">, a fin de considerar la posibilidad de efectuar una posible nueva atribución a título primario al SFS (espacio-Tierra) en la banda de frecuencias 17,3 17,7 GHz para la Región 3 y al SRS (espacio-Tierra) en la banda de frecuencias 17,3 17,8 GHz para la Región 3, garantizando a su vez la protección de los servicios primarios existentes en esas bandas y en las bandas adyacentes, sin repercutir de forma indebida en las atribuciones existentes al SFS (Tierra-Espacio) designadas en el número </w:t>
            </w:r>
            <w:r w:rsidRPr="003E6986">
              <w:rPr>
                <w:rFonts w:eastAsia="???"/>
                <w:b/>
                <w:iCs/>
                <w:lang w:val="es-ES_tradnl" w:eastAsia="nl-NL"/>
              </w:rPr>
              <w:t>5.516</w:t>
            </w:r>
            <w:r w:rsidRPr="003E6986">
              <w:rPr>
                <w:rFonts w:eastAsia="???"/>
                <w:iCs/>
                <w:lang w:val="es-ES_tradnl" w:eastAsia="nl-NL"/>
              </w:rPr>
              <w:t xml:space="preserve">, en especial en las asignaciones a los enlaces de conexión del SRS que figuran en el Apéndice </w:t>
            </w:r>
            <w:r w:rsidRPr="003E6986">
              <w:rPr>
                <w:rFonts w:eastAsia="???"/>
                <w:b/>
                <w:bCs/>
                <w:iCs/>
                <w:lang w:val="es-ES_tradnl" w:eastAsia="nl-NL"/>
              </w:rPr>
              <w:t>30A</w:t>
            </w:r>
            <w:r w:rsidRPr="003E6986">
              <w:rPr>
                <w:rFonts w:eastAsia="???"/>
                <w:iCs/>
                <w:lang w:val="es-ES_tradnl" w:eastAsia="nl-NL"/>
              </w:rPr>
              <w:t>;</w:t>
            </w:r>
          </w:p>
          <w:p w14:paraId="3359F389" w14:textId="77777777" w:rsidR="006B12DC" w:rsidRPr="003E6986" w:rsidRDefault="006B12DC" w:rsidP="008F3050">
            <w:pPr>
              <w:pStyle w:val="Tabletext"/>
              <w:tabs>
                <w:tab w:val="clear" w:pos="284"/>
                <w:tab w:val="left" w:pos="463"/>
              </w:tabs>
              <w:jc w:val="both"/>
              <w:rPr>
                <w:rFonts w:eastAsia="???"/>
                <w:iCs/>
                <w:lang w:val="es-ES_tradnl" w:eastAsia="nl-NL"/>
              </w:rPr>
            </w:pPr>
            <w:r w:rsidRPr="003E6986">
              <w:rPr>
                <w:rFonts w:eastAsia="???"/>
                <w:iCs/>
                <w:lang w:val="es-ES_tradnl" w:eastAsia="nl-NL"/>
              </w:rPr>
              <w:t>2</w:t>
            </w:r>
            <w:r w:rsidRPr="003E6986">
              <w:rPr>
                <w:rFonts w:eastAsia="???"/>
                <w:iCs/>
                <w:lang w:val="es-ES_tradnl" w:eastAsia="nl-NL"/>
              </w:rPr>
              <w:tab/>
              <w:t xml:space="preserve">la consideración de la aplicabilidad de los límites de </w:t>
            </w:r>
            <w:proofErr w:type="spellStart"/>
            <w:r w:rsidRPr="003E6986">
              <w:rPr>
                <w:rFonts w:eastAsia="???"/>
                <w:iCs/>
                <w:lang w:val="es-ES_tradnl" w:eastAsia="nl-NL"/>
              </w:rPr>
              <w:t>dfpe</w:t>
            </w:r>
            <w:proofErr w:type="spellEnd"/>
            <w:r w:rsidRPr="003E6986">
              <w:rPr>
                <w:rFonts w:eastAsia="???"/>
                <w:iCs/>
                <w:lang w:val="es-ES_tradnl" w:eastAsia="nl-NL"/>
              </w:rPr>
              <w:t xml:space="preserve"> del </w:t>
            </w:r>
            <w:proofErr w:type="spellStart"/>
            <w:r w:rsidRPr="003E6986">
              <w:rPr>
                <w:rFonts w:eastAsia="???"/>
                <w:iCs/>
                <w:lang w:val="es-ES_tradnl" w:eastAsia="nl-NL"/>
              </w:rPr>
              <w:t>SFS</w:t>
            </w:r>
            <w:proofErr w:type="spellEnd"/>
            <w:r w:rsidRPr="003E6986">
              <w:rPr>
                <w:rFonts w:eastAsia="???"/>
                <w:iCs/>
                <w:lang w:val="es-ES_tradnl" w:eastAsia="nl-NL"/>
              </w:rPr>
              <w:t xml:space="preserve"> no OSG de la Región 2 (véase el observando e)), aplicables a la banda de frecuencias 17,3-17,7 GHz, en las Regiones 1 y 3 a fin de garantizar la protección de las redes OSG,</w:t>
            </w:r>
          </w:p>
          <w:p w14:paraId="1CE097D4" w14:textId="77777777" w:rsidR="006B12DC" w:rsidRPr="003E6986" w:rsidRDefault="006B12DC" w:rsidP="006B12DC">
            <w:pPr>
              <w:pStyle w:val="Tabletext"/>
              <w:tabs>
                <w:tab w:val="left" w:pos="463"/>
              </w:tabs>
              <w:ind w:left="454"/>
              <w:rPr>
                <w:rFonts w:eastAsia="???"/>
                <w:i/>
                <w:iCs/>
                <w:lang w:val="es-ES_tradnl" w:eastAsia="nl-NL"/>
              </w:rPr>
            </w:pPr>
            <w:r w:rsidRPr="003E6986">
              <w:rPr>
                <w:rFonts w:eastAsia="???"/>
                <w:i/>
                <w:iCs/>
                <w:lang w:val="es-ES_tradnl" w:eastAsia="nl-NL"/>
              </w:rPr>
              <w:t>invita a la Conferencia Mundial de Radiocomunicaciones de 2027</w:t>
            </w:r>
          </w:p>
          <w:p w14:paraId="6F2D574F" w14:textId="2D3AD38C" w:rsidR="006B12DC" w:rsidRPr="003E6986" w:rsidRDefault="006B12DC" w:rsidP="006B12DC">
            <w:pPr>
              <w:pStyle w:val="Tabletext"/>
              <w:tabs>
                <w:tab w:val="left" w:pos="463"/>
              </w:tabs>
              <w:rPr>
                <w:rFonts w:eastAsia="???"/>
                <w:iCs/>
                <w:lang w:val="es-ES_tradnl" w:eastAsia="nl-NL"/>
              </w:rPr>
            </w:pPr>
            <w:r w:rsidRPr="003E6986">
              <w:rPr>
                <w:rFonts w:eastAsia="???"/>
                <w:iCs/>
                <w:lang w:val="es-ES_tradnl" w:eastAsia="nl-NL"/>
              </w:rPr>
              <w:t>a examinar los resultados de los estudios del Sector de Rad</w:t>
            </w:r>
            <w:r w:rsidR="008F3050" w:rsidRPr="003E6986">
              <w:rPr>
                <w:rFonts w:eastAsia="???"/>
                <w:iCs/>
                <w:lang w:val="es-ES_tradnl" w:eastAsia="nl-NL"/>
              </w:rPr>
              <w:t>iocomunicaciones de la UIT (UIT</w:t>
            </w:r>
            <w:r w:rsidR="008F3050" w:rsidRPr="003E6986">
              <w:rPr>
                <w:rFonts w:eastAsia="???"/>
                <w:iCs/>
                <w:lang w:val="es-ES_tradnl" w:eastAsia="nl-NL"/>
              </w:rPr>
              <w:noBreakHyphen/>
            </w:r>
            <w:r w:rsidRPr="003E6986">
              <w:rPr>
                <w:rFonts w:eastAsia="???"/>
                <w:iCs/>
                <w:lang w:val="es-ES_tradnl" w:eastAsia="nl-NL"/>
              </w:rPr>
              <w:t>R) mencionados más arriba y a emprender las acciones necesarias, según convenga, en relación con los asuntos siguientes:</w:t>
            </w:r>
          </w:p>
          <w:p w14:paraId="397B73DA" w14:textId="77777777" w:rsidR="006B12DC" w:rsidRPr="003E6986" w:rsidRDefault="006B12DC" w:rsidP="008F3050">
            <w:pPr>
              <w:pStyle w:val="Tabletext"/>
              <w:tabs>
                <w:tab w:val="clear" w:pos="284"/>
                <w:tab w:val="left" w:pos="463"/>
              </w:tabs>
              <w:jc w:val="both"/>
              <w:rPr>
                <w:rFonts w:eastAsia="???"/>
                <w:iCs/>
                <w:lang w:val="es-ES_tradnl" w:eastAsia="nl-NL"/>
              </w:rPr>
            </w:pPr>
            <w:r w:rsidRPr="003E6986">
              <w:rPr>
                <w:rFonts w:eastAsia="???"/>
                <w:iCs/>
                <w:lang w:val="es-ES_tradnl" w:eastAsia="nl-NL"/>
              </w:rPr>
              <w:t>1)</w:t>
            </w:r>
            <w:r w:rsidRPr="003E6986">
              <w:rPr>
                <w:rFonts w:eastAsia="???"/>
                <w:iCs/>
                <w:lang w:val="es-ES_tradnl" w:eastAsia="nl-NL"/>
              </w:rPr>
              <w:tab/>
              <w:t>una posible nueva atribución a título primario al SFS (espacio-Tierra) en la banda de frecuencias 17,3-17,7 GHz para la Región 3;</w:t>
            </w:r>
          </w:p>
          <w:p w14:paraId="4C5B2746" w14:textId="29E26499" w:rsidR="006B12DC" w:rsidRPr="003E6986" w:rsidRDefault="006B12DC" w:rsidP="008F3050">
            <w:pPr>
              <w:pStyle w:val="Tabletext"/>
              <w:tabs>
                <w:tab w:val="clear" w:pos="284"/>
                <w:tab w:val="left" w:pos="463"/>
              </w:tabs>
              <w:jc w:val="both"/>
              <w:rPr>
                <w:rFonts w:eastAsia="???"/>
                <w:iCs/>
                <w:lang w:val="es-ES_tradnl" w:eastAsia="nl-NL"/>
              </w:rPr>
            </w:pPr>
            <w:r w:rsidRPr="003E6986">
              <w:rPr>
                <w:rFonts w:eastAsia="???"/>
                <w:iCs/>
                <w:lang w:val="es-ES_tradnl" w:eastAsia="nl-NL"/>
              </w:rPr>
              <w:lastRenderedPageBreak/>
              <w:t>2)</w:t>
            </w:r>
            <w:r w:rsidRPr="003E6986">
              <w:rPr>
                <w:rFonts w:eastAsia="???"/>
                <w:iCs/>
                <w:lang w:val="es-ES_tradnl" w:eastAsia="nl-NL"/>
              </w:rPr>
              <w:tab/>
              <w:t>una posible nueva atribución a título primario al SRS (espacio-Tierra) en la banda de frecuencias 17,3-17,8 GHz para la Región 3;</w:t>
            </w:r>
          </w:p>
          <w:p w14:paraId="5FFE7C46" w14:textId="77777777" w:rsidR="006B12DC" w:rsidRPr="003E6986" w:rsidRDefault="006B12DC" w:rsidP="008F3050">
            <w:pPr>
              <w:pStyle w:val="Tabletext"/>
              <w:tabs>
                <w:tab w:val="clear" w:pos="284"/>
                <w:tab w:val="left" w:pos="463"/>
              </w:tabs>
              <w:jc w:val="both"/>
              <w:rPr>
                <w:rFonts w:eastAsia="???"/>
                <w:iCs/>
                <w:lang w:val="es-ES_tradnl" w:eastAsia="nl-NL"/>
              </w:rPr>
            </w:pPr>
            <w:r w:rsidRPr="003E6986">
              <w:rPr>
                <w:rFonts w:eastAsia="???"/>
                <w:iCs/>
                <w:lang w:val="es-ES_tradnl" w:eastAsia="nl-NL"/>
              </w:rPr>
              <w:t>3)</w:t>
            </w:r>
            <w:r w:rsidRPr="003E6986">
              <w:rPr>
                <w:rFonts w:eastAsia="???"/>
                <w:iCs/>
                <w:lang w:val="es-ES_tradnl" w:eastAsia="nl-NL"/>
              </w:rPr>
              <w:tab/>
              <w:t xml:space="preserve">garantizando a su vez la protección de las atribuciones primarias existentes en esas bandas y en las bandas adyacentes, sin repercutir de forma indebida en las atribuciones existentes al SF y el SM en la banda de frecuencias 17,7-17,8 GHz y al SFS (Tierra Espacio) designada en el número </w:t>
            </w:r>
            <w:r w:rsidRPr="003E6986">
              <w:rPr>
                <w:rFonts w:eastAsia="???"/>
                <w:b/>
                <w:iCs/>
                <w:lang w:val="es-ES_tradnl" w:eastAsia="nl-NL"/>
              </w:rPr>
              <w:t>5.516</w:t>
            </w:r>
            <w:r w:rsidRPr="003E6986">
              <w:rPr>
                <w:rFonts w:eastAsia="???"/>
                <w:iCs/>
                <w:lang w:val="es-ES_tradnl" w:eastAsia="nl-NL"/>
              </w:rPr>
              <w:t xml:space="preserve">, incluidas las asignaciones a los enlaces de conexión del SRS que figuran en el Apéndice </w:t>
            </w:r>
            <w:r w:rsidRPr="003E6986">
              <w:rPr>
                <w:rFonts w:eastAsia="???"/>
                <w:b/>
                <w:iCs/>
                <w:lang w:val="es-ES_tradnl" w:eastAsia="nl-NL"/>
              </w:rPr>
              <w:t>30A</w:t>
            </w:r>
            <w:r w:rsidRPr="003E6986">
              <w:rPr>
                <w:rFonts w:eastAsia="???"/>
                <w:iCs/>
                <w:lang w:val="es-ES_tradnl" w:eastAsia="nl-NL"/>
              </w:rPr>
              <w:t>;</w:t>
            </w:r>
          </w:p>
          <w:p w14:paraId="64EE8CCD" w14:textId="5581C425" w:rsidR="004A7B85" w:rsidRPr="003E6986" w:rsidRDefault="006B12DC" w:rsidP="006B12DC">
            <w:pPr>
              <w:pStyle w:val="Tabletext"/>
              <w:tabs>
                <w:tab w:val="clear" w:pos="284"/>
                <w:tab w:val="left" w:pos="463"/>
              </w:tabs>
              <w:jc w:val="both"/>
              <w:rPr>
                <w:rFonts w:eastAsia="???"/>
                <w:iCs/>
                <w:lang w:val="es-ES_tradnl" w:eastAsia="nl-NL"/>
              </w:rPr>
            </w:pPr>
            <w:r w:rsidRPr="003E6986">
              <w:rPr>
                <w:rFonts w:eastAsia="???"/>
                <w:iCs/>
                <w:lang w:val="es-ES_tradnl" w:eastAsia="nl-NL"/>
              </w:rPr>
              <w:t>4)</w:t>
            </w:r>
            <w:r w:rsidRPr="003E6986">
              <w:rPr>
                <w:rFonts w:eastAsia="???"/>
                <w:iCs/>
                <w:lang w:val="es-ES_tradnl" w:eastAsia="nl-NL"/>
              </w:rPr>
              <w:tab/>
              <w:t xml:space="preserve">la aplicación de los límites de la </w:t>
            </w:r>
            <w:proofErr w:type="spellStart"/>
            <w:r w:rsidRPr="003E6986">
              <w:rPr>
                <w:rFonts w:eastAsia="???"/>
                <w:iCs/>
                <w:lang w:val="es-ES_tradnl" w:eastAsia="nl-NL"/>
              </w:rPr>
              <w:t>dfpe</w:t>
            </w:r>
            <w:proofErr w:type="spellEnd"/>
            <w:r w:rsidRPr="003E6986">
              <w:rPr>
                <w:rFonts w:eastAsia="???"/>
                <w:iCs/>
                <w:lang w:val="es-ES_tradnl" w:eastAsia="nl-NL"/>
              </w:rPr>
              <w:t xml:space="preserve"> de la Región 2 a los sistemas no OSG del SFS (como se indica en el </w:t>
            </w:r>
            <w:r w:rsidRPr="00A923A9">
              <w:rPr>
                <w:rFonts w:eastAsia="???"/>
                <w:i/>
                <w:lang w:val="es-ES_tradnl" w:eastAsia="nl-NL"/>
              </w:rPr>
              <w:t>observando e)</w:t>
            </w:r>
            <w:r w:rsidRPr="003E6986">
              <w:rPr>
                <w:rFonts w:eastAsia="???"/>
                <w:iCs/>
                <w:lang w:val="es-ES_tradnl" w:eastAsia="nl-NL"/>
              </w:rPr>
              <w:t>) que utiliza la banda de frecuencias 17,3-17,7 GHz en las Regiones</w:t>
            </w:r>
            <w:r w:rsidR="00A923A9">
              <w:rPr>
                <w:rFonts w:eastAsia="???"/>
                <w:iCs/>
                <w:lang w:val="es-ES_tradnl" w:eastAsia="nl-NL"/>
              </w:rPr>
              <w:t> </w:t>
            </w:r>
            <w:r w:rsidRPr="003E6986">
              <w:rPr>
                <w:rFonts w:eastAsia="???"/>
                <w:iCs/>
                <w:lang w:val="es-ES_tradnl" w:eastAsia="nl-NL"/>
              </w:rPr>
              <w:t>1 y 3,</w:t>
            </w:r>
          </w:p>
          <w:p w14:paraId="4C399E29" w14:textId="5E7BD397" w:rsidR="006B12DC" w:rsidRPr="003E6986" w:rsidRDefault="006B12DC" w:rsidP="006B12DC">
            <w:pPr>
              <w:pStyle w:val="Tabletext"/>
              <w:tabs>
                <w:tab w:val="clear" w:pos="284"/>
                <w:tab w:val="left" w:pos="463"/>
              </w:tabs>
              <w:jc w:val="both"/>
              <w:rPr>
                <w:rFonts w:eastAsia="???"/>
                <w:iCs/>
                <w:lang w:val="es-ES_tradnl" w:eastAsia="nl-NL"/>
              </w:rPr>
            </w:pPr>
            <w:r w:rsidRPr="003E6986">
              <w:rPr>
                <w:rFonts w:eastAsia="???"/>
                <w:iCs/>
                <w:lang w:val="es-ES_tradnl" w:eastAsia="nl-NL"/>
              </w:rPr>
              <w:t>…</w:t>
            </w:r>
          </w:p>
        </w:tc>
        <w:tc>
          <w:tcPr>
            <w:tcW w:w="1406" w:type="dxa"/>
          </w:tcPr>
          <w:p w14:paraId="5DCD9F15" w14:textId="6F90A63E" w:rsidR="004A6070" w:rsidRPr="008653C7" w:rsidRDefault="00855045" w:rsidP="004A6070">
            <w:pPr>
              <w:pStyle w:val="Tabletext"/>
              <w:jc w:val="center"/>
              <w:rPr>
                <w:b/>
                <w:bCs/>
                <w:lang w:val="fr-FR"/>
              </w:rPr>
            </w:pPr>
            <w:r w:rsidRPr="008653C7">
              <w:rPr>
                <w:b/>
                <w:bCs/>
                <w:lang w:val="fr-FR"/>
              </w:rPr>
              <w:lastRenderedPageBreak/>
              <w:t xml:space="preserve">GT </w:t>
            </w:r>
            <w:r w:rsidR="004A6070" w:rsidRPr="008653C7">
              <w:rPr>
                <w:b/>
                <w:bCs/>
                <w:lang w:val="fr-FR"/>
              </w:rPr>
              <w:t>3M</w:t>
            </w:r>
          </w:p>
          <w:p w14:paraId="345CE3F6" w14:textId="527DC3CD" w:rsidR="004A6070" w:rsidRPr="008653C7" w:rsidRDefault="00855045" w:rsidP="004A6070">
            <w:pPr>
              <w:pStyle w:val="Tabletext"/>
              <w:jc w:val="center"/>
              <w:rPr>
                <w:rFonts w:eastAsia="Calibri"/>
                <w:b/>
                <w:bCs/>
                <w:lang w:val="fr-FR"/>
              </w:rPr>
            </w:pPr>
            <w:r w:rsidRPr="008653C7">
              <w:rPr>
                <w:rFonts w:eastAsia="Calibri"/>
                <w:b/>
                <w:bCs/>
                <w:lang w:val="fr-FR"/>
              </w:rPr>
              <w:t>GT</w:t>
            </w:r>
            <w:r w:rsidR="004A6070" w:rsidRPr="008653C7">
              <w:rPr>
                <w:rFonts w:eastAsia="Calibri"/>
                <w:b/>
                <w:bCs/>
                <w:lang w:val="fr-FR"/>
              </w:rPr>
              <w:t xml:space="preserve"> </w:t>
            </w:r>
            <w:proofErr w:type="spellStart"/>
            <w:r w:rsidR="004A6070" w:rsidRPr="008653C7">
              <w:rPr>
                <w:rFonts w:eastAsia="Calibri"/>
                <w:b/>
                <w:bCs/>
                <w:lang w:val="fr-FR"/>
              </w:rPr>
              <w:t>4B</w:t>
            </w:r>
            <w:proofErr w:type="spellEnd"/>
          </w:p>
          <w:p w14:paraId="6AA22D74" w14:textId="075D746D" w:rsidR="004A6070" w:rsidRPr="008653C7" w:rsidRDefault="00855045" w:rsidP="004A6070">
            <w:pPr>
              <w:pStyle w:val="Tabletext"/>
              <w:jc w:val="center"/>
              <w:rPr>
                <w:rFonts w:eastAsia="Calibri"/>
                <w:b/>
                <w:bCs/>
                <w:lang w:val="fr-FR"/>
              </w:rPr>
            </w:pPr>
            <w:r w:rsidRPr="008653C7">
              <w:rPr>
                <w:rFonts w:eastAsia="Calibri"/>
                <w:b/>
                <w:bCs/>
                <w:lang w:val="fr-FR"/>
              </w:rPr>
              <w:t>GT</w:t>
            </w:r>
            <w:r w:rsidR="004A6070" w:rsidRPr="008653C7">
              <w:rPr>
                <w:rFonts w:eastAsia="Calibri"/>
                <w:b/>
                <w:bCs/>
                <w:lang w:val="fr-FR"/>
              </w:rPr>
              <w:t xml:space="preserve"> </w:t>
            </w:r>
            <w:proofErr w:type="spellStart"/>
            <w:r w:rsidR="004A6070" w:rsidRPr="008653C7">
              <w:rPr>
                <w:rFonts w:eastAsia="Calibri"/>
                <w:b/>
                <w:bCs/>
                <w:lang w:val="fr-FR"/>
              </w:rPr>
              <w:t>5A</w:t>
            </w:r>
            <w:proofErr w:type="spellEnd"/>
          </w:p>
          <w:p w14:paraId="6AB6BA37" w14:textId="0DDB5D84" w:rsidR="004A6070" w:rsidRPr="008653C7" w:rsidRDefault="00855045" w:rsidP="004A6070">
            <w:pPr>
              <w:pStyle w:val="Tabletext"/>
              <w:jc w:val="center"/>
              <w:rPr>
                <w:rFonts w:eastAsia="Calibri"/>
                <w:b/>
                <w:bCs/>
                <w:lang w:val="fr-FR"/>
              </w:rPr>
            </w:pPr>
            <w:r w:rsidRPr="008653C7">
              <w:rPr>
                <w:rFonts w:eastAsia="Calibri"/>
                <w:b/>
                <w:bCs/>
                <w:lang w:val="fr-FR"/>
              </w:rPr>
              <w:t xml:space="preserve">GT </w:t>
            </w:r>
            <w:proofErr w:type="spellStart"/>
            <w:r w:rsidR="004A6070" w:rsidRPr="008653C7">
              <w:rPr>
                <w:rFonts w:eastAsia="Calibri"/>
                <w:b/>
                <w:bCs/>
                <w:lang w:val="fr-FR"/>
              </w:rPr>
              <w:t>5B</w:t>
            </w:r>
            <w:proofErr w:type="spellEnd"/>
          </w:p>
          <w:p w14:paraId="7F12D294" w14:textId="67D94165" w:rsidR="004A6070" w:rsidRPr="003E6986" w:rsidRDefault="00855045" w:rsidP="004A6070">
            <w:pPr>
              <w:pStyle w:val="Tabletext"/>
              <w:jc w:val="center"/>
              <w:rPr>
                <w:b/>
                <w:bCs/>
                <w:lang w:val="es-ES_tradnl"/>
              </w:rPr>
            </w:pPr>
            <w:r>
              <w:rPr>
                <w:rFonts w:eastAsia="Calibri"/>
                <w:b/>
                <w:bCs/>
                <w:lang w:val="es-ES_tradnl"/>
              </w:rPr>
              <w:t>GT</w:t>
            </w:r>
            <w:r w:rsidR="004A6070" w:rsidRPr="003E6986">
              <w:rPr>
                <w:rFonts w:eastAsia="Calibri"/>
                <w:b/>
                <w:bCs/>
                <w:lang w:val="es-ES_tradnl"/>
              </w:rPr>
              <w:t xml:space="preserve"> </w:t>
            </w:r>
            <w:proofErr w:type="spellStart"/>
            <w:r w:rsidR="004A6070" w:rsidRPr="003E6986">
              <w:rPr>
                <w:rFonts w:eastAsia="Calibri"/>
                <w:b/>
                <w:bCs/>
                <w:lang w:val="es-ES_tradnl"/>
              </w:rPr>
              <w:t>5C</w:t>
            </w:r>
            <w:proofErr w:type="spellEnd"/>
          </w:p>
          <w:p w14:paraId="1025689C" w14:textId="0C655F3D" w:rsidR="004A6070" w:rsidRPr="003E6986" w:rsidRDefault="00855045" w:rsidP="004A6070">
            <w:pPr>
              <w:pStyle w:val="Tabletext"/>
              <w:jc w:val="center"/>
              <w:rPr>
                <w:rFonts w:eastAsia="Calibri"/>
                <w:b/>
                <w:bCs/>
                <w:lang w:val="es-ES_tradnl"/>
              </w:rPr>
            </w:pPr>
            <w:r>
              <w:rPr>
                <w:rFonts w:eastAsia="Calibri"/>
                <w:b/>
                <w:bCs/>
                <w:lang w:val="es-ES_tradnl"/>
              </w:rPr>
              <w:t>GT</w:t>
            </w:r>
            <w:r w:rsidR="004A6070" w:rsidRPr="003E6986">
              <w:rPr>
                <w:rFonts w:eastAsia="Calibri"/>
                <w:b/>
                <w:bCs/>
                <w:lang w:val="es-ES_tradnl"/>
              </w:rPr>
              <w:t xml:space="preserve"> 6B</w:t>
            </w:r>
          </w:p>
          <w:p w14:paraId="597558E5" w14:textId="1A7009A4" w:rsidR="004A7B85" w:rsidRPr="003E6986" w:rsidRDefault="008F3050" w:rsidP="004A6070">
            <w:pPr>
              <w:pStyle w:val="Tabletext"/>
              <w:tabs>
                <w:tab w:val="clear" w:pos="284"/>
                <w:tab w:val="left" w:pos="463"/>
              </w:tabs>
              <w:spacing w:line="480" w:lineRule="auto"/>
              <w:jc w:val="center"/>
              <w:rPr>
                <w:b/>
                <w:bCs/>
                <w:lang w:val="es-ES_tradnl" w:eastAsia="nl-NL"/>
              </w:rPr>
            </w:pPr>
            <w:r w:rsidRPr="003E6986">
              <w:rPr>
                <w:rFonts w:eastAsia="Calibri"/>
                <w:b/>
                <w:bCs/>
                <w:lang w:val="es-ES_tradnl"/>
              </w:rPr>
              <w:t xml:space="preserve">GT </w:t>
            </w:r>
            <w:r w:rsidR="004A6070" w:rsidRPr="003E6986">
              <w:rPr>
                <w:rFonts w:eastAsia="Calibri"/>
                <w:b/>
                <w:bCs/>
                <w:lang w:val="es-ES_tradnl"/>
              </w:rPr>
              <w:t>7C</w:t>
            </w:r>
          </w:p>
        </w:tc>
      </w:tr>
      <w:tr w:rsidR="004A7B85" w:rsidRPr="008653C7" w14:paraId="1A05933D" w14:textId="77777777" w:rsidTr="003F05FF">
        <w:trPr>
          <w:gridAfter w:val="1"/>
          <w:wAfter w:w="27" w:type="dxa"/>
          <w:cantSplit/>
          <w:jc w:val="center"/>
        </w:trPr>
        <w:tc>
          <w:tcPr>
            <w:tcW w:w="14036" w:type="dxa"/>
            <w:gridSpan w:val="4"/>
          </w:tcPr>
          <w:p w14:paraId="032E15C3" w14:textId="67D02B6D" w:rsidR="004A7B85" w:rsidRPr="003E6986" w:rsidRDefault="00C1313A" w:rsidP="001E2EFF">
            <w:pPr>
              <w:pStyle w:val="Tabletext"/>
              <w:keepNext/>
              <w:keepLines/>
              <w:tabs>
                <w:tab w:val="clear" w:pos="284"/>
                <w:tab w:val="left" w:pos="594"/>
              </w:tabs>
              <w:jc w:val="both"/>
              <w:rPr>
                <w:lang w:val="es-ES_tradnl" w:eastAsia="nl-NL"/>
              </w:rPr>
            </w:pPr>
            <w:r w:rsidRPr="003E6986">
              <w:rPr>
                <w:lang w:val="es-ES_tradnl" w:eastAsia="nl-NL"/>
              </w:rPr>
              <w:t>1.5</w:t>
            </w:r>
            <w:r w:rsidRPr="003E6986">
              <w:rPr>
                <w:lang w:val="es-ES_tradnl" w:eastAsia="nl-NL"/>
              </w:rPr>
              <w:tab/>
              <w:t xml:space="preserve">considerar medidas reglamentarias y su aplicabilidad para limitar el funcionamiento no autorizado de estaciones terrenas en órbitas de satélites no geoestacionarios del servicio fijo por satélite y el servicio móvil por satélite y temas conexos relacionados con la zona de servicio de sistemas de satélites en órbitas de satélites no geoestacionarios del servicio fijo por satélite y el servicio móvil por satélite, de conformidad con la Resolución </w:t>
            </w:r>
            <w:r w:rsidR="00343213" w:rsidRPr="003E6986">
              <w:rPr>
                <w:b/>
                <w:lang w:val="es-ES_tradnl" w:eastAsia="nl-NL"/>
              </w:rPr>
              <w:t>14</w:t>
            </w:r>
            <w:r w:rsidRPr="003E6986">
              <w:rPr>
                <w:b/>
                <w:lang w:val="es-ES_tradnl" w:eastAsia="nl-NL"/>
              </w:rPr>
              <w:t xml:space="preserve"> (CMR-23)</w:t>
            </w:r>
            <w:r w:rsidRPr="003E6986">
              <w:rPr>
                <w:lang w:val="es-ES_tradnl" w:eastAsia="nl-NL"/>
              </w:rPr>
              <w:t>;</w:t>
            </w:r>
          </w:p>
        </w:tc>
      </w:tr>
      <w:tr w:rsidR="004A7B85" w:rsidRPr="003E6986" w14:paraId="2A036971" w14:textId="77777777" w:rsidTr="003F05FF">
        <w:trPr>
          <w:gridAfter w:val="1"/>
          <w:wAfter w:w="27" w:type="dxa"/>
          <w:cantSplit/>
          <w:jc w:val="center"/>
        </w:trPr>
        <w:tc>
          <w:tcPr>
            <w:tcW w:w="3304" w:type="dxa"/>
          </w:tcPr>
          <w:p w14:paraId="70B8349C" w14:textId="549F0DC5" w:rsidR="00C1313A" w:rsidRPr="003E6986" w:rsidRDefault="00C1313A" w:rsidP="00C1313A">
            <w:pPr>
              <w:pStyle w:val="Tabletext"/>
              <w:tabs>
                <w:tab w:val="left" w:pos="463"/>
              </w:tabs>
              <w:rPr>
                <w:lang w:val="es-ES_tradnl" w:eastAsia="nl-NL"/>
              </w:rPr>
            </w:pPr>
            <w:r w:rsidRPr="003E6986">
              <w:rPr>
                <w:lang w:val="es-ES_tradnl" w:eastAsia="nl-NL"/>
              </w:rPr>
              <w:t xml:space="preserve">Resolución </w:t>
            </w:r>
            <w:r w:rsidR="00343213" w:rsidRPr="003E6986">
              <w:rPr>
                <w:b/>
                <w:lang w:val="es-ES_tradnl" w:eastAsia="nl-NL"/>
              </w:rPr>
              <w:t>14</w:t>
            </w:r>
            <w:r w:rsidRPr="003E6986">
              <w:rPr>
                <w:b/>
                <w:lang w:val="es-ES_tradnl" w:eastAsia="nl-NL"/>
              </w:rPr>
              <w:t xml:space="preserve"> (</w:t>
            </w:r>
            <w:proofErr w:type="spellStart"/>
            <w:r w:rsidRPr="003E6986">
              <w:rPr>
                <w:b/>
                <w:lang w:val="es-ES_tradnl" w:eastAsia="nl-NL"/>
              </w:rPr>
              <w:t>CMR</w:t>
            </w:r>
            <w:proofErr w:type="spellEnd"/>
            <w:r w:rsidRPr="003E6986">
              <w:rPr>
                <w:b/>
                <w:lang w:val="es-ES_tradnl" w:eastAsia="nl-NL"/>
              </w:rPr>
              <w:t xml:space="preserve"> 23)</w:t>
            </w:r>
          </w:p>
          <w:p w14:paraId="69AF12D6" w14:textId="65C72999" w:rsidR="004A7B85" w:rsidRPr="003E6986" w:rsidRDefault="00C1313A" w:rsidP="002232AC">
            <w:pPr>
              <w:pStyle w:val="Tabletext"/>
              <w:tabs>
                <w:tab w:val="clear" w:pos="284"/>
                <w:tab w:val="left" w:pos="463"/>
              </w:tabs>
              <w:rPr>
                <w:lang w:val="es-ES_tradnl" w:eastAsia="nl-NL"/>
              </w:rPr>
            </w:pPr>
            <w:r w:rsidRPr="003E6986">
              <w:rPr>
                <w:lang w:val="es-ES_tradnl" w:eastAsia="nl-NL"/>
              </w:rPr>
              <w:t>Estudios sobre la elaboración de medidas reglamentarias y su implementación para limitar el funcionamiento no autorizado de estaciones terrenas no geoestacionarias del servicio fijo por satélite y del servicio móvil por satélite y de temas conexos relacionados con la zona de servicio de los sistemas de satélites no geoestacionarios de los servicios fijo por satélite y móvil por satélite</w:t>
            </w:r>
          </w:p>
        </w:tc>
        <w:tc>
          <w:tcPr>
            <w:tcW w:w="1517" w:type="dxa"/>
          </w:tcPr>
          <w:p w14:paraId="4F6BB769" w14:textId="6A17063D" w:rsidR="004A7B85" w:rsidRPr="003E6986" w:rsidRDefault="00C1313A" w:rsidP="00C1313A">
            <w:pPr>
              <w:pStyle w:val="Tabletext"/>
              <w:tabs>
                <w:tab w:val="clear" w:pos="284"/>
                <w:tab w:val="left" w:pos="463"/>
              </w:tabs>
              <w:jc w:val="center"/>
              <w:rPr>
                <w:b/>
                <w:bCs/>
                <w:lang w:val="es-ES_tradnl" w:eastAsia="nl-NL"/>
              </w:rPr>
            </w:pPr>
            <w:r w:rsidRPr="003E6986">
              <w:rPr>
                <w:b/>
                <w:bCs/>
                <w:lang w:val="es-ES_tradnl" w:eastAsia="nl-NL"/>
              </w:rPr>
              <w:t>GT 4A</w:t>
            </w:r>
          </w:p>
        </w:tc>
        <w:tc>
          <w:tcPr>
            <w:tcW w:w="7809" w:type="dxa"/>
          </w:tcPr>
          <w:p w14:paraId="3F96CA4F" w14:textId="77777777" w:rsidR="00A91BD9" w:rsidRPr="003E6986" w:rsidRDefault="00A91BD9" w:rsidP="00A91BD9">
            <w:pPr>
              <w:pStyle w:val="Tabletext"/>
              <w:tabs>
                <w:tab w:val="left" w:pos="463"/>
              </w:tabs>
              <w:ind w:left="454"/>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2027</w:t>
            </w:r>
          </w:p>
          <w:p w14:paraId="16DC0581" w14:textId="77777777" w:rsidR="00A91BD9" w:rsidRPr="003E6986" w:rsidRDefault="00A91BD9" w:rsidP="008F3050">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r>
            <w:r w:rsidRPr="003E6986">
              <w:rPr>
                <w:rFonts w:eastAsia="???"/>
                <w:iCs/>
                <w:lang w:val="es-ES_tradnl" w:eastAsia="nl-NL"/>
              </w:rPr>
              <w:t>estudios</w:t>
            </w:r>
            <w:r w:rsidRPr="003E6986">
              <w:rPr>
                <w:lang w:val="es-ES_tradnl" w:eastAsia="nl-NL"/>
              </w:rPr>
              <w:t xml:space="preserve"> sobre medidas reglamentarias para limitar el funcionamiento no autorizado de estaciones terrenas no OSG del SFS y del SMS en el sentido Tierra-espacio a fin de realizar e interrumpir dicho funcionamiento teniendo en cuenta aspectos técnicos y operativos, según proceda;</w:t>
            </w:r>
          </w:p>
          <w:p w14:paraId="1BDE2B17" w14:textId="77777777" w:rsidR="004A7B85" w:rsidRPr="003E6986" w:rsidRDefault="00A91BD9" w:rsidP="00A91BD9">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 xml:space="preserve">estudios sobre medidas reglamentarias, teniendo en cuenta el </w:t>
            </w:r>
            <w:r w:rsidRPr="00054956">
              <w:rPr>
                <w:i/>
                <w:iCs/>
                <w:lang w:val="es-ES_tradnl" w:eastAsia="nl-NL"/>
              </w:rPr>
              <w:t>reconociendo c)</w:t>
            </w:r>
            <w:r w:rsidRPr="003E6986">
              <w:rPr>
                <w:lang w:val="es-ES_tradnl" w:eastAsia="nl-NL"/>
              </w:rPr>
              <w:t xml:space="preserve"> en relación con los sistemas de satélites no OSG del SFS y del SMS y la implementación de dichas medidas sin afectar negativamente a la prestación del servicio en el resto de la zona de servicio del sistema de satélites no OSG,</w:t>
            </w:r>
          </w:p>
          <w:p w14:paraId="7B76452D" w14:textId="77777777" w:rsidR="00A91BD9" w:rsidRPr="003E6986" w:rsidRDefault="00A91BD9" w:rsidP="00A91BD9">
            <w:pPr>
              <w:pStyle w:val="Tabletext"/>
              <w:tabs>
                <w:tab w:val="clear" w:pos="284"/>
                <w:tab w:val="left" w:pos="463"/>
              </w:tabs>
              <w:jc w:val="both"/>
              <w:rPr>
                <w:lang w:val="es-ES_tradnl" w:eastAsia="nl-NL"/>
              </w:rPr>
            </w:pPr>
            <w:r w:rsidRPr="003E6986">
              <w:rPr>
                <w:lang w:val="es-ES_tradnl" w:eastAsia="nl-NL"/>
              </w:rPr>
              <w:t>…</w:t>
            </w:r>
          </w:p>
          <w:p w14:paraId="0BD4943D" w14:textId="77777777" w:rsidR="00A91BD9" w:rsidRPr="003E6986" w:rsidRDefault="00A91BD9" w:rsidP="00A91BD9">
            <w:pPr>
              <w:pStyle w:val="Tabletext"/>
              <w:tabs>
                <w:tab w:val="left" w:pos="463"/>
              </w:tabs>
              <w:ind w:left="454"/>
              <w:rPr>
                <w:rFonts w:eastAsia="???"/>
                <w:i/>
                <w:iCs/>
                <w:lang w:val="es-ES_tradnl" w:eastAsia="nl-NL"/>
              </w:rPr>
            </w:pPr>
            <w:r w:rsidRPr="003E6986">
              <w:rPr>
                <w:rFonts w:eastAsia="???"/>
                <w:i/>
                <w:iCs/>
                <w:lang w:val="es-ES_tradnl" w:eastAsia="nl-NL"/>
              </w:rPr>
              <w:t>resuelve invitar la Conferencia Mundial de Radiocomunicaciones de 2027</w:t>
            </w:r>
          </w:p>
          <w:p w14:paraId="62E124A0" w14:textId="7547A539" w:rsidR="00A91BD9" w:rsidRPr="003E6986" w:rsidRDefault="00A91BD9" w:rsidP="00A91BD9">
            <w:pPr>
              <w:pStyle w:val="Tabletext"/>
              <w:tabs>
                <w:tab w:val="clear" w:pos="284"/>
                <w:tab w:val="left" w:pos="463"/>
              </w:tabs>
              <w:jc w:val="both"/>
              <w:rPr>
                <w:lang w:val="es-ES_tradnl" w:eastAsia="nl-NL"/>
              </w:rPr>
            </w:pPr>
            <w:r w:rsidRPr="003E6986">
              <w:rPr>
                <w:lang w:val="es-ES_tradnl" w:eastAsia="nl-NL"/>
              </w:rPr>
              <w:t xml:space="preserve">a considerar los resultados de los estudios mencionados en el </w:t>
            </w:r>
            <w:r w:rsidRPr="002232AC">
              <w:rPr>
                <w:i/>
                <w:iCs/>
                <w:lang w:val="es-ES_tradnl" w:eastAsia="nl-NL"/>
              </w:rPr>
              <w:t>resuelve invitar al Sector de Radiocomunicaciones de la UIT a finalizar a tiempo para la Conferencia Mundial de Radiocomunicaciones de 2027</w:t>
            </w:r>
            <w:r w:rsidRPr="003E6986">
              <w:rPr>
                <w:lang w:val="es-ES_tradnl" w:eastAsia="nl-NL"/>
              </w:rPr>
              <w:t xml:space="preserve"> y tomas las medidas apropiadas.</w:t>
            </w:r>
          </w:p>
        </w:tc>
        <w:tc>
          <w:tcPr>
            <w:tcW w:w="1406" w:type="dxa"/>
          </w:tcPr>
          <w:p w14:paraId="7AC3777E" w14:textId="180CFCC9" w:rsidR="004A6070" w:rsidRPr="003E6986" w:rsidRDefault="008F3050" w:rsidP="004A6070">
            <w:pPr>
              <w:pStyle w:val="Tabletext"/>
              <w:jc w:val="center"/>
              <w:rPr>
                <w:rFonts w:eastAsia="Calibri"/>
                <w:b/>
                <w:bCs/>
                <w:lang w:val="es-ES_tradnl"/>
              </w:rPr>
            </w:pPr>
            <w:r w:rsidRPr="003E6986">
              <w:rPr>
                <w:b/>
                <w:bCs/>
                <w:lang w:val="es-ES_tradnl"/>
              </w:rPr>
              <w:t xml:space="preserve">GT </w:t>
            </w:r>
            <w:r w:rsidR="004A6070" w:rsidRPr="003E6986">
              <w:rPr>
                <w:b/>
                <w:bCs/>
                <w:lang w:val="es-ES_tradnl"/>
              </w:rPr>
              <w:t>1B</w:t>
            </w:r>
          </w:p>
          <w:p w14:paraId="724707CE" w14:textId="48AE4179" w:rsidR="004A7B85" w:rsidRPr="003E6986" w:rsidRDefault="00855045" w:rsidP="004A6070">
            <w:pPr>
              <w:pStyle w:val="Tabletext"/>
              <w:tabs>
                <w:tab w:val="clear" w:pos="284"/>
                <w:tab w:val="left" w:pos="463"/>
              </w:tabs>
              <w:spacing w:line="480" w:lineRule="auto"/>
              <w:jc w:val="center"/>
              <w:rPr>
                <w:b/>
                <w:bCs/>
                <w:lang w:val="es-ES_tradnl" w:eastAsia="nl-NL"/>
              </w:rPr>
            </w:pPr>
            <w:r>
              <w:rPr>
                <w:b/>
                <w:bCs/>
                <w:lang w:val="es-ES_tradnl"/>
              </w:rPr>
              <w:t>GT</w:t>
            </w:r>
            <w:r w:rsidR="004A6070" w:rsidRPr="003E6986">
              <w:rPr>
                <w:b/>
                <w:bCs/>
                <w:lang w:val="es-ES_tradnl"/>
              </w:rPr>
              <w:t xml:space="preserve"> 4C</w:t>
            </w:r>
          </w:p>
        </w:tc>
      </w:tr>
      <w:tr w:rsidR="004A7B85" w:rsidRPr="008653C7" w14:paraId="3511C179" w14:textId="77777777" w:rsidTr="003F05FF">
        <w:trPr>
          <w:gridAfter w:val="1"/>
          <w:wAfter w:w="27" w:type="dxa"/>
          <w:jc w:val="center"/>
        </w:trPr>
        <w:tc>
          <w:tcPr>
            <w:tcW w:w="14036" w:type="dxa"/>
            <w:gridSpan w:val="4"/>
          </w:tcPr>
          <w:p w14:paraId="5FF0D46A" w14:textId="5F2CA77E" w:rsidR="004A7B85" w:rsidRPr="003E6986" w:rsidRDefault="00CE1586" w:rsidP="00E4145D">
            <w:pPr>
              <w:pStyle w:val="Tabletext"/>
              <w:keepNext/>
              <w:keepLines/>
              <w:tabs>
                <w:tab w:val="clear" w:pos="284"/>
                <w:tab w:val="left" w:pos="594"/>
              </w:tabs>
              <w:jc w:val="both"/>
              <w:rPr>
                <w:lang w:val="es-ES_tradnl" w:eastAsia="nl-NL"/>
              </w:rPr>
            </w:pPr>
            <w:r w:rsidRPr="003E6986">
              <w:rPr>
                <w:lang w:val="es-ES_tradnl" w:eastAsia="nl-NL"/>
              </w:rPr>
              <w:lastRenderedPageBreak/>
              <w:t>1.6</w:t>
            </w:r>
            <w:r w:rsidRPr="003E6986">
              <w:rPr>
                <w:lang w:val="es-ES_tradnl" w:eastAsia="nl-NL"/>
              </w:rPr>
              <w:tab/>
              <w:t xml:space="preserve">considerar las medidas técnicas y reglamentarias aplicables a las redes/sistemas de satélites del servicio fijo por satélite en las bandas de frecuencias 37,5-42,5 GHz (espacio-Tierra), 42,5-43,5 GHz (Tierra-espacio), 47,2-50,2 GHz (Tierra-espacio) y 50,4-51,4 GHz (Tierra-espacio) para lograr el acceso equitativo a estas bandas de frecuencias, de conformidad con la Resolución </w:t>
            </w:r>
            <w:r w:rsidR="00343213" w:rsidRPr="003E6986">
              <w:rPr>
                <w:b/>
                <w:lang w:val="es-ES_tradnl" w:eastAsia="nl-NL"/>
              </w:rPr>
              <w:t>131</w:t>
            </w:r>
            <w:r w:rsidRPr="003E6986">
              <w:rPr>
                <w:b/>
                <w:lang w:val="es-ES_tradnl" w:eastAsia="nl-NL"/>
              </w:rPr>
              <w:t xml:space="preserve"> (CMR-23)</w:t>
            </w:r>
            <w:r w:rsidRPr="003E6986">
              <w:rPr>
                <w:lang w:val="es-ES_tradnl" w:eastAsia="nl-NL"/>
              </w:rPr>
              <w:t>;</w:t>
            </w:r>
          </w:p>
        </w:tc>
      </w:tr>
      <w:tr w:rsidR="004A7B85" w:rsidRPr="008653C7" w14:paraId="26AB7E7F" w14:textId="77777777" w:rsidTr="003F05FF">
        <w:trPr>
          <w:gridAfter w:val="1"/>
          <w:wAfter w:w="27" w:type="dxa"/>
          <w:jc w:val="center"/>
        </w:trPr>
        <w:tc>
          <w:tcPr>
            <w:tcW w:w="3304" w:type="dxa"/>
          </w:tcPr>
          <w:p w14:paraId="0A11BFD5" w14:textId="7B21EBBD" w:rsidR="00CE1586" w:rsidRPr="003E6986" w:rsidRDefault="00CE1586" w:rsidP="00CE1586">
            <w:pPr>
              <w:pStyle w:val="Tabletext"/>
              <w:tabs>
                <w:tab w:val="left" w:pos="463"/>
              </w:tabs>
              <w:rPr>
                <w:lang w:val="es-ES_tradnl" w:eastAsia="nl-NL"/>
              </w:rPr>
            </w:pPr>
            <w:r w:rsidRPr="003E6986">
              <w:rPr>
                <w:lang w:val="es-ES_tradnl" w:eastAsia="nl-NL"/>
              </w:rPr>
              <w:t xml:space="preserve">Resolución </w:t>
            </w:r>
            <w:r w:rsidR="00343213" w:rsidRPr="003E6986">
              <w:rPr>
                <w:b/>
                <w:lang w:val="es-ES_tradnl" w:eastAsia="nl-NL"/>
              </w:rPr>
              <w:t>131</w:t>
            </w:r>
            <w:r w:rsidRPr="003E6986">
              <w:rPr>
                <w:b/>
                <w:lang w:val="es-ES_tradnl" w:eastAsia="nl-NL"/>
              </w:rPr>
              <w:t xml:space="preserve"> (</w:t>
            </w:r>
            <w:proofErr w:type="spellStart"/>
            <w:r w:rsidRPr="003E6986">
              <w:rPr>
                <w:b/>
                <w:lang w:val="es-ES_tradnl" w:eastAsia="nl-NL"/>
              </w:rPr>
              <w:t>CMR</w:t>
            </w:r>
            <w:proofErr w:type="spellEnd"/>
            <w:r w:rsidRPr="003E6986">
              <w:rPr>
                <w:b/>
                <w:lang w:val="es-ES_tradnl" w:eastAsia="nl-NL"/>
              </w:rPr>
              <w:t>-23)</w:t>
            </w:r>
          </w:p>
          <w:p w14:paraId="514D7C1D" w14:textId="661D9FEE" w:rsidR="004A7B85" w:rsidRPr="003E6986" w:rsidRDefault="00CE1586" w:rsidP="002232AC">
            <w:pPr>
              <w:pStyle w:val="Tabletext"/>
              <w:tabs>
                <w:tab w:val="left" w:pos="463"/>
              </w:tabs>
              <w:rPr>
                <w:lang w:val="es-ES_tradnl" w:eastAsia="nl-NL"/>
              </w:rPr>
            </w:pPr>
            <w:r w:rsidRPr="003E6986">
              <w:rPr>
                <w:lang w:val="es-ES_tradnl" w:eastAsia="nl-NL"/>
              </w:rPr>
              <w:t>Consideración de las medidas técnicas y reglamentarias aplicables a las redes/sistemas de satélites de servicios fijos por satélite en las bandas de frecuencias 37,5-42,5 GHz (espacio-Tierra), 42,5-43,5 GHz (Tierra-espacio), 47,2-50,2 GHz (Tierra espacio) y 50,4-51,4 GHz (Tierra-espacio) para el acceso equitativo a estas bandas de frecuencias</w:t>
            </w:r>
          </w:p>
        </w:tc>
        <w:tc>
          <w:tcPr>
            <w:tcW w:w="1517" w:type="dxa"/>
          </w:tcPr>
          <w:p w14:paraId="249F3862" w14:textId="76D1DAC4" w:rsidR="004A7B85" w:rsidRPr="003E6986" w:rsidRDefault="00A92266" w:rsidP="00E4145D">
            <w:pPr>
              <w:pStyle w:val="Tabletext"/>
              <w:tabs>
                <w:tab w:val="clear" w:pos="284"/>
                <w:tab w:val="left" w:pos="463"/>
              </w:tabs>
              <w:jc w:val="center"/>
              <w:rPr>
                <w:b/>
                <w:bCs/>
                <w:lang w:val="es-ES_tradnl" w:eastAsia="nl-NL"/>
              </w:rPr>
            </w:pPr>
            <w:r w:rsidRPr="003E6986">
              <w:rPr>
                <w:b/>
                <w:bCs/>
                <w:lang w:val="es-ES_tradnl" w:eastAsia="nl-NL"/>
              </w:rPr>
              <w:t>GT</w:t>
            </w:r>
            <w:r w:rsidR="004A7B85" w:rsidRPr="003E6986">
              <w:rPr>
                <w:b/>
                <w:bCs/>
                <w:lang w:val="es-ES_tradnl" w:eastAsia="nl-NL"/>
              </w:rPr>
              <w:t> </w:t>
            </w:r>
            <w:r w:rsidR="00CE1586" w:rsidRPr="003E6986">
              <w:rPr>
                <w:b/>
                <w:bCs/>
                <w:lang w:val="es-ES_tradnl" w:eastAsia="nl-NL"/>
              </w:rPr>
              <w:t>4A</w:t>
            </w:r>
          </w:p>
          <w:p w14:paraId="0B42C4E5" w14:textId="517F835A" w:rsidR="004A7B85" w:rsidRPr="003E6986" w:rsidRDefault="004A7B85" w:rsidP="00E4145D">
            <w:pPr>
              <w:pStyle w:val="Tabletext"/>
              <w:tabs>
                <w:tab w:val="clear" w:pos="284"/>
                <w:tab w:val="left" w:pos="463"/>
              </w:tabs>
              <w:rPr>
                <w:lang w:val="es-ES_tradnl" w:eastAsia="nl-NL"/>
              </w:rPr>
            </w:pPr>
          </w:p>
        </w:tc>
        <w:tc>
          <w:tcPr>
            <w:tcW w:w="7809" w:type="dxa"/>
          </w:tcPr>
          <w:p w14:paraId="4F162164" w14:textId="77777777" w:rsidR="00CE1586" w:rsidRPr="003E6986" w:rsidRDefault="00CE1586" w:rsidP="00CE1586">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del UIT a finalizar a tiempo para la Conferencia Mundial de Radiocomunicaciones de 2027</w:t>
            </w:r>
          </w:p>
          <w:p w14:paraId="1F0BDB43" w14:textId="77777777" w:rsidR="00CE1586" w:rsidRPr="003E6986" w:rsidRDefault="00CE1586" w:rsidP="00CE1586">
            <w:pPr>
              <w:pStyle w:val="Tabletext"/>
              <w:tabs>
                <w:tab w:val="left" w:pos="463"/>
              </w:tabs>
              <w:rPr>
                <w:lang w:val="es-ES_tradnl" w:eastAsia="nl-NL"/>
              </w:rPr>
            </w:pPr>
            <w:r w:rsidRPr="003E6986">
              <w:rPr>
                <w:lang w:val="es-ES_tradnl" w:eastAsia="nl-NL"/>
              </w:rPr>
              <w:t>el estudio de las medidas técnicas y regulatorias aplicables a las redes/sistemas del SFS en las bandas de frecuencias 37,5-42,5 GHz (espacio-Tierra), 42,5-43,5 GHz (Tierra-espacio), 47,2-50,2 GHz (Tierra-espacio) y 50,4-51,4 GHz (Tierra-espacio), o partes de la misma, para lograr el acceso equitativo, garantizando a su vez la protección de los servicios primarios existentes a los que está atribuida la banda en las mismas bandas o en bandas adyacentes, habida cuenta de las necesidades especiales de los países en desarrollo:</w:t>
            </w:r>
          </w:p>
          <w:p w14:paraId="5ACDC4D3" w14:textId="4362864C" w:rsidR="00CE1586" w:rsidRPr="003E6986" w:rsidRDefault="00CE1586" w:rsidP="008F3050">
            <w:pPr>
              <w:pStyle w:val="Tabletext"/>
              <w:tabs>
                <w:tab w:val="clear" w:pos="284"/>
                <w:tab w:val="left" w:pos="463"/>
              </w:tabs>
              <w:ind w:left="463" w:hanging="463"/>
              <w:jc w:val="both"/>
              <w:rPr>
                <w:lang w:val="es-ES_tradnl" w:eastAsia="nl-NL"/>
              </w:rPr>
            </w:pPr>
            <w:r w:rsidRPr="003E6986">
              <w:rPr>
                <w:lang w:val="es-ES_tradnl" w:eastAsia="nl-NL"/>
              </w:rPr>
              <w:t>–</w:t>
            </w:r>
            <w:r w:rsidRPr="003E6986">
              <w:rPr>
                <w:lang w:val="es-ES_tradnl" w:eastAsia="nl-NL"/>
              </w:rPr>
              <w:tab/>
              <w:t>sin menoscabar dichos servicios, en particular el funcionamiento de las redes y sistemas de satélites en esas bandas;</w:t>
            </w:r>
          </w:p>
          <w:p w14:paraId="2304C957" w14:textId="77777777" w:rsidR="00CE1586" w:rsidRPr="003E6986" w:rsidRDefault="00CE1586" w:rsidP="008F3050">
            <w:pPr>
              <w:pStyle w:val="Tabletext"/>
              <w:tabs>
                <w:tab w:val="clear" w:pos="284"/>
                <w:tab w:val="left" w:pos="463"/>
              </w:tabs>
              <w:ind w:left="463" w:hanging="463"/>
              <w:jc w:val="both"/>
              <w:rPr>
                <w:lang w:val="es-ES_tradnl" w:eastAsia="nl-NL"/>
              </w:rPr>
            </w:pPr>
            <w:r w:rsidRPr="003E6986">
              <w:rPr>
                <w:lang w:val="es-ES_tradnl" w:eastAsia="nl-NL"/>
              </w:rPr>
              <w:t>–</w:t>
            </w:r>
            <w:r w:rsidRPr="003E6986">
              <w:rPr>
                <w:lang w:val="es-ES_tradnl" w:eastAsia="nl-NL"/>
              </w:rPr>
              <w:tab/>
              <w:t>sin modificar las medidas de protección de los servicios terrenales contra la interferencia inaceptable,</w:t>
            </w:r>
          </w:p>
          <w:p w14:paraId="09ACDDA9" w14:textId="77777777" w:rsidR="00CE1586" w:rsidRPr="003E6986" w:rsidRDefault="00CE1586" w:rsidP="00CE1586">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2027</w:t>
            </w:r>
          </w:p>
          <w:p w14:paraId="75B74530" w14:textId="4398ECAF" w:rsidR="004A7B85" w:rsidRPr="003E6986" w:rsidRDefault="00CE1586" w:rsidP="00CE1586">
            <w:pPr>
              <w:pStyle w:val="Tabletext"/>
              <w:tabs>
                <w:tab w:val="clear" w:pos="284"/>
                <w:tab w:val="left" w:pos="463"/>
              </w:tabs>
              <w:jc w:val="both"/>
              <w:rPr>
                <w:lang w:val="es-ES_tradnl" w:eastAsia="nl-NL"/>
              </w:rPr>
            </w:pPr>
            <w:r w:rsidRPr="003E6986">
              <w:rPr>
                <w:lang w:val="es-ES_tradnl" w:eastAsia="nl-NL"/>
              </w:rPr>
              <w:t xml:space="preserve">a examinar los resultados de los estudios de conformidad con el </w:t>
            </w:r>
            <w:r w:rsidRPr="002232AC">
              <w:rPr>
                <w:i/>
                <w:iCs/>
                <w:lang w:val="es-ES_tradnl" w:eastAsia="nl-NL"/>
              </w:rPr>
              <w:t>resuelve invitar al Sector de Radiocomunicaciones del UIT a finalizar a tiempo para la Conferencia Mundial de Radiocomunicaciones de 2027</w:t>
            </w:r>
            <w:r w:rsidRPr="003E6986">
              <w:rPr>
                <w:lang w:val="es-ES_tradnl" w:eastAsia="nl-NL"/>
              </w:rPr>
              <w:t xml:space="preserve"> anterior y tomar las medidas adecuadas sobre la utilización de las bandas de frecuencias 37,5-42,5 GHz (espacio-Tierra), 42,5-43,5 GHz (Tierra-espacio), 47,2</w:t>
            </w:r>
            <w:r w:rsidR="00A923A9">
              <w:rPr>
                <w:lang w:val="es-ES_tradnl" w:eastAsia="nl-NL"/>
              </w:rPr>
              <w:t>-</w:t>
            </w:r>
            <w:r w:rsidRPr="003E6986">
              <w:rPr>
                <w:lang w:val="es-ES_tradnl" w:eastAsia="nl-NL"/>
              </w:rPr>
              <w:t>50,2 GHz (Tierra-espacio) y 50,4-51,4 (Tierra-espacio) para un acceso equitativo a estas bandas de frecuencias por las redes/sistemas del SFS,</w:t>
            </w:r>
          </w:p>
        </w:tc>
        <w:tc>
          <w:tcPr>
            <w:tcW w:w="1406" w:type="dxa"/>
          </w:tcPr>
          <w:p w14:paraId="7C9324A8" w14:textId="5EFE5528" w:rsidR="004A6070" w:rsidRPr="008653C7" w:rsidRDefault="008F3050" w:rsidP="004A6070">
            <w:pPr>
              <w:spacing w:before="40" w:after="40"/>
              <w:jc w:val="center"/>
              <w:rPr>
                <w:b/>
                <w:bCs/>
                <w:sz w:val="20"/>
                <w:lang w:val="fr-FR"/>
              </w:rPr>
            </w:pPr>
            <w:r w:rsidRPr="008653C7">
              <w:rPr>
                <w:rFonts w:eastAsia="Calibri"/>
                <w:b/>
                <w:bCs/>
                <w:sz w:val="20"/>
                <w:lang w:val="fr-FR"/>
              </w:rPr>
              <w:t>GT</w:t>
            </w:r>
            <w:r w:rsidR="004A6070" w:rsidRPr="008653C7">
              <w:rPr>
                <w:rFonts w:eastAsia="Calibri"/>
                <w:b/>
                <w:bCs/>
                <w:sz w:val="20"/>
                <w:lang w:val="fr-FR"/>
              </w:rPr>
              <w:t xml:space="preserve"> </w:t>
            </w:r>
            <w:proofErr w:type="spellStart"/>
            <w:r w:rsidR="004A6070" w:rsidRPr="008653C7">
              <w:rPr>
                <w:rFonts w:eastAsia="Calibri"/>
                <w:b/>
                <w:bCs/>
                <w:sz w:val="20"/>
                <w:lang w:val="fr-FR"/>
              </w:rPr>
              <w:t>1B</w:t>
            </w:r>
            <w:proofErr w:type="spellEnd"/>
          </w:p>
          <w:p w14:paraId="33F242BC" w14:textId="037019AB" w:rsidR="004A6070" w:rsidRPr="008653C7" w:rsidRDefault="00855045" w:rsidP="004A6070">
            <w:pPr>
              <w:spacing w:before="40" w:after="40"/>
              <w:jc w:val="center"/>
              <w:rPr>
                <w:b/>
                <w:bCs/>
                <w:sz w:val="20"/>
                <w:lang w:val="fr-FR"/>
              </w:rPr>
            </w:pPr>
            <w:r w:rsidRPr="008653C7">
              <w:rPr>
                <w:rFonts w:eastAsia="Calibri"/>
                <w:b/>
                <w:bCs/>
                <w:sz w:val="20"/>
                <w:lang w:val="fr-FR"/>
              </w:rPr>
              <w:t xml:space="preserve">GT </w:t>
            </w:r>
            <w:r w:rsidR="004A6070" w:rsidRPr="008653C7">
              <w:rPr>
                <w:rFonts w:eastAsia="Calibri"/>
                <w:b/>
                <w:bCs/>
                <w:sz w:val="20"/>
                <w:lang w:val="fr-FR"/>
              </w:rPr>
              <w:t>3M</w:t>
            </w:r>
          </w:p>
          <w:p w14:paraId="6FF6E9F4" w14:textId="21D2CEE4" w:rsidR="004A6070" w:rsidRPr="008653C7" w:rsidRDefault="00855045" w:rsidP="004A6070">
            <w:pPr>
              <w:spacing w:before="40" w:after="40"/>
              <w:jc w:val="center"/>
              <w:rPr>
                <w:b/>
                <w:bCs/>
                <w:sz w:val="20"/>
                <w:lang w:val="fr-FR"/>
              </w:rPr>
            </w:pPr>
            <w:r w:rsidRPr="008653C7">
              <w:rPr>
                <w:rFonts w:eastAsia="Calibri"/>
                <w:b/>
                <w:bCs/>
                <w:sz w:val="20"/>
                <w:lang w:val="fr-FR"/>
              </w:rPr>
              <w:t>GT</w:t>
            </w:r>
            <w:r w:rsidR="004A6070" w:rsidRPr="008653C7">
              <w:rPr>
                <w:rFonts w:eastAsia="Calibri"/>
                <w:b/>
                <w:bCs/>
                <w:sz w:val="20"/>
                <w:lang w:val="fr-FR"/>
              </w:rPr>
              <w:t xml:space="preserve"> </w:t>
            </w:r>
            <w:proofErr w:type="spellStart"/>
            <w:r w:rsidR="004A6070" w:rsidRPr="008653C7">
              <w:rPr>
                <w:rFonts w:eastAsia="Calibri"/>
                <w:b/>
                <w:bCs/>
                <w:sz w:val="20"/>
                <w:lang w:val="fr-FR"/>
              </w:rPr>
              <w:t>4B</w:t>
            </w:r>
            <w:proofErr w:type="spellEnd"/>
          </w:p>
          <w:p w14:paraId="6E7A36AA" w14:textId="01E4FB1F" w:rsidR="004A6070" w:rsidRPr="008653C7" w:rsidRDefault="00855045" w:rsidP="004A6070">
            <w:pPr>
              <w:spacing w:before="40" w:after="40"/>
              <w:jc w:val="center"/>
              <w:rPr>
                <w:b/>
                <w:bCs/>
                <w:sz w:val="20"/>
                <w:lang w:val="fr-FR"/>
              </w:rPr>
            </w:pPr>
            <w:r w:rsidRPr="008653C7">
              <w:rPr>
                <w:rFonts w:eastAsia="Calibri"/>
                <w:b/>
                <w:bCs/>
                <w:sz w:val="20"/>
                <w:lang w:val="fr-FR"/>
              </w:rPr>
              <w:t xml:space="preserve">GT </w:t>
            </w:r>
            <w:proofErr w:type="spellStart"/>
            <w:r w:rsidR="004A6070" w:rsidRPr="008653C7">
              <w:rPr>
                <w:rFonts w:eastAsia="Calibri"/>
                <w:b/>
                <w:bCs/>
                <w:sz w:val="20"/>
                <w:lang w:val="fr-FR"/>
              </w:rPr>
              <w:t>4C</w:t>
            </w:r>
            <w:proofErr w:type="spellEnd"/>
          </w:p>
          <w:p w14:paraId="61900FDE" w14:textId="4B020F3E" w:rsidR="004A6070" w:rsidRPr="008653C7" w:rsidRDefault="00855045" w:rsidP="004A6070">
            <w:pPr>
              <w:spacing w:before="40" w:after="40"/>
              <w:jc w:val="center"/>
              <w:rPr>
                <w:b/>
                <w:bCs/>
                <w:sz w:val="20"/>
                <w:lang w:val="fr-FR"/>
              </w:rPr>
            </w:pPr>
            <w:r w:rsidRPr="008653C7">
              <w:rPr>
                <w:rFonts w:eastAsia="Calibri"/>
                <w:b/>
                <w:bCs/>
                <w:sz w:val="20"/>
                <w:lang w:val="fr-FR"/>
              </w:rPr>
              <w:t>GT</w:t>
            </w:r>
            <w:r w:rsidR="004A6070" w:rsidRPr="008653C7">
              <w:rPr>
                <w:rFonts w:eastAsia="Calibri"/>
                <w:b/>
                <w:bCs/>
                <w:sz w:val="20"/>
                <w:lang w:val="fr-FR"/>
              </w:rPr>
              <w:t xml:space="preserve"> </w:t>
            </w:r>
            <w:proofErr w:type="spellStart"/>
            <w:r w:rsidR="004A6070" w:rsidRPr="008653C7">
              <w:rPr>
                <w:rFonts w:eastAsia="Calibri"/>
                <w:b/>
                <w:bCs/>
                <w:sz w:val="20"/>
                <w:lang w:val="fr-FR"/>
              </w:rPr>
              <w:t>5A</w:t>
            </w:r>
            <w:proofErr w:type="spellEnd"/>
          </w:p>
          <w:p w14:paraId="6EBD9814" w14:textId="3791302B" w:rsidR="004A6070" w:rsidRPr="008653C7" w:rsidRDefault="00855045" w:rsidP="004A6070">
            <w:pPr>
              <w:spacing w:before="40" w:after="40"/>
              <w:jc w:val="center"/>
              <w:rPr>
                <w:b/>
                <w:bCs/>
                <w:sz w:val="20"/>
                <w:lang w:val="fr-FR"/>
              </w:rPr>
            </w:pPr>
            <w:proofErr w:type="spellStart"/>
            <w:r w:rsidRPr="008653C7">
              <w:rPr>
                <w:rFonts w:eastAsia="Calibri"/>
                <w:b/>
                <w:bCs/>
                <w:sz w:val="20"/>
                <w:lang w:val="fr-FR"/>
              </w:rPr>
              <w:t>GT</w:t>
            </w:r>
            <w:r w:rsidR="004A6070" w:rsidRPr="008653C7">
              <w:rPr>
                <w:rFonts w:eastAsia="Calibri"/>
                <w:b/>
                <w:bCs/>
                <w:sz w:val="20"/>
                <w:lang w:val="fr-FR"/>
              </w:rPr>
              <w:t>5B</w:t>
            </w:r>
            <w:proofErr w:type="spellEnd"/>
          </w:p>
          <w:p w14:paraId="7A802EB3" w14:textId="2E421CE5" w:rsidR="004A6070" w:rsidRPr="008653C7" w:rsidRDefault="00CC514C" w:rsidP="004A6070">
            <w:pPr>
              <w:spacing w:before="40" w:after="40"/>
              <w:jc w:val="center"/>
              <w:rPr>
                <w:b/>
                <w:bCs/>
                <w:sz w:val="20"/>
                <w:lang w:val="fr-FR"/>
              </w:rPr>
            </w:pPr>
            <w:r w:rsidRPr="008653C7">
              <w:rPr>
                <w:rFonts w:eastAsia="Calibri"/>
                <w:b/>
                <w:bCs/>
                <w:sz w:val="20"/>
                <w:lang w:val="fr-FR"/>
              </w:rPr>
              <w:t xml:space="preserve">GT </w:t>
            </w:r>
            <w:proofErr w:type="spellStart"/>
            <w:r w:rsidR="004A6070" w:rsidRPr="008653C7">
              <w:rPr>
                <w:rFonts w:eastAsia="Calibri"/>
                <w:b/>
                <w:bCs/>
                <w:sz w:val="20"/>
                <w:lang w:val="fr-FR"/>
              </w:rPr>
              <w:t>5C</w:t>
            </w:r>
            <w:proofErr w:type="spellEnd"/>
          </w:p>
          <w:p w14:paraId="228C778C" w14:textId="5B86EFD1" w:rsidR="004A6070" w:rsidRPr="008653C7" w:rsidRDefault="00855045" w:rsidP="004A6070">
            <w:pPr>
              <w:spacing w:before="40" w:after="40"/>
              <w:jc w:val="center"/>
              <w:rPr>
                <w:b/>
                <w:bCs/>
                <w:sz w:val="20"/>
                <w:lang w:val="fr-FR"/>
              </w:rPr>
            </w:pPr>
            <w:r w:rsidRPr="008653C7">
              <w:rPr>
                <w:rFonts w:eastAsia="Calibri"/>
                <w:b/>
                <w:bCs/>
                <w:sz w:val="20"/>
                <w:lang w:val="fr-FR"/>
              </w:rPr>
              <w:t>GT</w:t>
            </w:r>
            <w:r w:rsidR="004A6070" w:rsidRPr="008653C7">
              <w:rPr>
                <w:rFonts w:eastAsia="Calibri"/>
                <w:b/>
                <w:bCs/>
                <w:sz w:val="20"/>
                <w:lang w:val="fr-FR"/>
              </w:rPr>
              <w:t xml:space="preserve"> </w:t>
            </w:r>
            <w:proofErr w:type="spellStart"/>
            <w:r w:rsidR="004A6070" w:rsidRPr="008653C7">
              <w:rPr>
                <w:rFonts w:eastAsia="Calibri"/>
                <w:b/>
                <w:bCs/>
                <w:sz w:val="20"/>
                <w:lang w:val="fr-FR"/>
              </w:rPr>
              <w:t>5D</w:t>
            </w:r>
            <w:proofErr w:type="spellEnd"/>
          </w:p>
          <w:p w14:paraId="01D30CB5" w14:textId="4441F161" w:rsidR="004A6070" w:rsidRPr="008653C7" w:rsidRDefault="008F3050" w:rsidP="004A6070">
            <w:pPr>
              <w:spacing w:before="40" w:after="40"/>
              <w:jc w:val="center"/>
              <w:rPr>
                <w:b/>
                <w:bCs/>
                <w:sz w:val="20"/>
                <w:lang w:val="fr-FR"/>
              </w:rPr>
            </w:pPr>
            <w:r w:rsidRPr="008653C7">
              <w:rPr>
                <w:rFonts w:eastAsia="Calibri"/>
                <w:b/>
                <w:bCs/>
                <w:sz w:val="20"/>
                <w:lang w:val="fr-FR"/>
              </w:rPr>
              <w:t xml:space="preserve">GT </w:t>
            </w:r>
            <w:proofErr w:type="spellStart"/>
            <w:r w:rsidR="004A6070" w:rsidRPr="008653C7">
              <w:rPr>
                <w:rFonts w:eastAsia="Calibri"/>
                <w:b/>
                <w:bCs/>
                <w:sz w:val="20"/>
                <w:lang w:val="fr-FR"/>
              </w:rPr>
              <w:t>6A</w:t>
            </w:r>
            <w:proofErr w:type="spellEnd"/>
          </w:p>
          <w:p w14:paraId="189B1CE0" w14:textId="3CE696A4" w:rsidR="004A6070" w:rsidRPr="008653C7" w:rsidRDefault="008F3050" w:rsidP="004A6070">
            <w:pPr>
              <w:spacing w:before="40" w:after="40"/>
              <w:jc w:val="center"/>
              <w:rPr>
                <w:b/>
                <w:bCs/>
                <w:sz w:val="20"/>
                <w:lang w:val="fr-FR"/>
              </w:rPr>
            </w:pPr>
            <w:r w:rsidRPr="008653C7">
              <w:rPr>
                <w:rFonts w:eastAsia="Calibri"/>
                <w:b/>
                <w:bCs/>
                <w:sz w:val="20"/>
                <w:lang w:val="fr-FR"/>
              </w:rPr>
              <w:t xml:space="preserve">GT </w:t>
            </w:r>
            <w:proofErr w:type="spellStart"/>
            <w:r w:rsidR="004A6070" w:rsidRPr="008653C7">
              <w:rPr>
                <w:rFonts w:eastAsia="Calibri"/>
                <w:b/>
                <w:bCs/>
                <w:sz w:val="20"/>
                <w:lang w:val="fr-FR"/>
              </w:rPr>
              <w:t>7B</w:t>
            </w:r>
            <w:proofErr w:type="spellEnd"/>
          </w:p>
          <w:p w14:paraId="11AF7BCC" w14:textId="53AF8BF7" w:rsidR="004A6070" w:rsidRPr="008653C7" w:rsidRDefault="008F3050" w:rsidP="004A6070">
            <w:pPr>
              <w:spacing w:before="40" w:after="40"/>
              <w:jc w:val="center"/>
              <w:rPr>
                <w:b/>
                <w:bCs/>
                <w:sz w:val="20"/>
                <w:lang w:val="fr-FR"/>
              </w:rPr>
            </w:pPr>
            <w:r w:rsidRPr="008653C7">
              <w:rPr>
                <w:rFonts w:eastAsia="Calibri"/>
                <w:b/>
                <w:bCs/>
                <w:sz w:val="20"/>
                <w:lang w:val="fr-FR"/>
              </w:rPr>
              <w:t>GT</w:t>
            </w:r>
            <w:r w:rsidR="004A6070" w:rsidRPr="008653C7">
              <w:rPr>
                <w:rFonts w:eastAsia="Calibri"/>
                <w:b/>
                <w:bCs/>
                <w:sz w:val="20"/>
                <w:lang w:val="fr-FR"/>
              </w:rPr>
              <w:t xml:space="preserve"> </w:t>
            </w:r>
            <w:proofErr w:type="spellStart"/>
            <w:r w:rsidR="004A6070" w:rsidRPr="008653C7">
              <w:rPr>
                <w:rFonts w:eastAsia="Calibri"/>
                <w:b/>
                <w:bCs/>
                <w:sz w:val="20"/>
                <w:lang w:val="fr-FR"/>
              </w:rPr>
              <w:t>7C</w:t>
            </w:r>
            <w:proofErr w:type="spellEnd"/>
          </w:p>
          <w:p w14:paraId="12E6432B" w14:textId="15D330E2" w:rsidR="004A7B85" w:rsidRPr="008653C7" w:rsidRDefault="008F3050" w:rsidP="004A6070">
            <w:pPr>
              <w:pStyle w:val="Tabletext"/>
              <w:tabs>
                <w:tab w:val="clear" w:pos="284"/>
                <w:tab w:val="left" w:pos="463"/>
              </w:tabs>
              <w:spacing w:line="480" w:lineRule="auto"/>
              <w:jc w:val="center"/>
              <w:rPr>
                <w:b/>
                <w:bCs/>
                <w:lang w:val="fr-FR" w:eastAsia="nl-NL"/>
              </w:rPr>
            </w:pPr>
            <w:r w:rsidRPr="008653C7">
              <w:rPr>
                <w:rFonts w:eastAsia="Calibri"/>
                <w:b/>
                <w:bCs/>
                <w:lang w:val="fr-FR"/>
              </w:rPr>
              <w:t xml:space="preserve">GT </w:t>
            </w:r>
            <w:proofErr w:type="spellStart"/>
            <w:r w:rsidR="004A6070" w:rsidRPr="008653C7">
              <w:rPr>
                <w:rFonts w:eastAsia="Calibri"/>
                <w:b/>
                <w:bCs/>
                <w:lang w:val="fr-FR"/>
              </w:rPr>
              <w:t>7D</w:t>
            </w:r>
            <w:proofErr w:type="spellEnd"/>
          </w:p>
        </w:tc>
      </w:tr>
      <w:tr w:rsidR="004A7B85" w:rsidRPr="008653C7" w14:paraId="298BAE01" w14:textId="77777777" w:rsidTr="003F05FF">
        <w:trPr>
          <w:gridAfter w:val="1"/>
          <w:wAfter w:w="27" w:type="dxa"/>
          <w:cantSplit/>
          <w:jc w:val="center"/>
        </w:trPr>
        <w:tc>
          <w:tcPr>
            <w:tcW w:w="14036" w:type="dxa"/>
            <w:gridSpan w:val="4"/>
          </w:tcPr>
          <w:p w14:paraId="1C20989E" w14:textId="0367B5D0" w:rsidR="004A7B85" w:rsidRPr="003E6986" w:rsidRDefault="007125ED" w:rsidP="001E2EFF">
            <w:pPr>
              <w:pStyle w:val="Tabletext"/>
              <w:tabs>
                <w:tab w:val="clear" w:pos="284"/>
                <w:tab w:val="left" w:pos="594"/>
              </w:tabs>
              <w:jc w:val="both"/>
              <w:rPr>
                <w:lang w:val="es-ES_tradnl" w:eastAsia="nl-NL"/>
              </w:rPr>
            </w:pPr>
            <w:r w:rsidRPr="003E6986">
              <w:rPr>
                <w:lang w:val="es-ES_tradnl" w:eastAsia="nl-NL"/>
              </w:rPr>
              <w:t>1.7</w:t>
            </w:r>
            <w:r w:rsidRPr="003E6986">
              <w:rPr>
                <w:lang w:val="es-ES_tradnl" w:eastAsia="nl-NL"/>
              </w:rPr>
              <w:tab/>
              <w:t xml:space="preserve">considerar estudios de compartición y compatibilidad y determinar las condiciones técnicas necesarias para la utilización de las Telecomunicaciones Móviles Internacionales (IMT) en las bandas de frecuencias 4 400-4 800 MHz, 7 125-8 400 MHz (o partes de </w:t>
            </w:r>
            <w:proofErr w:type="gramStart"/>
            <w:r w:rsidRPr="003E6986">
              <w:rPr>
                <w:lang w:val="es-ES_tradnl" w:eastAsia="nl-NL"/>
              </w:rPr>
              <w:t>la misma</w:t>
            </w:r>
            <w:proofErr w:type="gramEnd"/>
            <w:r w:rsidRPr="003E6986">
              <w:rPr>
                <w:lang w:val="es-ES_tradnl" w:eastAsia="nl-NL"/>
              </w:rPr>
              <w:t xml:space="preserve">) y 14,8 15,35 GHz, teniendo en cuenta los servicios primarios existentes en dichas bandas de frecuencias, así como en bandas adyacentes, de conformidad con la Resolución </w:t>
            </w:r>
            <w:r w:rsidR="00343213" w:rsidRPr="003E6986">
              <w:rPr>
                <w:b/>
                <w:lang w:val="es-ES_tradnl" w:eastAsia="nl-NL"/>
              </w:rPr>
              <w:t>256</w:t>
            </w:r>
            <w:r w:rsidRPr="003E6986">
              <w:rPr>
                <w:b/>
                <w:lang w:val="es-ES_tradnl" w:eastAsia="nl-NL"/>
              </w:rPr>
              <w:t xml:space="preserve"> (CMR 23)</w:t>
            </w:r>
            <w:r w:rsidRPr="003E6986">
              <w:rPr>
                <w:lang w:val="es-ES_tradnl" w:eastAsia="nl-NL"/>
              </w:rPr>
              <w:t>;</w:t>
            </w:r>
          </w:p>
        </w:tc>
      </w:tr>
      <w:tr w:rsidR="004A7B85" w:rsidRPr="003E6986" w14:paraId="326FD595" w14:textId="77777777" w:rsidTr="003F05FF">
        <w:trPr>
          <w:gridAfter w:val="1"/>
          <w:wAfter w:w="27" w:type="dxa"/>
          <w:jc w:val="center"/>
        </w:trPr>
        <w:tc>
          <w:tcPr>
            <w:tcW w:w="3304" w:type="dxa"/>
          </w:tcPr>
          <w:p w14:paraId="775C644C" w14:textId="69B30AD6" w:rsidR="007125ED" w:rsidRPr="003E6986" w:rsidRDefault="007125ED" w:rsidP="007125ED">
            <w:pPr>
              <w:pStyle w:val="Tabletext"/>
              <w:tabs>
                <w:tab w:val="left" w:pos="463"/>
              </w:tabs>
              <w:rPr>
                <w:lang w:val="es-ES_tradnl" w:eastAsia="nl-NL"/>
              </w:rPr>
            </w:pPr>
            <w:r w:rsidRPr="003E6986">
              <w:rPr>
                <w:lang w:val="es-ES_tradnl" w:eastAsia="nl-NL"/>
              </w:rPr>
              <w:t xml:space="preserve">Resolución </w:t>
            </w:r>
            <w:r w:rsidR="00343213" w:rsidRPr="003E6986">
              <w:rPr>
                <w:b/>
                <w:lang w:val="es-ES_tradnl" w:eastAsia="nl-NL"/>
              </w:rPr>
              <w:t>256</w:t>
            </w:r>
            <w:r w:rsidRPr="003E6986">
              <w:rPr>
                <w:b/>
                <w:lang w:val="es-ES_tradnl" w:eastAsia="nl-NL"/>
              </w:rPr>
              <w:t xml:space="preserve"> (</w:t>
            </w:r>
            <w:proofErr w:type="spellStart"/>
            <w:r w:rsidRPr="003E6986">
              <w:rPr>
                <w:b/>
                <w:lang w:val="es-ES_tradnl" w:eastAsia="nl-NL"/>
              </w:rPr>
              <w:t>CMR</w:t>
            </w:r>
            <w:proofErr w:type="spellEnd"/>
            <w:r w:rsidRPr="003E6986">
              <w:rPr>
                <w:b/>
                <w:lang w:val="es-ES_tradnl" w:eastAsia="nl-NL"/>
              </w:rPr>
              <w:t>-23)</w:t>
            </w:r>
          </w:p>
          <w:p w14:paraId="6CFD99EA" w14:textId="13E78E38" w:rsidR="004A7B85" w:rsidRPr="003E6986" w:rsidRDefault="007125ED" w:rsidP="002232AC">
            <w:pPr>
              <w:pStyle w:val="Tabletext"/>
              <w:tabs>
                <w:tab w:val="left" w:pos="463"/>
              </w:tabs>
              <w:rPr>
                <w:lang w:val="es-ES_tradnl" w:eastAsia="nl-NL"/>
              </w:rPr>
            </w:pPr>
            <w:r w:rsidRPr="003E6986">
              <w:rPr>
                <w:lang w:val="es-ES_tradnl" w:eastAsia="nl-NL"/>
              </w:rPr>
              <w:t>Estudios de compartición y compatibilidad y determinación de las condiciones técnicas para la utilización de las Telecomunicaciones Móviles Internacionales (IMT) en las</w:t>
            </w:r>
            <w:r w:rsidR="00A923A9">
              <w:rPr>
                <w:lang w:val="es-ES_tradnl" w:eastAsia="nl-NL"/>
              </w:rPr>
              <w:t> </w:t>
            </w:r>
            <w:r w:rsidRPr="003E6986">
              <w:rPr>
                <w:lang w:val="es-ES_tradnl" w:eastAsia="nl-NL"/>
              </w:rPr>
              <w:t>bandas de frecuencias 4 400-</w:t>
            </w:r>
            <w:r w:rsidRPr="003E6986">
              <w:rPr>
                <w:lang w:val="es-ES_tradnl" w:eastAsia="nl-NL"/>
              </w:rPr>
              <w:lastRenderedPageBreak/>
              <w:t>4</w:t>
            </w:r>
            <w:r w:rsidR="00A923A9">
              <w:rPr>
                <w:lang w:val="es-ES_tradnl" w:eastAsia="nl-NL"/>
              </w:rPr>
              <w:t> </w:t>
            </w:r>
            <w:r w:rsidRPr="003E6986">
              <w:rPr>
                <w:lang w:val="es-ES_tradnl" w:eastAsia="nl-NL"/>
              </w:rPr>
              <w:t>800</w:t>
            </w:r>
            <w:r w:rsidR="00A923A9">
              <w:rPr>
                <w:lang w:val="es-ES_tradnl" w:eastAsia="nl-NL"/>
              </w:rPr>
              <w:t> </w:t>
            </w:r>
            <w:r w:rsidRPr="003E6986">
              <w:rPr>
                <w:lang w:val="es-ES_tradnl" w:eastAsia="nl-NL"/>
              </w:rPr>
              <w:t xml:space="preserve">MHz, 7 125-8 400 MHz (o partes de </w:t>
            </w:r>
            <w:proofErr w:type="gramStart"/>
            <w:r w:rsidRPr="003E6986">
              <w:rPr>
                <w:lang w:val="es-ES_tradnl" w:eastAsia="nl-NL"/>
              </w:rPr>
              <w:t>la misma</w:t>
            </w:r>
            <w:proofErr w:type="gramEnd"/>
            <w:r w:rsidRPr="003E6986">
              <w:rPr>
                <w:lang w:val="es-ES_tradnl" w:eastAsia="nl-NL"/>
              </w:rPr>
              <w:t>) y 14,8-15,35 GHz para la componente terrenal de las IMT</w:t>
            </w:r>
          </w:p>
        </w:tc>
        <w:tc>
          <w:tcPr>
            <w:tcW w:w="1517" w:type="dxa"/>
          </w:tcPr>
          <w:p w14:paraId="0EFE5B94" w14:textId="7079BC85" w:rsidR="004A7B85" w:rsidRPr="003E6986" w:rsidRDefault="00A92266" w:rsidP="007125ED">
            <w:pPr>
              <w:pStyle w:val="Tabletext"/>
              <w:tabs>
                <w:tab w:val="clear" w:pos="284"/>
                <w:tab w:val="left" w:pos="463"/>
              </w:tabs>
              <w:jc w:val="center"/>
              <w:rPr>
                <w:b/>
                <w:bCs/>
                <w:lang w:val="es-ES_tradnl" w:eastAsia="nl-NL"/>
              </w:rPr>
            </w:pPr>
            <w:r w:rsidRPr="003E6986">
              <w:rPr>
                <w:b/>
                <w:bCs/>
                <w:lang w:val="es-ES_tradnl" w:eastAsia="nl-NL"/>
              </w:rPr>
              <w:lastRenderedPageBreak/>
              <w:t>GT</w:t>
            </w:r>
            <w:r w:rsidR="007125ED" w:rsidRPr="003E6986">
              <w:rPr>
                <w:b/>
                <w:bCs/>
                <w:lang w:val="es-ES_tradnl" w:eastAsia="nl-NL"/>
              </w:rPr>
              <w:t> 5D</w:t>
            </w:r>
          </w:p>
        </w:tc>
        <w:tc>
          <w:tcPr>
            <w:tcW w:w="7809" w:type="dxa"/>
          </w:tcPr>
          <w:p w14:paraId="4456C23D" w14:textId="77777777" w:rsidR="007125ED" w:rsidRPr="003E6986" w:rsidRDefault="007125ED" w:rsidP="007125ED">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2027</w:t>
            </w:r>
          </w:p>
          <w:p w14:paraId="4F6665DE" w14:textId="74A72801" w:rsidR="007125ED" w:rsidRPr="003E6986" w:rsidRDefault="007125ED" w:rsidP="007363B5">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 xml:space="preserve">los estudios adecuados sobre las cuestiones técnicas, operativas y reglamentarias relacionadas con la posible utilización de la componente terrenal de las IMT en las bandas de frecuencias del </w:t>
            </w:r>
            <w:r w:rsidRPr="003E6986">
              <w:rPr>
                <w:i/>
                <w:lang w:val="es-ES_tradnl" w:eastAsia="nl-NL"/>
              </w:rPr>
              <w:t>resuelve invitar al Sector de Radiocomunicaciones de la UIT a finalizar a tiempo para la Conferencia Mundial de Radiocomunicaciones de 2027</w:t>
            </w:r>
            <w:r w:rsidR="007363B5" w:rsidRPr="003E6986">
              <w:rPr>
                <w:lang w:val="es-ES_tradnl" w:eastAsia="nl-NL"/>
              </w:rPr>
              <w:t> </w:t>
            </w:r>
            <w:r w:rsidRPr="003E6986">
              <w:rPr>
                <w:lang w:val="es-ES_tradnl" w:eastAsia="nl-NL"/>
              </w:rPr>
              <w:t>2, teniendo en cuenta:</w:t>
            </w:r>
          </w:p>
          <w:p w14:paraId="265EC8F8" w14:textId="77777777" w:rsidR="007125ED" w:rsidRPr="003E6986" w:rsidRDefault="007125ED" w:rsidP="007363B5">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la evolución de las necesidades para atender las nuevas demandas en materia de IMT;</w:t>
            </w:r>
          </w:p>
          <w:p w14:paraId="1D50AB56" w14:textId="77777777" w:rsidR="007125ED" w:rsidRPr="003E6986" w:rsidRDefault="007125ED" w:rsidP="007363B5">
            <w:pPr>
              <w:pStyle w:val="Tabletext"/>
              <w:tabs>
                <w:tab w:val="clear" w:pos="284"/>
                <w:tab w:val="left" w:pos="463"/>
              </w:tabs>
              <w:ind w:left="463" w:hanging="463"/>
              <w:jc w:val="both"/>
              <w:rPr>
                <w:lang w:val="es-ES_tradnl" w:eastAsia="nl-NL"/>
              </w:rPr>
            </w:pPr>
            <w:r w:rsidRPr="003E6986">
              <w:rPr>
                <w:lang w:val="es-ES_tradnl" w:eastAsia="nl-NL"/>
              </w:rPr>
              <w:lastRenderedPageBreak/>
              <w:t>–</w:t>
            </w:r>
            <w:r w:rsidRPr="003E6986">
              <w:rPr>
                <w:lang w:val="es-ES_tradnl" w:eastAsia="nl-NL"/>
              </w:rPr>
              <w:tab/>
              <w:t>las características técnicas y operativas de los sistemas IMT terrenales que funcionarían en estas bandas de frecuencias específica y, en particular, la evolución de las IMT gracias a los adelantos tecnológicos y de las técnicas de eficiencia espectral;</w:t>
            </w:r>
          </w:p>
          <w:p w14:paraId="3AC9C288" w14:textId="77777777" w:rsidR="007125ED" w:rsidRPr="003E6986" w:rsidRDefault="007125ED" w:rsidP="007363B5">
            <w:pPr>
              <w:pStyle w:val="Tabletext"/>
              <w:tabs>
                <w:tab w:val="clear" w:pos="284"/>
                <w:tab w:val="left" w:pos="463"/>
              </w:tabs>
              <w:ind w:left="463" w:hanging="463"/>
              <w:jc w:val="both"/>
              <w:rPr>
                <w:lang w:val="es-ES_tradnl" w:eastAsia="nl-NL"/>
              </w:rPr>
            </w:pPr>
            <w:r w:rsidRPr="003E6986">
              <w:rPr>
                <w:lang w:val="es-ES_tradnl" w:eastAsia="nl-NL"/>
              </w:rPr>
              <w:t>–</w:t>
            </w:r>
            <w:r w:rsidRPr="003E6986">
              <w:rPr>
                <w:lang w:val="es-ES_tradnl" w:eastAsia="nl-NL"/>
              </w:rPr>
              <w:tab/>
              <w:t>los casos de despliegue previstos de los sistemas IMT y los requisitos conexos de capacidad y cobertura equilibradas;</w:t>
            </w:r>
          </w:p>
          <w:p w14:paraId="6938AF66" w14:textId="77777777" w:rsidR="007125ED" w:rsidRPr="003E6986" w:rsidRDefault="007125ED" w:rsidP="007363B5">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las necesidades de los países en desarrollo; y</w:t>
            </w:r>
          </w:p>
          <w:p w14:paraId="3EADCDA5" w14:textId="77777777" w:rsidR="007125ED" w:rsidRPr="003E6986" w:rsidRDefault="007125ED" w:rsidP="007363B5">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el periodo de tiempo en el que se necesitaría el espectro;</w:t>
            </w:r>
          </w:p>
          <w:p w14:paraId="2CB71ADE" w14:textId="77777777" w:rsidR="007125ED" w:rsidRPr="003E6986" w:rsidRDefault="007125ED" w:rsidP="007363B5">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los correspondientes estudios de compartición y compatibilidad, con miras a garantizar la protección de los servicios a los que está atribuida la banda de frecuencias a título primario, incluida la protección de las estaciones que funcionan en aguas o espacios aéreos internacionales y que no pueden inscribirse en el Registro Internacional de Frecuencias, sin imponer limitaciones reglamentarias o técnicas adicionales a esos servicios, ni a otros servicios en bandas adyacentes, para las bandas de frecuencias:</w:t>
            </w:r>
          </w:p>
          <w:p w14:paraId="078E8E05" w14:textId="77777777" w:rsidR="007125ED" w:rsidRPr="003E6986" w:rsidRDefault="007125ED" w:rsidP="007363B5">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4 400-4 800 MHz;</w:t>
            </w:r>
          </w:p>
          <w:p w14:paraId="02EB015B" w14:textId="77777777" w:rsidR="007125ED" w:rsidRPr="003E6986" w:rsidRDefault="007125ED" w:rsidP="007363B5">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7 125-8 400 MHz; y</w:t>
            </w:r>
          </w:p>
          <w:p w14:paraId="4EEBE6C5" w14:textId="77777777" w:rsidR="004A7B85" w:rsidRPr="003E6986" w:rsidRDefault="007125ED" w:rsidP="007125ED">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14,8-15,35 GHz,</w:t>
            </w:r>
          </w:p>
          <w:p w14:paraId="630805DA" w14:textId="77777777" w:rsidR="007125ED" w:rsidRPr="003E6986" w:rsidRDefault="007125ED" w:rsidP="007125ED">
            <w:pPr>
              <w:pStyle w:val="Tabletext"/>
              <w:tabs>
                <w:tab w:val="clear" w:pos="284"/>
                <w:tab w:val="left" w:pos="463"/>
              </w:tabs>
              <w:jc w:val="both"/>
              <w:rPr>
                <w:lang w:val="es-ES_tradnl" w:eastAsia="nl-NL"/>
              </w:rPr>
            </w:pPr>
            <w:r w:rsidRPr="003E6986">
              <w:rPr>
                <w:lang w:val="es-ES_tradnl" w:eastAsia="nl-NL"/>
              </w:rPr>
              <w:t>…</w:t>
            </w:r>
          </w:p>
          <w:p w14:paraId="1817BFF2" w14:textId="77777777" w:rsidR="007125ED" w:rsidRPr="003E6986" w:rsidRDefault="007125ED" w:rsidP="007125ED">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2027</w:t>
            </w:r>
          </w:p>
          <w:p w14:paraId="622B6DCB" w14:textId="77777777" w:rsidR="007125ED" w:rsidRPr="003E6986" w:rsidRDefault="007125ED" w:rsidP="007125ED">
            <w:pPr>
              <w:pStyle w:val="Tabletext"/>
              <w:tabs>
                <w:tab w:val="left" w:pos="463"/>
              </w:tabs>
              <w:rPr>
                <w:lang w:val="es-ES_tradnl" w:eastAsia="nl-NL"/>
              </w:rPr>
            </w:pPr>
            <w:r w:rsidRPr="003E6986">
              <w:rPr>
                <w:lang w:val="es-ES_tradnl" w:eastAsia="nl-NL"/>
              </w:rPr>
              <w:t>a considerar, basándose en los resultados de los estudios, la identificación de las bandas de frecuencias:</w:t>
            </w:r>
          </w:p>
          <w:p w14:paraId="371FFE81" w14:textId="77777777" w:rsidR="007125ED" w:rsidRPr="003E6986" w:rsidRDefault="007125ED" w:rsidP="007363B5">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 xml:space="preserve">4 400-4 800 MHz (o partes de </w:t>
            </w:r>
            <w:proofErr w:type="gramStart"/>
            <w:r w:rsidRPr="003E6986">
              <w:rPr>
                <w:lang w:val="es-ES_tradnl" w:eastAsia="nl-NL"/>
              </w:rPr>
              <w:t>la misma</w:t>
            </w:r>
            <w:proofErr w:type="gramEnd"/>
            <w:r w:rsidRPr="003E6986">
              <w:rPr>
                <w:lang w:val="es-ES_tradnl" w:eastAsia="nl-NL"/>
              </w:rPr>
              <w:t xml:space="preserve">) en las Regiones 1 y 3; </w:t>
            </w:r>
          </w:p>
          <w:p w14:paraId="61737B12" w14:textId="77777777" w:rsidR="007125ED" w:rsidRPr="003E6986" w:rsidRDefault="007125ED" w:rsidP="007363B5">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 xml:space="preserve">7 125-8 400 MHz (o partes de </w:t>
            </w:r>
            <w:proofErr w:type="gramStart"/>
            <w:r w:rsidRPr="003E6986">
              <w:rPr>
                <w:lang w:val="es-ES_tradnl" w:eastAsia="nl-NL"/>
              </w:rPr>
              <w:t>la misma</w:t>
            </w:r>
            <w:proofErr w:type="gramEnd"/>
            <w:r w:rsidRPr="003E6986">
              <w:rPr>
                <w:lang w:val="es-ES_tradnl" w:eastAsia="nl-NL"/>
              </w:rPr>
              <w:t xml:space="preserve">) en las Regiones 2 y 3; </w:t>
            </w:r>
          </w:p>
          <w:p w14:paraId="26454412" w14:textId="77777777" w:rsidR="007125ED" w:rsidRPr="003E6986" w:rsidRDefault="007125ED" w:rsidP="007363B5">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 xml:space="preserve">7 125-7 250 MHz y 7 750-8 400 (o partes de </w:t>
            </w:r>
            <w:proofErr w:type="gramStart"/>
            <w:r w:rsidRPr="003E6986">
              <w:rPr>
                <w:lang w:val="es-ES_tradnl" w:eastAsia="nl-NL"/>
              </w:rPr>
              <w:t>la misma</w:t>
            </w:r>
            <w:proofErr w:type="gramEnd"/>
            <w:r w:rsidRPr="003E6986">
              <w:rPr>
                <w:lang w:val="es-ES_tradnl" w:eastAsia="nl-NL"/>
              </w:rPr>
              <w:t>) en la Región 1; y</w:t>
            </w:r>
          </w:p>
          <w:p w14:paraId="4A513AE8" w14:textId="77777777" w:rsidR="007125ED" w:rsidRPr="003E6986" w:rsidRDefault="007125ED" w:rsidP="007363B5">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14,8-15,35 GHz,</w:t>
            </w:r>
          </w:p>
          <w:p w14:paraId="031D89A8" w14:textId="77777777" w:rsidR="007125ED" w:rsidRDefault="007125ED" w:rsidP="007125ED">
            <w:pPr>
              <w:pStyle w:val="Tabletext"/>
              <w:tabs>
                <w:tab w:val="clear" w:pos="284"/>
                <w:tab w:val="left" w:pos="463"/>
              </w:tabs>
              <w:jc w:val="both"/>
              <w:rPr>
                <w:lang w:val="es-ES_tradnl" w:eastAsia="nl-NL"/>
              </w:rPr>
            </w:pPr>
            <w:r w:rsidRPr="003E6986">
              <w:rPr>
                <w:lang w:val="es-ES_tradnl" w:eastAsia="nl-NL"/>
              </w:rPr>
              <w:t>para la componente terrenal de las IMT.</w:t>
            </w:r>
          </w:p>
          <w:p w14:paraId="0EC3060A" w14:textId="77777777" w:rsidR="002232AC" w:rsidRDefault="002232AC" w:rsidP="007125ED">
            <w:pPr>
              <w:pStyle w:val="Tabletext"/>
              <w:tabs>
                <w:tab w:val="clear" w:pos="284"/>
                <w:tab w:val="left" w:pos="463"/>
              </w:tabs>
              <w:jc w:val="both"/>
              <w:rPr>
                <w:lang w:val="es-ES_tradnl" w:eastAsia="nl-NL"/>
              </w:rPr>
            </w:pPr>
          </w:p>
          <w:p w14:paraId="17383255" w14:textId="77777777" w:rsidR="002232AC" w:rsidRDefault="002232AC" w:rsidP="007125ED">
            <w:pPr>
              <w:pStyle w:val="Tabletext"/>
              <w:tabs>
                <w:tab w:val="clear" w:pos="284"/>
                <w:tab w:val="left" w:pos="463"/>
              </w:tabs>
              <w:jc w:val="both"/>
              <w:rPr>
                <w:lang w:val="es-ES_tradnl" w:eastAsia="nl-NL"/>
              </w:rPr>
            </w:pPr>
          </w:p>
          <w:p w14:paraId="442EB69F" w14:textId="77777777" w:rsidR="002232AC" w:rsidRDefault="002232AC" w:rsidP="007125ED">
            <w:pPr>
              <w:pStyle w:val="Tabletext"/>
              <w:tabs>
                <w:tab w:val="clear" w:pos="284"/>
                <w:tab w:val="left" w:pos="463"/>
              </w:tabs>
              <w:jc w:val="both"/>
              <w:rPr>
                <w:lang w:val="es-ES_tradnl" w:eastAsia="nl-NL"/>
              </w:rPr>
            </w:pPr>
          </w:p>
          <w:p w14:paraId="06DCD60D" w14:textId="294DC45A" w:rsidR="002232AC" w:rsidRPr="003E6986" w:rsidRDefault="002232AC" w:rsidP="007125ED">
            <w:pPr>
              <w:pStyle w:val="Tabletext"/>
              <w:tabs>
                <w:tab w:val="clear" w:pos="284"/>
                <w:tab w:val="left" w:pos="463"/>
              </w:tabs>
              <w:jc w:val="both"/>
              <w:rPr>
                <w:lang w:val="es-ES_tradnl" w:eastAsia="nl-NL"/>
              </w:rPr>
            </w:pPr>
          </w:p>
        </w:tc>
        <w:tc>
          <w:tcPr>
            <w:tcW w:w="1406" w:type="dxa"/>
          </w:tcPr>
          <w:p w14:paraId="633D4BD2" w14:textId="347A7D67" w:rsidR="004A6070" w:rsidRPr="00A527DC" w:rsidRDefault="007363B5" w:rsidP="004A6070">
            <w:pPr>
              <w:spacing w:before="40" w:after="40"/>
              <w:jc w:val="center"/>
              <w:rPr>
                <w:b/>
                <w:bCs/>
                <w:sz w:val="20"/>
              </w:rPr>
            </w:pPr>
            <w:r w:rsidRPr="00A527DC">
              <w:rPr>
                <w:b/>
                <w:bCs/>
                <w:sz w:val="20"/>
              </w:rPr>
              <w:lastRenderedPageBreak/>
              <w:t>GT</w:t>
            </w:r>
            <w:r w:rsidR="004A6070" w:rsidRPr="00A527DC">
              <w:rPr>
                <w:b/>
                <w:bCs/>
                <w:sz w:val="20"/>
              </w:rPr>
              <w:t xml:space="preserve"> 1B</w:t>
            </w:r>
          </w:p>
          <w:p w14:paraId="4192B53E" w14:textId="7A799137" w:rsidR="004A6070" w:rsidRPr="00855045" w:rsidRDefault="00855045" w:rsidP="004A6070">
            <w:pPr>
              <w:spacing w:before="40" w:after="40"/>
              <w:jc w:val="center"/>
              <w:rPr>
                <w:b/>
                <w:bCs/>
                <w:sz w:val="20"/>
              </w:rPr>
            </w:pPr>
            <w:r w:rsidRPr="00855045">
              <w:rPr>
                <w:b/>
                <w:bCs/>
                <w:sz w:val="20"/>
              </w:rPr>
              <w:t>GT</w:t>
            </w:r>
            <w:r w:rsidR="004A6070" w:rsidRPr="00855045">
              <w:rPr>
                <w:b/>
                <w:bCs/>
                <w:sz w:val="20"/>
              </w:rPr>
              <w:t xml:space="preserve"> 3K</w:t>
            </w:r>
          </w:p>
          <w:p w14:paraId="343FF253" w14:textId="03BCD7D5" w:rsidR="004A6070" w:rsidRPr="00855045" w:rsidRDefault="00855045" w:rsidP="004A6070">
            <w:pPr>
              <w:spacing w:before="40" w:after="40"/>
              <w:jc w:val="center"/>
              <w:rPr>
                <w:b/>
                <w:bCs/>
                <w:sz w:val="20"/>
              </w:rPr>
            </w:pPr>
            <w:r w:rsidRPr="00855045">
              <w:rPr>
                <w:b/>
                <w:bCs/>
                <w:sz w:val="20"/>
              </w:rPr>
              <w:t>GT</w:t>
            </w:r>
            <w:r w:rsidR="004A6070" w:rsidRPr="00855045">
              <w:rPr>
                <w:b/>
                <w:bCs/>
                <w:sz w:val="20"/>
              </w:rPr>
              <w:t xml:space="preserve"> 3M</w:t>
            </w:r>
          </w:p>
          <w:p w14:paraId="14403C16" w14:textId="0BB62F48" w:rsidR="004A6070" w:rsidRPr="00855045" w:rsidRDefault="00855045" w:rsidP="004A6070">
            <w:pPr>
              <w:spacing w:before="40" w:after="40"/>
              <w:jc w:val="center"/>
              <w:rPr>
                <w:b/>
                <w:bCs/>
                <w:sz w:val="20"/>
              </w:rPr>
            </w:pPr>
            <w:r w:rsidRPr="00855045">
              <w:rPr>
                <w:b/>
                <w:bCs/>
                <w:sz w:val="20"/>
              </w:rPr>
              <w:t>G</w:t>
            </w:r>
            <w:r w:rsidR="004A6070" w:rsidRPr="00855045">
              <w:rPr>
                <w:b/>
                <w:bCs/>
                <w:sz w:val="20"/>
              </w:rPr>
              <w:t xml:space="preserve"> 4A</w:t>
            </w:r>
          </w:p>
          <w:p w14:paraId="7F4DDAF9" w14:textId="27B3FE15" w:rsidR="004A6070" w:rsidRPr="008653C7" w:rsidRDefault="00855045" w:rsidP="004A6070">
            <w:pPr>
              <w:spacing w:before="40" w:after="40"/>
              <w:jc w:val="center"/>
              <w:rPr>
                <w:b/>
                <w:bCs/>
                <w:sz w:val="20"/>
                <w:lang w:val="fr-FR"/>
              </w:rPr>
            </w:pPr>
            <w:r w:rsidRPr="008653C7">
              <w:rPr>
                <w:b/>
                <w:bCs/>
                <w:sz w:val="20"/>
                <w:lang w:val="fr-FR"/>
              </w:rPr>
              <w:t xml:space="preserve">GT </w:t>
            </w:r>
            <w:proofErr w:type="spellStart"/>
            <w:r w:rsidR="004A6070" w:rsidRPr="008653C7">
              <w:rPr>
                <w:b/>
                <w:bCs/>
                <w:sz w:val="20"/>
                <w:lang w:val="fr-FR"/>
              </w:rPr>
              <w:t>4C</w:t>
            </w:r>
            <w:proofErr w:type="spellEnd"/>
          </w:p>
          <w:p w14:paraId="68D6917E" w14:textId="05FC802F" w:rsidR="004A6070" w:rsidRPr="008653C7" w:rsidRDefault="00855045" w:rsidP="004A6070">
            <w:pPr>
              <w:spacing w:before="40" w:after="40"/>
              <w:jc w:val="center"/>
              <w:rPr>
                <w:b/>
                <w:bCs/>
                <w:sz w:val="20"/>
                <w:lang w:val="fr-FR"/>
              </w:rPr>
            </w:pPr>
            <w:r w:rsidRPr="008653C7">
              <w:rPr>
                <w:b/>
                <w:bCs/>
                <w:sz w:val="20"/>
                <w:lang w:val="fr-FR"/>
              </w:rPr>
              <w:t xml:space="preserve">GT </w:t>
            </w:r>
            <w:proofErr w:type="spellStart"/>
            <w:r w:rsidR="004A6070" w:rsidRPr="008653C7">
              <w:rPr>
                <w:b/>
                <w:bCs/>
                <w:sz w:val="20"/>
                <w:lang w:val="fr-FR"/>
              </w:rPr>
              <w:t>5A</w:t>
            </w:r>
            <w:proofErr w:type="spellEnd"/>
          </w:p>
          <w:p w14:paraId="0A98858A" w14:textId="3E95C9DC" w:rsidR="004A6070" w:rsidRPr="008653C7" w:rsidRDefault="007363B5" w:rsidP="004A6070">
            <w:pPr>
              <w:spacing w:before="40" w:after="40"/>
              <w:jc w:val="center"/>
              <w:rPr>
                <w:b/>
                <w:bCs/>
                <w:sz w:val="20"/>
                <w:lang w:val="fr-FR"/>
              </w:rPr>
            </w:pPr>
            <w:r w:rsidRPr="008653C7">
              <w:rPr>
                <w:b/>
                <w:bCs/>
                <w:sz w:val="20"/>
                <w:lang w:val="fr-FR"/>
              </w:rPr>
              <w:lastRenderedPageBreak/>
              <w:t xml:space="preserve">GT </w:t>
            </w:r>
            <w:proofErr w:type="spellStart"/>
            <w:r w:rsidR="004A6070" w:rsidRPr="008653C7">
              <w:rPr>
                <w:b/>
                <w:bCs/>
                <w:sz w:val="20"/>
                <w:lang w:val="fr-FR"/>
              </w:rPr>
              <w:t>5B</w:t>
            </w:r>
            <w:proofErr w:type="spellEnd"/>
          </w:p>
          <w:p w14:paraId="1847AECA" w14:textId="779F9AD2" w:rsidR="004A6070" w:rsidRPr="008653C7" w:rsidRDefault="00855045" w:rsidP="004A6070">
            <w:pPr>
              <w:spacing w:before="40" w:after="40"/>
              <w:jc w:val="center"/>
              <w:rPr>
                <w:b/>
                <w:bCs/>
                <w:sz w:val="20"/>
                <w:lang w:val="fr-FR"/>
              </w:rPr>
            </w:pPr>
            <w:r w:rsidRPr="008653C7">
              <w:rPr>
                <w:b/>
                <w:bCs/>
                <w:sz w:val="20"/>
                <w:lang w:val="fr-FR"/>
              </w:rPr>
              <w:t xml:space="preserve">GT </w:t>
            </w:r>
            <w:proofErr w:type="spellStart"/>
            <w:r w:rsidR="004A6070" w:rsidRPr="008653C7">
              <w:rPr>
                <w:b/>
                <w:bCs/>
                <w:sz w:val="20"/>
                <w:lang w:val="fr-FR"/>
              </w:rPr>
              <w:t>5C</w:t>
            </w:r>
            <w:proofErr w:type="spellEnd"/>
          </w:p>
          <w:p w14:paraId="110942F1" w14:textId="4C0308B9" w:rsidR="004A6070" w:rsidRPr="003E6986" w:rsidRDefault="007363B5" w:rsidP="004A6070">
            <w:pPr>
              <w:spacing w:before="40" w:after="40"/>
              <w:jc w:val="center"/>
              <w:rPr>
                <w:b/>
                <w:bCs/>
                <w:sz w:val="20"/>
                <w:lang w:val="es-ES_tradnl"/>
              </w:rPr>
            </w:pPr>
            <w:r w:rsidRPr="003E6986">
              <w:rPr>
                <w:b/>
                <w:bCs/>
                <w:sz w:val="20"/>
                <w:lang w:val="es-ES_tradnl"/>
              </w:rPr>
              <w:t xml:space="preserve">GT </w:t>
            </w:r>
            <w:proofErr w:type="spellStart"/>
            <w:r w:rsidR="004A6070" w:rsidRPr="003E6986">
              <w:rPr>
                <w:b/>
                <w:bCs/>
                <w:sz w:val="20"/>
                <w:lang w:val="es-ES_tradnl"/>
              </w:rPr>
              <w:t>7B</w:t>
            </w:r>
            <w:proofErr w:type="spellEnd"/>
          </w:p>
          <w:p w14:paraId="2B59DCF0" w14:textId="4F4571FA" w:rsidR="004A6070" w:rsidRPr="003E6986" w:rsidRDefault="007363B5" w:rsidP="004A6070">
            <w:pPr>
              <w:spacing w:before="40" w:after="40"/>
              <w:jc w:val="center"/>
              <w:rPr>
                <w:b/>
                <w:bCs/>
                <w:sz w:val="20"/>
                <w:lang w:val="es-ES_tradnl"/>
              </w:rPr>
            </w:pPr>
            <w:r w:rsidRPr="003E6986">
              <w:rPr>
                <w:b/>
                <w:bCs/>
                <w:sz w:val="20"/>
                <w:lang w:val="es-ES_tradnl"/>
              </w:rPr>
              <w:t xml:space="preserve">GT </w:t>
            </w:r>
            <w:r w:rsidR="004A6070" w:rsidRPr="003E6986">
              <w:rPr>
                <w:b/>
                <w:bCs/>
                <w:sz w:val="20"/>
                <w:lang w:val="es-ES_tradnl"/>
              </w:rPr>
              <w:t>7C</w:t>
            </w:r>
          </w:p>
          <w:p w14:paraId="610C5D9A" w14:textId="3302637B" w:rsidR="004A7B85" w:rsidRPr="003E6986" w:rsidRDefault="007363B5" w:rsidP="004A6070">
            <w:pPr>
              <w:pStyle w:val="Tabletext"/>
              <w:tabs>
                <w:tab w:val="clear" w:pos="284"/>
                <w:tab w:val="left" w:pos="463"/>
              </w:tabs>
              <w:spacing w:line="480" w:lineRule="auto"/>
              <w:jc w:val="center"/>
              <w:rPr>
                <w:b/>
                <w:bCs/>
                <w:lang w:val="es-ES_tradnl" w:eastAsia="nl-NL"/>
              </w:rPr>
            </w:pPr>
            <w:r w:rsidRPr="003E6986">
              <w:rPr>
                <w:b/>
                <w:bCs/>
                <w:lang w:val="es-ES_tradnl"/>
              </w:rPr>
              <w:t xml:space="preserve">GT </w:t>
            </w:r>
            <w:r w:rsidR="004A6070" w:rsidRPr="003E6986">
              <w:rPr>
                <w:b/>
                <w:bCs/>
                <w:lang w:val="es-ES_tradnl"/>
              </w:rPr>
              <w:t>7D</w:t>
            </w:r>
          </w:p>
        </w:tc>
      </w:tr>
      <w:tr w:rsidR="004A7B85" w:rsidRPr="008653C7" w14:paraId="418076C1" w14:textId="77777777" w:rsidTr="003F05FF">
        <w:trPr>
          <w:gridAfter w:val="1"/>
          <w:wAfter w:w="27" w:type="dxa"/>
          <w:cantSplit/>
          <w:jc w:val="center"/>
        </w:trPr>
        <w:tc>
          <w:tcPr>
            <w:tcW w:w="14036" w:type="dxa"/>
            <w:gridSpan w:val="4"/>
          </w:tcPr>
          <w:p w14:paraId="0761798B" w14:textId="5753E2B9" w:rsidR="004A7B85" w:rsidRPr="003E6986" w:rsidRDefault="007125ED" w:rsidP="00AA6D1B">
            <w:pPr>
              <w:pStyle w:val="Tabletext"/>
              <w:tabs>
                <w:tab w:val="clear" w:pos="284"/>
                <w:tab w:val="left" w:pos="594"/>
              </w:tabs>
              <w:jc w:val="both"/>
              <w:rPr>
                <w:lang w:val="es-ES_tradnl" w:eastAsia="nl-NL"/>
              </w:rPr>
            </w:pPr>
            <w:r w:rsidRPr="003E6986">
              <w:rPr>
                <w:lang w:val="es-ES_tradnl" w:eastAsia="nl-NL"/>
              </w:rPr>
              <w:lastRenderedPageBreak/>
              <w:t>1.8</w:t>
            </w:r>
            <w:r w:rsidRPr="003E6986">
              <w:rPr>
                <w:lang w:val="es-ES_tradnl" w:eastAsia="nl-NL"/>
              </w:rPr>
              <w:tab/>
              <w:t xml:space="preserve">considerar posibles atribuciones adicionales de espectro al servicio de radiolocalización a título primario en la banda de frecuencias 231,5-275 GHz y posibles nuevas identificaciones para aplicaciones del servicio de radiolocalización en bandas de frecuencias dentro de la gama de frecuencias 275-700 GHz para sistemas de imágenes en ondas milimétricas y submilimétricas, de conformidad con la Resolución </w:t>
            </w:r>
            <w:r w:rsidRPr="003E6986">
              <w:rPr>
                <w:b/>
                <w:lang w:val="es-ES_tradnl" w:eastAsia="nl-NL"/>
              </w:rPr>
              <w:t>663 (</w:t>
            </w:r>
            <w:r w:rsidR="00AA6D1B" w:rsidRPr="003E6986">
              <w:rPr>
                <w:b/>
                <w:lang w:val="es-ES_tradnl" w:eastAsia="nl-NL"/>
              </w:rPr>
              <w:t>Rev.</w:t>
            </w:r>
            <w:r w:rsidRPr="003E6986">
              <w:rPr>
                <w:b/>
                <w:lang w:val="es-ES_tradnl" w:eastAsia="nl-NL"/>
              </w:rPr>
              <w:t>CMR-23)</w:t>
            </w:r>
            <w:r w:rsidRPr="003E6986">
              <w:rPr>
                <w:lang w:val="es-ES_tradnl" w:eastAsia="nl-NL"/>
              </w:rPr>
              <w:t>;</w:t>
            </w:r>
          </w:p>
        </w:tc>
      </w:tr>
      <w:tr w:rsidR="004A7B85" w:rsidRPr="003E6986" w14:paraId="5ABDADC6" w14:textId="77777777" w:rsidTr="002232AC">
        <w:trPr>
          <w:gridAfter w:val="1"/>
          <w:wAfter w:w="27" w:type="dxa"/>
          <w:jc w:val="center"/>
        </w:trPr>
        <w:tc>
          <w:tcPr>
            <w:tcW w:w="3304" w:type="dxa"/>
          </w:tcPr>
          <w:p w14:paraId="4DC1B971" w14:textId="30DA25DA" w:rsidR="00AA6D1B" w:rsidRPr="003E6986" w:rsidRDefault="00AA6D1B" w:rsidP="00AA6D1B">
            <w:pPr>
              <w:pStyle w:val="Tabletext"/>
              <w:tabs>
                <w:tab w:val="left" w:pos="463"/>
              </w:tabs>
              <w:rPr>
                <w:lang w:val="es-ES_tradnl" w:eastAsia="nl-NL"/>
              </w:rPr>
            </w:pPr>
            <w:r w:rsidRPr="003E6986">
              <w:rPr>
                <w:lang w:val="es-ES_tradnl" w:eastAsia="nl-NL"/>
              </w:rPr>
              <w:t xml:space="preserve">Resolución </w:t>
            </w:r>
            <w:r w:rsidRPr="003E6986">
              <w:rPr>
                <w:b/>
                <w:lang w:val="es-ES_tradnl" w:eastAsia="nl-NL"/>
              </w:rPr>
              <w:t>663 (</w:t>
            </w:r>
            <w:proofErr w:type="spellStart"/>
            <w:r w:rsidRPr="003E6986">
              <w:rPr>
                <w:b/>
                <w:lang w:val="es-ES_tradnl" w:eastAsia="nl-NL"/>
              </w:rPr>
              <w:t>Rev.CMR</w:t>
            </w:r>
            <w:proofErr w:type="spellEnd"/>
            <w:r w:rsidR="00A86BE2" w:rsidRPr="003E6986">
              <w:rPr>
                <w:b/>
                <w:lang w:val="es-ES_tradnl" w:eastAsia="nl-NL"/>
              </w:rPr>
              <w:t>-</w:t>
            </w:r>
            <w:r w:rsidRPr="003E6986">
              <w:rPr>
                <w:b/>
                <w:lang w:val="es-ES_tradnl" w:eastAsia="nl-NL"/>
              </w:rPr>
              <w:t>23)</w:t>
            </w:r>
          </w:p>
          <w:p w14:paraId="79ED2C73" w14:textId="1BF3FDBE" w:rsidR="004A7B85" w:rsidRPr="003E6986" w:rsidRDefault="00AA6D1B" w:rsidP="002232AC">
            <w:pPr>
              <w:pStyle w:val="Tabletext"/>
              <w:tabs>
                <w:tab w:val="clear" w:pos="284"/>
                <w:tab w:val="left" w:pos="463"/>
              </w:tabs>
              <w:rPr>
                <w:lang w:val="es-ES_tradnl" w:eastAsia="nl-NL"/>
              </w:rPr>
            </w:pPr>
            <w:r w:rsidRPr="003E6986">
              <w:rPr>
                <w:lang w:val="es-ES_tradnl" w:eastAsia="nl-NL"/>
              </w:rPr>
              <w:t>Estudios sobre posibles nuevas atribuciones adicionales al servicio de radiolocalización a título primario en la gama de frecuencias 231,5 275 GHz y posibles nuevas identificaciones para aplicaciones del servicio de radiolocalización en la gama de frecuencias 275-700 GHz</w:t>
            </w:r>
          </w:p>
        </w:tc>
        <w:tc>
          <w:tcPr>
            <w:tcW w:w="1517" w:type="dxa"/>
          </w:tcPr>
          <w:p w14:paraId="1A02712D" w14:textId="2DFD70EE" w:rsidR="004A7B85" w:rsidRPr="003E6986" w:rsidRDefault="00A92266" w:rsidP="00AA6D1B">
            <w:pPr>
              <w:pStyle w:val="Tabletext"/>
              <w:tabs>
                <w:tab w:val="clear" w:pos="284"/>
                <w:tab w:val="left" w:pos="463"/>
              </w:tabs>
              <w:jc w:val="center"/>
              <w:rPr>
                <w:b/>
                <w:bCs/>
                <w:lang w:val="es-ES_tradnl" w:eastAsia="nl-NL"/>
              </w:rPr>
            </w:pPr>
            <w:r w:rsidRPr="003E6986">
              <w:rPr>
                <w:b/>
                <w:bCs/>
                <w:lang w:val="es-ES_tradnl" w:eastAsia="nl-NL"/>
              </w:rPr>
              <w:t>GT</w:t>
            </w:r>
            <w:r w:rsidR="004A7B85" w:rsidRPr="003E6986">
              <w:rPr>
                <w:b/>
                <w:bCs/>
                <w:lang w:val="es-ES_tradnl" w:eastAsia="nl-NL"/>
              </w:rPr>
              <w:t> 5B</w:t>
            </w:r>
          </w:p>
        </w:tc>
        <w:tc>
          <w:tcPr>
            <w:tcW w:w="7809" w:type="dxa"/>
          </w:tcPr>
          <w:p w14:paraId="58044109" w14:textId="77777777" w:rsidR="00AA6D1B" w:rsidRPr="003E6986" w:rsidRDefault="00AA6D1B" w:rsidP="00AA6D1B">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2027</w:t>
            </w:r>
          </w:p>
          <w:p w14:paraId="363FDB33" w14:textId="77777777" w:rsidR="00AA6D1B" w:rsidRPr="003E6986" w:rsidRDefault="00AA6D1B" w:rsidP="007363B5">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la descripción de las características técnicas y operativas, incluidos los criterios de protección necesarios, para los sistemas y aplicaciones del SRL activos y de sólo recepción en ondas milimétricas y submilimétricas de las categorías enumeradas en el reconociendo a);</w:t>
            </w:r>
          </w:p>
          <w:p w14:paraId="4AC900B4" w14:textId="1B70D11E" w:rsidR="00AA6D1B" w:rsidRPr="003E6986" w:rsidRDefault="00AA6D1B" w:rsidP="007363B5">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estudios sobre la armonización mundial del espectro para el SRL, en particular, para los sistemas y aplicaciones del SRL en ondas milimétricas y submilimétricas por encima de 231,5</w:t>
            </w:r>
            <w:r w:rsidR="00A923A9">
              <w:rPr>
                <w:lang w:val="es-ES_tradnl" w:eastAsia="nl-NL"/>
              </w:rPr>
              <w:t> </w:t>
            </w:r>
            <w:r w:rsidRPr="003E6986">
              <w:rPr>
                <w:lang w:val="es-ES_tradnl" w:eastAsia="nl-NL"/>
              </w:rPr>
              <w:t>GHz;</w:t>
            </w:r>
          </w:p>
          <w:p w14:paraId="1C2CD6AE" w14:textId="77777777" w:rsidR="00AA6D1B" w:rsidRPr="003E6986" w:rsidRDefault="00AA6D1B" w:rsidP="007363B5">
            <w:pPr>
              <w:pStyle w:val="Tabletext"/>
              <w:tabs>
                <w:tab w:val="clear" w:pos="284"/>
                <w:tab w:val="left" w:pos="463"/>
              </w:tabs>
              <w:jc w:val="both"/>
              <w:rPr>
                <w:lang w:val="es-ES_tradnl" w:eastAsia="nl-NL"/>
              </w:rPr>
            </w:pPr>
            <w:r w:rsidRPr="003E6986">
              <w:rPr>
                <w:lang w:val="es-ES_tradnl" w:eastAsia="nl-NL"/>
              </w:rPr>
              <w:t>3</w:t>
            </w:r>
            <w:r w:rsidRPr="003E6986">
              <w:rPr>
                <w:lang w:val="es-ES_tradnl" w:eastAsia="nl-NL"/>
              </w:rPr>
              <w:tab/>
              <w:t>estudios de compartición y compatibilidad (en banda y en bandas adyacentes) de los sistemas y aplicaciones del SRL en ondas milimétricas y submilimétricas activos con otros sistemas en la gama de frecuencias 231,5-275 GHZ, garantizando además la protección del uso actual y el desarrollo futuro de los servicios existentes que tienen atribuida esta gama de frecuencias;</w:t>
            </w:r>
          </w:p>
          <w:p w14:paraId="7F348A27" w14:textId="77777777" w:rsidR="00AA6D1B" w:rsidRPr="003E6986" w:rsidRDefault="00AA6D1B" w:rsidP="007363B5">
            <w:pPr>
              <w:pStyle w:val="Tabletext"/>
              <w:tabs>
                <w:tab w:val="clear" w:pos="284"/>
                <w:tab w:val="left" w:pos="463"/>
              </w:tabs>
              <w:jc w:val="both"/>
              <w:rPr>
                <w:lang w:val="es-ES_tradnl" w:eastAsia="nl-NL"/>
              </w:rPr>
            </w:pPr>
            <w:r w:rsidRPr="003E6986">
              <w:rPr>
                <w:lang w:val="es-ES_tradnl" w:eastAsia="nl-NL"/>
              </w:rPr>
              <w:t>4</w:t>
            </w:r>
            <w:r w:rsidRPr="003E6986">
              <w:rPr>
                <w:lang w:val="es-ES_tradnl" w:eastAsia="nl-NL"/>
              </w:rPr>
              <w:tab/>
              <w:t xml:space="preserve">estudios de compartición y compatibilidad (en banda y en bandas adyacentes) de las aplicaciones del SRL con las aplicaciones del SETS (pasivo), del servicio de investigación espacial (pasivo) y del SRA en la gama de frecuencias 275 700 GHz, manteniendo además la protección de las aplicaciones de los servicios pasivos identificadas en el número </w:t>
            </w:r>
            <w:r w:rsidRPr="003E6986">
              <w:rPr>
                <w:b/>
                <w:lang w:val="es-ES_tradnl" w:eastAsia="nl-NL"/>
              </w:rPr>
              <w:t>5.565</w:t>
            </w:r>
            <w:r w:rsidRPr="003E6986">
              <w:rPr>
                <w:lang w:val="es-ES_tradnl" w:eastAsia="nl-NL"/>
              </w:rPr>
              <w:t>;</w:t>
            </w:r>
          </w:p>
          <w:p w14:paraId="1DA4FC2C" w14:textId="77777777" w:rsidR="00AA6D1B" w:rsidRPr="003E6986" w:rsidRDefault="00AA6D1B" w:rsidP="007363B5">
            <w:pPr>
              <w:pStyle w:val="Tabletext"/>
              <w:tabs>
                <w:tab w:val="clear" w:pos="284"/>
                <w:tab w:val="left" w:pos="463"/>
              </w:tabs>
              <w:jc w:val="both"/>
              <w:rPr>
                <w:lang w:val="es-ES_tradnl" w:eastAsia="nl-NL"/>
              </w:rPr>
            </w:pPr>
            <w:r w:rsidRPr="003E6986">
              <w:rPr>
                <w:lang w:val="es-ES_tradnl" w:eastAsia="nl-NL"/>
              </w:rPr>
              <w:t>5</w:t>
            </w:r>
            <w:r w:rsidRPr="003E6986">
              <w:rPr>
                <w:lang w:val="es-ES_tradnl" w:eastAsia="nl-NL"/>
              </w:rPr>
              <w:tab/>
              <w:t xml:space="preserve">estudios de compartición y compatibilidad (en banda y en bandas adyacentes) de las aplicaciones del SRL con las aplicaciones del servicio fijo y el servicio móvil terrestre en la gama de frecuencias 275-450 GHz, identificadas en el número </w:t>
            </w:r>
            <w:r w:rsidRPr="003E6986">
              <w:rPr>
                <w:b/>
                <w:lang w:val="es-ES_tradnl" w:eastAsia="nl-NL"/>
              </w:rPr>
              <w:t>5.564A</w:t>
            </w:r>
            <w:r w:rsidRPr="003E6986">
              <w:rPr>
                <w:lang w:val="es-ES_tradnl" w:eastAsia="nl-NL"/>
              </w:rPr>
              <w:t>,</w:t>
            </w:r>
          </w:p>
          <w:p w14:paraId="5D6ADD27" w14:textId="77777777" w:rsidR="00AA6D1B" w:rsidRPr="003E6986" w:rsidRDefault="00AA6D1B" w:rsidP="00AA6D1B">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2027</w:t>
            </w:r>
          </w:p>
          <w:p w14:paraId="67B311B5" w14:textId="77777777" w:rsidR="00AA6D1B" w:rsidRDefault="00AA6D1B" w:rsidP="007363B5">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 xml:space="preserve">a determinar, basándose en los resultados de los estudios del UIT-R descritos en el </w:t>
            </w:r>
            <w:r w:rsidRPr="003E6986">
              <w:rPr>
                <w:i/>
                <w:lang w:val="es-ES_tradnl" w:eastAsia="nl-NL"/>
              </w:rPr>
              <w:t>resuelve invitar al Sector de Radiocomunicaciones de la UIT a finalizar a tiempo para la Conferencia Mundial de Radiocomunicaciones de 2027</w:t>
            </w:r>
            <w:r w:rsidRPr="003E6986">
              <w:rPr>
                <w:lang w:val="es-ES_tradnl" w:eastAsia="nl-NL"/>
              </w:rPr>
              <w:t>, posibles nuevas atribuciones al SRL en la gama de frecuencias 231,5-275 GHz a título primario, consideradas las medidas reglamentarias necesarias, teniendo en cuenta y garantizando a su vez la protección de la utilización actual y el futuro desarrollo de los servicios existentes en las bandas de frecuencias consideradas y en las bandas de frecuencias adyacentes;</w:t>
            </w:r>
          </w:p>
          <w:p w14:paraId="3857E2CF" w14:textId="77777777" w:rsidR="002232AC" w:rsidRPr="003E6986" w:rsidRDefault="002232AC" w:rsidP="007363B5">
            <w:pPr>
              <w:pStyle w:val="Tabletext"/>
              <w:tabs>
                <w:tab w:val="clear" w:pos="284"/>
                <w:tab w:val="left" w:pos="463"/>
              </w:tabs>
              <w:jc w:val="both"/>
              <w:rPr>
                <w:lang w:val="es-ES_tradnl" w:eastAsia="nl-NL"/>
              </w:rPr>
            </w:pPr>
          </w:p>
          <w:p w14:paraId="59272D9C" w14:textId="5BBB4636" w:rsidR="004A7B85" w:rsidRPr="003E6986" w:rsidRDefault="00AA6D1B" w:rsidP="00AA6D1B">
            <w:pPr>
              <w:pStyle w:val="Tabletext"/>
              <w:tabs>
                <w:tab w:val="clear" w:pos="284"/>
                <w:tab w:val="left" w:pos="463"/>
              </w:tabs>
              <w:jc w:val="both"/>
              <w:rPr>
                <w:lang w:val="es-ES_tradnl" w:eastAsia="nl-NL"/>
              </w:rPr>
            </w:pPr>
            <w:r w:rsidRPr="003E6986">
              <w:rPr>
                <w:lang w:val="es-ES_tradnl" w:eastAsia="nl-NL"/>
              </w:rPr>
              <w:lastRenderedPageBreak/>
              <w:t>2</w:t>
            </w:r>
            <w:r w:rsidRPr="003E6986">
              <w:rPr>
                <w:lang w:val="es-ES_tradnl" w:eastAsia="nl-NL"/>
              </w:rPr>
              <w:tab/>
              <w:t xml:space="preserve">a determinar, basándose en los resultados de los estudios del UIT-R descritos en el </w:t>
            </w:r>
            <w:r w:rsidRPr="003E6986">
              <w:rPr>
                <w:i/>
                <w:lang w:val="es-ES_tradnl" w:eastAsia="nl-NL"/>
              </w:rPr>
              <w:t>resuelve invitar al Sector de Radiocomunicaciones de la UIT a finalizar a tiempo para la Conferencia Mundial de Radiocomunicaciones de 2027</w:t>
            </w:r>
            <w:r w:rsidRPr="003E6986">
              <w:rPr>
                <w:lang w:val="es-ES_tradnl" w:eastAsia="nl-NL"/>
              </w:rPr>
              <w:t xml:space="preserve">, posibles identificaciones de bandas de frecuencias en la gama de frecuencias 275-700 GHz para su utilización por aplicaciones del SRL, consideradas las medidas reglamentarias necesarias, garantizando a su vez la protección de las aplicaciones identificadas en los números </w:t>
            </w:r>
            <w:r w:rsidRPr="003E6986">
              <w:rPr>
                <w:b/>
                <w:lang w:val="es-ES_tradnl" w:eastAsia="nl-NL"/>
              </w:rPr>
              <w:t>5.564A</w:t>
            </w:r>
            <w:r w:rsidRPr="003E6986">
              <w:rPr>
                <w:lang w:val="es-ES_tradnl" w:eastAsia="nl-NL"/>
              </w:rPr>
              <w:t xml:space="preserve"> y </w:t>
            </w:r>
            <w:r w:rsidRPr="003E6986">
              <w:rPr>
                <w:b/>
                <w:lang w:val="es-ES_tradnl" w:eastAsia="nl-NL"/>
              </w:rPr>
              <w:t>5.565</w:t>
            </w:r>
            <w:r w:rsidRPr="003E6986">
              <w:rPr>
                <w:lang w:val="es-ES_tradnl" w:eastAsia="nl-NL"/>
              </w:rPr>
              <w:t xml:space="preserve"> en las bandas de frecuencias consideradas y, en su caso, en las bandas de frecuencias adyacentes.</w:t>
            </w:r>
          </w:p>
        </w:tc>
        <w:tc>
          <w:tcPr>
            <w:tcW w:w="1406" w:type="dxa"/>
          </w:tcPr>
          <w:p w14:paraId="67E87FCF" w14:textId="21277163" w:rsidR="00A86BE2" w:rsidRPr="008653C7" w:rsidRDefault="007363B5" w:rsidP="00A86BE2">
            <w:pPr>
              <w:spacing w:before="40" w:after="40"/>
              <w:jc w:val="center"/>
              <w:rPr>
                <w:b/>
                <w:bCs/>
                <w:sz w:val="20"/>
                <w:lang w:val="fr-FR"/>
              </w:rPr>
            </w:pPr>
            <w:r w:rsidRPr="008653C7">
              <w:rPr>
                <w:b/>
                <w:bCs/>
                <w:sz w:val="20"/>
                <w:lang w:val="fr-FR"/>
              </w:rPr>
              <w:lastRenderedPageBreak/>
              <w:t xml:space="preserve">GT </w:t>
            </w:r>
            <w:proofErr w:type="spellStart"/>
            <w:r w:rsidR="00A86BE2" w:rsidRPr="008653C7">
              <w:rPr>
                <w:b/>
                <w:bCs/>
                <w:sz w:val="20"/>
                <w:lang w:val="fr-FR"/>
              </w:rPr>
              <w:t>3J</w:t>
            </w:r>
            <w:proofErr w:type="spellEnd"/>
          </w:p>
          <w:p w14:paraId="5D7C2481" w14:textId="16C2D372" w:rsidR="00A86BE2" w:rsidRPr="008653C7" w:rsidRDefault="007363B5" w:rsidP="00A86BE2">
            <w:pPr>
              <w:spacing w:before="40" w:after="40"/>
              <w:jc w:val="center"/>
              <w:rPr>
                <w:b/>
                <w:bCs/>
                <w:sz w:val="20"/>
                <w:lang w:val="fr-FR"/>
              </w:rPr>
            </w:pPr>
            <w:r w:rsidRPr="008653C7">
              <w:rPr>
                <w:b/>
                <w:bCs/>
                <w:sz w:val="20"/>
                <w:lang w:val="fr-FR"/>
              </w:rPr>
              <w:t xml:space="preserve">GT </w:t>
            </w:r>
            <w:proofErr w:type="spellStart"/>
            <w:r w:rsidR="00A86BE2" w:rsidRPr="008653C7">
              <w:rPr>
                <w:b/>
                <w:bCs/>
                <w:sz w:val="20"/>
                <w:lang w:val="fr-FR"/>
              </w:rPr>
              <w:t>3K</w:t>
            </w:r>
            <w:proofErr w:type="spellEnd"/>
          </w:p>
          <w:p w14:paraId="7E914FD0" w14:textId="1B494D30" w:rsidR="00A86BE2" w:rsidRPr="008653C7" w:rsidRDefault="007363B5" w:rsidP="00A86BE2">
            <w:pPr>
              <w:spacing w:before="40" w:after="40"/>
              <w:jc w:val="center"/>
              <w:rPr>
                <w:b/>
                <w:bCs/>
                <w:sz w:val="20"/>
                <w:lang w:val="fr-FR"/>
              </w:rPr>
            </w:pPr>
            <w:r w:rsidRPr="008653C7">
              <w:rPr>
                <w:b/>
                <w:bCs/>
                <w:sz w:val="20"/>
                <w:lang w:val="fr-FR"/>
              </w:rPr>
              <w:t xml:space="preserve">GT </w:t>
            </w:r>
            <w:r w:rsidR="00A86BE2" w:rsidRPr="008653C7">
              <w:rPr>
                <w:b/>
                <w:bCs/>
                <w:sz w:val="20"/>
                <w:lang w:val="fr-FR"/>
              </w:rPr>
              <w:t>3M</w:t>
            </w:r>
          </w:p>
          <w:p w14:paraId="27AFCE6F" w14:textId="53B05164" w:rsidR="00A86BE2" w:rsidRPr="008653C7" w:rsidRDefault="007363B5" w:rsidP="00A86BE2">
            <w:pPr>
              <w:spacing w:before="40" w:after="40"/>
              <w:jc w:val="center"/>
              <w:rPr>
                <w:b/>
                <w:bCs/>
                <w:sz w:val="20"/>
                <w:lang w:val="fr-FR"/>
              </w:rPr>
            </w:pPr>
            <w:r w:rsidRPr="008653C7">
              <w:rPr>
                <w:b/>
                <w:bCs/>
                <w:sz w:val="20"/>
                <w:lang w:val="fr-FR"/>
              </w:rPr>
              <w:t xml:space="preserve">GT </w:t>
            </w:r>
            <w:proofErr w:type="spellStart"/>
            <w:r w:rsidR="00A86BE2" w:rsidRPr="008653C7">
              <w:rPr>
                <w:b/>
                <w:bCs/>
                <w:sz w:val="20"/>
                <w:lang w:val="fr-FR"/>
              </w:rPr>
              <w:t>4A</w:t>
            </w:r>
            <w:proofErr w:type="spellEnd"/>
          </w:p>
          <w:p w14:paraId="1E8F3325" w14:textId="731CECCE" w:rsidR="00A86BE2" w:rsidRPr="008653C7" w:rsidRDefault="007363B5" w:rsidP="00A86BE2">
            <w:pPr>
              <w:spacing w:before="40" w:after="40"/>
              <w:jc w:val="center"/>
              <w:rPr>
                <w:b/>
                <w:bCs/>
                <w:sz w:val="20"/>
                <w:lang w:val="fr-FR"/>
              </w:rPr>
            </w:pPr>
            <w:r w:rsidRPr="008653C7">
              <w:rPr>
                <w:b/>
                <w:bCs/>
                <w:sz w:val="20"/>
                <w:lang w:val="fr-FR"/>
              </w:rPr>
              <w:t xml:space="preserve">GT </w:t>
            </w:r>
            <w:proofErr w:type="spellStart"/>
            <w:r w:rsidR="00A86BE2" w:rsidRPr="008653C7">
              <w:rPr>
                <w:b/>
                <w:bCs/>
                <w:sz w:val="20"/>
                <w:lang w:val="fr-FR"/>
              </w:rPr>
              <w:t>4C</w:t>
            </w:r>
            <w:proofErr w:type="spellEnd"/>
          </w:p>
          <w:p w14:paraId="76A9DC78" w14:textId="68212278" w:rsidR="00A86BE2" w:rsidRPr="008653C7" w:rsidRDefault="007363B5" w:rsidP="00A86BE2">
            <w:pPr>
              <w:spacing w:before="40" w:after="40"/>
              <w:jc w:val="center"/>
              <w:rPr>
                <w:b/>
                <w:bCs/>
                <w:sz w:val="20"/>
                <w:lang w:val="fr-FR"/>
              </w:rPr>
            </w:pPr>
            <w:r w:rsidRPr="008653C7">
              <w:rPr>
                <w:b/>
                <w:bCs/>
                <w:sz w:val="20"/>
                <w:lang w:val="fr-FR"/>
              </w:rPr>
              <w:t xml:space="preserve">GT </w:t>
            </w:r>
            <w:proofErr w:type="spellStart"/>
            <w:r w:rsidR="00A86BE2" w:rsidRPr="008653C7">
              <w:rPr>
                <w:b/>
                <w:bCs/>
                <w:sz w:val="20"/>
                <w:lang w:val="fr-FR"/>
              </w:rPr>
              <w:t>5A</w:t>
            </w:r>
            <w:proofErr w:type="spellEnd"/>
          </w:p>
          <w:p w14:paraId="6D7BD31D" w14:textId="76E931F4" w:rsidR="00A86BE2" w:rsidRPr="008653C7" w:rsidRDefault="007363B5" w:rsidP="00A86BE2">
            <w:pPr>
              <w:spacing w:before="40" w:after="40"/>
              <w:jc w:val="center"/>
              <w:rPr>
                <w:b/>
                <w:bCs/>
                <w:sz w:val="20"/>
                <w:lang w:val="fr-FR"/>
              </w:rPr>
            </w:pPr>
            <w:r w:rsidRPr="008653C7">
              <w:rPr>
                <w:b/>
                <w:bCs/>
                <w:sz w:val="20"/>
                <w:lang w:val="fr-FR"/>
              </w:rPr>
              <w:t xml:space="preserve">GT </w:t>
            </w:r>
            <w:proofErr w:type="spellStart"/>
            <w:r w:rsidR="00A86BE2" w:rsidRPr="008653C7">
              <w:rPr>
                <w:b/>
                <w:bCs/>
                <w:sz w:val="20"/>
                <w:lang w:val="fr-FR"/>
              </w:rPr>
              <w:t>5C</w:t>
            </w:r>
            <w:proofErr w:type="spellEnd"/>
          </w:p>
          <w:p w14:paraId="425EF28D" w14:textId="7D969495" w:rsidR="00A86BE2" w:rsidRPr="008653C7" w:rsidRDefault="007363B5" w:rsidP="00A86BE2">
            <w:pPr>
              <w:spacing w:before="40" w:after="40"/>
              <w:jc w:val="center"/>
              <w:rPr>
                <w:b/>
                <w:bCs/>
                <w:sz w:val="20"/>
                <w:lang w:val="fr-FR"/>
              </w:rPr>
            </w:pPr>
            <w:r w:rsidRPr="008653C7">
              <w:rPr>
                <w:b/>
                <w:bCs/>
                <w:sz w:val="20"/>
                <w:lang w:val="fr-FR"/>
              </w:rPr>
              <w:t xml:space="preserve">GT </w:t>
            </w:r>
            <w:proofErr w:type="spellStart"/>
            <w:r w:rsidR="00A86BE2" w:rsidRPr="008653C7">
              <w:rPr>
                <w:b/>
                <w:bCs/>
                <w:sz w:val="20"/>
                <w:lang w:val="fr-FR"/>
              </w:rPr>
              <w:t>7C</w:t>
            </w:r>
            <w:proofErr w:type="spellEnd"/>
          </w:p>
          <w:p w14:paraId="4F0DAD49" w14:textId="3171DE3F" w:rsidR="004A7B85" w:rsidRPr="003E6986" w:rsidRDefault="007363B5" w:rsidP="00A86BE2">
            <w:pPr>
              <w:pStyle w:val="Tabletext"/>
              <w:tabs>
                <w:tab w:val="clear" w:pos="284"/>
                <w:tab w:val="left" w:pos="463"/>
              </w:tabs>
              <w:spacing w:line="480" w:lineRule="auto"/>
              <w:jc w:val="center"/>
              <w:rPr>
                <w:b/>
                <w:bCs/>
                <w:lang w:val="es-ES_tradnl" w:eastAsia="nl-NL"/>
              </w:rPr>
            </w:pPr>
            <w:r w:rsidRPr="003E6986">
              <w:rPr>
                <w:b/>
                <w:bCs/>
                <w:lang w:val="es-ES_tradnl"/>
              </w:rPr>
              <w:t xml:space="preserve">GT </w:t>
            </w:r>
            <w:proofErr w:type="spellStart"/>
            <w:r w:rsidR="00A86BE2" w:rsidRPr="003E6986">
              <w:rPr>
                <w:b/>
                <w:bCs/>
                <w:lang w:val="es-ES_tradnl"/>
              </w:rPr>
              <w:t>7D</w:t>
            </w:r>
            <w:proofErr w:type="spellEnd"/>
          </w:p>
        </w:tc>
      </w:tr>
      <w:tr w:rsidR="004A7B85" w:rsidRPr="008653C7" w14:paraId="02C4D896" w14:textId="77777777" w:rsidTr="003F05FF">
        <w:trPr>
          <w:gridAfter w:val="1"/>
          <w:wAfter w:w="27" w:type="dxa"/>
          <w:cantSplit/>
          <w:jc w:val="center"/>
        </w:trPr>
        <w:tc>
          <w:tcPr>
            <w:tcW w:w="14036" w:type="dxa"/>
            <w:gridSpan w:val="4"/>
          </w:tcPr>
          <w:p w14:paraId="24343AEA" w14:textId="3BC87991" w:rsidR="004A7B85" w:rsidRPr="003E6986" w:rsidRDefault="00AA6D1B" w:rsidP="001E2EFF">
            <w:pPr>
              <w:pStyle w:val="Tabletext"/>
              <w:keepNext/>
              <w:keepLines/>
              <w:tabs>
                <w:tab w:val="clear" w:pos="284"/>
                <w:tab w:val="left" w:pos="594"/>
              </w:tabs>
              <w:jc w:val="both"/>
              <w:rPr>
                <w:lang w:val="es-ES_tradnl" w:eastAsia="nl-NL"/>
              </w:rPr>
            </w:pPr>
            <w:r w:rsidRPr="003E6986">
              <w:rPr>
                <w:lang w:val="es-ES_tradnl" w:eastAsia="nl-NL"/>
              </w:rPr>
              <w:t>1.9</w:t>
            </w:r>
            <w:r w:rsidRPr="003E6986">
              <w:rPr>
                <w:lang w:val="es-ES_tradnl" w:eastAsia="nl-NL"/>
              </w:rPr>
              <w:tab/>
              <w:t>considerar las acciones reglamentarias pertinentes para actualizar el Apéndice</w:t>
            </w:r>
            <w:r w:rsidRPr="003E6986">
              <w:rPr>
                <w:b/>
                <w:lang w:val="es-ES_tradnl" w:eastAsia="nl-NL"/>
              </w:rPr>
              <w:t xml:space="preserve"> 26</w:t>
            </w:r>
            <w:r w:rsidRPr="003E6986">
              <w:rPr>
                <w:lang w:val="es-ES_tradnl" w:eastAsia="nl-NL"/>
              </w:rPr>
              <w:t xml:space="preserve"> del Reglamento de Radiocomunicaciones en pro de la modernización del servicio móvil aeronáutico (OR) en ondas decamétricas, de conformidad con la Resolución </w:t>
            </w:r>
            <w:r w:rsidR="00343213" w:rsidRPr="003E6986">
              <w:rPr>
                <w:b/>
                <w:lang w:val="es-ES_tradnl" w:eastAsia="nl-NL"/>
              </w:rPr>
              <w:t>411</w:t>
            </w:r>
            <w:r w:rsidRPr="003E6986">
              <w:rPr>
                <w:b/>
                <w:lang w:val="es-ES_tradnl" w:eastAsia="nl-NL"/>
              </w:rPr>
              <w:t xml:space="preserve"> (CMR 23)</w:t>
            </w:r>
            <w:r w:rsidRPr="003E6986">
              <w:rPr>
                <w:lang w:val="es-ES_tradnl" w:eastAsia="nl-NL"/>
              </w:rPr>
              <w:t>;</w:t>
            </w:r>
          </w:p>
        </w:tc>
      </w:tr>
      <w:tr w:rsidR="004A7B85" w:rsidRPr="008653C7" w14:paraId="46319931" w14:textId="77777777" w:rsidTr="003F05FF">
        <w:trPr>
          <w:gridAfter w:val="1"/>
          <w:wAfter w:w="27" w:type="dxa"/>
          <w:jc w:val="center"/>
        </w:trPr>
        <w:tc>
          <w:tcPr>
            <w:tcW w:w="3304" w:type="dxa"/>
          </w:tcPr>
          <w:p w14:paraId="5BEA18C3" w14:textId="5D9AB3D4" w:rsidR="00AA6D1B" w:rsidRPr="003E6986" w:rsidRDefault="00AA6D1B" w:rsidP="00AA6D1B">
            <w:pPr>
              <w:pStyle w:val="Tabletext"/>
              <w:tabs>
                <w:tab w:val="left" w:pos="463"/>
              </w:tabs>
              <w:rPr>
                <w:lang w:val="es-ES_tradnl" w:eastAsia="nl-NL"/>
              </w:rPr>
            </w:pPr>
            <w:r w:rsidRPr="003E6986">
              <w:rPr>
                <w:lang w:val="es-ES_tradnl" w:eastAsia="nl-NL"/>
              </w:rPr>
              <w:t xml:space="preserve">Resolución </w:t>
            </w:r>
            <w:r w:rsidR="00343213" w:rsidRPr="003E6986">
              <w:rPr>
                <w:b/>
                <w:lang w:val="es-ES_tradnl" w:eastAsia="nl-NL"/>
              </w:rPr>
              <w:t>411</w:t>
            </w:r>
            <w:r w:rsidRPr="003E6986">
              <w:rPr>
                <w:b/>
                <w:lang w:val="es-ES_tradnl" w:eastAsia="nl-NL"/>
              </w:rPr>
              <w:t xml:space="preserve"> (</w:t>
            </w:r>
            <w:proofErr w:type="spellStart"/>
            <w:r w:rsidRPr="003E6986">
              <w:rPr>
                <w:b/>
                <w:lang w:val="es-ES_tradnl" w:eastAsia="nl-NL"/>
              </w:rPr>
              <w:t>CMR</w:t>
            </w:r>
            <w:proofErr w:type="spellEnd"/>
            <w:r w:rsidRPr="003E6986">
              <w:rPr>
                <w:b/>
                <w:lang w:val="es-ES_tradnl" w:eastAsia="nl-NL"/>
              </w:rPr>
              <w:t>-23)</w:t>
            </w:r>
          </w:p>
          <w:p w14:paraId="56F2152C" w14:textId="744E09A8" w:rsidR="004A7B85" w:rsidRPr="003E6986" w:rsidRDefault="00AA6D1B" w:rsidP="002232AC">
            <w:pPr>
              <w:pStyle w:val="Tabletext"/>
              <w:tabs>
                <w:tab w:val="left" w:pos="463"/>
              </w:tabs>
              <w:rPr>
                <w:lang w:val="es-ES_tradnl" w:eastAsia="nl-NL"/>
              </w:rPr>
            </w:pPr>
            <w:r w:rsidRPr="003E6986">
              <w:rPr>
                <w:lang w:val="es-ES_tradnl" w:eastAsia="nl-NL"/>
              </w:rPr>
              <w:t xml:space="preserve">Consideración de medidas reglamentarias pertinentes para actualizar el Apéndice </w:t>
            </w:r>
            <w:r w:rsidRPr="002232AC">
              <w:rPr>
                <w:b/>
                <w:bCs/>
                <w:lang w:val="es-ES_tradnl" w:eastAsia="nl-NL"/>
              </w:rPr>
              <w:t>26</w:t>
            </w:r>
            <w:r w:rsidRPr="003E6986">
              <w:rPr>
                <w:lang w:val="es-ES_tradnl" w:eastAsia="nl-NL"/>
              </w:rPr>
              <w:t xml:space="preserve"> en pro de la modernización del servicio móvil aeronáutico (OR) en ondas decamétricas</w:t>
            </w:r>
          </w:p>
        </w:tc>
        <w:tc>
          <w:tcPr>
            <w:tcW w:w="1517" w:type="dxa"/>
          </w:tcPr>
          <w:p w14:paraId="202328B4" w14:textId="714CDD95" w:rsidR="004A7B85" w:rsidRPr="003E6986" w:rsidRDefault="00A92266" w:rsidP="0098280D">
            <w:pPr>
              <w:pStyle w:val="Tabletext"/>
              <w:tabs>
                <w:tab w:val="clear" w:pos="284"/>
                <w:tab w:val="left" w:pos="463"/>
              </w:tabs>
              <w:jc w:val="center"/>
              <w:rPr>
                <w:b/>
                <w:bCs/>
                <w:lang w:val="es-ES_tradnl" w:eastAsia="nl-NL"/>
              </w:rPr>
            </w:pPr>
            <w:r w:rsidRPr="003E6986">
              <w:rPr>
                <w:b/>
                <w:bCs/>
                <w:lang w:val="es-ES_tradnl" w:eastAsia="nl-NL"/>
              </w:rPr>
              <w:t>GT</w:t>
            </w:r>
            <w:r w:rsidR="004A7B85" w:rsidRPr="003E6986">
              <w:rPr>
                <w:b/>
                <w:bCs/>
                <w:lang w:val="es-ES_tradnl" w:eastAsia="nl-NL"/>
              </w:rPr>
              <w:t> 5B</w:t>
            </w:r>
          </w:p>
        </w:tc>
        <w:tc>
          <w:tcPr>
            <w:tcW w:w="7809" w:type="dxa"/>
          </w:tcPr>
          <w:p w14:paraId="39C0386A" w14:textId="51DF42B5" w:rsidR="00AA6D1B" w:rsidRPr="003E6986" w:rsidRDefault="00AA6D1B" w:rsidP="001E2EFF">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reconociendo</w:t>
            </w:r>
          </w:p>
          <w:p w14:paraId="2557F42B" w14:textId="77777777" w:rsidR="00AA6D1B" w:rsidRPr="003E6986" w:rsidRDefault="00AA6D1B" w:rsidP="001E2EFF">
            <w:pPr>
              <w:pStyle w:val="Tabletext"/>
              <w:tabs>
                <w:tab w:val="clear" w:pos="284"/>
                <w:tab w:val="left" w:pos="463"/>
              </w:tabs>
              <w:jc w:val="both"/>
              <w:rPr>
                <w:lang w:val="es-ES_tradnl" w:eastAsia="nl-NL"/>
              </w:rPr>
            </w:pPr>
            <w:r w:rsidRPr="003E6986">
              <w:rPr>
                <w:lang w:val="es-ES_tradnl" w:eastAsia="nl-NL"/>
              </w:rPr>
              <w:t>…</w:t>
            </w:r>
          </w:p>
          <w:p w14:paraId="51107FFB" w14:textId="77777777" w:rsidR="00AA6D1B" w:rsidRPr="003E6986" w:rsidRDefault="00AA6D1B" w:rsidP="007363B5">
            <w:pPr>
              <w:pStyle w:val="Tabletext"/>
              <w:tabs>
                <w:tab w:val="clear" w:pos="284"/>
                <w:tab w:val="left" w:pos="463"/>
              </w:tabs>
              <w:jc w:val="both"/>
              <w:rPr>
                <w:lang w:val="es-ES_tradnl" w:eastAsia="nl-NL"/>
              </w:rPr>
            </w:pPr>
            <w:r w:rsidRPr="003E6986">
              <w:rPr>
                <w:i/>
                <w:lang w:val="es-ES_tradnl" w:eastAsia="nl-NL"/>
              </w:rPr>
              <w:t>c)</w:t>
            </w:r>
            <w:r w:rsidRPr="003E6986">
              <w:rPr>
                <w:lang w:val="es-ES_tradnl" w:eastAsia="nl-NL"/>
              </w:rPr>
              <w:tab/>
              <w:t>que, a los efectos de la presente Resolución, el término «banda amplia» en el contexto de las comunicaciones en ondas decamétricas puede referirse a una combinación de emisiones cuyo ancho de banda es superior al de los canales 3 kHz;</w:t>
            </w:r>
          </w:p>
          <w:p w14:paraId="010A9A54" w14:textId="77777777" w:rsidR="00AA6D1B" w:rsidRPr="003E6986" w:rsidRDefault="00AA6D1B" w:rsidP="007363B5">
            <w:pPr>
              <w:pStyle w:val="Tabletext"/>
              <w:tabs>
                <w:tab w:val="clear" w:pos="284"/>
                <w:tab w:val="left" w:pos="463"/>
              </w:tabs>
              <w:jc w:val="both"/>
              <w:rPr>
                <w:lang w:val="es-ES_tradnl" w:eastAsia="nl-NL"/>
              </w:rPr>
            </w:pPr>
            <w:r w:rsidRPr="003E6986">
              <w:rPr>
                <w:i/>
                <w:lang w:val="es-ES_tradnl" w:eastAsia="nl-NL"/>
              </w:rPr>
              <w:t>d)</w:t>
            </w:r>
            <w:r w:rsidRPr="003E6986">
              <w:rPr>
                <w:lang w:val="es-ES_tradnl" w:eastAsia="nl-NL"/>
              </w:rPr>
              <w:tab/>
              <w:t>que el funcionamiento en banda amplia puede lograrse mediante emisiones de una o de varias portadoras;</w:t>
            </w:r>
          </w:p>
          <w:p w14:paraId="0ECF2956" w14:textId="77777777" w:rsidR="00AA6D1B" w:rsidRPr="003E6986" w:rsidRDefault="00AA6D1B" w:rsidP="007363B5">
            <w:pPr>
              <w:pStyle w:val="Tabletext"/>
              <w:tabs>
                <w:tab w:val="clear" w:pos="284"/>
                <w:tab w:val="left" w:pos="463"/>
              </w:tabs>
              <w:jc w:val="both"/>
              <w:rPr>
                <w:lang w:val="es-ES_tradnl" w:eastAsia="nl-NL"/>
              </w:rPr>
            </w:pPr>
            <w:r w:rsidRPr="003E6986">
              <w:rPr>
                <w:i/>
                <w:lang w:val="es-ES_tradnl" w:eastAsia="nl-NL"/>
              </w:rPr>
              <w:t>e)</w:t>
            </w:r>
            <w:r w:rsidRPr="003E6986">
              <w:rPr>
                <w:lang w:val="es-ES_tradnl" w:eastAsia="nl-NL"/>
              </w:rPr>
              <w:tab/>
              <w:t>que el funcionamiento en banda amplia puede lograrse mediante la combinación de canales contiguos o no contiguos para emisiones multiportadora;</w:t>
            </w:r>
          </w:p>
          <w:p w14:paraId="6CC828FA" w14:textId="523A2982" w:rsidR="00AA6D1B" w:rsidRPr="003E6986" w:rsidRDefault="00AA6D1B" w:rsidP="00AA6D1B">
            <w:pPr>
              <w:pStyle w:val="Tabletext"/>
              <w:tabs>
                <w:tab w:val="clear" w:pos="284"/>
                <w:tab w:val="left" w:pos="463"/>
              </w:tabs>
              <w:jc w:val="both"/>
              <w:rPr>
                <w:lang w:val="es-ES_tradnl" w:eastAsia="nl-NL"/>
              </w:rPr>
            </w:pPr>
            <w:r w:rsidRPr="003E6986">
              <w:rPr>
                <w:i/>
                <w:lang w:val="es-ES_tradnl" w:eastAsia="nl-NL"/>
              </w:rPr>
              <w:t>f)</w:t>
            </w:r>
            <w:r w:rsidRPr="003E6986">
              <w:rPr>
                <w:lang w:val="es-ES_tradnl" w:eastAsia="nl-NL"/>
              </w:rPr>
              <w:tab/>
              <w:t>que la utilización de las adjudicaciones de frecuencias y zonas existentes en las bandas de frecuencias atribuidas al servicio móvil aeronáutico (OR) (SMA(OR)) entre 3 025 kHz y 18</w:t>
            </w:r>
            <w:r w:rsidR="00A923A9">
              <w:rPr>
                <w:lang w:val="es-ES_tradnl" w:eastAsia="nl-NL"/>
              </w:rPr>
              <w:t> </w:t>
            </w:r>
            <w:r w:rsidRPr="003E6986">
              <w:rPr>
                <w:lang w:val="es-ES_tradnl" w:eastAsia="nl-NL"/>
              </w:rPr>
              <w:t xml:space="preserve">030 kHz se rige por las disposiciones del Apéndice </w:t>
            </w:r>
            <w:r w:rsidRPr="003E6986">
              <w:rPr>
                <w:b/>
                <w:lang w:val="es-ES_tradnl" w:eastAsia="nl-NL"/>
              </w:rPr>
              <w:t>26</w:t>
            </w:r>
            <w:r w:rsidRPr="003E6986">
              <w:rPr>
                <w:lang w:val="es-ES_tradnl" w:eastAsia="nl-NL"/>
              </w:rPr>
              <w:t>,</w:t>
            </w:r>
          </w:p>
          <w:p w14:paraId="211EECED" w14:textId="77777777" w:rsidR="00AA6D1B" w:rsidRPr="003E6986" w:rsidRDefault="00AA6D1B" w:rsidP="00DB1E2B">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2027</w:t>
            </w:r>
          </w:p>
          <w:p w14:paraId="3A73F6A5" w14:textId="77777777" w:rsidR="00AA6D1B" w:rsidRPr="003E6986" w:rsidRDefault="00AA6D1B" w:rsidP="007363B5">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 xml:space="preserve">a estudiar la introducción de nuevas tecnologías que mejoren el rendimiento, para incluir, entre otros, nuevas clases de emisión, sistemas de banda amplia (véase el </w:t>
            </w:r>
            <w:r w:rsidRPr="003E6986">
              <w:rPr>
                <w:i/>
                <w:lang w:val="es-ES_tradnl" w:eastAsia="nl-NL"/>
              </w:rPr>
              <w:t>reconociendo c)</w:t>
            </w:r>
            <w:r w:rsidRPr="003E6986">
              <w:rPr>
                <w:lang w:val="es-ES_tradnl" w:eastAsia="nl-NL"/>
              </w:rPr>
              <w:t xml:space="preserve">, </w:t>
            </w:r>
            <w:r w:rsidRPr="003E6986">
              <w:rPr>
                <w:i/>
                <w:lang w:val="es-ES_tradnl" w:eastAsia="nl-NL"/>
              </w:rPr>
              <w:t>d)</w:t>
            </w:r>
            <w:r w:rsidRPr="003E6986">
              <w:rPr>
                <w:lang w:val="es-ES_tradnl" w:eastAsia="nl-NL"/>
              </w:rPr>
              <w:t xml:space="preserve"> y </w:t>
            </w:r>
            <w:r w:rsidRPr="003E6986">
              <w:rPr>
                <w:i/>
                <w:lang w:val="es-ES_tradnl" w:eastAsia="nl-NL"/>
              </w:rPr>
              <w:t>e)</w:t>
            </w:r>
            <w:r w:rsidRPr="003E6986">
              <w:rPr>
                <w:lang w:val="es-ES_tradnl" w:eastAsia="nl-NL"/>
              </w:rPr>
              <w:t xml:space="preserve">), etc., para los sistemas del SMA(OR) en las gamas de frecuencias consideradas en el Apéndice </w:t>
            </w:r>
            <w:r w:rsidRPr="002232AC">
              <w:rPr>
                <w:b/>
                <w:bCs/>
                <w:lang w:val="es-ES_tradnl" w:eastAsia="nl-NL"/>
              </w:rPr>
              <w:t>26</w:t>
            </w:r>
            <w:r w:rsidRPr="003E6986">
              <w:rPr>
                <w:lang w:val="es-ES_tradnl" w:eastAsia="nl-NL"/>
              </w:rPr>
              <w:t>;</w:t>
            </w:r>
          </w:p>
          <w:p w14:paraId="0DC9FAC6" w14:textId="54C287F0" w:rsidR="00AA6D1B" w:rsidRPr="003E6986" w:rsidRDefault="00AA6D1B" w:rsidP="007363B5">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 xml:space="preserve">a fin de aplicar el </w:t>
            </w:r>
            <w:r w:rsidRPr="003E6986">
              <w:rPr>
                <w:i/>
                <w:lang w:val="es-ES_tradnl" w:eastAsia="nl-NL"/>
              </w:rPr>
              <w:t>resuelve invitar al Sector de Radiocomunicaciones de la UIT a finalizar a tiempo para la Conferencia Mundial de Radiocomunicaciones de 2027</w:t>
            </w:r>
            <w:r w:rsidR="007363B5" w:rsidRPr="003E6986">
              <w:rPr>
                <w:i/>
                <w:lang w:val="es-ES_tradnl" w:eastAsia="nl-NL"/>
              </w:rPr>
              <w:t> </w:t>
            </w:r>
            <w:r w:rsidRPr="003E6986">
              <w:rPr>
                <w:lang w:val="es-ES_tradnl" w:eastAsia="nl-NL"/>
              </w:rPr>
              <w:t xml:space="preserve">1, defina las características técnicas y operativas pertinentes, y realice estudios de compartición y compatibilidad con los sistemas del SMA(OR) existentes, así como con otros servicios ya </w:t>
            </w:r>
            <w:r w:rsidRPr="003E6986">
              <w:rPr>
                <w:lang w:val="es-ES_tradnl" w:eastAsia="nl-NL"/>
              </w:rPr>
              <w:lastRenderedPageBreak/>
              <w:t>existentes que tengan atribuciones a título primario en la misma banda de frecuencias o en bandas adyacentes;</w:t>
            </w:r>
          </w:p>
          <w:p w14:paraId="72FA4ED7" w14:textId="77777777" w:rsidR="004A7B85" w:rsidRPr="003E6986" w:rsidRDefault="00AA6D1B" w:rsidP="00AA6D1B">
            <w:pPr>
              <w:pStyle w:val="Tabletext"/>
              <w:tabs>
                <w:tab w:val="clear" w:pos="284"/>
                <w:tab w:val="left" w:pos="463"/>
              </w:tabs>
              <w:jc w:val="both"/>
              <w:rPr>
                <w:lang w:val="es-ES_tradnl" w:eastAsia="nl-NL"/>
              </w:rPr>
            </w:pPr>
            <w:r w:rsidRPr="003E6986">
              <w:rPr>
                <w:lang w:val="es-ES_tradnl" w:eastAsia="nl-NL"/>
              </w:rPr>
              <w:t>3</w:t>
            </w:r>
            <w:r w:rsidRPr="003E6986">
              <w:rPr>
                <w:lang w:val="es-ES_tradnl" w:eastAsia="nl-NL"/>
              </w:rPr>
              <w:tab/>
              <w:t xml:space="preserve">sobre la base de los estudios del Sector de Radiocomunicaciones de la UIT (UIT-R), a identificar cualquier posible modificación del Apéndice </w:t>
            </w:r>
            <w:r w:rsidRPr="003E6986">
              <w:rPr>
                <w:b/>
                <w:bCs/>
                <w:lang w:val="es-ES_tradnl" w:eastAsia="nl-NL"/>
              </w:rPr>
              <w:t>26</w:t>
            </w:r>
            <w:r w:rsidRPr="003E6986">
              <w:rPr>
                <w:lang w:val="es-ES_tradnl" w:eastAsia="nl-NL"/>
              </w:rPr>
              <w:t xml:space="preserve">, sin modificar las adjudicaciones de zona existentes del </w:t>
            </w:r>
            <w:r w:rsidRPr="003E6986">
              <w:rPr>
                <w:i/>
                <w:lang w:val="es-ES_tradnl" w:eastAsia="nl-NL"/>
              </w:rPr>
              <w:t>reconociendo f)</w:t>
            </w:r>
            <w:r w:rsidRPr="003E6986">
              <w:rPr>
                <w:lang w:val="es-ES_tradnl" w:eastAsia="nl-NL"/>
              </w:rPr>
              <w:t xml:space="preserve">, y teniendo en cuenta que </w:t>
            </w:r>
            <w:proofErr w:type="gramStart"/>
            <w:r w:rsidRPr="003E6986">
              <w:rPr>
                <w:lang w:val="es-ES_tradnl" w:eastAsia="nl-NL"/>
              </w:rPr>
              <w:t>la utilización actual de los sistemas de banda estrecha permanecerán</w:t>
            </w:r>
            <w:proofErr w:type="gramEnd"/>
            <w:r w:rsidRPr="003E6986">
              <w:rPr>
                <w:lang w:val="es-ES_tradnl" w:eastAsia="nl-NL"/>
              </w:rPr>
              <w:t xml:space="preserve"> inalterada y no se verá afectada ni impedida por la revisión del Apéndice </w:t>
            </w:r>
            <w:r w:rsidRPr="003E6986">
              <w:rPr>
                <w:b/>
                <w:bCs/>
                <w:lang w:val="es-ES_tradnl" w:eastAsia="nl-NL"/>
              </w:rPr>
              <w:t>26</w:t>
            </w:r>
            <w:r w:rsidRPr="003E6986">
              <w:rPr>
                <w:lang w:val="es-ES_tradnl" w:eastAsia="nl-NL"/>
              </w:rPr>
              <w:t>,</w:t>
            </w:r>
          </w:p>
          <w:p w14:paraId="4FC87E8F" w14:textId="77777777" w:rsidR="00DB1E2B" w:rsidRPr="003E6986" w:rsidRDefault="00DB1E2B" w:rsidP="00AA6D1B">
            <w:pPr>
              <w:pStyle w:val="Tabletext"/>
              <w:tabs>
                <w:tab w:val="clear" w:pos="284"/>
                <w:tab w:val="left" w:pos="463"/>
              </w:tabs>
              <w:jc w:val="both"/>
              <w:rPr>
                <w:lang w:val="es-ES_tradnl" w:eastAsia="nl-NL"/>
              </w:rPr>
            </w:pPr>
            <w:r w:rsidRPr="003E6986">
              <w:rPr>
                <w:lang w:val="es-ES_tradnl" w:eastAsia="nl-NL"/>
              </w:rPr>
              <w:t>…</w:t>
            </w:r>
          </w:p>
          <w:p w14:paraId="13539808" w14:textId="77777777" w:rsidR="00DB1E2B" w:rsidRPr="003E6986" w:rsidRDefault="00DB1E2B" w:rsidP="00DB1E2B">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2027</w:t>
            </w:r>
          </w:p>
          <w:p w14:paraId="3F8F553A" w14:textId="08FC21AF" w:rsidR="00DB1E2B" w:rsidRPr="003E6986" w:rsidRDefault="00DB1E2B" w:rsidP="00DB1E2B">
            <w:pPr>
              <w:pStyle w:val="Tabletext"/>
              <w:tabs>
                <w:tab w:val="clear" w:pos="284"/>
                <w:tab w:val="left" w:pos="463"/>
              </w:tabs>
              <w:jc w:val="both"/>
              <w:rPr>
                <w:lang w:val="es-ES_tradnl" w:eastAsia="nl-NL"/>
              </w:rPr>
            </w:pPr>
            <w:r w:rsidRPr="003E6986">
              <w:rPr>
                <w:lang w:val="es-ES_tradnl" w:eastAsia="nl-NL"/>
              </w:rPr>
              <w:t xml:space="preserve">a considerar los cambios necesarios, según proceda, del Apéndice </w:t>
            </w:r>
            <w:r w:rsidRPr="003E6986">
              <w:rPr>
                <w:b/>
                <w:bCs/>
                <w:lang w:val="es-ES_tradnl" w:eastAsia="nl-NL"/>
              </w:rPr>
              <w:t>26</w:t>
            </w:r>
            <w:r w:rsidRPr="003E6986">
              <w:rPr>
                <w:lang w:val="es-ES_tradnl" w:eastAsia="nl-NL"/>
              </w:rPr>
              <w:t xml:space="preserve">, basándose en los estudios realizados con arreglo al </w:t>
            </w:r>
            <w:r w:rsidRPr="003E6986">
              <w:rPr>
                <w:i/>
                <w:lang w:val="es-ES_tradnl" w:eastAsia="nl-NL"/>
              </w:rPr>
              <w:t>resuelve invitar al Sector de Radiocomunicaciones de la UIT a finalizar a tiempo para la Conferencia Mundial de Radiocomunicaciones de 2027</w:t>
            </w:r>
            <w:r w:rsidRPr="003E6986">
              <w:rPr>
                <w:lang w:val="es-ES_tradnl" w:eastAsia="nl-NL"/>
              </w:rPr>
              <w:t xml:space="preserve"> anterior.</w:t>
            </w:r>
          </w:p>
        </w:tc>
        <w:tc>
          <w:tcPr>
            <w:tcW w:w="1406" w:type="dxa"/>
          </w:tcPr>
          <w:p w14:paraId="4B2DD12A" w14:textId="6FB553CE" w:rsidR="00A86BE2" w:rsidRPr="008653C7" w:rsidRDefault="007363B5" w:rsidP="00A86BE2">
            <w:pPr>
              <w:spacing w:before="40" w:after="40"/>
              <w:jc w:val="center"/>
              <w:rPr>
                <w:b/>
                <w:bCs/>
                <w:sz w:val="20"/>
                <w:lang w:val="fr-FR"/>
              </w:rPr>
            </w:pPr>
            <w:r w:rsidRPr="008653C7">
              <w:rPr>
                <w:b/>
                <w:bCs/>
                <w:sz w:val="20"/>
                <w:lang w:val="fr-FR"/>
              </w:rPr>
              <w:lastRenderedPageBreak/>
              <w:t xml:space="preserve">GT </w:t>
            </w:r>
            <w:proofErr w:type="spellStart"/>
            <w:r w:rsidR="00A86BE2" w:rsidRPr="008653C7">
              <w:rPr>
                <w:b/>
                <w:bCs/>
                <w:sz w:val="20"/>
                <w:lang w:val="fr-FR"/>
              </w:rPr>
              <w:t>3L</w:t>
            </w:r>
            <w:proofErr w:type="spellEnd"/>
          </w:p>
          <w:p w14:paraId="37BE1339" w14:textId="6C8C4E7A" w:rsidR="00A86BE2" w:rsidRPr="008653C7" w:rsidRDefault="007363B5" w:rsidP="00A86BE2">
            <w:pPr>
              <w:spacing w:before="40" w:after="40"/>
              <w:jc w:val="center"/>
              <w:rPr>
                <w:b/>
                <w:bCs/>
                <w:sz w:val="20"/>
                <w:lang w:val="fr-FR"/>
              </w:rPr>
            </w:pPr>
            <w:r w:rsidRPr="008653C7">
              <w:rPr>
                <w:b/>
                <w:bCs/>
                <w:sz w:val="20"/>
                <w:lang w:val="fr-FR"/>
              </w:rPr>
              <w:t xml:space="preserve">GT </w:t>
            </w:r>
            <w:proofErr w:type="spellStart"/>
            <w:r w:rsidR="00A86BE2" w:rsidRPr="008653C7">
              <w:rPr>
                <w:b/>
                <w:bCs/>
                <w:sz w:val="20"/>
                <w:lang w:val="fr-FR"/>
              </w:rPr>
              <w:t>5C</w:t>
            </w:r>
            <w:proofErr w:type="spellEnd"/>
          </w:p>
          <w:p w14:paraId="11F438D1" w14:textId="22ED842C" w:rsidR="00A86BE2" w:rsidRPr="008653C7" w:rsidRDefault="007363B5" w:rsidP="00A86BE2">
            <w:pPr>
              <w:spacing w:before="40" w:after="40"/>
              <w:jc w:val="center"/>
              <w:rPr>
                <w:b/>
                <w:bCs/>
                <w:sz w:val="20"/>
                <w:lang w:val="fr-FR"/>
              </w:rPr>
            </w:pPr>
            <w:r w:rsidRPr="008653C7">
              <w:rPr>
                <w:b/>
                <w:bCs/>
                <w:sz w:val="20"/>
                <w:lang w:val="fr-FR"/>
              </w:rPr>
              <w:t xml:space="preserve">GT </w:t>
            </w:r>
            <w:proofErr w:type="spellStart"/>
            <w:r w:rsidR="00A86BE2" w:rsidRPr="008653C7">
              <w:rPr>
                <w:b/>
                <w:bCs/>
                <w:sz w:val="20"/>
                <w:lang w:val="fr-FR"/>
              </w:rPr>
              <w:t>6A</w:t>
            </w:r>
            <w:proofErr w:type="spellEnd"/>
          </w:p>
          <w:p w14:paraId="78C55A99" w14:textId="20589DF8" w:rsidR="004A7B85" w:rsidRPr="008653C7" w:rsidRDefault="007363B5" w:rsidP="00A86BE2">
            <w:pPr>
              <w:pStyle w:val="Tabletext"/>
              <w:tabs>
                <w:tab w:val="clear" w:pos="284"/>
                <w:tab w:val="left" w:pos="463"/>
              </w:tabs>
              <w:spacing w:line="480" w:lineRule="auto"/>
              <w:jc w:val="center"/>
              <w:rPr>
                <w:b/>
                <w:bCs/>
                <w:lang w:val="fr-FR" w:eastAsia="nl-NL"/>
              </w:rPr>
            </w:pPr>
            <w:r w:rsidRPr="008653C7">
              <w:rPr>
                <w:b/>
                <w:bCs/>
                <w:lang w:val="fr-FR"/>
              </w:rPr>
              <w:t xml:space="preserve">GT </w:t>
            </w:r>
            <w:proofErr w:type="spellStart"/>
            <w:r w:rsidR="00A86BE2" w:rsidRPr="008653C7">
              <w:rPr>
                <w:b/>
                <w:bCs/>
                <w:lang w:val="fr-FR"/>
              </w:rPr>
              <w:t>7A</w:t>
            </w:r>
            <w:proofErr w:type="spellEnd"/>
          </w:p>
        </w:tc>
      </w:tr>
      <w:tr w:rsidR="004A7B85" w:rsidRPr="008653C7" w14:paraId="64B03AB9" w14:textId="77777777" w:rsidTr="003F05FF">
        <w:trPr>
          <w:gridAfter w:val="1"/>
          <w:wAfter w:w="27" w:type="dxa"/>
          <w:cantSplit/>
          <w:jc w:val="center"/>
        </w:trPr>
        <w:tc>
          <w:tcPr>
            <w:tcW w:w="14036" w:type="dxa"/>
            <w:gridSpan w:val="4"/>
          </w:tcPr>
          <w:p w14:paraId="5187E02F" w14:textId="3061ED97" w:rsidR="004A7B85" w:rsidRPr="003E6986" w:rsidRDefault="00DB1E2B" w:rsidP="00734A5A">
            <w:pPr>
              <w:pStyle w:val="Tabletext"/>
              <w:tabs>
                <w:tab w:val="left" w:pos="594"/>
              </w:tabs>
              <w:jc w:val="both"/>
              <w:rPr>
                <w:lang w:val="es-ES_tradnl" w:eastAsia="nl-NL"/>
              </w:rPr>
            </w:pPr>
            <w:r w:rsidRPr="003E6986">
              <w:rPr>
                <w:lang w:val="es-ES_tradnl" w:eastAsia="nl-NL"/>
              </w:rPr>
              <w:t>1.10</w:t>
            </w:r>
            <w:r w:rsidRPr="003E6986">
              <w:rPr>
                <w:lang w:val="es-ES_tradnl" w:eastAsia="nl-NL"/>
              </w:rPr>
              <w:tab/>
              <w:t>considerar la determinación de límites de la densidad de flujo de potencia y de la potencia isótropa radiada equivalente (</w:t>
            </w:r>
            <w:proofErr w:type="spellStart"/>
            <w:r w:rsidRPr="003E6986">
              <w:rPr>
                <w:lang w:val="es-ES_tradnl" w:eastAsia="nl-NL"/>
              </w:rPr>
              <w:t>p.i.r.e</w:t>
            </w:r>
            <w:proofErr w:type="spellEnd"/>
            <w:r w:rsidRPr="003E6986">
              <w:rPr>
                <w:lang w:val="es-ES_tradnl" w:eastAsia="nl-NL"/>
              </w:rPr>
              <w:t xml:space="preserve">.) con miras a su inclusión en el Artículo </w:t>
            </w:r>
            <w:r w:rsidRPr="003E6986">
              <w:rPr>
                <w:b/>
                <w:lang w:val="es-ES_tradnl" w:eastAsia="nl-NL"/>
              </w:rPr>
              <w:t>21</w:t>
            </w:r>
            <w:r w:rsidRPr="003E6986">
              <w:rPr>
                <w:lang w:val="es-ES_tradnl" w:eastAsia="nl-NL"/>
              </w:rPr>
              <w:t xml:space="preserve"> del Reglamento de Radiocomunicaciones para los servicios fijo por satélite, móvil por satélite y de radiodifusión por satélite, a fin de proteger los servicios fijo y móvil en las bandas de frecuencias 71-76 GHz y 81 86 GHz, de conformidad con la Resolución </w:t>
            </w:r>
            <w:r w:rsidRPr="003E6986">
              <w:rPr>
                <w:b/>
                <w:lang w:val="es-ES_tradnl" w:eastAsia="nl-NL"/>
              </w:rPr>
              <w:t>775 (Rev.CMR-23)</w:t>
            </w:r>
            <w:r w:rsidRPr="003E6986">
              <w:rPr>
                <w:lang w:val="es-ES_tradnl" w:eastAsia="nl-NL"/>
              </w:rPr>
              <w:t>;</w:t>
            </w:r>
          </w:p>
        </w:tc>
      </w:tr>
      <w:tr w:rsidR="004A7B85" w:rsidRPr="003E6986" w14:paraId="5EEBD83A" w14:textId="77777777" w:rsidTr="003F05FF">
        <w:trPr>
          <w:gridAfter w:val="1"/>
          <w:wAfter w:w="27" w:type="dxa"/>
          <w:cantSplit/>
          <w:jc w:val="center"/>
        </w:trPr>
        <w:tc>
          <w:tcPr>
            <w:tcW w:w="3304" w:type="dxa"/>
          </w:tcPr>
          <w:p w14:paraId="28544919" w14:textId="216A9EE7" w:rsidR="00DB1E2B" w:rsidRPr="003E6986" w:rsidRDefault="00DB1E2B" w:rsidP="00734A5A">
            <w:pPr>
              <w:pStyle w:val="Tabletext"/>
              <w:tabs>
                <w:tab w:val="left" w:pos="463"/>
              </w:tabs>
              <w:rPr>
                <w:lang w:val="es-ES_tradnl" w:eastAsia="nl-NL"/>
              </w:rPr>
            </w:pPr>
            <w:r w:rsidRPr="003E6986">
              <w:rPr>
                <w:lang w:val="es-ES_tradnl" w:eastAsia="nl-NL"/>
              </w:rPr>
              <w:t xml:space="preserve">Resolución </w:t>
            </w:r>
            <w:r w:rsidRPr="003E6986">
              <w:rPr>
                <w:b/>
                <w:lang w:val="es-ES_tradnl" w:eastAsia="nl-NL"/>
              </w:rPr>
              <w:t>775 (</w:t>
            </w:r>
            <w:proofErr w:type="spellStart"/>
            <w:r w:rsidR="00CC514C">
              <w:rPr>
                <w:b/>
                <w:lang w:val="es-ES_tradnl" w:eastAsia="nl-NL"/>
              </w:rPr>
              <w:t>Rev.</w:t>
            </w:r>
            <w:r w:rsidRPr="003E6986">
              <w:rPr>
                <w:b/>
                <w:lang w:val="es-ES_tradnl" w:eastAsia="nl-NL"/>
              </w:rPr>
              <w:t>CMR</w:t>
            </w:r>
            <w:proofErr w:type="spellEnd"/>
            <w:r w:rsidRPr="003E6986">
              <w:rPr>
                <w:b/>
                <w:lang w:val="es-ES_tradnl" w:eastAsia="nl-NL"/>
              </w:rPr>
              <w:t>-23)</w:t>
            </w:r>
          </w:p>
          <w:p w14:paraId="6E492978" w14:textId="3827FDFF" w:rsidR="00A86BE2" w:rsidRPr="003E6986" w:rsidRDefault="00DB1E2B" w:rsidP="002232AC">
            <w:pPr>
              <w:pStyle w:val="Tabletext"/>
              <w:tabs>
                <w:tab w:val="clear" w:pos="284"/>
                <w:tab w:val="left" w:pos="463"/>
              </w:tabs>
              <w:rPr>
                <w:lang w:val="es-ES_tradnl" w:eastAsia="nl-NL"/>
              </w:rPr>
            </w:pPr>
            <w:r w:rsidRPr="003E6986">
              <w:rPr>
                <w:lang w:val="es-ES_tradnl" w:eastAsia="nl-NL"/>
              </w:rPr>
              <w:t xml:space="preserve">Límites de densidad de flujo de potencia y de potencia isótropa radiada equivalente a fin de incluirlos en el Artículo </w:t>
            </w:r>
            <w:r w:rsidRPr="002232AC">
              <w:rPr>
                <w:b/>
                <w:bCs/>
                <w:lang w:val="es-ES_tradnl" w:eastAsia="nl-NL"/>
              </w:rPr>
              <w:t>21</w:t>
            </w:r>
            <w:r w:rsidRPr="003E6986">
              <w:rPr>
                <w:lang w:val="es-ES_tradnl" w:eastAsia="nl-NL"/>
              </w:rPr>
              <w:t xml:space="preserve"> para los servicios fijo por satélite, móvil por satélite y de radiodifusión por satélite, a fin de proteger los servicios fijo y móvil en las bandas de frecuencias 71 76 GHz y 81 86 GHz</w:t>
            </w:r>
          </w:p>
        </w:tc>
        <w:tc>
          <w:tcPr>
            <w:tcW w:w="1517" w:type="dxa"/>
          </w:tcPr>
          <w:p w14:paraId="07C8C899" w14:textId="6A40DB1E" w:rsidR="004A7B85" w:rsidRPr="003E6986" w:rsidRDefault="00A92266" w:rsidP="00734A5A">
            <w:pPr>
              <w:pStyle w:val="Tabletext"/>
              <w:tabs>
                <w:tab w:val="clear" w:pos="284"/>
                <w:tab w:val="left" w:pos="463"/>
              </w:tabs>
              <w:jc w:val="center"/>
              <w:rPr>
                <w:b/>
                <w:bCs/>
                <w:lang w:val="es-ES_tradnl" w:eastAsia="nl-NL"/>
              </w:rPr>
            </w:pPr>
            <w:r w:rsidRPr="003E6986">
              <w:rPr>
                <w:b/>
                <w:bCs/>
                <w:lang w:val="es-ES_tradnl" w:eastAsia="nl-NL"/>
              </w:rPr>
              <w:t>GT</w:t>
            </w:r>
            <w:r w:rsidR="00DB1E2B" w:rsidRPr="003E6986">
              <w:rPr>
                <w:b/>
                <w:bCs/>
                <w:lang w:val="es-ES_tradnl" w:eastAsia="nl-NL"/>
              </w:rPr>
              <w:t> 5C</w:t>
            </w:r>
          </w:p>
        </w:tc>
        <w:tc>
          <w:tcPr>
            <w:tcW w:w="7809" w:type="dxa"/>
          </w:tcPr>
          <w:p w14:paraId="4EDCAFF6" w14:textId="77777777" w:rsidR="0070298D" w:rsidRPr="003E6986" w:rsidRDefault="0070298D" w:rsidP="00734A5A">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 xml:space="preserve">resuelve invitar al Sector de Radiocomunicaciones de la UIT a finalizar a tiempo para la Conferencia Mundial de Radiocomunicaciones de 2027 </w:t>
            </w:r>
          </w:p>
          <w:p w14:paraId="1561769F" w14:textId="77777777" w:rsidR="004A7B85" w:rsidRPr="003E6986" w:rsidRDefault="0070298D" w:rsidP="00734A5A">
            <w:pPr>
              <w:pStyle w:val="Tabletext"/>
              <w:tabs>
                <w:tab w:val="clear" w:pos="284"/>
                <w:tab w:val="left" w:pos="463"/>
              </w:tabs>
              <w:jc w:val="both"/>
              <w:rPr>
                <w:lang w:val="es-ES_tradnl" w:eastAsia="nl-NL"/>
              </w:rPr>
            </w:pPr>
            <w:r w:rsidRPr="003E6986">
              <w:rPr>
                <w:lang w:val="es-ES_tradnl" w:eastAsia="nl-NL"/>
              </w:rPr>
              <w:t>los estudios pertinentes para determinar los límites de densidad de flujo de potencia (</w:t>
            </w:r>
            <w:proofErr w:type="spellStart"/>
            <w:r w:rsidRPr="003E6986">
              <w:rPr>
                <w:lang w:val="es-ES_tradnl" w:eastAsia="nl-NL"/>
              </w:rPr>
              <w:t>dfp</w:t>
            </w:r>
            <w:proofErr w:type="spellEnd"/>
            <w:r w:rsidRPr="003E6986">
              <w:rPr>
                <w:lang w:val="es-ES_tradnl" w:eastAsia="nl-NL"/>
              </w:rPr>
              <w:t>) y de potencia isótropa radiada equivalente (</w:t>
            </w:r>
            <w:proofErr w:type="spellStart"/>
            <w:r w:rsidRPr="003E6986">
              <w:rPr>
                <w:lang w:val="es-ES_tradnl" w:eastAsia="nl-NL"/>
              </w:rPr>
              <w:t>p.i.r.e</w:t>
            </w:r>
            <w:proofErr w:type="spellEnd"/>
            <w:r w:rsidRPr="003E6986">
              <w:rPr>
                <w:lang w:val="es-ES_tradnl" w:eastAsia="nl-NL"/>
              </w:rPr>
              <w:t xml:space="preserve">.) que se incluirán en el Artículo </w:t>
            </w:r>
            <w:r w:rsidRPr="003E6986">
              <w:rPr>
                <w:b/>
                <w:lang w:val="es-ES_tradnl" w:eastAsia="nl-NL"/>
              </w:rPr>
              <w:t>21</w:t>
            </w:r>
            <w:r w:rsidRPr="003E6986">
              <w:rPr>
                <w:lang w:val="es-ES_tradnl" w:eastAsia="nl-NL"/>
              </w:rPr>
              <w:t xml:space="preserve"> para los servicios por satélite (servicio fijo por satélite (SFS), servicio móvil por satélite (SMS) y servicio de radiodifusión por satélite (SRS)), a fin de proteger los servicios fijo y móvil actuales y previstos en las bandas de frecuencias 71-76 GHz y 81-86 GHz,</w:t>
            </w:r>
          </w:p>
          <w:p w14:paraId="7947184A" w14:textId="77777777" w:rsidR="0070298D" w:rsidRPr="003E6986" w:rsidRDefault="0070298D" w:rsidP="00734A5A">
            <w:pPr>
              <w:pStyle w:val="Tabletext"/>
              <w:tabs>
                <w:tab w:val="clear" w:pos="284"/>
                <w:tab w:val="left" w:pos="463"/>
              </w:tabs>
              <w:jc w:val="both"/>
              <w:rPr>
                <w:lang w:val="es-ES_tradnl" w:eastAsia="nl-NL"/>
              </w:rPr>
            </w:pPr>
            <w:r w:rsidRPr="003E6986">
              <w:rPr>
                <w:lang w:val="es-ES_tradnl" w:eastAsia="nl-NL"/>
              </w:rPr>
              <w:t>…</w:t>
            </w:r>
          </w:p>
          <w:p w14:paraId="3F742BEE" w14:textId="77777777" w:rsidR="0070298D" w:rsidRPr="003E6986" w:rsidRDefault="0070298D" w:rsidP="00734A5A">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2027</w:t>
            </w:r>
          </w:p>
          <w:p w14:paraId="64723B3A" w14:textId="65A1FD33" w:rsidR="0070298D" w:rsidRPr="003E6986" w:rsidRDefault="0070298D" w:rsidP="00734A5A">
            <w:pPr>
              <w:pStyle w:val="Tabletext"/>
              <w:tabs>
                <w:tab w:val="left" w:pos="463"/>
              </w:tabs>
              <w:rPr>
                <w:lang w:val="es-ES_tradnl" w:eastAsia="nl-NL"/>
              </w:rPr>
            </w:pPr>
            <w:r w:rsidRPr="003E6986">
              <w:rPr>
                <w:lang w:val="es-ES_tradnl" w:eastAsia="nl-NL"/>
              </w:rPr>
              <w:t xml:space="preserve">a considerar, basándose en los resultados de los estudios, la inclusión de límites de </w:t>
            </w:r>
            <w:proofErr w:type="spellStart"/>
            <w:r w:rsidRPr="003E6986">
              <w:rPr>
                <w:lang w:val="es-ES_tradnl" w:eastAsia="nl-NL"/>
              </w:rPr>
              <w:t>dfp</w:t>
            </w:r>
            <w:proofErr w:type="spellEnd"/>
            <w:r w:rsidRPr="003E6986">
              <w:rPr>
                <w:lang w:val="es-ES_tradnl" w:eastAsia="nl-NL"/>
              </w:rPr>
              <w:t xml:space="preserve"> y </w:t>
            </w:r>
            <w:proofErr w:type="spellStart"/>
            <w:r w:rsidRPr="003E6986">
              <w:rPr>
                <w:lang w:val="es-ES_tradnl" w:eastAsia="nl-NL"/>
              </w:rPr>
              <w:t>p.i.r.e</w:t>
            </w:r>
            <w:proofErr w:type="spellEnd"/>
            <w:r w:rsidRPr="003E6986">
              <w:rPr>
                <w:lang w:val="es-ES_tradnl" w:eastAsia="nl-NL"/>
              </w:rPr>
              <w:t xml:space="preserve">. en el Artículo </w:t>
            </w:r>
            <w:r w:rsidRPr="003E6986">
              <w:rPr>
                <w:b/>
                <w:lang w:val="es-ES_tradnl" w:eastAsia="nl-NL"/>
              </w:rPr>
              <w:t>21</w:t>
            </w:r>
            <w:r w:rsidRPr="003E6986">
              <w:rPr>
                <w:lang w:val="es-ES_tradnl" w:eastAsia="nl-NL"/>
              </w:rPr>
              <w:t xml:space="preserve"> para el SFS, el SMS y el SRS, a fin de proteger los </w:t>
            </w:r>
            <w:proofErr w:type="gramStart"/>
            <w:r w:rsidRPr="003E6986">
              <w:rPr>
                <w:lang w:val="es-ES_tradnl" w:eastAsia="nl-NL"/>
              </w:rPr>
              <w:t>servicios fijo</w:t>
            </w:r>
            <w:proofErr w:type="gramEnd"/>
            <w:r w:rsidRPr="003E6986">
              <w:rPr>
                <w:lang w:val="es-ES_tradnl" w:eastAsia="nl-NL"/>
              </w:rPr>
              <w:t xml:space="preserve"> y móvil actuales y previstos en las bandas de frecuencias 71-76 GHz y 81-86 GHz.</w:t>
            </w:r>
          </w:p>
        </w:tc>
        <w:tc>
          <w:tcPr>
            <w:tcW w:w="1406" w:type="dxa"/>
          </w:tcPr>
          <w:p w14:paraId="0CBD3A66" w14:textId="06E947C1" w:rsidR="00A86BE2" w:rsidRPr="008653C7" w:rsidRDefault="00734A5A" w:rsidP="00734A5A">
            <w:pPr>
              <w:spacing w:before="40" w:after="40"/>
              <w:jc w:val="center"/>
              <w:rPr>
                <w:b/>
                <w:bCs/>
                <w:sz w:val="20"/>
                <w:lang w:val="fr-FR"/>
              </w:rPr>
            </w:pPr>
            <w:r w:rsidRPr="008653C7">
              <w:rPr>
                <w:b/>
                <w:bCs/>
                <w:sz w:val="20"/>
                <w:lang w:val="fr-FR"/>
              </w:rPr>
              <w:t xml:space="preserve">GT </w:t>
            </w:r>
            <w:proofErr w:type="spellStart"/>
            <w:r w:rsidR="00A86BE2" w:rsidRPr="008653C7">
              <w:rPr>
                <w:b/>
                <w:bCs/>
                <w:sz w:val="20"/>
                <w:lang w:val="fr-FR"/>
              </w:rPr>
              <w:t>1A</w:t>
            </w:r>
            <w:proofErr w:type="spellEnd"/>
          </w:p>
          <w:p w14:paraId="52760025" w14:textId="7590E5E3" w:rsidR="00A86BE2" w:rsidRPr="008653C7" w:rsidRDefault="00734A5A" w:rsidP="00734A5A">
            <w:pPr>
              <w:spacing w:before="40" w:after="40"/>
              <w:jc w:val="center"/>
              <w:rPr>
                <w:b/>
                <w:bCs/>
                <w:sz w:val="20"/>
                <w:lang w:val="fr-FR"/>
              </w:rPr>
            </w:pPr>
            <w:r w:rsidRPr="008653C7">
              <w:rPr>
                <w:b/>
                <w:bCs/>
                <w:sz w:val="20"/>
                <w:lang w:val="fr-FR"/>
              </w:rPr>
              <w:t xml:space="preserve">GT </w:t>
            </w:r>
            <w:proofErr w:type="spellStart"/>
            <w:r w:rsidR="00A86BE2" w:rsidRPr="008653C7">
              <w:rPr>
                <w:b/>
                <w:bCs/>
                <w:sz w:val="20"/>
                <w:lang w:val="fr-FR"/>
              </w:rPr>
              <w:t>3J</w:t>
            </w:r>
            <w:proofErr w:type="spellEnd"/>
          </w:p>
          <w:p w14:paraId="13F061E9" w14:textId="2CD343C2" w:rsidR="00A86BE2" w:rsidRPr="008653C7" w:rsidRDefault="00734A5A" w:rsidP="00734A5A">
            <w:pPr>
              <w:spacing w:before="40" w:after="40"/>
              <w:jc w:val="center"/>
              <w:rPr>
                <w:b/>
                <w:bCs/>
                <w:sz w:val="20"/>
                <w:lang w:val="fr-FR"/>
              </w:rPr>
            </w:pPr>
            <w:r w:rsidRPr="008653C7">
              <w:rPr>
                <w:b/>
                <w:bCs/>
                <w:sz w:val="20"/>
                <w:lang w:val="fr-FR"/>
              </w:rPr>
              <w:t>GT 3</w:t>
            </w:r>
            <w:r w:rsidR="00A86BE2" w:rsidRPr="008653C7">
              <w:rPr>
                <w:b/>
                <w:bCs/>
                <w:sz w:val="20"/>
                <w:lang w:val="fr-FR"/>
              </w:rPr>
              <w:t>M</w:t>
            </w:r>
          </w:p>
          <w:p w14:paraId="07E8F2A7" w14:textId="27369A93" w:rsidR="00A86BE2" w:rsidRPr="008653C7" w:rsidRDefault="00734A5A" w:rsidP="00734A5A">
            <w:pPr>
              <w:spacing w:before="40" w:after="40"/>
              <w:jc w:val="center"/>
              <w:rPr>
                <w:b/>
                <w:bCs/>
                <w:sz w:val="20"/>
                <w:lang w:val="fr-FR"/>
              </w:rPr>
            </w:pPr>
            <w:r w:rsidRPr="008653C7">
              <w:rPr>
                <w:b/>
                <w:bCs/>
                <w:sz w:val="20"/>
                <w:lang w:val="fr-FR"/>
              </w:rPr>
              <w:t xml:space="preserve">GT </w:t>
            </w:r>
            <w:proofErr w:type="spellStart"/>
            <w:r w:rsidR="00A86BE2" w:rsidRPr="008653C7">
              <w:rPr>
                <w:b/>
                <w:bCs/>
                <w:sz w:val="20"/>
                <w:lang w:val="fr-FR"/>
              </w:rPr>
              <w:t>4A</w:t>
            </w:r>
            <w:proofErr w:type="spellEnd"/>
            <w:r w:rsidRPr="008653C7">
              <w:rPr>
                <w:rStyle w:val="FootnoteReference"/>
                <w:b/>
                <w:bCs/>
                <w:lang w:val="fr-FR"/>
              </w:rPr>
              <w:footnoteReference w:customMarkFollows="1" w:id="14"/>
              <w:t>*</w:t>
            </w:r>
          </w:p>
          <w:p w14:paraId="0EB19D54" w14:textId="15773880" w:rsidR="00A86BE2" w:rsidRPr="008653C7" w:rsidRDefault="00734A5A" w:rsidP="00734A5A">
            <w:pPr>
              <w:spacing w:before="40" w:after="40"/>
              <w:jc w:val="center"/>
              <w:rPr>
                <w:b/>
                <w:bCs/>
                <w:sz w:val="20"/>
                <w:lang w:val="fr-FR"/>
              </w:rPr>
            </w:pPr>
            <w:r w:rsidRPr="008653C7">
              <w:rPr>
                <w:b/>
                <w:bCs/>
                <w:sz w:val="20"/>
                <w:lang w:val="fr-FR"/>
              </w:rPr>
              <w:t xml:space="preserve">GT </w:t>
            </w:r>
            <w:proofErr w:type="spellStart"/>
            <w:r w:rsidR="00A86BE2" w:rsidRPr="008653C7">
              <w:rPr>
                <w:b/>
                <w:bCs/>
                <w:sz w:val="20"/>
                <w:lang w:val="fr-FR"/>
              </w:rPr>
              <w:t>4B</w:t>
            </w:r>
            <w:proofErr w:type="spellEnd"/>
          </w:p>
          <w:p w14:paraId="4EED5CE2" w14:textId="2E8CD8F4" w:rsidR="00A86BE2" w:rsidRPr="008653C7" w:rsidRDefault="00734A5A" w:rsidP="00734A5A">
            <w:pPr>
              <w:spacing w:before="40" w:after="40"/>
              <w:jc w:val="center"/>
              <w:rPr>
                <w:b/>
                <w:bCs/>
                <w:sz w:val="20"/>
                <w:lang w:val="fr-FR"/>
              </w:rPr>
            </w:pPr>
            <w:r w:rsidRPr="008653C7">
              <w:rPr>
                <w:b/>
                <w:bCs/>
                <w:sz w:val="20"/>
                <w:lang w:val="fr-FR"/>
              </w:rPr>
              <w:t xml:space="preserve">GT </w:t>
            </w:r>
            <w:proofErr w:type="spellStart"/>
            <w:r w:rsidR="00A86BE2" w:rsidRPr="008653C7">
              <w:rPr>
                <w:b/>
                <w:bCs/>
                <w:sz w:val="20"/>
                <w:lang w:val="fr-FR"/>
              </w:rPr>
              <w:t>4C</w:t>
            </w:r>
            <w:proofErr w:type="spellEnd"/>
            <w:r w:rsidR="00A86BE2" w:rsidRPr="008653C7">
              <w:rPr>
                <w:b/>
                <w:bCs/>
                <w:sz w:val="20"/>
                <w:lang w:val="fr-FR"/>
              </w:rPr>
              <w:t>*</w:t>
            </w:r>
          </w:p>
          <w:p w14:paraId="03111AE1" w14:textId="480402D1" w:rsidR="00A86BE2" w:rsidRPr="008653C7" w:rsidRDefault="00734A5A" w:rsidP="00734A5A">
            <w:pPr>
              <w:spacing w:before="40" w:after="40"/>
              <w:jc w:val="center"/>
              <w:rPr>
                <w:b/>
                <w:bCs/>
                <w:sz w:val="20"/>
                <w:lang w:val="fr-FR"/>
              </w:rPr>
            </w:pPr>
            <w:r w:rsidRPr="008653C7">
              <w:rPr>
                <w:b/>
                <w:bCs/>
                <w:sz w:val="20"/>
                <w:lang w:val="fr-FR"/>
              </w:rPr>
              <w:t xml:space="preserve">GT </w:t>
            </w:r>
            <w:proofErr w:type="spellStart"/>
            <w:r w:rsidR="00A86BE2" w:rsidRPr="008653C7">
              <w:rPr>
                <w:b/>
                <w:bCs/>
                <w:sz w:val="20"/>
                <w:lang w:val="fr-FR"/>
              </w:rPr>
              <w:t>5A</w:t>
            </w:r>
            <w:proofErr w:type="spellEnd"/>
            <w:r w:rsidR="00A86BE2" w:rsidRPr="008653C7">
              <w:rPr>
                <w:b/>
                <w:bCs/>
                <w:sz w:val="20"/>
                <w:lang w:val="fr-FR"/>
              </w:rPr>
              <w:t>*</w:t>
            </w:r>
          </w:p>
          <w:p w14:paraId="4240D5DF" w14:textId="52A57368" w:rsidR="00A86BE2" w:rsidRPr="008653C7" w:rsidRDefault="00734A5A" w:rsidP="00734A5A">
            <w:pPr>
              <w:spacing w:before="40" w:after="40"/>
              <w:jc w:val="center"/>
              <w:rPr>
                <w:b/>
                <w:bCs/>
                <w:sz w:val="20"/>
                <w:lang w:val="fr-FR"/>
              </w:rPr>
            </w:pPr>
            <w:r w:rsidRPr="008653C7">
              <w:rPr>
                <w:b/>
                <w:bCs/>
                <w:sz w:val="20"/>
                <w:lang w:val="fr-FR"/>
              </w:rPr>
              <w:t>GT</w:t>
            </w:r>
            <w:r w:rsidR="00A86BE2" w:rsidRPr="008653C7">
              <w:rPr>
                <w:b/>
                <w:bCs/>
                <w:sz w:val="20"/>
                <w:lang w:val="fr-FR"/>
              </w:rPr>
              <w:t xml:space="preserve"> </w:t>
            </w:r>
            <w:proofErr w:type="spellStart"/>
            <w:r w:rsidR="00A86BE2" w:rsidRPr="008653C7">
              <w:rPr>
                <w:b/>
                <w:bCs/>
                <w:sz w:val="20"/>
                <w:lang w:val="fr-FR"/>
              </w:rPr>
              <w:t>5B</w:t>
            </w:r>
            <w:proofErr w:type="spellEnd"/>
          </w:p>
          <w:p w14:paraId="4C59A554" w14:textId="7499ADCE" w:rsidR="00A86BE2" w:rsidRPr="003E6986" w:rsidRDefault="00734A5A" w:rsidP="00734A5A">
            <w:pPr>
              <w:spacing w:before="40" w:after="40"/>
              <w:jc w:val="center"/>
              <w:rPr>
                <w:b/>
                <w:bCs/>
                <w:sz w:val="20"/>
                <w:lang w:val="es-ES_tradnl"/>
              </w:rPr>
            </w:pPr>
            <w:r w:rsidRPr="003E6986">
              <w:rPr>
                <w:b/>
                <w:bCs/>
                <w:sz w:val="20"/>
                <w:lang w:val="es-ES_tradnl"/>
              </w:rPr>
              <w:t xml:space="preserve">GT </w:t>
            </w:r>
            <w:proofErr w:type="spellStart"/>
            <w:r w:rsidR="00A86BE2" w:rsidRPr="003E6986">
              <w:rPr>
                <w:b/>
                <w:bCs/>
                <w:sz w:val="20"/>
                <w:lang w:val="es-ES_tradnl"/>
              </w:rPr>
              <w:t>6A</w:t>
            </w:r>
            <w:proofErr w:type="spellEnd"/>
          </w:p>
          <w:p w14:paraId="262865C7" w14:textId="7CF4FB03" w:rsidR="00A86BE2" w:rsidRPr="003E6986" w:rsidRDefault="00734A5A" w:rsidP="00734A5A">
            <w:pPr>
              <w:spacing w:before="40" w:after="40"/>
              <w:jc w:val="center"/>
              <w:rPr>
                <w:b/>
                <w:bCs/>
                <w:sz w:val="20"/>
                <w:lang w:val="es-ES_tradnl"/>
              </w:rPr>
            </w:pPr>
            <w:r w:rsidRPr="003E6986">
              <w:rPr>
                <w:b/>
                <w:bCs/>
                <w:sz w:val="20"/>
                <w:lang w:val="es-ES_tradnl"/>
              </w:rPr>
              <w:t xml:space="preserve">GT </w:t>
            </w:r>
            <w:r w:rsidR="00A86BE2" w:rsidRPr="003E6986">
              <w:rPr>
                <w:b/>
                <w:bCs/>
                <w:sz w:val="20"/>
                <w:lang w:val="es-ES_tradnl"/>
              </w:rPr>
              <w:t>7C</w:t>
            </w:r>
          </w:p>
          <w:p w14:paraId="0D570873" w14:textId="1660B7DD" w:rsidR="004A7B85" w:rsidRPr="003E6986" w:rsidRDefault="00734A5A" w:rsidP="00734A5A">
            <w:pPr>
              <w:pStyle w:val="Tabletext"/>
              <w:tabs>
                <w:tab w:val="clear" w:pos="284"/>
                <w:tab w:val="left" w:pos="463"/>
              </w:tabs>
              <w:spacing w:line="480" w:lineRule="auto"/>
              <w:jc w:val="center"/>
              <w:rPr>
                <w:b/>
                <w:bCs/>
                <w:lang w:val="es-ES_tradnl" w:eastAsia="nl-NL"/>
              </w:rPr>
            </w:pPr>
            <w:r w:rsidRPr="003E6986">
              <w:rPr>
                <w:b/>
                <w:bCs/>
                <w:lang w:val="es-ES_tradnl"/>
              </w:rPr>
              <w:t xml:space="preserve">GT </w:t>
            </w:r>
            <w:r w:rsidR="00A86BE2" w:rsidRPr="003E6986">
              <w:rPr>
                <w:b/>
                <w:bCs/>
                <w:lang w:val="es-ES_tradnl"/>
              </w:rPr>
              <w:t>7D</w:t>
            </w:r>
          </w:p>
        </w:tc>
      </w:tr>
      <w:tr w:rsidR="004A7B85" w:rsidRPr="008653C7" w14:paraId="12664A82" w14:textId="77777777" w:rsidTr="003F05FF">
        <w:trPr>
          <w:gridAfter w:val="1"/>
          <w:wAfter w:w="27" w:type="dxa"/>
          <w:cantSplit/>
          <w:jc w:val="center"/>
        </w:trPr>
        <w:tc>
          <w:tcPr>
            <w:tcW w:w="14036" w:type="dxa"/>
            <w:gridSpan w:val="4"/>
          </w:tcPr>
          <w:p w14:paraId="72FDEC7C" w14:textId="1E66C412" w:rsidR="004A7B85" w:rsidRPr="003E6986" w:rsidRDefault="0070298D" w:rsidP="00734A5A">
            <w:pPr>
              <w:pStyle w:val="Tabletext"/>
              <w:tabs>
                <w:tab w:val="clear" w:pos="284"/>
                <w:tab w:val="left" w:pos="594"/>
              </w:tabs>
              <w:jc w:val="both"/>
              <w:rPr>
                <w:lang w:val="es-ES_tradnl" w:eastAsia="nl-NL"/>
              </w:rPr>
            </w:pPr>
            <w:r w:rsidRPr="003E6986">
              <w:rPr>
                <w:lang w:val="es-ES_tradnl" w:eastAsia="nl-NL"/>
              </w:rPr>
              <w:lastRenderedPageBreak/>
              <w:t>1.11</w:t>
            </w:r>
            <w:r w:rsidRPr="003E6986">
              <w:rPr>
                <w:lang w:val="es-ES_tradnl" w:eastAsia="nl-NL"/>
              </w:rPr>
              <w:tab/>
              <w:t xml:space="preserve">considerar las cuestiones técnicas y operativas, así como las disposiciones reglamentarias, para los enlaces espacio-espacio entre satélites no geoestacionarios y geoestacionarios en las bandas de frecuencias 1 518-1 544 MHz, 1 545-1 559 MHz, 1 610-1 645,5 MHz, 1 646,5-1 660,0 MHz, 1 670,0-1 675,0 MHz y 2 483,5-2 500,0 MHz atribuidas al servicio móvil por satélite, de conformidad con la Resolución </w:t>
            </w:r>
            <w:r w:rsidRPr="003E6986">
              <w:rPr>
                <w:b/>
                <w:lang w:val="es-ES_tradnl" w:eastAsia="nl-NL"/>
              </w:rPr>
              <w:t>249 (Rev.CMR-23)</w:t>
            </w:r>
            <w:r w:rsidRPr="003E6986">
              <w:rPr>
                <w:lang w:val="es-ES_tradnl" w:eastAsia="nl-NL"/>
              </w:rPr>
              <w:t>;</w:t>
            </w:r>
          </w:p>
        </w:tc>
      </w:tr>
      <w:tr w:rsidR="004A7B85" w:rsidRPr="008653C7" w14:paraId="496181D0" w14:textId="77777777" w:rsidTr="002232AC">
        <w:trPr>
          <w:gridAfter w:val="1"/>
          <w:wAfter w:w="27" w:type="dxa"/>
          <w:jc w:val="center"/>
        </w:trPr>
        <w:tc>
          <w:tcPr>
            <w:tcW w:w="3304" w:type="dxa"/>
          </w:tcPr>
          <w:p w14:paraId="500D0934" w14:textId="728E3397" w:rsidR="0070298D" w:rsidRPr="003E6986" w:rsidRDefault="0070298D" w:rsidP="0070298D">
            <w:pPr>
              <w:pStyle w:val="Tabletext"/>
              <w:tabs>
                <w:tab w:val="left" w:pos="463"/>
              </w:tabs>
              <w:rPr>
                <w:lang w:val="es-ES_tradnl" w:eastAsia="nl-NL"/>
              </w:rPr>
            </w:pPr>
            <w:r w:rsidRPr="003E6986">
              <w:rPr>
                <w:lang w:val="es-ES_tradnl" w:eastAsia="nl-NL"/>
              </w:rPr>
              <w:t xml:space="preserve">Resolución </w:t>
            </w:r>
            <w:r w:rsidRPr="003E6986">
              <w:rPr>
                <w:b/>
                <w:lang w:val="es-ES_tradnl" w:eastAsia="nl-NL"/>
              </w:rPr>
              <w:t>249 (</w:t>
            </w:r>
            <w:proofErr w:type="spellStart"/>
            <w:r w:rsidR="00CC514C">
              <w:rPr>
                <w:b/>
                <w:lang w:val="es-ES_tradnl" w:eastAsia="nl-NL"/>
              </w:rPr>
              <w:t>Rev</w:t>
            </w:r>
            <w:r w:rsidRPr="003E6986">
              <w:rPr>
                <w:b/>
                <w:lang w:val="es-ES_tradnl" w:eastAsia="nl-NL"/>
              </w:rPr>
              <w:t>.CMR</w:t>
            </w:r>
            <w:proofErr w:type="spellEnd"/>
            <w:r w:rsidRPr="003E6986">
              <w:rPr>
                <w:b/>
                <w:lang w:val="es-ES_tradnl" w:eastAsia="nl-NL"/>
              </w:rPr>
              <w:t xml:space="preserve"> 23)</w:t>
            </w:r>
          </w:p>
          <w:p w14:paraId="6C283DD5" w14:textId="762C71F5" w:rsidR="004A7B85" w:rsidRPr="003E6986" w:rsidRDefault="0070298D" w:rsidP="002232AC">
            <w:pPr>
              <w:pStyle w:val="Tabletext"/>
              <w:tabs>
                <w:tab w:val="left" w:pos="463"/>
              </w:tabs>
              <w:rPr>
                <w:lang w:val="es-ES_tradnl" w:eastAsia="nl-NL"/>
              </w:rPr>
            </w:pPr>
            <w:r w:rsidRPr="003E6986">
              <w:rPr>
                <w:lang w:val="es-ES_tradnl" w:eastAsia="nl-NL"/>
              </w:rPr>
              <w:t>Estudio de las cuestiones técnicas y operativas y de las disposiciones</w:t>
            </w:r>
            <w:r w:rsidR="00A923A9">
              <w:rPr>
                <w:lang w:val="es-ES_tradnl" w:eastAsia="nl-NL"/>
              </w:rPr>
              <w:t xml:space="preserve"> </w:t>
            </w:r>
            <w:r w:rsidRPr="003E6986">
              <w:rPr>
                <w:lang w:val="es-ES_tradnl" w:eastAsia="nl-NL"/>
              </w:rPr>
              <w:t>reglamentarias de las transmisiones espacio-espacio, en las bandas de</w:t>
            </w:r>
            <w:r w:rsidR="00734A5A" w:rsidRPr="003E6986">
              <w:rPr>
                <w:lang w:val="es-ES_tradnl" w:eastAsia="nl-NL"/>
              </w:rPr>
              <w:t xml:space="preserve"> frecuencias 1 518-1 544 MHz, 1 </w:t>
            </w:r>
            <w:r w:rsidRPr="003E6986">
              <w:rPr>
                <w:lang w:val="es-ES_tradnl" w:eastAsia="nl-NL"/>
              </w:rPr>
              <w:t>545-1</w:t>
            </w:r>
            <w:r w:rsidR="002232AC">
              <w:rPr>
                <w:lang w:val="es-ES_tradnl" w:eastAsia="nl-NL"/>
              </w:rPr>
              <w:t> </w:t>
            </w:r>
            <w:r w:rsidRPr="003E6986">
              <w:rPr>
                <w:lang w:val="es-ES_tradnl" w:eastAsia="nl-NL"/>
              </w:rPr>
              <w:t>559 MHz, 1 610-1 645,5 MHz</w:t>
            </w:r>
            <w:r w:rsidR="00343213" w:rsidRPr="003E6986">
              <w:rPr>
                <w:szCs w:val="16"/>
                <w:lang w:val="es-ES_tradnl"/>
              </w:rPr>
              <w:t>, 1 646,5-1 660 MHz, 1 670-1 675 MHz y 2 483,5-2 500 MHz</w:t>
            </w:r>
          </w:p>
        </w:tc>
        <w:tc>
          <w:tcPr>
            <w:tcW w:w="1517" w:type="dxa"/>
          </w:tcPr>
          <w:p w14:paraId="474DFD04" w14:textId="7DEF3311" w:rsidR="004A7B85" w:rsidRPr="003E6986" w:rsidRDefault="00A92266" w:rsidP="0070298D">
            <w:pPr>
              <w:pStyle w:val="Tabletext"/>
              <w:tabs>
                <w:tab w:val="clear" w:pos="284"/>
                <w:tab w:val="left" w:pos="463"/>
              </w:tabs>
              <w:jc w:val="center"/>
              <w:rPr>
                <w:b/>
                <w:bCs/>
                <w:lang w:val="es-ES_tradnl" w:eastAsia="nl-NL"/>
              </w:rPr>
            </w:pPr>
            <w:r w:rsidRPr="003E6986">
              <w:rPr>
                <w:b/>
                <w:bCs/>
                <w:lang w:val="es-ES_tradnl" w:eastAsia="nl-NL"/>
              </w:rPr>
              <w:t>GT</w:t>
            </w:r>
            <w:r w:rsidR="004A7B85" w:rsidRPr="003E6986">
              <w:rPr>
                <w:b/>
                <w:bCs/>
                <w:lang w:val="es-ES_tradnl" w:eastAsia="nl-NL"/>
              </w:rPr>
              <w:t> </w:t>
            </w:r>
            <w:r w:rsidR="0070298D" w:rsidRPr="003E6986">
              <w:rPr>
                <w:b/>
                <w:bCs/>
                <w:lang w:val="es-ES_tradnl" w:eastAsia="nl-NL"/>
              </w:rPr>
              <w:t>4C</w:t>
            </w:r>
          </w:p>
        </w:tc>
        <w:tc>
          <w:tcPr>
            <w:tcW w:w="7809" w:type="dxa"/>
          </w:tcPr>
          <w:p w14:paraId="7FA0E515" w14:textId="19BA8453" w:rsidR="0070298D" w:rsidRPr="003E6986" w:rsidRDefault="0070298D" w:rsidP="0070298D">
            <w:pPr>
              <w:pStyle w:val="Tabletext"/>
              <w:tabs>
                <w:tab w:val="clear" w:pos="284"/>
                <w:tab w:val="left" w:pos="463"/>
              </w:tabs>
              <w:ind w:left="454"/>
              <w:jc w:val="both"/>
              <w:rPr>
                <w:rFonts w:eastAsia="???"/>
                <w:i/>
                <w:iCs/>
                <w:lang w:val="es-ES_tradnl" w:eastAsia="nl-NL"/>
              </w:rPr>
            </w:pPr>
            <w:proofErr w:type="gramStart"/>
            <w:r w:rsidRPr="003E6986">
              <w:rPr>
                <w:rFonts w:eastAsia="???"/>
                <w:i/>
                <w:iCs/>
                <w:lang w:val="es-ES_tradnl" w:eastAsia="nl-NL"/>
              </w:rPr>
              <w:t>reconociendo</w:t>
            </w:r>
            <w:proofErr w:type="gramEnd"/>
            <w:r w:rsidRPr="003E6986">
              <w:rPr>
                <w:rFonts w:eastAsia="???"/>
                <w:i/>
                <w:iCs/>
                <w:lang w:val="es-ES_tradnl" w:eastAsia="nl-NL"/>
              </w:rPr>
              <w:t xml:space="preserve"> además</w:t>
            </w:r>
          </w:p>
          <w:p w14:paraId="5CB343B6" w14:textId="77777777" w:rsidR="004A7B85" w:rsidRPr="003E6986" w:rsidRDefault="0070298D" w:rsidP="001E2EFF">
            <w:pPr>
              <w:pStyle w:val="Tabletext"/>
              <w:tabs>
                <w:tab w:val="clear" w:pos="284"/>
                <w:tab w:val="left" w:pos="463"/>
              </w:tabs>
              <w:jc w:val="both"/>
              <w:rPr>
                <w:lang w:val="es-ES_tradnl" w:eastAsia="nl-NL"/>
              </w:rPr>
            </w:pPr>
            <w:r w:rsidRPr="003E6986">
              <w:rPr>
                <w:lang w:val="es-ES_tradnl" w:eastAsia="nl-NL"/>
              </w:rPr>
              <w:t>…</w:t>
            </w:r>
          </w:p>
          <w:p w14:paraId="47E73743" w14:textId="77777777" w:rsidR="0070298D" w:rsidRPr="003E6986" w:rsidRDefault="0070298D" w:rsidP="001E2EFF">
            <w:pPr>
              <w:pStyle w:val="Tabletext"/>
              <w:tabs>
                <w:tab w:val="clear" w:pos="284"/>
                <w:tab w:val="left" w:pos="463"/>
              </w:tabs>
              <w:jc w:val="both"/>
              <w:rPr>
                <w:lang w:val="es-ES_tradnl" w:eastAsia="nl-NL"/>
              </w:rPr>
            </w:pPr>
            <w:r w:rsidRPr="003E6986">
              <w:rPr>
                <w:i/>
                <w:lang w:val="es-ES_tradnl" w:eastAsia="nl-NL"/>
              </w:rPr>
              <w:t>e)</w:t>
            </w:r>
            <w:r w:rsidRPr="003E6986">
              <w:rPr>
                <w:lang w:val="es-ES_tradnl" w:eastAsia="nl-NL"/>
              </w:rPr>
              <w:tab/>
              <w:t xml:space="preserve">que los números </w:t>
            </w:r>
            <w:r w:rsidRPr="003E6986">
              <w:rPr>
                <w:b/>
                <w:lang w:val="es-ES_tradnl" w:eastAsia="nl-NL"/>
              </w:rPr>
              <w:t>5.357A</w:t>
            </w:r>
            <w:r w:rsidRPr="003E6986">
              <w:rPr>
                <w:lang w:val="es-ES_tradnl" w:eastAsia="nl-NL"/>
              </w:rPr>
              <w:t xml:space="preserve"> y </w:t>
            </w:r>
            <w:r w:rsidRPr="003E6986">
              <w:rPr>
                <w:b/>
                <w:lang w:val="es-ES_tradnl" w:eastAsia="nl-NL"/>
              </w:rPr>
              <w:t xml:space="preserve">5.362A </w:t>
            </w:r>
            <w:r w:rsidRPr="003E6986">
              <w:rPr>
                <w:lang w:val="es-ES_tradnl" w:eastAsia="nl-NL"/>
              </w:rPr>
              <w:t>del RR proporcionan prioridad para acomodar los requisitos de espectro del servicio móvil aeronáutico por satélite (R) en las bandas de frecuencias 1 545-1 555 MHz y 1 646,5-1 656,5 MHz, y 1 555-1 559 y 1 656,5-1 660,5 MHz, respectivamente;</w:t>
            </w:r>
          </w:p>
          <w:p w14:paraId="35596B52" w14:textId="43A4264F" w:rsidR="0070298D" w:rsidRPr="003E6986" w:rsidRDefault="0070298D" w:rsidP="001E2EFF">
            <w:pPr>
              <w:pStyle w:val="Tabletext"/>
              <w:tabs>
                <w:tab w:val="clear" w:pos="284"/>
                <w:tab w:val="left" w:pos="463"/>
              </w:tabs>
              <w:jc w:val="both"/>
              <w:rPr>
                <w:lang w:val="es-ES_tradnl" w:eastAsia="nl-NL"/>
              </w:rPr>
            </w:pPr>
            <w:r w:rsidRPr="003E6986">
              <w:rPr>
                <w:i/>
                <w:lang w:val="es-ES_tradnl" w:eastAsia="nl-NL"/>
              </w:rPr>
              <w:t>f)</w:t>
            </w:r>
            <w:r w:rsidRPr="003E6986">
              <w:rPr>
                <w:lang w:val="es-ES_tradnl" w:eastAsia="nl-NL"/>
              </w:rPr>
              <w:tab/>
              <w:t xml:space="preserve">que el número </w:t>
            </w:r>
            <w:r w:rsidRPr="003E6986">
              <w:rPr>
                <w:b/>
                <w:lang w:val="es-ES_tradnl" w:eastAsia="nl-NL"/>
              </w:rPr>
              <w:t>5.353A</w:t>
            </w:r>
            <w:r w:rsidRPr="003E6986">
              <w:rPr>
                <w:lang w:val="es-ES_tradnl" w:eastAsia="nl-NL"/>
              </w:rPr>
              <w:t xml:space="preserve"> proporciona prioridad a las comunicaciones de socorro, urgencia y seguridad del SMSSM en las bandas de frecuencias 1 530-1 544 MHz y 1 626,5-1 645,5 MHz;</w:t>
            </w:r>
          </w:p>
          <w:p w14:paraId="0B5E83F0" w14:textId="110016E7" w:rsidR="00321BC7" w:rsidRPr="003E6986" w:rsidRDefault="00321BC7" w:rsidP="001E2EFF">
            <w:pPr>
              <w:pStyle w:val="Tabletext"/>
              <w:tabs>
                <w:tab w:val="clear" w:pos="284"/>
                <w:tab w:val="left" w:pos="463"/>
              </w:tabs>
              <w:jc w:val="both"/>
              <w:rPr>
                <w:lang w:val="es-ES_tradnl" w:eastAsia="nl-NL"/>
              </w:rPr>
            </w:pPr>
            <w:r w:rsidRPr="003E6986">
              <w:rPr>
                <w:lang w:val="es-ES_tradnl" w:eastAsia="nl-NL"/>
              </w:rPr>
              <w:t>…</w:t>
            </w:r>
          </w:p>
          <w:p w14:paraId="71958861" w14:textId="77777777" w:rsidR="0070298D" w:rsidRPr="003E6986" w:rsidRDefault="0070298D" w:rsidP="00321BC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2027</w:t>
            </w:r>
          </w:p>
          <w:p w14:paraId="109DDF9C" w14:textId="77777777" w:rsidR="0070298D" w:rsidRPr="003E6986" w:rsidRDefault="0070298D" w:rsidP="00321BC7">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estudios de las características técnicas y operativas de diferentes tipos de estaciones espaciales no OSG del SMS que utilizan o prevén utilizar enlaces espacio-espacio con redes OSG del SMS en las bandas de frecuencias siguientes, con la limitación de que esos enlaces espacio-espacio únicamente funcionen en el mismo sentido que las atribuciones al SMS existentes:</w:t>
            </w:r>
          </w:p>
          <w:p w14:paraId="13982C95" w14:textId="77777777" w:rsidR="0070298D" w:rsidRPr="003E6986" w:rsidRDefault="0070298D" w:rsidP="00321BC7">
            <w:pPr>
              <w:pStyle w:val="Tabletext"/>
              <w:tabs>
                <w:tab w:val="clear" w:pos="284"/>
                <w:tab w:val="left" w:pos="463"/>
              </w:tabs>
              <w:jc w:val="both"/>
              <w:rPr>
                <w:lang w:val="es-ES_tradnl" w:eastAsia="nl-NL"/>
              </w:rPr>
            </w:pPr>
            <w:r w:rsidRPr="003E6986">
              <w:rPr>
                <w:i/>
                <w:lang w:val="es-ES_tradnl" w:eastAsia="nl-NL"/>
              </w:rPr>
              <w:t>a)</w:t>
            </w:r>
            <w:r w:rsidRPr="003E6986">
              <w:rPr>
                <w:lang w:val="es-ES_tradnl" w:eastAsia="nl-NL"/>
              </w:rPr>
              <w:tab/>
              <w:t>Tierra-espacio en las bandas de frecuencias 1 626,5-1 645,5 MHz y 1 646,5-1 660 MHz; y</w:t>
            </w:r>
          </w:p>
          <w:p w14:paraId="4FF2F97D" w14:textId="77777777" w:rsidR="0070298D" w:rsidRPr="003E6986" w:rsidRDefault="0070298D" w:rsidP="00321BC7">
            <w:pPr>
              <w:pStyle w:val="Tabletext"/>
              <w:tabs>
                <w:tab w:val="clear" w:pos="284"/>
                <w:tab w:val="left" w:pos="463"/>
              </w:tabs>
              <w:jc w:val="both"/>
              <w:rPr>
                <w:lang w:val="es-ES_tradnl" w:eastAsia="nl-NL"/>
              </w:rPr>
            </w:pPr>
            <w:r w:rsidRPr="003E6986">
              <w:rPr>
                <w:i/>
                <w:lang w:val="es-ES_tradnl" w:eastAsia="nl-NL"/>
              </w:rPr>
              <w:t>b)</w:t>
            </w:r>
            <w:r w:rsidRPr="003E6986">
              <w:rPr>
                <w:lang w:val="es-ES_tradnl" w:eastAsia="nl-NL"/>
              </w:rPr>
              <w:tab/>
              <w:t>espacio-Tierra en las bandas de frecuencias 1 525-1 544 MHz y 1 545-1 559 MHz;</w:t>
            </w:r>
          </w:p>
          <w:p w14:paraId="375A1471" w14:textId="77777777" w:rsidR="0070298D" w:rsidRPr="003E6986" w:rsidRDefault="0070298D" w:rsidP="00321BC7">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estudios de las características técnicas y operativas de diferentes tipos de estaciones espaciales no OSG que explotan o prevén explotar enlaces espacio-espacio con sistemas no OSG o redes OSG en las bandas de frecuencias siguientes, con la limitación de que esos enlaces espacio-espacio únicamente funcionen en el mismo sentido que las atribuciones al SMS existentes:</w:t>
            </w:r>
          </w:p>
          <w:p w14:paraId="15CEF956" w14:textId="77777777" w:rsidR="0070298D" w:rsidRPr="003E6986" w:rsidRDefault="0070298D" w:rsidP="00321BC7">
            <w:pPr>
              <w:pStyle w:val="Tabletext"/>
              <w:tabs>
                <w:tab w:val="clear" w:pos="284"/>
                <w:tab w:val="left" w:pos="463"/>
              </w:tabs>
              <w:jc w:val="both"/>
              <w:rPr>
                <w:lang w:val="es-ES_tradnl" w:eastAsia="nl-NL"/>
              </w:rPr>
            </w:pPr>
            <w:r w:rsidRPr="003E6986">
              <w:rPr>
                <w:i/>
                <w:lang w:val="es-ES_tradnl" w:eastAsia="nl-NL"/>
              </w:rPr>
              <w:t>a)</w:t>
            </w:r>
            <w:r w:rsidRPr="003E6986">
              <w:rPr>
                <w:lang w:val="es-ES_tradnl" w:eastAsia="nl-NL"/>
              </w:rPr>
              <w:tab/>
              <w:t>Tierra-espacio en las bandas de frecuencias 1 610-1 626,5 MHz y 1 670-1 675 MHz; y</w:t>
            </w:r>
          </w:p>
          <w:p w14:paraId="40401A41" w14:textId="1AD74CF6" w:rsidR="0070298D" w:rsidRPr="003E6986" w:rsidRDefault="0070298D" w:rsidP="00321BC7">
            <w:pPr>
              <w:pStyle w:val="Tabletext"/>
              <w:tabs>
                <w:tab w:val="clear" w:pos="284"/>
                <w:tab w:val="left" w:pos="463"/>
              </w:tabs>
              <w:jc w:val="both"/>
              <w:rPr>
                <w:lang w:val="es-ES_tradnl" w:eastAsia="nl-NL"/>
              </w:rPr>
            </w:pPr>
            <w:r w:rsidRPr="003E6986">
              <w:rPr>
                <w:i/>
                <w:lang w:val="es-ES_tradnl" w:eastAsia="nl-NL"/>
              </w:rPr>
              <w:t>b)</w:t>
            </w:r>
            <w:r w:rsidRPr="003E6986">
              <w:rPr>
                <w:lang w:val="es-ES_tradnl" w:eastAsia="nl-NL"/>
              </w:rPr>
              <w:tab/>
              <w:t>espacio-Tierra en las bandas de frecuencias 1 518-1 5</w:t>
            </w:r>
            <w:r w:rsidR="00734A5A" w:rsidRPr="003E6986">
              <w:rPr>
                <w:lang w:val="es-ES_tradnl" w:eastAsia="nl-NL"/>
              </w:rPr>
              <w:t>25 MHz, 1 613,8-1 626,5 MHz y 2 </w:t>
            </w:r>
            <w:r w:rsidRPr="003E6986">
              <w:rPr>
                <w:lang w:val="es-ES_tradnl" w:eastAsia="nl-NL"/>
              </w:rPr>
              <w:t>483,5-2 500 MHz;</w:t>
            </w:r>
          </w:p>
          <w:p w14:paraId="763C0A6C" w14:textId="4449861D" w:rsidR="0070298D" w:rsidRPr="003E6986" w:rsidRDefault="0070298D" w:rsidP="00321BC7">
            <w:pPr>
              <w:pStyle w:val="Tabletext"/>
              <w:tabs>
                <w:tab w:val="clear" w:pos="284"/>
                <w:tab w:val="left" w:pos="463"/>
              </w:tabs>
              <w:jc w:val="both"/>
              <w:rPr>
                <w:lang w:val="es-ES_tradnl" w:eastAsia="nl-NL"/>
              </w:rPr>
            </w:pPr>
            <w:r w:rsidRPr="003E6986">
              <w:rPr>
                <w:lang w:val="es-ES_tradnl" w:eastAsia="nl-NL"/>
              </w:rPr>
              <w:t>3</w:t>
            </w:r>
            <w:r w:rsidRPr="003E6986">
              <w:rPr>
                <w:lang w:val="es-ES_tradnl" w:eastAsia="nl-NL"/>
              </w:rPr>
              <w:tab/>
              <w:t xml:space="preserve">estudios de la compartición y la compatibilidad entre los enlaces espacio-espacio en los casos descritos en los </w:t>
            </w:r>
            <w:r w:rsidRPr="003E6986">
              <w:rPr>
                <w:i/>
                <w:lang w:val="es-ES_tradnl" w:eastAsia="nl-NL"/>
              </w:rPr>
              <w:t>resuelve invitar al Sector de Radiocomunicaciones de la UI</w:t>
            </w:r>
            <w:r w:rsidR="00734A5A" w:rsidRPr="003E6986">
              <w:rPr>
                <w:i/>
                <w:lang w:val="es-ES_tradnl" w:eastAsia="nl-NL"/>
              </w:rPr>
              <w:t>T a finalizar a tiempo para la Conferencia Mundial de Radiocomunicaciones de 2027</w:t>
            </w:r>
            <w:r w:rsidR="00DC5CEA">
              <w:rPr>
                <w:i/>
                <w:lang w:val="es-ES_tradnl" w:eastAsia="nl-NL"/>
              </w:rPr>
              <w:t xml:space="preserve"> </w:t>
            </w:r>
            <w:r w:rsidRPr="003E6986">
              <w:rPr>
                <w:lang w:val="es-ES_tradnl" w:eastAsia="nl-NL"/>
              </w:rPr>
              <w:t>1 y 2, y</w:t>
            </w:r>
          </w:p>
          <w:p w14:paraId="7868D721" w14:textId="77777777" w:rsidR="0070298D" w:rsidRPr="003E6986" w:rsidRDefault="0070298D" w:rsidP="00321BC7">
            <w:pPr>
              <w:pStyle w:val="Tabletext"/>
              <w:tabs>
                <w:tab w:val="clear" w:pos="284"/>
                <w:tab w:val="left" w:pos="463"/>
              </w:tabs>
              <w:ind w:left="463" w:hanging="463"/>
              <w:jc w:val="both"/>
              <w:rPr>
                <w:lang w:val="es-ES_tradnl" w:eastAsia="nl-NL"/>
              </w:rPr>
            </w:pPr>
            <w:r w:rsidRPr="003E6986">
              <w:rPr>
                <w:lang w:val="es-ES_tradnl" w:eastAsia="nl-NL"/>
              </w:rPr>
              <w:lastRenderedPageBreak/>
              <w:t>–</w:t>
            </w:r>
            <w:r w:rsidRPr="003E6986">
              <w:rPr>
                <w:lang w:val="es-ES_tradnl" w:eastAsia="nl-NL"/>
              </w:rPr>
              <w:tab/>
              <w:t xml:space="preserve">las estaciones, tanto actuales como planificadas, del SMS, teniendo en cuenta, en particular, los </w:t>
            </w:r>
            <w:r w:rsidRPr="003E6986">
              <w:rPr>
                <w:i/>
                <w:iCs/>
                <w:lang w:val="es-ES_tradnl" w:eastAsia="nl-NL"/>
              </w:rPr>
              <w:t>reconociendo además</w:t>
            </w:r>
            <w:r w:rsidRPr="003E6986">
              <w:rPr>
                <w:lang w:val="es-ES_tradnl" w:eastAsia="nl-NL"/>
              </w:rPr>
              <w:t xml:space="preserve"> </w:t>
            </w:r>
            <w:r w:rsidRPr="003E6986">
              <w:rPr>
                <w:i/>
                <w:lang w:val="es-ES_tradnl" w:eastAsia="nl-NL"/>
              </w:rPr>
              <w:t>e)</w:t>
            </w:r>
            <w:r w:rsidRPr="003E6986">
              <w:rPr>
                <w:lang w:val="es-ES_tradnl" w:eastAsia="nl-NL"/>
              </w:rPr>
              <w:t xml:space="preserve"> y </w:t>
            </w:r>
            <w:r w:rsidRPr="003E6986">
              <w:rPr>
                <w:i/>
                <w:lang w:val="es-ES_tradnl" w:eastAsia="nl-NL"/>
              </w:rPr>
              <w:t>f)</w:t>
            </w:r>
            <w:r w:rsidRPr="003E6986">
              <w:rPr>
                <w:lang w:val="es-ES_tradnl" w:eastAsia="nl-NL"/>
              </w:rPr>
              <w:t>;</w:t>
            </w:r>
          </w:p>
          <w:p w14:paraId="6911FD9A" w14:textId="77777777" w:rsidR="0070298D" w:rsidRPr="003E6986" w:rsidRDefault="0070298D" w:rsidP="00321BC7">
            <w:pPr>
              <w:pStyle w:val="Tabletext"/>
              <w:tabs>
                <w:tab w:val="clear" w:pos="284"/>
                <w:tab w:val="left" w:pos="463"/>
              </w:tabs>
              <w:ind w:left="463" w:hanging="463"/>
              <w:jc w:val="both"/>
              <w:rPr>
                <w:lang w:val="es-ES_tradnl" w:eastAsia="nl-NL"/>
              </w:rPr>
            </w:pPr>
            <w:r w:rsidRPr="003E6986">
              <w:rPr>
                <w:lang w:val="es-ES_tradnl" w:eastAsia="nl-NL"/>
              </w:rPr>
              <w:t>–</w:t>
            </w:r>
            <w:r w:rsidRPr="003E6986">
              <w:rPr>
                <w:lang w:val="es-ES_tradnl" w:eastAsia="nl-NL"/>
              </w:rPr>
              <w:tab/>
              <w:t>otros servicios primarios existentes a los que están atribuidas las mismas bandas de frecuencias;</w:t>
            </w:r>
          </w:p>
          <w:p w14:paraId="723AFD72" w14:textId="77777777" w:rsidR="0070298D" w:rsidRPr="003E6986" w:rsidRDefault="0070298D" w:rsidP="00321BC7">
            <w:pPr>
              <w:pStyle w:val="Tabletext"/>
              <w:tabs>
                <w:tab w:val="clear" w:pos="284"/>
                <w:tab w:val="left" w:pos="463"/>
              </w:tabs>
              <w:ind w:left="463" w:hanging="463"/>
              <w:jc w:val="both"/>
              <w:rPr>
                <w:lang w:val="es-ES_tradnl" w:eastAsia="nl-NL"/>
              </w:rPr>
            </w:pPr>
            <w:r w:rsidRPr="003E6986">
              <w:rPr>
                <w:lang w:val="es-ES_tradnl" w:eastAsia="nl-NL"/>
              </w:rPr>
              <w:t>–</w:t>
            </w:r>
            <w:r w:rsidRPr="003E6986">
              <w:rPr>
                <w:lang w:val="es-ES_tradnl" w:eastAsia="nl-NL"/>
              </w:rPr>
              <w:tab/>
              <w:t>otros servicios primarios existentes a los que están atribuidas bandas de frecuencias adyacentes; y</w:t>
            </w:r>
          </w:p>
          <w:p w14:paraId="5C19EBF5" w14:textId="77777777" w:rsidR="0070298D" w:rsidRPr="003E6986" w:rsidRDefault="0070298D" w:rsidP="00321BC7">
            <w:pPr>
              <w:pStyle w:val="Tabletext"/>
              <w:tabs>
                <w:tab w:val="clear" w:pos="284"/>
                <w:tab w:val="left" w:pos="463"/>
              </w:tabs>
              <w:ind w:left="463" w:hanging="463"/>
              <w:jc w:val="both"/>
              <w:rPr>
                <w:lang w:val="es-ES_tradnl" w:eastAsia="nl-NL"/>
              </w:rPr>
            </w:pPr>
            <w:r w:rsidRPr="003E6986">
              <w:rPr>
                <w:lang w:val="es-ES_tradnl" w:eastAsia="nl-NL"/>
              </w:rPr>
              <w:t>–</w:t>
            </w:r>
            <w:r w:rsidRPr="003E6986">
              <w:rPr>
                <w:lang w:val="es-ES_tradnl" w:eastAsia="nl-NL"/>
              </w:rPr>
              <w:tab/>
              <w:t>servicios pasivos existentes a los que están atribuidas las bandas de frecuencias adyacentes;</w:t>
            </w:r>
          </w:p>
          <w:p w14:paraId="697E056C" w14:textId="77777777" w:rsidR="0070298D" w:rsidRPr="003E6986" w:rsidRDefault="0070298D" w:rsidP="0070298D">
            <w:pPr>
              <w:pStyle w:val="Tabletext"/>
              <w:tabs>
                <w:tab w:val="left" w:pos="463"/>
              </w:tabs>
              <w:rPr>
                <w:lang w:val="es-ES_tradnl" w:eastAsia="nl-NL"/>
              </w:rPr>
            </w:pPr>
            <w:r w:rsidRPr="003E6986">
              <w:rPr>
                <w:lang w:val="es-ES_tradnl" w:eastAsia="nl-NL"/>
              </w:rPr>
              <w:t xml:space="preserve">para proteger otras operaciones del SMS y otros servicios a los que están atribuidas esas bandas de frecuencias y en bandas de frecuencias adyacentes, teniendo en cuenta los </w:t>
            </w:r>
            <w:r w:rsidRPr="003E6986">
              <w:rPr>
                <w:i/>
                <w:lang w:val="es-ES_tradnl" w:eastAsia="nl-NL"/>
              </w:rPr>
              <w:t>reconociendo además a)</w:t>
            </w:r>
            <w:r w:rsidRPr="003E6986">
              <w:rPr>
                <w:lang w:val="es-ES_tradnl" w:eastAsia="nl-NL"/>
              </w:rPr>
              <w:t xml:space="preserve"> a </w:t>
            </w:r>
            <w:r w:rsidRPr="003E6986">
              <w:rPr>
                <w:i/>
                <w:lang w:val="es-ES_tradnl" w:eastAsia="nl-NL"/>
              </w:rPr>
              <w:t>m)</w:t>
            </w:r>
            <w:r w:rsidRPr="003E6986">
              <w:rPr>
                <w:lang w:val="es-ES_tradnl" w:eastAsia="nl-NL"/>
              </w:rPr>
              <w:t>;</w:t>
            </w:r>
          </w:p>
          <w:p w14:paraId="20426EF6" w14:textId="62DA4F1D" w:rsidR="0070298D" w:rsidRPr="003E6986" w:rsidRDefault="0070298D" w:rsidP="0070298D">
            <w:pPr>
              <w:pStyle w:val="Tabletext"/>
              <w:tabs>
                <w:tab w:val="clear" w:pos="284"/>
                <w:tab w:val="left" w:pos="463"/>
              </w:tabs>
              <w:jc w:val="both"/>
              <w:rPr>
                <w:lang w:val="es-ES_tradnl" w:eastAsia="nl-NL"/>
              </w:rPr>
            </w:pPr>
            <w:r w:rsidRPr="003E6986">
              <w:rPr>
                <w:lang w:val="es-ES_tradnl" w:eastAsia="nl-NL"/>
              </w:rPr>
              <w:t>4</w:t>
            </w:r>
            <w:r w:rsidRPr="003E6986">
              <w:rPr>
                <w:lang w:val="es-ES_tradnl" w:eastAsia="nl-NL"/>
              </w:rPr>
              <w:tab/>
              <w:t xml:space="preserve">elaboración de condiciones técnicas y disposiciones reglamentarias para el funcionamiento de los enlaces espacio-espacio en estas bandas de frecuencias, incluidas las atribuciones al SMS (espacio-espacio) o la adición de las atribuciones al servicio entre satélites (SES), en la totalidad o en parte de las bandas de frecuencias identificadas en el </w:t>
            </w:r>
            <w:r w:rsidRPr="003E6986">
              <w:rPr>
                <w:i/>
                <w:lang w:val="es-ES_tradnl" w:eastAsia="nl-NL"/>
              </w:rPr>
              <w:t>resuelve invitar al Sector de Radiocomunicaciones de la UIT a finalizar a tiempo para la Conferencia Mundial de Radiocomunicaciones de 2027</w:t>
            </w:r>
            <w:r w:rsidR="00734A5A" w:rsidRPr="003E6986">
              <w:rPr>
                <w:lang w:val="es-ES_tradnl" w:eastAsia="nl-NL"/>
              </w:rPr>
              <w:t> </w:t>
            </w:r>
            <w:r w:rsidRPr="003E6986">
              <w:rPr>
                <w:lang w:val="es-ES_tradnl" w:eastAsia="nl-NL"/>
              </w:rPr>
              <w:t xml:space="preserve">1 y 2 </w:t>
            </w:r>
            <w:r w:rsidRPr="003E6986">
              <w:rPr>
                <w:i/>
                <w:lang w:val="es-ES_tradnl" w:eastAsia="nl-NL"/>
              </w:rPr>
              <w:t>supra</w:t>
            </w:r>
            <w:r w:rsidRPr="003E6986">
              <w:rPr>
                <w:lang w:val="es-ES_tradnl" w:eastAsia="nl-NL"/>
              </w:rPr>
              <w:t xml:space="preserve">, con la condición de que las estaciones que funcionan en una atribución al SMS (espacio-espacio) o al SES no causen interferencias perjudiciales al SMS (espacio-Tierra) o al SMS (Tierra-espacio), ni reclamen protección contra los mismos, garantizando al mismo tiempo la protección de otros servicios a los que están atribuidas esas bandas de frecuencias o bandas de frecuencias adyacentes, teniendo en cuenta los resultados de los estudios solicitados en los </w:t>
            </w:r>
            <w:r w:rsidRPr="003E6986">
              <w:rPr>
                <w:i/>
                <w:lang w:val="es-ES_tradnl" w:eastAsia="nl-NL"/>
              </w:rPr>
              <w:t>resuelve invitar al Sector de Radiocomunicaciones de la UIT a finalizar a tiempo para la Conferencia Mundial de Radiocomunicaciones de 2027</w:t>
            </w:r>
            <w:r w:rsidR="00734A5A" w:rsidRPr="003E6986">
              <w:rPr>
                <w:lang w:val="es-ES_tradnl" w:eastAsia="nl-NL"/>
              </w:rPr>
              <w:t> </w:t>
            </w:r>
            <w:r w:rsidRPr="003E6986">
              <w:rPr>
                <w:lang w:val="es-ES_tradnl" w:eastAsia="nl-NL"/>
              </w:rPr>
              <w:t xml:space="preserve">1, 2 y 3 </w:t>
            </w:r>
            <w:r w:rsidRPr="00CC514C">
              <w:rPr>
                <w:i/>
                <w:lang w:val="es-ES_tradnl" w:eastAsia="nl-NL"/>
              </w:rPr>
              <w:t>supra</w:t>
            </w:r>
            <w:r w:rsidRPr="003E6986">
              <w:rPr>
                <w:lang w:val="es-ES_tradnl" w:eastAsia="nl-NL"/>
              </w:rPr>
              <w:t>,</w:t>
            </w:r>
          </w:p>
          <w:p w14:paraId="5E99424F" w14:textId="77777777" w:rsidR="003A18B1" w:rsidRPr="003E6986" w:rsidRDefault="003A18B1" w:rsidP="0070298D">
            <w:pPr>
              <w:pStyle w:val="Tabletext"/>
              <w:tabs>
                <w:tab w:val="clear" w:pos="284"/>
                <w:tab w:val="left" w:pos="463"/>
              </w:tabs>
              <w:jc w:val="both"/>
              <w:rPr>
                <w:lang w:val="es-ES_tradnl" w:eastAsia="nl-NL"/>
              </w:rPr>
            </w:pPr>
            <w:r w:rsidRPr="003E6986">
              <w:rPr>
                <w:lang w:val="es-ES_tradnl" w:eastAsia="nl-NL"/>
              </w:rPr>
              <w:t>…</w:t>
            </w:r>
          </w:p>
          <w:p w14:paraId="73536DF0" w14:textId="77777777" w:rsidR="003A18B1" w:rsidRPr="003E6986" w:rsidRDefault="003A18B1" w:rsidP="003A18B1">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2027</w:t>
            </w:r>
          </w:p>
          <w:p w14:paraId="07DA8285" w14:textId="62AD7CFB" w:rsidR="003A18B1" w:rsidRPr="003E6986" w:rsidRDefault="003A18B1" w:rsidP="003A18B1">
            <w:pPr>
              <w:pStyle w:val="Tabletext"/>
              <w:tabs>
                <w:tab w:val="clear" w:pos="284"/>
                <w:tab w:val="left" w:pos="463"/>
              </w:tabs>
              <w:jc w:val="both"/>
              <w:rPr>
                <w:lang w:val="es-ES_tradnl" w:eastAsia="nl-NL"/>
              </w:rPr>
            </w:pPr>
            <w:r w:rsidRPr="003E6986">
              <w:rPr>
                <w:lang w:val="es-ES_tradnl" w:eastAsia="nl-NL"/>
              </w:rPr>
              <w:t>a considerar los resultados de los estudios antes mencionados y tomar las medidas reglamentarias correspondientes, según proceda.</w:t>
            </w:r>
          </w:p>
        </w:tc>
        <w:tc>
          <w:tcPr>
            <w:tcW w:w="1406" w:type="dxa"/>
          </w:tcPr>
          <w:p w14:paraId="32D6204E" w14:textId="376F97DC" w:rsidR="004B59DA" w:rsidRPr="008653C7" w:rsidRDefault="00876E70" w:rsidP="004B59DA">
            <w:pPr>
              <w:spacing w:before="40" w:after="40"/>
              <w:jc w:val="center"/>
              <w:rPr>
                <w:b/>
                <w:bCs/>
                <w:sz w:val="20"/>
                <w:lang w:val="fr-FR"/>
              </w:rPr>
            </w:pPr>
            <w:r w:rsidRPr="008653C7">
              <w:rPr>
                <w:b/>
                <w:bCs/>
                <w:sz w:val="20"/>
                <w:lang w:val="fr-FR"/>
              </w:rPr>
              <w:lastRenderedPageBreak/>
              <w:t xml:space="preserve">GT </w:t>
            </w:r>
            <w:proofErr w:type="spellStart"/>
            <w:r w:rsidR="004B59DA" w:rsidRPr="008653C7">
              <w:rPr>
                <w:b/>
                <w:bCs/>
                <w:sz w:val="20"/>
                <w:lang w:val="fr-FR"/>
              </w:rPr>
              <w:t>3L</w:t>
            </w:r>
            <w:proofErr w:type="spellEnd"/>
          </w:p>
          <w:p w14:paraId="5BA21186" w14:textId="6EA7E0AB" w:rsidR="004B59DA" w:rsidRPr="008653C7" w:rsidRDefault="00876E70" w:rsidP="004B59DA">
            <w:pPr>
              <w:spacing w:before="40" w:after="40"/>
              <w:jc w:val="center"/>
              <w:rPr>
                <w:b/>
                <w:bCs/>
                <w:sz w:val="20"/>
                <w:lang w:val="fr-FR"/>
              </w:rPr>
            </w:pPr>
            <w:r w:rsidRPr="008653C7">
              <w:rPr>
                <w:b/>
                <w:bCs/>
                <w:sz w:val="20"/>
                <w:lang w:val="fr-FR"/>
              </w:rPr>
              <w:t xml:space="preserve">GT </w:t>
            </w:r>
            <w:r w:rsidR="004B59DA" w:rsidRPr="008653C7">
              <w:rPr>
                <w:b/>
                <w:bCs/>
                <w:sz w:val="20"/>
                <w:lang w:val="fr-FR"/>
              </w:rPr>
              <w:t>3M</w:t>
            </w:r>
          </w:p>
          <w:p w14:paraId="73871C91" w14:textId="5627FC6C" w:rsidR="004B59DA" w:rsidRPr="008653C7" w:rsidRDefault="00876E70" w:rsidP="004B59DA">
            <w:pPr>
              <w:spacing w:before="40" w:after="40"/>
              <w:jc w:val="center"/>
              <w:rPr>
                <w:b/>
                <w:bCs/>
                <w:sz w:val="20"/>
                <w:lang w:val="fr-FR"/>
              </w:rPr>
            </w:pPr>
            <w:r w:rsidRPr="008653C7">
              <w:rPr>
                <w:b/>
                <w:bCs/>
                <w:sz w:val="20"/>
                <w:lang w:val="fr-FR"/>
              </w:rPr>
              <w:t xml:space="preserve">GT </w:t>
            </w:r>
            <w:proofErr w:type="spellStart"/>
            <w:r w:rsidR="004B59DA" w:rsidRPr="008653C7">
              <w:rPr>
                <w:b/>
                <w:bCs/>
                <w:sz w:val="20"/>
                <w:lang w:val="fr-FR"/>
              </w:rPr>
              <w:t>4A</w:t>
            </w:r>
            <w:proofErr w:type="spellEnd"/>
          </w:p>
          <w:p w14:paraId="215FCD2E" w14:textId="6FD5EC2B" w:rsidR="004B59DA" w:rsidRPr="008653C7" w:rsidRDefault="00876E70" w:rsidP="004B59DA">
            <w:pPr>
              <w:spacing w:before="40" w:after="40"/>
              <w:jc w:val="center"/>
              <w:rPr>
                <w:b/>
                <w:bCs/>
                <w:sz w:val="20"/>
                <w:lang w:val="fr-FR"/>
              </w:rPr>
            </w:pPr>
            <w:r w:rsidRPr="008653C7">
              <w:rPr>
                <w:b/>
                <w:bCs/>
                <w:sz w:val="20"/>
                <w:lang w:val="fr-FR"/>
              </w:rPr>
              <w:t xml:space="preserve">GT </w:t>
            </w:r>
            <w:proofErr w:type="spellStart"/>
            <w:r w:rsidR="004B59DA" w:rsidRPr="008653C7">
              <w:rPr>
                <w:b/>
                <w:bCs/>
                <w:sz w:val="20"/>
                <w:lang w:val="fr-FR"/>
              </w:rPr>
              <w:t>4B</w:t>
            </w:r>
            <w:proofErr w:type="spellEnd"/>
          </w:p>
          <w:p w14:paraId="734F23C4" w14:textId="05B2C9B4" w:rsidR="004B59DA" w:rsidRPr="008653C7" w:rsidRDefault="00876E70" w:rsidP="004B59DA">
            <w:pPr>
              <w:spacing w:before="40" w:after="40"/>
              <w:jc w:val="center"/>
              <w:rPr>
                <w:b/>
                <w:bCs/>
                <w:sz w:val="20"/>
                <w:lang w:val="fr-FR"/>
              </w:rPr>
            </w:pPr>
            <w:r w:rsidRPr="008653C7">
              <w:rPr>
                <w:b/>
                <w:bCs/>
                <w:sz w:val="20"/>
                <w:lang w:val="fr-FR"/>
              </w:rPr>
              <w:t>GT</w:t>
            </w:r>
            <w:r w:rsidR="004B59DA" w:rsidRPr="008653C7">
              <w:rPr>
                <w:b/>
                <w:bCs/>
                <w:sz w:val="20"/>
                <w:lang w:val="fr-FR"/>
              </w:rPr>
              <w:t xml:space="preserve"> </w:t>
            </w:r>
            <w:proofErr w:type="spellStart"/>
            <w:r w:rsidR="004B59DA" w:rsidRPr="008653C7">
              <w:rPr>
                <w:b/>
                <w:bCs/>
                <w:sz w:val="20"/>
                <w:lang w:val="fr-FR"/>
              </w:rPr>
              <w:t>5A</w:t>
            </w:r>
            <w:proofErr w:type="spellEnd"/>
          </w:p>
          <w:p w14:paraId="3E1C1009" w14:textId="644B8454" w:rsidR="004B59DA" w:rsidRPr="008653C7" w:rsidRDefault="00876E70" w:rsidP="004B59DA">
            <w:pPr>
              <w:spacing w:before="40" w:after="40"/>
              <w:jc w:val="center"/>
              <w:rPr>
                <w:b/>
                <w:bCs/>
                <w:sz w:val="20"/>
                <w:lang w:val="fr-FR"/>
              </w:rPr>
            </w:pPr>
            <w:r w:rsidRPr="008653C7">
              <w:rPr>
                <w:b/>
                <w:bCs/>
                <w:sz w:val="20"/>
                <w:lang w:val="fr-FR"/>
              </w:rPr>
              <w:t>GT</w:t>
            </w:r>
            <w:r w:rsidR="004B59DA" w:rsidRPr="008653C7">
              <w:rPr>
                <w:b/>
                <w:bCs/>
                <w:sz w:val="20"/>
                <w:lang w:val="fr-FR"/>
              </w:rPr>
              <w:t xml:space="preserve"> </w:t>
            </w:r>
            <w:proofErr w:type="spellStart"/>
            <w:r w:rsidR="004B59DA" w:rsidRPr="008653C7">
              <w:rPr>
                <w:b/>
                <w:bCs/>
                <w:sz w:val="20"/>
                <w:lang w:val="fr-FR"/>
              </w:rPr>
              <w:t>5B</w:t>
            </w:r>
            <w:proofErr w:type="spellEnd"/>
          </w:p>
          <w:p w14:paraId="55A01098" w14:textId="59B1040F" w:rsidR="004B59DA" w:rsidRPr="008653C7" w:rsidRDefault="00876E70" w:rsidP="004B59DA">
            <w:pPr>
              <w:spacing w:before="40" w:after="40"/>
              <w:jc w:val="center"/>
              <w:rPr>
                <w:b/>
                <w:bCs/>
                <w:sz w:val="20"/>
                <w:lang w:val="fr-FR"/>
              </w:rPr>
            </w:pPr>
            <w:r w:rsidRPr="008653C7">
              <w:rPr>
                <w:b/>
                <w:bCs/>
                <w:sz w:val="20"/>
                <w:lang w:val="fr-FR"/>
              </w:rPr>
              <w:t xml:space="preserve">GT </w:t>
            </w:r>
            <w:proofErr w:type="spellStart"/>
            <w:r w:rsidR="004B59DA" w:rsidRPr="008653C7">
              <w:rPr>
                <w:b/>
                <w:bCs/>
                <w:sz w:val="20"/>
                <w:lang w:val="fr-FR"/>
              </w:rPr>
              <w:t>5C</w:t>
            </w:r>
            <w:proofErr w:type="spellEnd"/>
          </w:p>
          <w:p w14:paraId="78A98390" w14:textId="0C694929" w:rsidR="004B59DA" w:rsidRPr="008653C7" w:rsidRDefault="00876E70" w:rsidP="004B59DA">
            <w:pPr>
              <w:spacing w:before="40" w:after="40"/>
              <w:jc w:val="center"/>
              <w:rPr>
                <w:b/>
                <w:bCs/>
                <w:sz w:val="20"/>
                <w:lang w:val="fr-FR"/>
              </w:rPr>
            </w:pPr>
            <w:r w:rsidRPr="008653C7">
              <w:rPr>
                <w:b/>
                <w:bCs/>
                <w:sz w:val="20"/>
                <w:lang w:val="fr-FR"/>
              </w:rPr>
              <w:t xml:space="preserve">GT </w:t>
            </w:r>
            <w:proofErr w:type="spellStart"/>
            <w:r w:rsidR="004B59DA" w:rsidRPr="008653C7">
              <w:rPr>
                <w:b/>
                <w:bCs/>
                <w:sz w:val="20"/>
                <w:lang w:val="fr-FR"/>
              </w:rPr>
              <w:t>5D</w:t>
            </w:r>
            <w:proofErr w:type="spellEnd"/>
          </w:p>
          <w:p w14:paraId="1A291E2E" w14:textId="00F5DF34" w:rsidR="004B59DA" w:rsidRPr="008653C7" w:rsidRDefault="00876E70" w:rsidP="004B59DA">
            <w:pPr>
              <w:spacing w:before="40" w:after="40"/>
              <w:jc w:val="center"/>
              <w:rPr>
                <w:b/>
                <w:bCs/>
                <w:sz w:val="20"/>
                <w:lang w:val="fr-FR"/>
              </w:rPr>
            </w:pPr>
            <w:r w:rsidRPr="008653C7">
              <w:rPr>
                <w:b/>
                <w:bCs/>
                <w:sz w:val="20"/>
                <w:lang w:val="fr-FR"/>
              </w:rPr>
              <w:t xml:space="preserve">GT </w:t>
            </w:r>
            <w:proofErr w:type="spellStart"/>
            <w:r w:rsidR="004B59DA" w:rsidRPr="008653C7">
              <w:rPr>
                <w:b/>
                <w:bCs/>
                <w:sz w:val="20"/>
                <w:lang w:val="fr-FR"/>
              </w:rPr>
              <w:t>6A</w:t>
            </w:r>
            <w:proofErr w:type="spellEnd"/>
          </w:p>
          <w:p w14:paraId="36778FB9" w14:textId="4920C23A" w:rsidR="004B59DA" w:rsidRPr="008653C7" w:rsidRDefault="00876E70" w:rsidP="004B59DA">
            <w:pPr>
              <w:spacing w:before="40" w:after="40"/>
              <w:jc w:val="center"/>
              <w:rPr>
                <w:b/>
                <w:bCs/>
                <w:sz w:val="20"/>
                <w:lang w:val="fr-FR"/>
              </w:rPr>
            </w:pPr>
            <w:r w:rsidRPr="008653C7">
              <w:rPr>
                <w:b/>
                <w:bCs/>
                <w:sz w:val="20"/>
                <w:lang w:val="fr-FR"/>
              </w:rPr>
              <w:t xml:space="preserve">GT </w:t>
            </w:r>
            <w:proofErr w:type="spellStart"/>
            <w:r w:rsidR="004B59DA" w:rsidRPr="008653C7">
              <w:rPr>
                <w:b/>
                <w:bCs/>
                <w:sz w:val="20"/>
                <w:lang w:val="fr-FR"/>
              </w:rPr>
              <w:t>7B</w:t>
            </w:r>
            <w:proofErr w:type="spellEnd"/>
          </w:p>
          <w:p w14:paraId="23D16AD9" w14:textId="024154E9" w:rsidR="004B59DA" w:rsidRPr="008653C7" w:rsidRDefault="00876E70" w:rsidP="004B59DA">
            <w:pPr>
              <w:spacing w:before="40" w:after="40"/>
              <w:jc w:val="center"/>
              <w:rPr>
                <w:b/>
                <w:bCs/>
                <w:sz w:val="20"/>
                <w:lang w:val="fr-FR"/>
              </w:rPr>
            </w:pPr>
            <w:r w:rsidRPr="008653C7">
              <w:rPr>
                <w:b/>
                <w:bCs/>
                <w:sz w:val="20"/>
                <w:lang w:val="fr-FR"/>
              </w:rPr>
              <w:t xml:space="preserve">GT </w:t>
            </w:r>
            <w:proofErr w:type="spellStart"/>
            <w:r w:rsidR="004B59DA" w:rsidRPr="008653C7">
              <w:rPr>
                <w:b/>
                <w:bCs/>
                <w:sz w:val="20"/>
                <w:lang w:val="fr-FR"/>
              </w:rPr>
              <w:t>7C</w:t>
            </w:r>
            <w:proofErr w:type="spellEnd"/>
          </w:p>
          <w:p w14:paraId="64CDE1EF" w14:textId="71153447" w:rsidR="004A7B85" w:rsidRPr="008653C7" w:rsidRDefault="00876E70" w:rsidP="004B59DA">
            <w:pPr>
              <w:pStyle w:val="Tabletext"/>
              <w:tabs>
                <w:tab w:val="clear" w:pos="284"/>
                <w:tab w:val="left" w:pos="463"/>
              </w:tabs>
              <w:spacing w:line="480" w:lineRule="auto"/>
              <w:jc w:val="center"/>
              <w:rPr>
                <w:lang w:val="fr-FR" w:eastAsia="nl-NL"/>
              </w:rPr>
            </w:pPr>
            <w:r w:rsidRPr="008653C7">
              <w:rPr>
                <w:b/>
                <w:bCs/>
                <w:lang w:val="fr-FR"/>
              </w:rPr>
              <w:t xml:space="preserve">GT </w:t>
            </w:r>
            <w:proofErr w:type="spellStart"/>
            <w:r w:rsidR="004B59DA" w:rsidRPr="008653C7">
              <w:rPr>
                <w:b/>
                <w:bCs/>
                <w:lang w:val="fr-FR"/>
              </w:rPr>
              <w:t>7D</w:t>
            </w:r>
            <w:proofErr w:type="spellEnd"/>
          </w:p>
        </w:tc>
      </w:tr>
      <w:tr w:rsidR="004A7B85" w:rsidRPr="008653C7" w14:paraId="463868B0" w14:textId="77777777" w:rsidTr="003F05FF">
        <w:trPr>
          <w:gridAfter w:val="1"/>
          <w:wAfter w:w="27" w:type="dxa"/>
          <w:cantSplit/>
          <w:jc w:val="center"/>
        </w:trPr>
        <w:tc>
          <w:tcPr>
            <w:tcW w:w="14036" w:type="dxa"/>
            <w:gridSpan w:val="4"/>
          </w:tcPr>
          <w:p w14:paraId="5CABCF31" w14:textId="21489078" w:rsidR="004A7B85" w:rsidRPr="003E6986" w:rsidRDefault="003A18B1" w:rsidP="001E2EFF">
            <w:pPr>
              <w:pStyle w:val="Tabletext"/>
              <w:keepNext/>
              <w:keepLines/>
              <w:tabs>
                <w:tab w:val="clear" w:pos="284"/>
                <w:tab w:val="left" w:pos="594"/>
              </w:tabs>
              <w:jc w:val="both"/>
              <w:rPr>
                <w:lang w:val="es-ES_tradnl" w:eastAsia="nl-NL"/>
              </w:rPr>
            </w:pPr>
            <w:r w:rsidRPr="003E6986">
              <w:rPr>
                <w:lang w:val="es-ES_tradnl" w:eastAsia="nl-NL"/>
              </w:rPr>
              <w:lastRenderedPageBreak/>
              <w:t>1.12</w:t>
            </w:r>
            <w:r w:rsidRPr="003E6986">
              <w:rPr>
                <w:lang w:val="es-ES_tradnl" w:eastAsia="nl-NL"/>
              </w:rPr>
              <w:tab/>
              <w:t xml:space="preserve">considerar, basándose en los resultados de los estudios, posibles atribuciones al servicio móvil por satélite y posibles medidas reglamentarias en las bandas de frecuencias 1 427-1 432 MHz (espacio-Tierra), 1 645,5-1 646,5 MHz (espacio-Tierra) y (Tierra-espacio), 1 880-1 920 MHz (espacio-Tierra) y (Tierra-espacio) y 2 010-2 025 MHz (espacio-Tierra) y (Tierra-espacio) necesarias para el futuro desarrollo de sistemas no geoestacionarios del servicio móvil por satélite de baja velocidad de datos, de conformidad con la Resolución </w:t>
            </w:r>
            <w:r w:rsidR="00343213" w:rsidRPr="003E6986">
              <w:rPr>
                <w:b/>
                <w:lang w:val="es-ES_tradnl" w:eastAsia="nl-NL"/>
              </w:rPr>
              <w:t>252</w:t>
            </w:r>
            <w:r w:rsidRPr="003E6986">
              <w:rPr>
                <w:b/>
                <w:lang w:val="es-ES_tradnl" w:eastAsia="nl-NL"/>
              </w:rPr>
              <w:t xml:space="preserve"> (CMR-23)</w:t>
            </w:r>
            <w:r w:rsidRPr="003E6986">
              <w:rPr>
                <w:lang w:val="es-ES_tradnl" w:eastAsia="nl-NL"/>
              </w:rPr>
              <w:t>;</w:t>
            </w:r>
          </w:p>
        </w:tc>
      </w:tr>
      <w:tr w:rsidR="004A7B85" w:rsidRPr="003E6986" w14:paraId="37A72065" w14:textId="77777777" w:rsidTr="003F05FF">
        <w:trPr>
          <w:gridAfter w:val="1"/>
          <w:wAfter w:w="27" w:type="dxa"/>
          <w:cantSplit/>
          <w:jc w:val="center"/>
        </w:trPr>
        <w:tc>
          <w:tcPr>
            <w:tcW w:w="3304" w:type="dxa"/>
          </w:tcPr>
          <w:p w14:paraId="68E0842A" w14:textId="3E95AFD9" w:rsidR="001C20F2" w:rsidRPr="003E6986" w:rsidRDefault="001C20F2" w:rsidP="001C20F2">
            <w:pPr>
              <w:pStyle w:val="Tabletext"/>
              <w:tabs>
                <w:tab w:val="left" w:pos="463"/>
              </w:tabs>
              <w:rPr>
                <w:lang w:val="es-ES_tradnl" w:eastAsia="nl-NL"/>
              </w:rPr>
            </w:pPr>
            <w:r w:rsidRPr="003E6986">
              <w:rPr>
                <w:lang w:val="es-ES_tradnl" w:eastAsia="nl-NL"/>
              </w:rPr>
              <w:t xml:space="preserve">Resolución </w:t>
            </w:r>
            <w:r w:rsidR="00343213" w:rsidRPr="003E6986">
              <w:rPr>
                <w:b/>
                <w:lang w:val="es-ES_tradnl" w:eastAsia="nl-NL"/>
              </w:rPr>
              <w:t>252</w:t>
            </w:r>
            <w:r w:rsidRPr="003E6986">
              <w:rPr>
                <w:b/>
                <w:lang w:val="es-ES_tradnl" w:eastAsia="nl-NL"/>
              </w:rPr>
              <w:t xml:space="preserve"> (</w:t>
            </w:r>
            <w:proofErr w:type="spellStart"/>
            <w:r w:rsidRPr="003E6986">
              <w:rPr>
                <w:b/>
                <w:lang w:val="es-ES_tradnl" w:eastAsia="nl-NL"/>
              </w:rPr>
              <w:t>CMR</w:t>
            </w:r>
            <w:proofErr w:type="spellEnd"/>
            <w:r w:rsidRPr="003E6986">
              <w:rPr>
                <w:b/>
                <w:lang w:val="es-ES_tradnl" w:eastAsia="nl-NL"/>
              </w:rPr>
              <w:t xml:space="preserve"> 23)</w:t>
            </w:r>
          </w:p>
          <w:p w14:paraId="279EFBBD" w14:textId="7B47F21E" w:rsidR="004A7B85" w:rsidRPr="003E6986" w:rsidRDefault="001C20F2" w:rsidP="002232AC">
            <w:pPr>
              <w:pStyle w:val="Tabletext"/>
              <w:tabs>
                <w:tab w:val="left" w:pos="463"/>
              </w:tabs>
              <w:rPr>
                <w:lang w:val="es-ES_tradnl" w:eastAsia="nl-NL"/>
              </w:rPr>
            </w:pPr>
            <w:r w:rsidRPr="003E6986">
              <w:rPr>
                <w:lang w:val="es-ES_tradnl" w:eastAsia="nl-NL"/>
              </w:rPr>
              <w:t>Estudios sobre posibles nuevas atribuciones y medidas reglamentarias para el servicio móvil por satélite en las bandas de frecuencias 1 427-1 432 MHz (espacio-Tierra), 1 645,5-1 646,5 MHz (espacio-Tierra) (Tierra-espacio), 1</w:t>
            </w:r>
            <w:r w:rsidR="00A923A9">
              <w:rPr>
                <w:lang w:val="es-ES_tradnl" w:eastAsia="nl-NL"/>
              </w:rPr>
              <w:t> </w:t>
            </w:r>
            <w:r w:rsidRPr="003E6986">
              <w:rPr>
                <w:lang w:val="es-ES_tradnl" w:eastAsia="nl-NL"/>
              </w:rPr>
              <w:t>880</w:t>
            </w:r>
            <w:r w:rsidR="00A923A9">
              <w:rPr>
                <w:lang w:val="es-ES_tradnl" w:eastAsia="nl-NL"/>
              </w:rPr>
              <w:t>-</w:t>
            </w:r>
            <w:r w:rsidRPr="003E6986">
              <w:rPr>
                <w:lang w:val="es-ES_tradnl" w:eastAsia="nl-NL"/>
              </w:rPr>
              <w:t>1</w:t>
            </w:r>
            <w:r w:rsidR="00A923A9">
              <w:rPr>
                <w:lang w:val="es-ES_tradnl" w:eastAsia="nl-NL"/>
              </w:rPr>
              <w:t> </w:t>
            </w:r>
            <w:r w:rsidRPr="003E6986">
              <w:rPr>
                <w:lang w:val="es-ES_tradnl" w:eastAsia="nl-NL"/>
              </w:rPr>
              <w:t>920</w:t>
            </w:r>
            <w:r w:rsidR="00A923A9">
              <w:rPr>
                <w:lang w:val="es-ES_tradnl" w:eastAsia="nl-NL"/>
              </w:rPr>
              <w:t> </w:t>
            </w:r>
            <w:r w:rsidRPr="003E6986">
              <w:rPr>
                <w:lang w:val="es-ES_tradnl" w:eastAsia="nl-NL"/>
              </w:rPr>
              <w:t>MHz (espacio-Tierra) (Tierra-espacio) y 2 010-2 025 MHz</w:t>
            </w:r>
            <w:r w:rsidR="00A923A9">
              <w:rPr>
                <w:lang w:val="es-ES_tradnl" w:eastAsia="nl-NL"/>
              </w:rPr>
              <w:t xml:space="preserve"> </w:t>
            </w:r>
            <w:r w:rsidRPr="003E6986">
              <w:rPr>
                <w:lang w:val="es-ES_tradnl" w:eastAsia="nl-NL"/>
              </w:rPr>
              <w:t>(espacio-Tierra) (Tierra-espacio) necesarias para el futuro</w:t>
            </w:r>
            <w:r w:rsidR="00A923A9">
              <w:rPr>
                <w:lang w:val="es-ES_tradnl" w:eastAsia="nl-NL"/>
              </w:rPr>
              <w:t xml:space="preserve"> </w:t>
            </w:r>
            <w:r w:rsidRPr="003E6986">
              <w:rPr>
                <w:lang w:val="es-ES_tradnl" w:eastAsia="nl-NL"/>
              </w:rPr>
              <w:t>desarrollo de sistemas no geoestacionarios del servicio</w:t>
            </w:r>
            <w:r w:rsidR="00A923A9">
              <w:rPr>
                <w:lang w:val="es-ES_tradnl" w:eastAsia="nl-NL"/>
              </w:rPr>
              <w:t xml:space="preserve"> </w:t>
            </w:r>
            <w:r w:rsidRPr="003E6986">
              <w:rPr>
                <w:lang w:val="es-ES_tradnl" w:eastAsia="nl-NL"/>
              </w:rPr>
              <w:t>móvil por satélite de baja velocidad de datos</w:t>
            </w:r>
          </w:p>
        </w:tc>
        <w:tc>
          <w:tcPr>
            <w:tcW w:w="1517" w:type="dxa"/>
          </w:tcPr>
          <w:p w14:paraId="192C3DD5" w14:textId="225B92DC" w:rsidR="004A7B85" w:rsidRPr="003E6986" w:rsidRDefault="00A92266" w:rsidP="0098280D">
            <w:pPr>
              <w:pStyle w:val="Tabletext"/>
              <w:tabs>
                <w:tab w:val="clear" w:pos="284"/>
                <w:tab w:val="left" w:pos="463"/>
              </w:tabs>
              <w:jc w:val="center"/>
              <w:rPr>
                <w:b/>
                <w:bCs/>
                <w:lang w:val="es-ES_tradnl" w:eastAsia="nl-NL"/>
              </w:rPr>
            </w:pPr>
            <w:r w:rsidRPr="003E6986">
              <w:rPr>
                <w:b/>
                <w:bCs/>
                <w:lang w:val="es-ES_tradnl" w:eastAsia="nl-NL"/>
              </w:rPr>
              <w:t>GT</w:t>
            </w:r>
            <w:r w:rsidR="001C20F2" w:rsidRPr="003E6986">
              <w:rPr>
                <w:b/>
                <w:bCs/>
                <w:lang w:val="es-ES_tradnl" w:eastAsia="nl-NL"/>
              </w:rPr>
              <w:t> 4</w:t>
            </w:r>
          </w:p>
        </w:tc>
        <w:tc>
          <w:tcPr>
            <w:tcW w:w="7809" w:type="dxa"/>
          </w:tcPr>
          <w:p w14:paraId="3CA153A4" w14:textId="77777777" w:rsidR="001C20F2" w:rsidRPr="003E6986" w:rsidRDefault="001C20F2" w:rsidP="001C20F2">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2027</w:t>
            </w:r>
          </w:p>
          <w:p w14:paraId="14129A44" w14:textId="77777777" w:rsidR="001C20F2" w:rsidRPr="003E6986" w:rsidRDefault="001C20F2" w:rsidP="001C20F2">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estudios sobre las necesidades de espectro, las características y las condiciones técnicas y operativas de los sistemas no OSG del SMS de baja velocidad de datos, incluidas las técnicas de mitigación, que permitan la coexistencia de esos sistemas en las mismas bandas de frecuencias;</w:t>
            </w:r>
          </w:p>
          <w:p w14:paraId="7AA6EA6D" w14:textId="77777777" w:rsidR="004A7B85" w:rsidRPr="003E6986" w:rsidRDefault="001C20F2" w:rsidP="001C20F2">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estudios sobre la compartición y compatibilidad entre los sistemas no OSG del SMS de baja velocidad de datos y los servicios primarios existentes que funcionan en las bandas de frecuencias 1 427-1 432 MHz (espacio-Tierra), 1 645,5-1 646,5 MHz (espacio Tierra) (Tierra-espacio), 1 880-1 920 MHz (espacio-Tierra) (Tierra-espacio) y 2 010 2 025 MHz (espacio-Tierra) (Tierra-espacio) y en las bandas de frecuencias adyacentes pertinentes, con el fin de garantizar la protección de los servicios existentes,</w:t>
            </w:r>
          </w:p>
          <w:p w14:paraId="0D44F3CC" w14:textId="77777777" w:rsidR="001C20F2" w:rsidRPr="003E6986" w:rsidRDefault="001C20F2" w:rsidP="001C20F2">
            <w:pPr>
              <w:pStyle w:val="Tabletext"/>
              <w:tabs>
                <w:tab w:val="clear" w:pos="284"/>
                <w:tab w:val="left" w:pos="463"/>
              </w:tabs>
              <w:jc w:val="both"/>
              <w:rPr>
                <w:lang w:val="es-ES_tradnl" w:eastAsia="nl-NL"/>
              </w:rPr>
            </w:pPr>
            <w:r w:rsidRPr="003E6986">
              <w:rPr>
                <w:lang w:val="es-ES_tradnl" w:eastAsia="nl-NL"/>
              </w:rPr>
              <w:t>…</w:t>
            </w:r>
          </w:p>
          <w:p w14:paraId="7C83E71A" w14:textId="77777777" w:rsidR="00987416" w:rsidRPr="003E6986" w:rsidRDefault="00987416" w:rsidP="00987416">
            <w:pPr>
              <w:pStyle w:val="Tabletext"/>
              <w:tabs>
                <w:tab w:val="clear" w:pos="284"/>
                <w:tab w:val="left" w:pos="463"/>
              </w:tabs>
              <w:ind w:left="454"/>
              <w:jc w:val="both"/>
              <w:rPr>
                <w:lang w:val="es-ES_tradnl" w:eastAsia="nl-NL"/>
              </w:rPr>
            </w:pPr>
            <w:r w:rsidRPr="003E6986">
              <w:rPr>
                <w:rFonts w:eastAsia="???"/>
                <w:i/>
                <w:iCs/>
                <w:lang w:val="es-ES_tradnl" w:eastAsia="nl-NL"/>
              </w:rPr>
              <w:t>invita a la Conferencia Mundial de Radiocomunicaciones de 2027</w:t>
            </w:r>
          </w:p>
          <w:p w14:paraId="5A79C035" w14:textId="6B45C196" w:rsidR="001C20F2" w:rsidRPr="003E6986" w:rsidRDefault="00987416" w:rsidP="00987416">
            <w:pPr>
              <w:pStyle w:val="Tabletext"/>
              <w:tabs>
                <w:tab w:val="clear" w:pos="284"/>
                <w:tab w:val="left" w:pos="463"/>
              </w:tabs>
              <w:jc w:val="both"/>
              <w:rPr>
                <w:lang w:val="es-ES_tradnl" w:eastAsia="nl-NL"/>
              </w:rPr>
            </w:pPr>
            <w:r w:rsidRPr="003E6986">
              <w:rPr>
                <w:lang w:val="es-ES_tradnl" w:eastAsia="nl-NL"/>
              </w:rPr>
              <w:t xml:space="preserve">a considerar, basándose en los resultados de los estudios, posibles atribuciones al SMS y posibles medidas reglamentarias en las bandas de frecuencias mencionadas en el </w:t>
            </w:r>
            <w:r w:rsidRPr="003E6986">
              <w:rPr>
                <w:i/>
                <w:lang w:val="es-ES_tradnl" w:eastAsia="nl-NL"/>
              </w:rPr>
              <w:t>resuelve invitar al Sector de Radiocomunicaciones de la UIT a finalizar a tiempo para la Conferencia Mundial de Radiocomunicaciones de 2027</w:t>
            </w:r>
            <w:r w:rsidRPr="003E6986">
              <w:rPr>
                <w:lang w:val="es-ES_tradnl" w:eastAsia="nl-NL"/>
              </w:rPr>
              <w:t>.</w:t>
            </w:r>
          </w:p>
        </w:tc>
        <w:tc>
          <w:tcPr>
            <w:tcW w:w="1406" w:type="dxa"/>
          </w:tcPr>
          <w:p w14:paraId="243C3AD6" w14:textId="7D31AA94" w:rsidR="00BA02E0" w:rsidRPr="003E6986" w:rsidRDefault="00876E70" w:rsidP="00BA02E0">
            <w:pPr>
              <w:spacing w:before="40" w:after="40"/>
              <w:jc w:val="center"/>
              <w:rPr>
                <w:b/>
                <w:sz w:val="20"/>
                <w:lang w:val="es-ES_tradnl"/>
              </w:rPr>
            </w:pPr>
            <w:r w:rsidRPr="003E6986">
              <w:rPr>
                <w:b/>
                <w:sz w:val="20"/>
                <w:lang w:val="es-ES_tradnl"/>
              </w:rPr>
              <w:t xml:space="preserve">GT </w:t>
            </w:r>
            <w:r w:rsidR="00BA02E0" w:rsidRPr="003E6986">
              <w:rPr>
                <w:b/>
                <w:sz w:val="20"/>
                <w:lang w:val="es-ES_tradnl"/>
              </w:rPr>
              <w:t>3L</w:t>
            </w:r>
          </w:p>
          <w:p w14:paraId="35A9F02C" w14:textId="7DAA66D4" w:rsidR="00BA02E0" w:rsidRPr="003E6986" w:rsidRDefault="00876E70" w:rsidP="00BA02E0">
            <w:pPr>
              <w:spacing w:before="40" w:after="40"/>
              <w:jc w:val="center"/>
              <w:rPr>
                <w:b/>
                <w:sz w:val="20"/>
                <w:lang w:val="es-ES_tradnl"/>
              </w:rPr>
            </w:pPr>
            <w:r w:rsidRPr="003E6986">
              <w:rPr>
                <w:b/>
                <w:sz w:val="20"/>
                <w:lang w:val="es-ES_tradnl"/>
              </w:rPr>
              <w:t xml:space="preserve">GT </w:t>
            </w:r>
            <w:r w:rsidR="00BA02E0" w:rsidRPr="003E6986">
              <w:rPr>
                <w:b/>
                <w:sz w:val="20"/>
                <w:lang w:val="es-ES_tradnl"/>
              </w:rPr>
              <w:t>3M</w:t>
            </w:r>
          </w:p>
          <w:p w14:paraId="536F9173" w14:textId="5440BE7A" w:rsidR="00BA02E0" w:rsidRPr="005B2110" w:rsidRDefault="00876E70" w:rsidP="00BA02E0">
            <w:pPr>
              <w:spacing w:before="40" w:after="40"/>
              <w:jc w:val="center"/>
              <w:rPr>
                <w:rFonts w:eastAsia="Calibri"/>
                <w:b/>
                <w:sz w:val="20"/>
                <w:lang w:val="es-ES_tradnl"/>
              </w:rPr>
            </w:pPr>
            <w:r w:rsidRPr="005B2110">
              <w:rPr>
                <w:rFonts w:eastAsia="Calibri"/>
                <w:b/>
                <w:sz w:val="20"/>
                <w:lang w:val="es-ES_tradnl"/>
              </w:rPr>
              <w:t xml:space="preserve">GT </w:t>
            </w:r>
            <w:r w:rsidR="00BA02E0" w:rsidRPr="005B2110">
              <w:rPr>
                <w:rFonts w:eastAsia="Calibri"/>
                <w:b/>
                <w:sz w:val="20"/>
                <w:lang w:val="es-ES_tradnl"/>
              </w:rPr>
              <w:t>4B</w:t>
            </w:r>
          </w:p>
          <w:p w14:paraId="7A2BD99E" w14:textId="3AA08AA0" w:rsidR="00BA02E0" w:rsidRPr="003E6986" w:rsidRDefault="00BA02E0" w:rsidP="00BA02E0">
            <w:pPr>
              <w:spacing w:before="40" w:after="40"/>
              <w:jc w:val="left"/>
              <w:rPr>
                <w:rFonts w:eastAsia="Calibri"/>
                <w:b/>
                <w:sz w:val="20"/>
                <w:lang w:val="es-ES_tradnl"/>
              </w:rPr>
            </w:pPr>
            <w:r w:rsidRPr="005B2110">
              <w:rPr>
                <w:rFonts w:eastAsia="Calibri"/>
                <w:bCs/>
                <w:sz w:val="20"/>
                <w:lang w:val="es-ES_tradnl"/>
              </w:rPr>
              <w:t>(se solicita al GT 4B que facilite información sobre el futuro desarrollo de los sistemas del SMS no OSG de baja velocidad de datos)</w:t>
            </w:r>
          </w:p>
          <w:p w14:paraId="7F48715D" w14:textId="3CCD4984" w:rsidR="00BA02E0" w:rsidRPr="008653C7" w:rsidRDefault="00876E70" w:rsidP="00BA02E0">
            <w:pPr>
              <w:spacing w:before="40" w:after="40"/>
              <w:jc w:val="center"/>
              <w:rPr>
                <w:rFonts w:eastAsia="Calibri"/>
                <w:b/>
                <w:sz w:val="20"/>
                <w:lang w:val="fr-FR"/>
              </w:rPr>
            </w:pPr>
            <w:r w:rsidRPr="008653C7">
              <w:rPr>
                <w:rFonts w:eastAsia="Calibri"/>
                <w:b/>
                <w:sz w:val="20"/>
                <w:lang w:val="fr-FR"/>
              </w:rPr>
              <w:t xml:space="preserve">GT </w:t>
            </w:r>
            <w:proofErr w:type="spellStart"/>
            <w:r w:rsidR="00BA02E0" w:rsidRPr="008653C7">
              <w:rPr>
                <w:rFonts w:eastAsia="Calibri"/>
                <w:b/>
                <w:sz w:val="20"/>
                <w:lang w:val="fr-FR"/>
              </w:rPr>
              <w:t>5A</w:t>
            </w:r>
            <w:proofErr w:type="spellEnd"/>
          </w:p>
          <w:p w14:paraId="1931FD71" w14:textId="5DB8DCCA" w:rsidR="00BA02E0" w:rsidRPr="008653C7" w:rsidRDefault="00876E70" w:rsidP="00BA02E0">
            <w:pPr>
              <w:spacing w:before="40" w:after="40"/>
              <w:jc w:val="center"/>
              <w:rPr>
                <w:b/>
                <w:sz w:val="20"/>
                <w:lang w:val="fr-FR"/>
              </w:rPr>
            </w:pPr>
            <w:r w:rsidRPr="008653C7">
              <w:rPr>
                <w:b/>
                <w:sz w:val="20"/>
                <w:lang w:val="fr-FR"/>
              </w:rPr>
              <w:t xml:space="preserve">GT </w:t>
            </w:r>
            <w:proofErr w:type="spellStart"/>
            <w:r w:rsidR="00BA02E0" w:rsidRPr="008653C7">
              <w:rPr>
                <w:b/>
                <w:sz w:val="20"/>
                <w:lang w:val="fr-FR"/>
              </w:rPr>
              <w:t>5B</w:t>
            </w:r>
            <w:proofErr w:type="spellEnd"/>
          </w:p>
          <w:p w14:paraId="2DD486E2" w14:textId="3FDABE81" w:rsidR="00BA02E0" w:rsidRPr="008653C7" w:rsidRDefault="00876E70" w:rsidP="00BA02E0">
            <w:pPr>
              <w:spacing w:before="40" w:after="40"/>
              <w:jc w:val="center"/>
              <w:rPr>
                <w:b/>
                <w:sz w:val="20"/>
                <w:lang w:val="fr-FR"/>
              </w:rPr>
            </w:pPr>
            <w:r w:rsidRPr="008653C7">
              <w:rPr>
                <w:b/>
                <w:sz w:val="20"/>
                <w:lang w:val="fr-FR"/>
              </w:rPr>
              <w:t xml:space="preserve">GT </w:t>
            </w:r>
            <w:proofErr w:type="spellStart"/>
            <w:r w:rsidR="00BA02E0" w:rsidRPr="008653C7">
              <w:rPr>
                <w:b/>
                <w:sz w:val="20"/>
                <w:lang w:val="fr-FR"/>
              </w:rPr>
              <w:t>5C</w:t>
            </w:r>
            <w:proofErr w:type="spellEnd"/>
          </w:p>
          <w:p w14:paraId="4D4753BC" w14:textId="6AAF6B3C" w:rsidR="00BA02E0" w:rsidRPr="008653C7" w:rsidRDefault="00876E70" w:rsidP="00BA02E0">
            <w:pPr>
              <w:spacing w:before="40" w:after="40"/>
              <w:jc w:val="center"/>
              <w:rPr>
                <w:b/>
                <w:sz w:val="20"/>
                <w:lang w:val="fr-FR"/>
              </w:rPr>
            </w:pPr>
            <w:r w:rsidRPr="008653C7">
              <w:rPr>
                <w:b/>
                <w:sz w:val="20"/>
                <w:lang w:val="fr-FR"/>
              </w:rPr>
              <w:t xml:space="preserve">GT </w:t>
            </w:r>
            <w:proofErr w:type="spellStart"/>
            <w:r w:rsidR="00BA02E0" w:rsidRPr="008653C7">
              <w:rPr>
                <w:b/>
                <w:sz w:val="20"/>
                <w:lang w:val="fr-FR"/>
              </w:rPr>
              <w:t>5D</w:t>
            </w:r>
            <w:proofErr w:type="spellEnd"/>
          </w:p>
          <w:p w14:paraId="44641FA6" w14:textId="31D83D10" w:rsidR="00BA02E0" w:rsidRPr="003E6986" w:rsidRDefault="00876E70" w:rsidP="00BA02E0">
            <w:pPr>
              <w:spacing w:before="40" w:after="40"/>
              <w:jc w:val="center"/>
              <w:rPr>
                <w:rFonts w:eastAsia="Calibri"/>
                <w:b/>
                <w:sz w:val="20"/>
                <w:lang w:val="es-ES_tradnl"/>
              </w:rPr>
            </w:pPr>
            <w:r w:rsidRPr="003E6986">
              <w:rPr>
                <w:b/>
                <w:sz w:val="20"/>
                <w:lang w:val="es-ES_tradnl"/>
              </w:rPr>
              <w:t xml:space="preserve">GT </w:t>
            </w:r>
            <w:proofErr w:type="spellStart"/>
            <w:r w:rsidR="00BA02E0" w:rsidRPr="003E6986">
              <w:rPr>
                <w:b/>
                <w:sz w:val="20"/>
                <w:lang w:val="es-ES_tradnl"/>
              </w:rPr>
              <w:t>7B</w:t>
            </w:r>
            <w:proofErr w:type="spellEnd"/>
          </w:p>
          <w:p w14:paraId="501F00AA" w14:textId="2E35E911" w:rsidR="00BA02E0" w:rsidRPr="003E6986" w:rsidRDefault="00876E70" w:rsidP="00BA02E0">
            <w:pPr>
              <w:spacing w:before="40" w:after="40"/>
              <w:jc w:val="center"/>
              <w:rPr>
                <w:b/>
                <w:bCs/>
                <w:sz w:val="20"/>
                <w:lang w:val="es-ES_tradnl"/>
              </w:rPr>
            </w:pPr>
            <w:r w:rsidRPr="003E6986">
              <w:rPr>
                <w:b/>
                <w:sz w:val="20"/>
                <w:lang w:val="es-ES_tradnl"/>
              </w:rPr>
              <w:t xml:space="preserve">GT </w:t>
            </w:r>
            <w:r w:rsidR="00BA02E0" w:rsidRPr="003E6986">
              <w:rPr>
                <w:b/>
                <w:sz w:val="20"/>
                <w:lang w:val="es-ES_tradnl"/>
              </w:rPr>
              <w:t>7C</w:t>
            </w:r>
          </w:p>
          <w:p w14:paraId="0BCFA2D9" w14:textId="68ACF2EA" w:rsidR="004A7B85" w:rsidRPr="003E6986" w:rsidRDefault="00876E70" w:rsidP="00BA02E0">
            <w:pPr>
              <w:pStyle w:val="Tabletext"/>
              <w:tabs>
                <w:tab w:val="clear" w:pos="284"/>
                <w:tab w:val="left" w:pos="463"/>
              </w:tabs>
              <w:spacing w:line="480" w:lineRule="auto"/>
              <w:jc w:val="center"/>
              <w:rPr>
                <w:b/>
                <w:bCs/>
                <w:lang w:val="es-ES_tradnl" w:eastAsia="nl-NL"/>
              </w:rPr>
            </w:pPr>
            <w:r w:rsidRPr="003E6986">
              <w:rPr>
                <w:b/>
                <w:lang w:val="es-ES_tradnl"/>
              </w:rPr>
              <w:t xml:space="preserve">GT </w:t>
            </w:r>
            <w:r w:rsidR="00BA02E0" w:rsidRPr="003E6986">
              <w:rPr>
                <w:b/>
                <w:lang w:val="es-ES_tradnl"/>
              </w:rPr>
              <w:t>7D</w:t>
            </w:r>
          </w:p>
        </w:tc>
      </w:tr>
      <w:tr w:rsidR="004A7B85" w:rsidRPr="008653C7" w14:paraId="29E63544" w14:textId="77777777" w:rsidTr="003F05FF">
        <w:trPr>
          <w:gridAfter w:val="1"/>
          <w:wAfter w:w="27" w:type="dxa"/>
          <w:cantSplit/>
          <w:jc w:val="center"/>
        </w:trPr>
        <w:tc>
          <w:tcPr>
            <w:tcW w:w="14036" w:type="dxa"/>
            <w:gridSpan w:val="4"/>
          </w:tcPr>
          <w:p w14:paraId="102D0359" w14:textId="45730137" w:rsidR="004A7B85" w:rsidRPr="003E6986" w:rsidRDefault="007B5CBC" w:rsidP="001E2EFF">
            <w:pPr>
              <w:pStyle w:val="Tabletext"/>
              <w:keepNext/>
              <w:keepLines/>
              <w:tabs>
                <w:tab w:val="clear" w:pos="284"/>
                <w:tab w:val="left" w:pos="594"/>
              </w:tabs>
              <w:jc w:val="both"/>
              <w:rPr>
                <w:highlight w:val="yellow"/>
                <w:lang w:val="es-ES_tradnl" w:eastAsia="nl-NL"/>
              </w:rPr>
            </w:pPr>
            <w:r w:rsidRPr="003E6986">
              <w:rPr>
                <w:lang w:val="es-ES_tradnl" w:eastAsia="nl-NL"/>
              </w:rPr>
              <w:lastRenderedPageBreak/>
              <w:t>1.13</w:t>
            </w:r>
            <w:r w:rsidRPr="003E6986">
              <w:rPr>
                <w:lang w:val="es-ES_tradnl" w:eastAsia="nl-NL"/>
              </w:rPr>
              <w:tab/>
              <w:t xml:space="preserve">considerar estudios sobre posibles nuevas atribuciones al servicio móvil por satélite para la conectividad directa entre estaciones espaciales y equipos de usuario de las Telecomunicaciones Móviles Internacionales (IMT) a fin de complementar la cobertura de la red IMT terrenal, de conformidad con la Resolución </w:t>
            </w:r>
            <w:r w:rsidR="00343213" w:rsidRPr="003E6986">
              <w:rPr>
                <w:b/>
                <w:lang w:val="es-ES_tradnl" w:eastAsia="nl-NL"/>
              </w:rPr>
              <w:t>253</w:t>
            </w:r>
            <w:r w:rsidRPr="003E6986">
              <w:rPr>
                <w:b/>
                <w:lang w:val="es-ES_tradnl" w:eastAsia="nl-NL"/>
              </w:rPr>
              <w:t xml:space="preserve"> (CMR-23)</w:t>
            </w:r>
            <w:r w:rsidRPr="003E6986">
              <w:rPr>
                <w:lang w:val="es-ES_tradnl" w:eastAsia="nl-NL"/>
              </w:rPr>
              <w:t>;</w:t>
            </w:r>
          </w:p>
        </w:tc>
      </w:tr>
      <w:tr w:rsidR="004A7B85" w:rsidRPr="008653C7" w14:paraId="79F08F7D" w14:textId="77777777" w:rsidTr="003F05FF">
        <w:trPr>
          <w:gridAfter w:val="1"/>
          <w:wAfter w:w="27" w:type="dxa"/>
          <w:cantSplit/>
          <w:jc w:val="center"/>
        </w:trPr>
        <w:tc>
          <w:tcPr>
            <w:tcW w:w="3304" w:type="dxa"/>
          </w:tcPr>
          <w:p w14:paraId="2B249E23" w14:textId="33624510" w:rsidR="007B5CBC" w:rsidRPr="003E6986" w:rsidRDefault="007B5CBC" w:rsidP="002232AC">
            <w:pPr>
              <w:pStyle w:val="Tabletext"/>
              <w:tabs>
                <w:tab w:val="left" w:pos="463"/>
              </w:tabs>
              <w:jc w:val="both"/>
              <w:rPr>
                <w:lang w:val="es-ES_tradnl" w:eastAsia="nl-NL"/>
              </w:rPr>
            </w:pPr>
            <w:r w:rsidRPr="003E6986">
              <w:rPr>
                <w:lang w:val="es-ES_tradnl" w:eastAsia="nl-NL"/>
              </w:rPr>
              <w:t xml:space="preserve">Resolución </w:t>
            </w:r>
            <w:r w:rsidR="00343213" w:rsidRPr="003E6986">
              <w:rPr>
                <w:b/>
                <w:lang w:val="es-ES_tradnl" w:eastAsia="nl-NL"/>
              </w:rPr>
              <w:t>253</w:t>
            </w:r>
            <w:r w:rsidRPr="003E6986">
              <w:rPr>
                <w:b/>
                <w:lang w:val="es-ES_tradnl" w:eastAsia="nl-NL"/>
              </w:rPr>
              <w:t xml:space="preserve"> (</w:t>
            </w:r>
            <w:proofErr w:type="spellStart"/>
            <w:r w:rsidRPr="003E6986">
              <w:rPr>
                <w:b/>
                <w:lang w:val="es-ES_tradnl" w:eastAsia="nl-NL"/>
              </w:rPr>
              <w:t>CMR</w:t>
            </w:r>
            <w:proofErr w:type="spellEnd"/>
            <w:r w:rsidRPr="003E6986">
              <w:rPr>
                <w:b/>
                <w:lang w:val="es-ES_tradnl" w:eastAsia="nl-NL"/>
              </w:rPr>
              <w:t>-23)</w:t>
            </w:r>
          </w:p>
          <w:p w14:paraId="40450E8D" w14:textId="1220522D" w:rsidR="004A7B85" w:rsidRPr="003E6986" w:rsidRDefault="007B5CBC" w:rsidP="002232AC">
            <w:pPr>
              <w:pStyle w:val="Tabletext"/>
              <w:tabs>
                <w:tab w:val="left" w:pos="463"/>
              </w:tabs>
              <w:rPr>
                <w:lang w:val="es-ES_tradnl" w:eastAsia="nl-NL"/>
              </w:rPr>
            </w:pPr>
            <w:r w:rsidRPr="003E6986">
              <w:rPr>
                <w:lang w:val="es-ES_tradnl" w:eastAsia="nl-NL"/>
              </w:rPr>
              <w:t>Estudios sobre posibles nuevas atribuciones al servicio móvil por satélite para una conectividad directa entre estaciones espaciales y los equipos de usuario de las Telecomunicaciones Móviles Internacionales (IMT) a fin de complementar la cobertura de la red IMT terrestre</w:t>
            </w:r>
          </w:p>
        </w:tc>
        <w:tc>
          <w:tcPr>
            <w:tcW w:w="1517" w:type="dxa"/>
          </w:tcPr>
          <w:p w14:paraId="344C1F26" w14:textId="2D06729D" w:rsidR="004A7B85" w:rsidRPr="003E6986" w:rsidRDefault="00A92266" w:rsidP="007B5CBC">
            <w:pPr>
              <w:pStyle w:val="Tabletext"/>
              <w:tabs>
                <w:tab w:val="clear" w:pos="284"/>
                <w:tab w:val="left" w:pos="463"/>
              </w:tabs>
              <w:jc w:val="center"/>
              <w:rPr>
                <w:b/>
                <w:bCs/>
                <w:lang w:val="es-ES_tradnl" w:eastAsia="nl-NL"/>
              </w:rPr>
            </w:pPr>
            <w:r w:rsidRPr="003E6986">
              <w:rPr>
                <w:b/>
                <w:bCs/>
                <w:lang w:val="es-ES_tradnl" w:eastAsia="nl-NL"/>
              </w:rPr>
              <w:t>GT</w:t>
            </w:r>
            <w:r w:rsidR="004A7B85" w:rsidRPr="003E6986">
              <w:rPr>
                <w:b/>
                <w:bCs/>
                <w:lang w:val="es-ES_tradnl" w:eastAsia="nl-NL"/>
              </w:rPr>
              <w:t> </w:t>
            </w:r>
            <w:r w:rsidR="007B5CBC" w:rsidRPr="003E6986">
              <w:rPr>
                <w:b/>
                <w:bCs/>
                <w:lang w:val="es-ES_tradnl" w:eastAsia="nl-NL"/>
              </w:rPr>
              <w:t>4C</w:t>
            </w:r>
            <w:r w:rsidR="006229CD" w:rsidRPr="003E6986">
              <w:rPr>
                <w:rStyle w:val="FootnoteReference"/>
                <w:b/>
                <w:bCs/>
                <w:lang w:val="es-ES_tradnl"/>
              </w:rPr>
              <w:footnoteReference w:customMarkFollows="1" w:id="15"/>
              <w:sym w:font="Symbol" w:char="F02A"/>
            </w:r>
          </w:p>
        </w:tc>
        <w:tc>
          <w:tcPr>
            <w:tcW w:w="7809" w:type="dxa"/>
          </w:tcPr>
          <w:p w14:paraId="4B9B4692" w14:textId="77777777" w:rsidR="007B5CBC" w:rsidRPr="003E6986" w:rsidRDefault="007B5CBC" w:rsidP="007B5CBC">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2027</w:t>
            </w:r>
          </w:p>
          <w:p w14:paraId="1EEF1F37" w14:textId="77777777" w:rsidR="007B5CBC" w:rsidRPr="003E6986" w:rsidRDefault="007B5CBC" w:rsidP="00876E70">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a realizar estudios sobre posibles atribuciones al SMS en la gama de frecuencias entre 694/698 MHz y 2,7 GHz teniendo en cuenta las disposiciones de frecuencias de las IMT contenidas en la versión más reciente de la Recomendación UIT-R M.1036;</w:t>
            </w:r>
          </w:p>
          <w:p w14:paraId="042D66A4" w14:textId="1900EF74" w:rsidR="007B5CBC" w:rsidRPr="003E6986" w:rsidRDefault="007B5CBC" w:rsidP="00876E70">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estudios sobre las necesidades de espectro y sobre las cuestiones técnicas, operativas y reglamentarias relacionadas con la implementación del SMS para la conectividad directa con el equipo de usuario IMT a fin de complementar la cobertura de la red IMT terrestre,</w:t>
            </w:r>
          </w:p>
          <w:p w14:paraId="5CC765D6" w14:textId="77777777" w:rsidR="007B5CBC" w:rsidRPr="003E6986" w:rsidRDefault="007B5CBC" w:rsidP="007B5CBC">
            <w:pPr>
              <w:pStyle w:val="Tabletext"/>
              <w:tabs>
                <w:tab w:val="clear" w:pos="284"/>
                <w:tab w:val="left" w:pos="463"/>
              </w:tabs>
              <w:ind w:left="454"/>
              <w:jc w:val="both"/>
              <w:rPr>
                <w:rFonts w:eastAsia="???"/>
                <w:i/>
                <w:iCs/>
                <w:lang w:val="es-ES_tradnl" w:eastAsia="nl-NL"/>
              </w:rPr>
            </w:pPr>
            <w:proofErr w:type="gramStart"/>
            <w:r w:rsidRPr="003E6986">
              <w:rPr>
                <w:rFonts w:eastAsia="???"/>
                <w:i/>
                <w:iCs/>
                <w:lang w:val="es-ES_tradnl" w:eastAsia="nl-NL"/>
              </w:rPr>
              <w:t>resuelve</w:t>
            </w:r>
            <w:proofErr w:type="gramEnd"/>
            <w:r w:rsidRPr="003E6986">
              <w:rPr>
                <w:rFonts w:eastAsia="???"/>
                <w:i/>
                <w:iCs/>
                <w:lang w:val="es-ES_tradnl" w:eastAsia="nl-NL"/>
              </w:rPr>
              <w:t xml:space="preserve"> además</w:t>
            </w:r>
          </w:p>
          <w:p w14:paraId="689AAEC9" w14:textId="77777777" w:rsidR="007B5CBC" w:rsidRPr="003E6986" w:rsidRDefault="007B5CBC" w:rsidP="00876E70">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efectuar estudios de compartición y compatibilidad con los servicios existentes, incluso en las bandas de frecuencias adyacentes, garantizando la protección de los servicios existentes de conformidad con el Reglamento de Radiocomunicaciones;</w:t>
            </w:r>
          </w:p>
          <w:p w14:paraId="1AE041D8" w14:textId="77777777" w:rsidR="004A7B85" w:rsidRPr="003E6986" w:rsidRDefault="007B5CBC" w:rsidP="007B5CBC">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estudiar posibles medidas técnicas y operativas para garantizar que las estaciones del SMS no causan interferencia perjudicial a las estaciones que funcionan en el servicio móvil, ni reclamarán protección contra las mismas,</w:t>
            </w:r>
          </w:p>
          <w:p w14:paraId="09DB29E4" w14:textId="77777777" w:rsidR="007B5CBC" w:rsidRPr="003E6986" w:rsidRDefault="007B5CBC" w:rsidP="007B5CBC">
            <w:pPr>
              <w:pStyle w:val="Tabletext"/>
              <w:tabs>
                <w:tab w:val="clear" w:pos="284"/>
                <w:tab w:val="left" w:pos="463"/>
              </w:tabs>
              <w:jc w:val="both"/>
              <w:rPr>
                <w:lang w:val="es-ES_tradnl" w:eastAsia="nl-NL"/>
              </w:rPr>
            </w:pPr>
            <w:r w:rsidRPr="003E6986">
              <w:rPr>
                <w:lang w:val="es-ES_tradnl" w:eastAsia="nl-NL"/>
              </w:rPr>
              <w:t>…</w:t>
            </w:r>
          </w:p>
          <w:p w14:paraId="73983EE2" w14:textId="77777777" w:rsidR="006229CD" w:rsidRPr="003E6986" w:rsidRDefault="006229CD" w:rsidP="006229CD">
            <w:pPr>
              <w:pStyle w:val="Tabletext"/>
              <w:tabs>
                <w:tab w:val="clear" w:pos="284"/>
                <w:tab w:val="left" w:pos="463"/>
              </w:tabs>
              <w:ind w:left="454"/>
              <w:jc w:val="both"/>
              <w:rPr>
                <w:lang w:val="es-ES_tradnl" w:eastAsia="nl-NL"/>
              </w:rPr>
            </w:pPr>
            <w:r w:rsidRPr="003E6986">
              <w:rPr>
                <w:rFonts w:eastAsia="???"/>
                <w:i/>
                <w:iCs/>
                <w:lang w:val="es-ES_tradnl" w:eastAsia="nl-NL"/>
              </w:rPr>
              <w:t>invita a la Conferencia Mundial de Radiocomunicaciones de 2027</w:t>
            </w:r>
          </w:p>
          <w:p w14:paraId="435D5D29" w14:textId="32B152EC" w:rsidR="007B5CBC" w:rsidRPr="003E6986" w:rsidRDefault="006229CD" w:rsidP="006229CD">
            <w:pPr>
              <w:pStyle w:val="Tabletext"/>
              <w:tabs>
                <w:tab w:val="clear" w:pos="284"/>
                <w:tab w:val="left" w:pos="463"/>
              </w:tabs>
              <w:jc w:val="both"/>
              <w:rPr>
                <w:lang w:val="es-ES_tradnl" w:eastAsia="nl-NL"/>
              </w:rPr>
            </w:pPr>
            <w:r w:rsidRPr="003E6986">
              <w:rPr>
                <w:lang w:val="es-ES_tradnl" w:eastAsia="nl-NL"/>
              </w:rPr>
              <w:t>a considerar, basándose en los resultados de los estudios, las medidas reglamentarias adecuadas, incluidas posibles nuevas atribuciones al SMS para una conectividad directa entre estaciones espaciales y los equipos de usuario de las IMT a fin de complementar la cobertura de la red IMT terrestre.</w:t>
            </w:r>
          </w:p>
        </w:tc>
        <w:tc>
          <w:tcPr>
            <w:tcW w:w="1406" w:type="dxa"/>
          </w:tcPr>
          <w:p w14:paraId="21C74E41" w14:textId="2188B5A0" w:rsidR="00206CD7" w:rsidRPr="008653C7" w:rsidRDefault="00876E70" w:rsidP="00206CD7">
            <w:pPr>
              <w:pStyle w:val="Tabletext"/>
              <w:jc w:val="center"/>
              <w:rPr>
                <w:b/>
                <w:bCs/>
                <w:lang w:val="fr-FR"/>
              </w:rPr>
            </w:pPr>
            <w:r w:rsidRPr="008653C7">
              <w:rPr>
                <w:b/>
                <w:bCs/>
                <w:lang w:val="fr-FR"/>
              </w:rPr>
              <w:t xml:space="preserve">GT </w:t>
            </w:r>
            <w:proofErr w:type="spellStart"/>
            <w:r w:rsidR="00206CD7" w:rsidRPr="008653C7">
              <w:rPr>
                <w:b/>
                <w:bCs/>
                <w:lang w:val="fr-FR"/>
              </w:rPr>
              <w:t>3L</w:t>
            </w:r>
            <w:proofErr w:type="spellEnd"/>
          </w:p>
          <w:p w14:paraId="7611D6D2" w14:textId="1C987F5E" w:rsidR="00206CD7" w:rsidRPr="008653C7" w:rsidRDefault="00876E70" w:rsidP="00206CD7">
            <w:pPr>
              <w:pStyle w:val="Tabletext"/>
              <w:jc w:val="center"/>
              <w:rPr>
                <w:b/>
                <w:bCs/>
                <w:lang w:val="fr-FR"/>
              </w:rPr>
            </w:pPr>
            <w:r w:rsidRPr="008653C7">
              <w:rPr>
                <w:b/>
                <w:bCs/>
                <w:lang w:val="fr-FR"/>
              </w:rPr>
              <w:t xml:space="preserve">GT </w:t>
            </w:r>
            <w:r w:rsidR="00206CD7" w:rsidRPr="008653C7">
              <w:rPr>
                <w:b/>
                <w:bCs/>
                <w:lang w:val="fr-FR"/>
              </w:rPr>
              <w:t>3M</w:t>
            </w:r>
          </w:p>
          <w:p w14:paraId="256B33DF" w14:textId="3F194B4B" w:rsidR="00206CD7" w:rsidRPr="008653C7" w:rsidRDefault="00876E70" w:rsidP="00206CD7">
            <w:pPr>
              <w:pStyle w:val="Tabletext"/>
              <w:jc w:val="center"/>
              <w:rPr>
                <w:b/>
                <w:bCs/>
                <w:lang w:val="fr-FR"/>
              </w:rPr>
            </w:pPr>
            <w:r w:rsidRPr="008653C7">
              <w:rPr>
                <w:b/>
                <w:bCs/>
                <w:lang w:val="fr-FR"/>
              </w:rPr>
              <w:t xml:space="preserve">GT </w:t>
            </w:r>
            <w:proofErr w:type="spellStart"/>
            <w:r w:rsidR="00206CD7" w:rsidRPr="008653C7">
              <w:rPr>
                <w:b/>
                <w:bCs/>
                <w:lang w:val="fr-FR"/>
              </w:rPr>
              <w:t>4A</w:t>
            </w:r>
            <w:proofErr w:type="spellEnd"/>
          </w:p>
          <w:p w14:paraId="1CB1B5F9" w14:textId="7E9AC2A1" w:rsidR="00206CD7" w:rsidRPr="008653C7" w:rsidRDefault="00876E70" w:rsidP="00206CD7">
            <w:pPr>
              <w:pStyle w:val="Tabletext"/>
              <w:jc w:val="center"/>
              <w:rPr>
                <w:b/>
                <w:bCs/>
                <w:lang w:val="fr-FR"/>
              </w:rPr>
            </w:pPr>
            <w:r w:rsidRPr="008653C7">
              <w:rPr>
                <w:b/>
                <w:bCs/>
                <w:lang w:val="fr-FR"/>
              </w:rPr>
              <w:t xml:space="preserve">GT </w:t>
            </w:r>
            <w:proofErr w:type="spellStart"/>
            <w:r w:rsidR="00206CD7" w:rsidRPr="008653C7">
              <w:rPr>
                <w:b/>
                <w:bCs/>
                <w:lang w:val="fr-FR"/>
              </w:rPr>
              <w:t>4B</w:t>
            </w:r>
            <w:proofErr w:type="spellEnd"/>
          </w:p>
          <w:p w14:paraId="689EE1A1" w14:textId="2DF4B9F8" w:rsidR="00206CD7" w:rsidRPr="008653C7" w:rsidRDefault="00876E70" w:rsidP="00206CD7">
            <w:pPr>
              <w:pStyle w:val="Tabletext"/>
              <w:jc w:val="center"/>
              <w:rPr>
                <w:b/>
                <w:bCs/>
                <w:lang w:val="fr-FR"/>
              </w:rPr>
            </w:pPr>
            <w:r w:rsidRPr="008653C7">
              <w:rPr>
                <w:b/>
                <w:bCs/>
                <w:lang w:val="fr-FR"/>
              </w:rPr>
              <w:t>GT</w:t>
            </w:r>
            <w:r w:rsidR="00206CD7" w:rsidRPr="008653C7">
              <w:rPr>
                <w:b/>
                <w:bCs/>
                <w:lang w:val="fr-FR"/>
              </w:rPr>
              <w:t xml:space="preserve"> </w:t>
            </w:r>
            <w:proofErr w:type="spellStart"/>
            <w:r w:rsidR="00206CD7" w:rsidRPr="008653C7">
              <w:rPr>
                <w:b/>
                <w:bCs/>
                <w:lang w:val="fr-FR"/>
              </w:rPr>
              <w:t>5A</w:t>
            </w:r>
            <w:proofErr w:type="spellEnd"/>
          </w:p>
          <w:p w14:paraId="3242C4F7" w14:textId="1288527C" w:rsidR="00206CD7" w:rsidRPr="008653C7" w:rsidRDefault="00876E70" w:rsidP="00206CD7">
            <w:pPr>
              <w:pStyle w:val="Tabletext"/>
              <w:jc w:val="center"/>
              <w:rPr>
                <w:b/>
                <w:bCs/>
                <w:lang w:val="fr-FR"/>
              </w:rPr>
            </w:pPr>
            <w:r w:rsidRPr="008653C7">
              <w:rPr>
                <w:b/>
                <w:bCs/>
                <w:lang w:val="fr-FR"/>
              </w:rPr>
              <w:t>GT</w:t>
            </w:r>
            <w:r w:rsidR="00206CD7" w:rsidRPr="008653C7">
              <w:rPr>
                <w:b/>
                <w:bCs/>
                <w:lang w:val="fr-FR"/>
              </w:rPr>
              <w:t xml:space="preserve"> </w:t>
            </w:r>
            <w:proofErr w:type="spellStart"/>
            <w:r w:rsidR="00206CD7" w:rsidRPr="008653C7">
              <w:rPr>
                <w:b/>
                <w:bCs/>
                <w:lang w:val="fr-FR"/>
              </w:rPr>
              <w:t>5B</w:t>
            </w:r>
            <w:proofErr w:type="spellEnd"/>
          </w:p>
          <w:p w14:paraId="468B0BA6" w14:textId="4573A1F8" w:rsidR="00206CD7" w:rsidRPr="008653C7" w:rsidRDefault="00876E70" w:rsidP="00206CD7">
            <w:pPr>
              <w:pStyle w:val="Tabletext"/>
              <w:jc w:val="center"/>
              <w:rPr>
                <w:b/>
                <w:bCs/>
                <w:lang w:val="fr-FR"/>
              </w:rPr>
            </w:pPr>
            <w:r w:rsidRPr="008653C7">
              <w:rPr>
                <w:b/>
                <w:bCs/>
                <w:lang w:val="fr-FR"/>
              </w:rPr>
              <w:t xml:space="preserve">GT </w:t>
            </w:r>
            <w:proofErr w:type="spellStart"/>
            <w:r w:rsidR="00206CD7" w:rsidRPr="008653C7">
              <w:rPr>
                <w:b/>
                <w:bCs/>
                <w:lang w:val="fr-FR"/>
              </w:rPr>
              <w:t>5C</w:t>
            </w:r>
            <w:proofErr w:type="spellEnd"/>
          </w:p>
          <w:p w14:paraId="5F4AC9ED" w14:textId="1457E4D7" w:rsidR="00206CD7" w:rsidRPr="008653C7" w:rsidRDefault="00876E70" w:rsidP="00206CD7">
            <w:pPr>
              <w:pStyle w:val="Tabletext"/>
              <w:jc w:val="center"/>
              <w:rPr>
                <w:lang w:val="fr-FR"/>
              </w:rPr>
            </w:pPr>
            <w:r w:rsidRPr="008653C7">
              <w:rPr>
                <w:b/>
                <w:bCs/>
                <w:lang w:val="fr-FR"/>
              </w:rPr>
              <w:t xml:space="preserve">GT </w:t>
            </w:r>
            <w:proofErr w:type="spellStart"/>
            <w:r w:rsidR="00206CD7" w:rsidRPr="008653C7">
              <w:rPr>
                <w:b/>
                <w:bCs/>
                <w:lang w:val="fr-FR"/>
              </w:rPr>
              <w:t>5D</w:t>
            </w:r>
            <w:proofErr w:type="spellEnd"/>
            <w:r w:rsidR="00206CD7" w:rsidRPr="008653C7">
              <w:rPr>
                <w:b/>
                <w:bCs/>
                <w:lang w:val="fr-FR"/>
              </w:rPr>
              <w:t>*</w:t>
            </w:r>
          </w:p>
          <w:p w14:paraId="53317525" w14:textId="14CAE9F4" w:rsidR="00206CD7" w:rsidRPr="008653C7" w:rsidRDefault="00876E70" w:rsidP="00206CD7">
            <w:pPr>
              <w:pStyle w:val="Tabletext"/>
              <w:jc w:val="center"/>
              <w:rPr>
                <w:b/>
                <w:bCs/>
                <w:lang w:val="fr-FR"/>
              </w:rPr>
            </w:pPr>
            <w:r w:rsidRPr="008653C7">
              <w:rPr>
                <w:b/>
                <w:bCs/>
                <w:lang w:val="fr-FR"/>
              </w:rPr>
              <w:t xml:space="preserve">GT </w:t>
            </w:r>
            <w:proofErr w:type="spellStart"/>
            <w:r w:rsidR="00206CD7" w:rsidRPr="008653C7">
              <w:rPr>
                <w:b/>
                <w:bCs/>
                <w:lang w:val="fr-FR"/>
              </w:rPr>
              <w:t>6A</w:t>
            </w:r>
            <w:proofErr w:type="spellEnd"/>
          </w:p>
          <w:p w14:paraId="2B67E36F" w14:textId="122825F4" w:rsidR="00206CD7" w:rsidRPr="008653C7" w:rsidRDefault="00876E70" w:rsidP="00206CD7">
            <w:pPr>
              <w:pStyle w:val="Tabletext"/>
              <w:jc w:val="center"/>
              <w:rPr>
                <w:b/>
                <w:bCs/>
                <w:lang w:val="fr-FR"/>
              </w:rPr>
            </w:pPr>
            <w:r w:rsidRPr="008653C7">
              <w:rPr>
                <w:b/>
                <w:bCs/>
                <w:lang w:val="fr-FR"/>
              </w:rPr>
              <w:t xml:space="preserve">GT </w:t>
            </w:r>
            <w:proofErr w:type="spellStart"/>
            <w:r w:rsidR="00206CD7" w:rsidRPr="008653C7">
              <w:rPr>
                <w:b/>
                <w:bCs/>
                <w:lang w:val="fr-FR"/>
              </w:rPr>
              <w:t>7B</w:t>
            </w:r>
            <w:proofErr w:type="spellEnd"/>
          </w:p>
          <w:p w14:paraId="4B8CEEBE" w14:textId="4D7A8679" w:rsidR="00206CD7" w:rsidRPr="008653C7" w:rsidRDefault="00876E70" w:rsidP="00206CD7">
            <w:pPr>
              <w:pStyle w:val="Tabletext"/>
              <w:jc w:val="center"/>
              <w:rPr>
                <w:b/>
                <w:bCs/>
                <w:lang w:val="fr-FR"/>
              </w:rPr>
            </w:pPr>
            <w:r w:rsidRPr="008653C7">
              <w:rPr>
                <w:b/>
                <w:bCs/>
                <w:lang w:val="fr-FR"/>
              </w:rPr>
              <w:t xml:space="preserve">GT </w:t>
            </w:r>
            <w:proofErr w:type="spellStart"/>
            <w:r w:rsidR="00206CD7" w:rsidRPr="008653C7">
              <w:rPr>
                <w:b/>
                <w:bCs/>
                <w:lang w:val="fr-FR"/>
              </w:rPr>
              <w:t>7C</w:t>
            </w:r>
            <w:proofErr w:type="spellEnd"/>
          </w:p>
          <w:p w14:paraId="6FCBD67E" w14:textId="03BDE232" w:rsidR="004A7B85" w:rsidRPr="008653C7" w:rsidRDefault="00876E70" w:rsidP="00206CD7">
            <w:pPr>
              <w:pStyle w:val="Tabletext"/>
              <w:tabs>
                <w:tab w:val="clear" w:pos="284"/>
                <w:tab w:val="left" w:pos="463"/>
              </w:tabs>
              <w:spacing w:line="480" w:lineRule="auto"/>
              <w:jc w:val="center"/>
              <w:rPr>
                <w:b/>
                <w:bCs/>
                <w:lang w:val="fr-FR" w:eastAsia="nl-NL"/>
              </w:rPr>
            </w:pPr>
            <w:r w:rsidRPr="008653C7">
              <w:rPr>
                <w:b/>
                <w:bCs/>
                <w:lang w:val="fr-FR"/>
              </w:rPr>
              <w:t xml:space="preserve">GT </w:t>
            </w:r>
            <w:proofErr w:type="spellStart"/>
            <w:r w:rsidR="00206CD7" w:rsidRPr="008653C7">
              <w:rPr>
                <w:b/>
                <w:bCs/>
                <w:lang w:val="fr-FR"/>
              </w:rPr>
              <w:t>7D</w:t>
            </w:r>
            <w:proofErr w:type="spellEnd"/>
          </w:p>
        </w:tc>
      </w:tr>
      <w:tr w:rsidR="004A7B85" w:rsidRPr="008653C7" w14:paraId="32E39A2A" w14:textId="77777777" w:rsidTr="003F05FF">
        <w:trPr>
          <w:gridAfter w:val="1"/>
          <w:wAfter w:w="27" w:type="dxa"/>
          <w:jc w:val="center"/>
        </w:trPr>
        <w:tc>
          <w:tcPr>
            <w:tcW w:w="14036" w:type="dxa"/>
            <w:gridSpan w:val="4"/>
          </w:tcPr>
          <w:p w14:paraId="1CBDA805" w14:textId="5B34240A" w:rsidR="004A7B85" w:rsidRPr="003E6986" w:rsidRDefault="006229CD" w:rsidP="001E2EFF">
            <w:pPr>
              <w:pStyle w:val="Tabletext"/>
              <w:keepNext/>
              <w:tabs>
                <w:tab w:val="clear" w:pos="284"/>
                <w:tab w:val="left" w:pos="594"/>
              </w:tabs>
              <w:jc w:val="both"/>
              <w:rPr>
                <w:lang w:val="es-ES_tradnl" w:eastAsia="nl-NL"/>
              </w:rPr>
            </w:pPr>
            <w:r w:rsidRPr="003E6986">
              <w:rPr>
                <w:lang w:val="es-ES_tradnl" w:eastAsia="nl-NL"/>
              </w:rPr>
              <w:lastRenderedPageBreak/>
              <w:t>1.14</w:t>
            </w:r>
            <w:r w:rsidRPr="003E6986">
              <w:rPr>
                <w:lang w:val="es-ES_tradnl" w:eastAsia="nl-NL"/>
              </w:rPr>
              <w:tab/>
              <w:t xml:space="preserve">considerar la posibilidad de otorgar atribuciones adicionales al servicio móvil por satélite, de conformidad con la Resolución </w:t>
            </w:r>
            <w:r w:rsidR="00343213" w:rsidRPr="003E6986">
              <w:rPr>
                <w:b/>
                <w:lang w:val="es-ES_tradnl" w:eastAsia="nl-NL"/>
              </w:rPr>
              <w:t>254</w:t>
            </w:r>
            <w:r w:rsidRPr="003E6986">
              <w:rPr>
                <w:b/>
                <w:lang w:val="es-ES_tradnl" w:eastAsia="nl-NL"/>
              </w:rPr>
              <w:t xml:space="preserve"> (CMR-23)</w:t>
            </w:r>
            <w:r w:rsidRPr="003E6986">
              <w:rPr>
                <w:lang w:val="es-ES_tradnl" w:eastAsia="nl-NL"/>
              </w:rPr>
              <w:t>;</w:t>
            </w:r>
          </w:p>
        </w:tc>
      </w:tr>
      <w:tr w:rsidR="004A7B85" w:rsidRPr="003E6986" w14:paraId="18657D3F" w14:textId="77777777" w:rsidTr="003F05FF">
        <w:trPr>
          <w:gridAfter w:val="1"/>
          <w:wAfter w:w="27" w:type="dxa"/>
          <w:jc w:val="center"/>
        </w:trPr>
        <w:tc>
          <w:tcPr>
            <w:tcW w:w="3304" w:type="dxa"/>
          </w:tcPr>
          <w:p w14:paraId="740D51AB" w14:textId="3C5275EA" w:rsidR="00CC4A65" w:rsidRPr="003E6986" w:rsidRDefault="00CC4A65" w:rsidP="00CC4A65">
            <w:pPr>
              <w:pStyle w:val="Tabletext"/>
              <w:tabs>
                <w:tab w:val="left" w:pos="463"/>
              </w:tabs>
              <w:rPr>
                <w:lang w:val="es-ES_tradnl" w:eastAsia="nl-NL"/>
              </w:rPr>
            </w:pPr>
            <w:r w:rsidRPr="003E6986">
              <w:rPr>
                <w:lang w:val="es-ES_tradnl" w:eastAsia="nl-NL"/>
              </w:rPr>
              <w:t xml:space="preserve">Resolución </w:t>
            </w:r>
            <w:r w:rsidR="00343213" w:rsidRPr="003E6986">
              <w:rPr>
                <w:b/>
                <w:lang w:val="es-ES_tradnl" w:eastAsia="nl-NL"/>
              </w:rPr>
              <w:t>254</w:t>
            </w:r>
            <w:r w:rsidRPr="003E6986">
              <w:rPr>
                <w:b/>
                <w:lang w:val="es-ES_tradnl" w:eastAsia="nl-NL"/>
              </w:rPr>
              <w:t xml:space="preserve"> (</w:t>
            </w:r>
            <w:proofErr w:type="spellStart"/>
            <w:r w:rsidRPr="003E6986">
              <w:rPr>
                <w:b/>
                <w:lang w:val="es-ES_tradnl" w:eastAsia="nl-NL"/>
              </w:rPr>
              <w:t>CMR</w:t>
            </w:r>
            <w:proofErr w:type="spellEnd"/>
            <w:r w:rsidRPr="003E6986">
              <w:rPr>
                <w:b/>
                <w:lang w:val="es-ES_tradnl" w:eastAsia="nl-NL"/>
              </w:rPr>
              <w:t>-23)</w:t>
            </w:r>
          </w:p>
          <w:p w14:paraId="29BE24B7" w14:textId="0929CC91" w:rsidR="004A7B85" w:rsidRPr="003E6986" w:rsidRDefault="00CC4A65" w:rsidP="002232AC">
            <w:pPr>
              <w:pStyle w:val="Tabletext"/>
              <w:tabs>
                <w:tab w:val="clear" w:pos="284"/>
                <w:tab w:val="left" w:pos="463"/>
              </w:tabs>
              <w:rPr>
                <w:lang w:val="es-ES_tradnl" w:eastAsia="nl-NL"/>
              </w:rPr>
            </w:pPr>
            <w:r w:rsidRPr="003E6986">
              <w:rPr>
                <w:lang w:val="es-ES_tradnl" w:eastAsia="nl-NL"/>
              </w:rPr>
              <w:t>Estudios sobre posibles nuevas atribuciones de frecuencias al servicio móvil por satélite en las bandas de frecuencias 2 010-2 025 MHz (Tierra-espacio) y 2 160 2 170 MHz (espacio-Tierra) en las Regiones 1 y 3, 2</w:t>
            </w:r>
            <w:r w:rsidR="00A923A9">
              <w:rPr>
                <w:lang w:val="es-ES_tradnl" w:eastAsia="nl-NL"/>
              </w:rPr>
              <w:t> </w:t>
            </w:r>
            <w:r w:rsidRPr="003E6986">
              <w:rPr>
                <w:lang w:val="es-ES_tradnl" w:eastAsia="nl-NL"/>
              </w:rPr>
              <w:t>120</w:t>
            </w:r>
            <w:r w:rsidR="00A923A9">
              <w:rPr>
                <w:lang w:val="es-ES_tradnl" w:eastAsia="nl-NL"/>
              </w:rPr>
              <w:t>-</w:t>
            </w:r>
            <w:r w:rsidRPr="003E6986">
              <w:rPr>
                <w:lang w:val="es-ES_tradnl" w:eastAsia="nl-NL"/>
              </w:rPr>
              <w:t>2</w:t>
            </w:r>
            <w:r w:rsidR="00A923A9">
              <w:rPr>
                <w:lang w:val="es-ES_tradnl" w:eastAsia="nl-NL"/>
              </w:rPr>
              <w:t> </w:t>
            </w:r>
            <w:r w:rsidRPr="003E6986">
              <w:rPr>
                <w:lang w:val="es-ES_tradnl" w:eastAsia="nl-NL"/>
              </w:rPr>
              <w:t>160 MHz (espacio-Tierra) en todas las Regiones</w:t>
            </w:r>
          </w:p>
        </w:tc>
        <w:tc>
          <w:tcPr>
            <w:tcW w:w="1517" w:type="dxa"/>
          </w:tcPr>
          <w:p w14:paraId="7E934F9A" w14:textId="10C1260F" w:rsidR="004A7B85" w:rsidRPr="003E6986" w:rsidRDefault="00A92266" w:rsidP="005F0DA1">
            <w:pPr>
              <w:pStyle w:val="Tabletext"/>
              <w:tabs>
                <w:tab w:val="clear" w:pos="284"/>
                <w:tab w:val="left" w:pos="463"/>
              </w:tabs>
              <w:jc w:val="center"/>
              <w:rPr>
                <w:b/>
                <w:bCs/>
                <w:lang w:val="es-ES_tradnl" w:eastAsia="nl-NL"/>
              </w:rPr>
            </w:pPr>
            <w:r w:rsidRPr="003E6986">
              <w:rPr>
                <w:b/>
                <w:bCs/>
                <w:lang w:val="es-ES_tradnl" w:eastAsia="nl-NL"/>
              </w:rPr>
              <w:t>GT</w:t>
            </w:r>
            <w:r w:rsidR="00CC4A65" w:rsidRPr="003E6986">
              <w:rPr>
                <w:b/>
                <w:bCs/>
                <w:lang w:val="es-ES_tradnl" w:eastAsia="nl-NL"/>
              </w:rPr>
              <w:t> 4</w:t>
            </w:r>
            <w:r w:rsidR="004A7B85" w:rsidRPr="003E6986">
              <w:rPr>
                <w:b/>
                <w:bCs/>
                <w:lang w:val="es-ES_tradnl" w:eastAsia="nl-NL"/>
              </w:rPr>
              <w:t>C</w:t>
            </w:r>
          </w:p>
        </w:tc>
        <w:tc>
          <w:tcPr>
            <w:tcW w:w="7809" w:type="dxa"/>
          </w:tcPr>
          <w:p w14:paraId="3079220D" w14:textId="77777777" w:rsidR="00CC4A65" w:rsidRPr="003E6986" w:rsidRDefault="00CC4A65" w:rsidP="00CC4A65">
            <w:pPr>
              <w:pStyle w:val="Tabletext"/>
              <w:tabs>
                <w:tab w:val="clear" w:pos="284"/>
                <w:tab w:val="left" w:pos="463"/>
              </w:tabs>
              <w:ind w:left="454"/>
              <w:jc w:val="both"/>
              <w:rPr>
                <w:i/>
                <w:lang w:val="es-ES_tradnl" w:eastAsia="nl-NL"/>
              </w:rPr>
            </w:pPr>
            <w:r w:rsidRPr="003E6986">
              <w:rPr>
                <w:rFonts w:eastAsia="???"/>
                <w:i/>
                <w:iCs/>
                <w:lang w:val="es-ES_tradnl" w:eastAsia="nl-NL"/>
              </w:rPr>
              <w:t>resuelve</w:t>
            </w:r>
            <w:r w:rsidRPr="003E6986">
              <w:rPr>
                <w:i/>
                <w:lang w:val="es-ES_tradnl" w:eastAsia="nl-NL"/>
              </w:rPr>
              <w:t xml:space="preserve"> invitar al Sector Radiocomunicaciones de la UIT a finalizar a tiempo para la Conferencia Mundial de Radiocomunicaciones de 2027</w:t>
            </w:r>
          </w:p>
          <w:p w14:paraId="321C24FD" w14:textId="1B1D919E"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estudios apropiados sobre los requisitos pertinentes en materia de espectro y cuestiones técnicas, operativas y reglamentarias para el SMS, en relación con posibles nuevas atribuciones al SMS en las bandas de frecuencias 2 010-2 025 MHz (Tierra-espacio) y 2 160-2</w:t>
            </w:r>
            <w:r w:rsidR="00A923A9">
              <w:rPr>
                <w:lang w:val="es-ES_tradnl" w:eastAsia="nl-NL"/>
              </w:rPr>
              <w:t> </w:t>
            </w:r>
            <w:r w:rsidRPr="003E6986">
              <w:rPr>
                <w:lang w:val="es-ES_tradnl" w:eastAsia="nl-NL"/>
              </w:rPr>
              <w:t>170 MHz (espacio-Tierra) en las Regiones 1 y 3, y 2 120 2 160 MHz (espacio-Tierra) en todas las Regiones;</w:t>
            </w:r>
          </w:p>
          <w:p w14:paraId="7CC3D6B2" w14:textId="77777777"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estudios de coexistencia y compatibilidad apropiados de las posibles nuevas atribuciones al SMS con miras a garantizar la protección de los servicios existentes atribuidos a título primario en las bandas objeto de estudio y también, en bandas de frecuencias adyacentes, sin imponerles restricciones adicionales ni afectar negativamente a esos servicios;</w:t>
            </w:r>
          </w:p>
          <w:p w14:paraId="46753C21" w14:textId="77777777" w:rsidR="004A7B85" w:rsidRPr="003E6986" w:rsidRDefault="00CC4A65" w:rsidP="00CC4A65">
            <w:pPr>
              <w:pStyle w:val="Tabletext"/>
              <w:tabs>
                <w:tab w:val="clear" w:pos="284"/>
                <w:tab w:val="left" w:pos="463"/>
              </w:tabs>
              <w:jc w:val="both"/>
              <w:rPr>
                <w:lang w:val="es-ES_tradnl" w:eastAsia="nl-NL"/>
              </w:rPr>
            </w:pPr>
            <w:r w:rsidRPr="003E6986">
              <w:rPr>
                <w:lang w:val="es-ES_tradnl" w:eastAsia="nl-NL"/>
              </w:rPr>
              <w:t>3</w:t>
            </w:r>
            <w:r w:rsidRPr="003E6986">
              <w:rPr>
                <w:lang w:val="es-ES_tradnl" w:eastAsia="nl-NL"/>
              </w:rPr>
              <w:tab/>
              <w:t>estudios sobre las posibles medidas técnicas, operativas y reglamentarias para garantizar la protección de los servicios existentes, incluida su protección contra interferencias perjudiciales, y su funcionamiento ininterrumpido y desarrollo futuro sin imponer limitaciones reglamentarias o técnicas adicionales a dichos servicios, al considerar posibles atribuciones adicionales al SMS,</w:t>
            </w:r>
          </w:p>
          <w:p w14:paraId="289AC913" w14:textId="77777777"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t>…</w:t>
            </w:r>
          </w:p>
          <w:p w14:paraId="67F07ED4" w14:textId="77777777" w:rsidR="00CC4A65" w:rsidRPr="003E6986" w:rsidRDefault="00CC4A65" w:rsidP="00CC4A65">
            <w:pPr>
              <w:pStyle w:val="Tabletext"/>
              <w:tabs>
                <w:tab w:val="clear" w:pos="284"/>
                <w:tab w:val="left" w:pos="463"/>
              </w:tabs>
              <w:ind w:left="454"/>
              <w:jc w:val="both"/>
              <w:rPr>
                <w:i/>
                <w:lang w:val="es-ES_tradnl" w:eastAsia="nl-NL"/>
              </w:rPr>
            </w:pPr>
            <w:r w:rsidRPr="003E6986">
              <w:rPr>
                <w:rFonts w:eastAsia="???"/>
                <w:i/>
                <w:iCs/>
                <w:lang w:val="es-ES_tradnl" w:eastAsia="nl-NL"/>
              </w:rPr>
              <w:t>invita</w:t>
            </w:r>
            <w:r w:rsidRPr="003E6986">
              <w:rPr>
                <w:i/>
                <w:lang w:val="es-ES_tradnl" w:eastAsia="nl-NL"/>
              </w:rPr>
              <w:t xml:space="preserve"> a la Conferencia Mundial de Radiocomunicaciones de 2027</w:t>
            </w:r>
          </w:p>
          <w:p w14:paraId="5A4E5D1B" w14:textId="103E7E55"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t xml:space="preserve">a considerar, basándose en los resultados de los estudios efectuados en el marco del </w:t>
            </w:r>
            <w:r w:rsidRPr="002232AC">
              <w:rPr>
                <w:i/>
                <w:iCs/>
                <w:lang w:val="es-ES_tradnl" w:eastAsia="nl-NL"/>
              </w:rPr>
              <w:t>resuelve invitar al Sector de Radiocomunicaciones de la UIT a finalizar a tiempo para la Conferencia Mundial de Radiocomunicaciones de 2027</w:t>
            </w:r>
            <w:r w:rsidRPr="003E6986">
              <w:rPr>
                <w:lang w:val="es-ES_tradnl" w:eastAsia="nl-NL"/>
              </w:rPr>
              <w:t xml:space="preserve"> mencionada anteriormente, posibles nuevas atribuciones al SMS y las condiciones reglamentarias correspondientes, garantizando al mismo tiempo la protección de los servicios primarios existentes.</w:t>
            </w:r>
          </w:p>
        </w:tc>
        <w:tc>
          <w:tcPr>
            <w:tcW w:w="1406" w:type="dxa"/>
          </w:tcPr>
          <w:p w14:paraId="2CE5F7AA" w14:textId="002B1112" w:rsidR="00476609" w:rsidRPr="008653C7" w:rsidRDefault="00876E70" w:rsidP="00476609">
            <w:pPr>
              <w:spacing w:before="40" w:after="40"/>
              <w:jc w:val="center"/>
              <w:rPr>
                <w:rFonts w:eastAsia="Calibri"/>
                <w:b/>
                <w:sz w:val="20"/>
                <w:lang w:val="fr-FR"/>
              </w:rPr>
            </w:pPr>
            <w:r w:rsidRPr="008653C7">
              <w:rPr>
                <w:rFonts w:eastAsia="Calibri"/>
                <w:b/>
                <w:sz w:val="20"/>
                <w:lang w:val="fr-FR"/>
              </w:rPr>
              <w:t xml:space="preserve">GT </w:t>
            </w:r>
            <w:proofErr w:type="spellStart"/>
            <w:r w:rsidR="00476609" w:rsidRPr="008653C7">
              <w:rPr>
                <w:rFonts w:eastAsia="Calibri"/>
                <w:b/>
                <w:sz w:val="20"/>
                <w:lang w:val="fr-FR"/>
              </w:rPr>
              <w:t>3L</w:t>
            </w:r>
            <w:proofErr w:type="spellEnd"/>
          </w:p>
          <w:p w14:paraId="0D5AF2BB" w14:textId="46C0DD43" w:rsidR="00476609" w:rsidRPr="008653C7" w:rsidRDefault="00876E70" w:rsidP="00476609">
            <w:pPr>
              <w:spacing w:before="40" w:after="40"/>
              <w:jc w:val="center"/>
              <w:rPr>
                <w:rFonts w:eastAsia="Calibri"/>
                <w:b/>
                <w:sz w:val="20"/>
                <w:lang w:val="fr-FR"/>
              </w:rPr>
            </w:pPr>
            <w:r w:rsidRPr="008653C7">
              <w:rPr>
                <w:rFonts w:eastAsia="Calibri"/>
                <w:b/>
                <w:sz w:val="20"/>
                <w:lang w:val="fr-FR"/>
              </w:rPr>
              <w:t xml:space="preserve">GT </w:t>
            </w:r>
            <w:proofErr w:type="spellStart"/>
            <w:r w:rsidR="00476609" w:rsidRPr="008653C7">
              <w:rPr>
                <w:rFonts w:eastAsia="Calibri"/>
                <w:b/>
                <w:sz w:val="20"/>
                <w:lang w:val="fr-FR"/>
              </w:rPr>
              <w:t>4B</w:t>
            </w:r>
            <w:proofErr w:type="spellEnd"/>
          </w:p>
          <w:p w14:paraId="751E9C5D" w14:textId="5264A394" w:rsidR="00476609" w:rsidRPr="008653C7" w:rsidRDefault="00876E70" w:rsidP="00476609">
            <w:pPr>
              <w:spacing w:before="40" w:after="40"/>
              <w:jc w:val="center"/>
              <w:rPr>
                <w:rFonts w:eastAsia="Calibri"/>
                <w:b/>
                <w:sz w:val="20"/>
                <w:lang w:val="fr-FR"/>
              </w:rPr>
            </w:pPr>
            <w:r w:rsidRPr="008653C7">
              <w:rPr>
                <w:rFonts w:eastAsia="Calibri"/>
                <w:b/>
                <w:sz w:val="20"/>
                <w:lang w:val="fr-FR"/>
              </w:rPr>
              <w:t>GT</w:t>
            </w:r>
            <w:r w:rsidR="00476609" w:rsidRPr="008653C7">
              <w:rPr>
                <w:rFonts w:eastAsia="Calibri"/>
                <w:b/>
                <w:sz w:val="20"/>
                <w:lang w:val="fr-FR"/>
              </w:rPr>
              <w:t xml:space="preserve"> </w:t>
            </w:r>
            <w:proofErr w:type="spellStart"/>
            <w:r w:rsidR="00476609" w:rsidRPr="008653C7">
              <w:rPr>
                <w:rFonts w:eastAsia="Calibri"/>
                <w:b/>
                <w:sz w:val="20"/>
                <w:lang w:val="fr-FR"/>
              </w:rPr>
              <w:t>5A</w:t>
            </w:r>
            <w:proofErr w:type="spellEnd"/>
          </w:p>
          <w:p w14:paraId="326190F9" w14:textId="22E07220" w:rsidR="00476609" w:rsidRPr="008653C7" w:rsidRDefault="00876E70" w:rsidP="00476609">
            <w:pPr>
              <w:spacing w:before="40" w:after="40"/>
              <w:jc w:val="center"/>
              <w:rPr>
                <w:rFonts w:eastAsia="Calibri"/>
                <w:b/>
                <w:sz w:val="20"/>
                <w:lang w:val="fr-FR"/>
              </w:rPr>
            </w:pPr>
            <w:r w:rsidRPr="008653C7">
              <w:rPr>
                <w:rFonts w:eastAsia="Calibri"/>
                <w:b/>
                <w:sz w:val="20"/>
                <w:lang w:val="fr-FR"/>
              </w:rPr>
              <w:t>GT</w:t>
            </w:r>
            <w:r w:rsidR="00476609" w:rsidRPr="008653C7">
              <w:rPr>
                <w:rFonts w:eastAsia="Calibri"/>
                <w:b/>
                <w:sz w:val="20"/>
                <w:lang w:val="fr-FR"/>
              </w:rPr>
              <w:t xml:space="preserve"> </w:t>
            </w:r>
            <w:proofErr w:type="spellStart"/>
            <w:r w:rsidR="00476609" w:rsidRPr="008653C7">
              <w:rPr>
                <w:rFonts w:eastAsia="Calibri"/>
                <w:b/>
                <w:sz w:val="20"/>
                <w:lang w:val="fr-FR"/>
              </w:rPr>
              <w:t>5C</w:t>
            </w:r>
            <w:proofErr w:type="spellEnd"/>
          </w:p>
          <w:p w14:paraId="64037D97" w14:textId="0A8B1BF8" w:rsidR="00476609" w:rsidRPr="003E6986" w:rsidRDefault="00876E70" w:rsidP="00476609">
            <w:pPr>
              <w:spacing w:before="40" w:after="40"/>
              <w:jc w:val="center"/>
              <w:rPr>
                <w:rFonts w:eastAsia="Calibri"/>
                <w:b/>
                <w:sz w:val="20"/>
                <w:lang w:val="es-ES_tradnl"/>
              </w:rPr>
            </w:pPr>
            <w:r w:rsidRPr="003E6986">
              <w:rPr>
                <w:rFonts w:eastAsia="Calibri"/>
                <w:b/>
                <w:sz w:val="20"/>
                <w:lang w:val="es-ES_tradnl"/>
              </w:rPr>
              <w:t>GT</w:t>
            </w:r>
            <w:r w:rsidR="00476609" w:rsidRPr="003E6986">
              <w:rPr>
                <w:rFonts w:eastAsia="Calibri"/>
                <w:b/>
                <w:sz w:val="20"/>
                <w:lang w:val="es-ES_tradnl"/>
              </w:rPr>
              <w:t xml:space="preserve"> </w:t>
            </w:r>
            <w:proofErr w:type="spellStart"/>
            <w:r w:rsidR="00476609" w:rsidRPr="003E6986">
              <w:rPr>
                <w:rFonts w:eastAsia="Calibri"/>
                <w:b/>
                <w:sz w:val="20"/>
                <w:lang w:val="es-ES_tradnl"/>
              </w:rPr>
              <w:t>5D</w:t>
            </w:r>
            <w:proofErr w:type="spellEnd"/>
          </w:p>
          <w:p w14:paraId="74F60197" w14:textId="6756C2E5" w:rsidR="00476609" w:rsidRPr="003E6986" w:rsidRDefault="00876E70" w:rsidP="00476609">
            <w:pPr>
              <w:spacing w:before="40" w:after="40"/>
              <w:jc w:val="center"/>
              <w:rPr>
                <w:rFonts w:eastAsia="Calibri"/>
                <w:b/>
                <w:sz w:val="20"/>
                <w:lang w:val="es-ES_tradnl"/>
              </w:rPr>
            </w:pPr>
            <w:r w:rsidRPr="003E6986">
              <w:rPr>
                <w:rFonts w:eastAsia="Calibri"/>
                <w:b/>
                <w:sz w:val="20"/>
                <w:lang w:val="es-ES_tradnl"/>
              </w:rPr>
              <w:t>GT</w:t>
            </w:r>
            <w:r w:rsidR="00476609" w:rsidRPr="003E6986">
              <w:rPr>
                <w:rFonts w:eastAsia="Calibri"/>
                <w:b/>
                <w:sz w:val="20"/>
                <w:lang w:val="es-ES_tradnl"/>
              </w:rPr>
              <w:t xml:space="preserve"> 7B</w:t>
            </w:r>
          </w:p>
          <w:p w14:paraId="0B56B4DF" w14:textId="0A4D224D" w:rsidR="004A7B85" w:rsidRPr="003E6986" w:rsidRDefault="00876E70" w:rsidP="00476609">
            <w:pPr>
              <w:pStyle w:val="Tabletext"/>
              <w:tabs>
                <w:tab w:val="clear" w:pos="284"/>
                <w:tab w:val="left" w:pos="463"/>
              </w:tabs>
              <w:spacing w:line="480" w:lineRule="auto"/>
              <w:jc w:val="center"/>
              <w:rPr>
                <w:b/>
                <w:bCs/>
                <w:lang w:val="es-ES_tradnl" w:eastAsia="nl-NL"/>
              </w:rPr>
            </w:pPr>
            <w:r w:rsidRPr="003E6986">
              <w:rPr>
                <w:rFonts w:eastAsia="Calibri"/>
                <w:b/>
                <w:lang w:val="es-ES_tradnl"/>
              </w:rPr>
              <w:t>GT</w:t>
            </w:r>
            <w:r w:rsidR="00476609" w:rsidRPr="003E6986">
              <w:rPr>
                <w:rFonts w:eastAsia="Calibri"/>
                <w:b/>
                <w:lang w:val="es-ES_tradnl"/>
              </w:rPr>
              <w:t xml:space="preserve"> 7C</w:t>
            </w:r>
          </w:p>
        </w:tc>
      </w:tr>
      <w:tr w:rsidR="004A7B85" w:rsidRPr="008653C7" w14:paraId="13E055AD" w14:textId="77777777" w:rsidTr="003F05FF">
        <w:trPr>
          <w:gridAfter w:val="1"/>
          <w:wAfter w:w="27" w:type="dxa"/>
          <w:cantSplit/>
          <w:jc w:val="center"/>
        </w:trPr>
        <w:tc>
          <w:tcPr>
            <w:tcW w:w="14036" w:type="dxa"/>
            <w:gridSpan w:val="4"/>
          </w:tcPr>
          <w:p w14:paraId="08829023" w14:textId="553C8036" w:rsidR="004A7B85" w:rsidRPr="003E6986" w:rsidRDefault="00CC4A65" w:rsidP="00E56659">
            <w:pPr>
              <w:pStyle w:val="Tabletext"/>
              <w:keepNext/>
              <w:tabs>
                <w:tab w:val="clear" w:pos="284"/>
                <w:tab w:val="left" w:pos="594"/>
              </w:tabs>
              <w:rPr>
                <w:lang w:val="es-ES_tradnl" w:eastAsia="nl-NL"/>
              </w:rPr>
            </w:pPr>
            <w:r w:rsidRPr="003E6986">
              <w:rPr>
                <w:lang w:val="es-ES_tradnl" w:eastAsia="nl-NL"/>
              </w:rPr>
              <w:lastRenderedPageBreak/>
              <w:t>1.15</w:t>
            </w:r>
            <w:r w:rsidRPr="003E6986">
              <w:rPr>
                <w:lang w:val="es-ES_tradnl" w:eastAsia="nl-NL"/>
              </w:rPr>
              <w:tab/>
              <w:t xml:space="preserve">considerar estudios sobre asuntos relacionados con las frecuencias, incluida la posibilidad de otorgar nuevas atribuciones al servicio de investigación espacial (espacio-espacio), o de modificar las existentes, para el futuro desarrollo de las comunicaciones en la superficie lunar y entre la </w:t>
            </w:r>
            <w:proofErr w:type="gramStart"/>
            <w:r w:rsidRPr="003E6986">
              <w:rPr>
                <w:lang w:val="es-ES_tradnl" w:eastAsia="nl-NL"/>
              </w:rPr>
              <w:t>órbita lunar y la superficie lunar</w:t>
            </w:r>
            <w:proofErr w:type="gramEnd"/>
            <w:r w:rsidRPr="003E6986">
              <w:rPr>
                <w:lang w:val="es-ES_tradnl" w:eastAsia="nl-NL"/>
              </w:rPr>
              <w:t xml:space="preserve">, de conformidad con la Resolución </w:t>
            </w:r>
            <w:r w:rsidR="00343213" w:rsidRPr="003E6986">
              <w:rPr>
                <w:b/>
                <w:lang w:val="es-ES_tradnl" w:eastAsia="nl-NL"/>
              </w:rPr>
              <w:t>680</w:t>
            </w:r>
            <w:r w:rsidRPr="003E6986">
              <w:rPr>
                <w:b/>
                <w:lang w:val="es-ES_tradnl" w:eastAsia="nl-NL"/>
              </w:rPr>
              <w:t xml:space="preserve"> (CMR-23)</w:t>
            </w:r>
            <w:r w:rsidRPr="003E6986">
              <w:rPr>
                <w:lang w:val="es-ES_tradnl" w:eastAsia="nl-NL"/>
              </w:rPr>
              <w:t>;</w:t>
            </w:r>
          </w:p>
        </w:tc>
      </w:tr>
      <w:tr w:rsidR="004A7B85" w:rsidRPr="003E6986" w14:paraId="7111453F" w14:textId="77777777" w:rsidTr="003F05FF">
        <w:trPr>
          <w:gridAfter w:val="1"/>
          <w:wAfter w:w="27" w:type="dxa"/>
          <w:jc w:val="center"/>
        </w:trPr>
        <w:tc>
          <w:tcPr>
            <w:tcW w:w="3304" w:type="dxa"/>
          </w:tcPr>
          <w:p w14:paraId="38867D47" w14:textId="0D0F829E" w:rsidR="00CC4A65" w:rsidRPr="003E6986" w:rsidRDefault="00CC4A65" w:rsidP="00CC4A65">
            <w:pPr>
              <w:pStyle w:val="Tabletext"/>
              <w:tabs>
                <w:tab w:val="left" w:pos="463"/>
              </w:tabs>
              <w:rPr>
                <w:lang w:val="es-ES_tradnl" w:eastAsia="nl-NL"/>
              </w:rPr>
            </w:pPr>
            <w:r w:rsidRPr="003E6986">
              <w:rPr>
                <w:lang w:val="es-ES_tradnl" w:eastAsia="nl-NL"/>
              </w:rPr>
              <w:t xml:space="preserve">Resolución </w:t>
            </w:r>
            <w:r w:rsidR="00343213" w:rsidRPr="003E6986">
              <w:rPr>
                <w:b/>
                <w:lang w:val="es-ES_tradnl" w:eastAsia="nl-NL"/>
              </w:rPr>
              <w:t>680</w:t>
            </w:r>
            <w:r w:rsidRPr="003E6986">
              <w:rPr>
                <w:b/>
                <w:lang w:val="es-ES_tradnl" w:eastAsia="nl-NL"/>
              </w:rPr>
              <w:t xml:space="preserve"> (</w:t>
            </w:r>
            <w:proofErr w:type="spellStart"/>
            <w:r w:rsidRPr="003E6986">
              <w:rPr>
                <w:b/>
                <w:lang w:val="es-ES_tradnl" w:eastAsia="nl-NL"/>
              </w:rPr>
              <w:t>CMR</w:t>
            </w:r>
            <w:proofErr w:type="spellEnd"/>
            <w:r w:rsidRPr="003E6986">
              <w:rPr>
                <w:b/>
                <w:lang w:val="es-ES_tradnl" w:eastAsia="nl-NL"/>
              </w:rPr>
              <w:t>-23)</w:t>
            </w:r>
          </w:p>
          <w:p w14:paraId="58D93DEB" w14:textId="239992B2" w:rsidR="004A7B85" w:rsidRPr="003E6986" w:rsidRDefault="00CC4A65" w:rsidP="00C642A5">
            <w:pPr>
              <w:pStyle w:val="Tabletext"/>
              <w:tabs>
                <w:tab w:val="left" w:pos="463"/>
              </w:tabs>
              <w:rPr>
                <w:lang w:val="es-ES_tradnl" w:eastAsia="nl-NL"/>
              </w:rPr>
            </w:pPr>
            <w:r w:rsidRPr="003E6986">
              <w:rPr>
                <w:lang w:val="es-ES_tradnl" w:eastAsia="nl-NL"/>
              </w:rPr>
              <w:t xml:space="preserve">Estudios sobre cuestiones relacionadas con las frecuencias, incluida la posibilidad de otorgar nuevas atribuciones al servicio de investigación espacial (espacio-espacio), o de modificar las existentes, para el futuro desarrollo de las comunicaciones en la superficie lunar y entre la </w:t>
            </w:r>
            <w:proofErr w:type="gramStart"/>
            <w:r w:rsidRPr="003E6986">
              <w:rPr>
                <w:lang w:val="es-ES_tradnl" w:eastAsia="nl-NL"/>
              </w:rPr>
              <w:t>órbita lunar y la superficie lunar</w:t>
            </w:r>
            <w:proofErr w:type="gramEnd"/>
          </w:p>
        </w:tc>
        <w:tc>
          <w:tcPr>
            <w:tcW w:w="1517" w:type="dxa"/>
          </w:tcPr>
          <w:p w14:paraId="21294347" w14:textId="6B09B9EC" w:rsidR="004A7B85" w:rsidRPr="003E6986" w:rsidRDefault="00A92266" w:rsidP="005F0DA1">
            <w:pPr>
              <w:pStyle w:val="Tabletext"/>
              <w:tabs>
                <w:tab w:val="clear" w:pos="284"/>
                <w:tab w:val="left" w:pos="463"/>
              </w:tabs>
              <w:jc w:val="center"/>
              <w:rPr>
                <w:b/>
                <w:bCs/>
                <w:lang w:val="es-ES_tradnl" w:eastAsia="nl-NL"/>
              </w:rPr>
            </w:pPr>
            <w:r w:rsidRPr="003E6986">
              <w:rPr>
                <w:b/>
                <w:bCs/>
                <w:lang w:val="es-ES_tradnl" w:eastAsia="nl-NL"/>
              </w:rPr>
              <w:t>GT</w:t>
            </w:r>
            <w:r w:rsidR="00CC4A65" w:rsidRPr="003E6986">
              <w:rPr>
                <w:b/>
                <w:bCs/>
                <w:lang w:val="es-ES_tradnl" w:eastAsia="nl-NL"/>
              </w:rPr>
              <w:t> 7B</w:t>
            </w:r>
          </w:p>
        </w:tc>
        <w:tc>
          <w:tcPr>
            <w:tcW w:w="7809" w:type="dxa"/>
          </w:tcPr>
          <w:p w14:paraId="7784F8E6" w14:textId="2065C0B2" w:rsidR="00051770" w:rsidRPr="003E6986" w:rsidRDefault="00CC4A65" w:rsidP="00CC4A65">
            <w:pPr>
              <w:pStyle w:val="Tabletext"/>
              <w:tabs>
                <w:tab w:val="clear" w:pos="284"/>
                <w:tab w:val="left" w:pos="463"/>
              </w:tabs>
              <w:ind w:left="454"/>
              <w:jc w:val="both"/>
              <w:rPr>
                <w:lang w:val="es-ES_tradnl" w:eastAsia="nl-NL"/>
              </w:rPr>
            </w:pPr>
            <w:r w:rsidRPr="003E6986">
              <w:rPr>
                <w:rFonts w:eastAsia="???"/>
                <w:i/>
                <w:iCs/>
                <w:lang w:val="es-ES_tradnl" w:eastAsia="nl-NL"/>
              </w:rPr>
              <w:t>considerando</w:t>
            </w:r>
          </w:p>
          <w:p w14:paraId="137FC00F" w14:textId="77777777" w:rsidR="00CC4A65" w:rsidRPr="003E6986" w:rsidRDefault="00CC4A65" w:rsidP="00CC4A65">
            <w:pPr>
              <w:pStyle w:val="Tabletext"/>
              <w:tabs>
                <w:tab w:val="clear" w:pos="284"/>
                <w:tab w:val="left" w:pos="463"/>
              </w:tabs>
              <w:jc w:val="both"/>
              <w:rPr>
                <w:lang w:val="es-ES_tradnl" w:eastAsia="nl-NL"/>
              </w:rPr>
            </w:pPr>
            <w:r w:rsidRPr="003E6986">
              <w:rPr>
                <w:i/>
                <w:lang w:val="es-ES_tradnl" w:eastAsia="nl-NL"/>
              </w:rPr>
              <w:t>h)</w:t>
            </w:r>
            <w:r w:rsidRPr="003E6986">
              <w:rPr>
                <w:lang w:val="es-ES_tradnl" w:eastAsia="nl-NL"/>
              </w:rPr>
              <w:tab/>
              <w:t>que las actividades científicas y de exploración en la Luna pueden propiciar el desarrollo de posibles actividades espaciales futuras, rebasando los límites de la investigación espacial, que en el futuro podrían incluir otros servicios de radiocomunicaciones para las comunicaciones lunares,</w:t>
            </w:r>
          </w:p>
          <w:p w14:paraId="26F7C090" w14:textId="77777777" w:rsidR="00CC4A65" w:rsidRPr="003E6986" w:rsidRDefault="00CC4A65" w:rsidP="00CC4A65">
            <w:pPr>
              <w:pStyle w:val="Tabletext"/>
              <w:tabs>
                <w:tab w:val="clear" w:pos="284"/>
                <w:tab w:val="left" w:pos="463"/>
              </w:tabs>
              <w:ind w:left="454"/>
              <w:jc w:val="both"/>
              <w:rPr>
                <w:lang w:val="es-ES_tradnl" w:eastAsia="nl-NL"/>
              </w:rPr>
            </w:pPr>
            <w:r w:rsidRPr="003E6986">
              <w:rPr>
                <w:rFonts w:eastAsia="???"/>
                <w:i/>
                <w:iCs/>
                <w:lang w:val="es-ES_tradnl" w:eastAsia="nl-NL"/>
              </w:rPr>
              <w:t>observando</w:t>
            </w:r>
          </w:p>
          <w:p w14:paraId="09A3283C" w14:textId="77777777" w:rsidR="00CC4A65" w:rsidRPr="003E6986" w:rsidRDefault="00CC4A65" w:rsidP="00CC4A65">
            <w:pPr>
              <w:pStyle w:val="Tabletext"/>
              <w:tabs>
                <w:tab w:val="clear" w:pos="284"/>
                <w:tab w:val="left" w:pos="463"/>
              </w:tabs>
              <w:jc w:val="both"/>
              <w:rPr>
                <w:lang w:val="es-ES_tradnl" w:eastAsia="nl-NL"/>
              </w:rPr>
            </w:pPr>
            <w:r w:rsidRPr="003E6986">
              <w:rPr>
                <w:i/>
                <w:lang w:val="es-ES_tradnl" w:eastAsia="nl-NL"/>
              </w:rPr>
              <w:t>a)</w:t>
            </w:r>
            <w:r w:rsidRPr="003E6986">
              <w:rPr>
                <w:lang w:val="es-ES_tradnl" w:eastAsia="nl-NL"/>
              </w:rPr>
              <w:tab/>
              <w:t xml:space="preserve">que la Sección V del Artículo </w:t>
            </w:r>
            <w:r w:rsidRPr="003E6986">
              <w:rPr>
                <w:b/>
                <w:bCs/>
                <w:lang w:val="es-ES_tradnl" w:eastAsia="nl-NL"/>
              </w:rPr>
              <w:t>22</w:t>
            </w:r>
            <w:r w:rsidRPr="003E6986">
              <w:rPr>
                <w:lang w:val="es-ES_tradnl" w:eastAsia="nl-NL"/>
              </w:rPr>
              <w:t xml:space="preserve"> trata de la protección de la radioastronomía en la ZOL;</w:t>
            </w:r>
          </w:p>
          <w:p w14:paraId="0A64E723" w14:textId="19331C67" w:rsidR="00CC4A65" w:rsidRPr="003E6986" w:rsidRDefault="00CC4A65" w:rsidP="00CC4A65">
            <w:pPr>
              <w:pStyle w:val="Tabletext"/>
              <w:tabs>
                <w:tab w:val="clear" w:pos="284"/>
                <w:tab w:val="left" w:pos="463"/>
              </w:tabs>
              <w:jc w:val="both"/>
              <w:rPr>
                <w:lang w:val="es-ES_tradnl" w:eastAsia="nl-NL"/>
              </w:rPr>
            </w:pPr>
            <w:r w:rsidRPr="003E6986">
              <w:rPr>
                <w:i/>
                <w:lang w:val="es-ES_tradnl" w:eastAsia="nl-NL"/>
              </w:rPr>
              <w:t>b)</w:t>
            </w:r>
            <w:r w:rsidRPr="003E6986">
              <w:rPr>
                <w:lang w:val="es-ES_tradnl" w:eastAsia="nl-NL"/>
              </w:rPr>
              <w:tab/>
              <w:t>que la Recomendación UIT-R RA.479-5 contempla la protección de las frecuencias para mediciones radioastronómicas en la ZOL con miras a proteger las características excepcionales que ofrece esta zona para la radioastronomía;</w:t>
            </w:r>
          </w:p>
          <w:p w14:paraId="3C133803" w14:textId="77777777" w:rsidR="00CC4A65" w:rsidRPr="003E6986" w:rsidRDefault="00CC4A65" w:rsidP="00CC4A65">
            <w:pPr>
              <w:pStyle w:val="Tabletext"/>
              <w:tabs>
                <w:tab w:val="clear" w:pos="284"/>
                <w:tab w:val="left" w:pos="463"/>
              </w:tabs>
              <w:jc w:val="both"/>
              <w:rPr>
                <w:lang w:val="es-ES_tradnl" w:eastAsia="nl-NL"/>
              </w:rPr>
            </w:pPr>
            <w:r w:rsidRPr="003E6986">
              <w:rPr>
                <w:i/>
                <w:lang w:val="es-ES_tradnl" w:eastAsia="nl-NL"/>
              </w:rPr>
              <w:t>c)</w:t>
            </w:r>
            <w:r w:rsidRPr="003E6986">
              <w:rPr>
                <w:lang w:val="es-ES_tradnl" w:eastAsia="nl-NL"/>
              </w:rPr>
              <w:tab/>
              <w:t>que deben evaluarse los efectos de la radiación electromagnética involuntariamente causada por sistemas eléctricos y electrónicos en los receptores radioastronómicos (véase la Cuestión UIT-R 243/1),</w:t>
            </w:r>
          </w:p>
          <w:p w14:paraId="60168AF5" w14:textId="77777777"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t>…</w:t>
            </w:r>
          </w:p>
          <w:p w14:paraId="0F4FD14E" w14:textId="77777777" w:rsidR="00CC4A65" w:rsidRPr="003E6986" w:rsidRDefault="00CC4A65" w:rsidP="00CC4A65">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2027</w:t>
            </w:r>
          </w:p>
          <w:p w14:paraId="041D443A" w14:textId="77777777"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 xml:space="preserve">estudios sobre las necesidades de espectro de los sistemas del SIE que pueden funcionar en la superficie lunar, o los sistemas en órbita lunar que se comunican con los sistemas en la superficie lunar, en las siguientes gamas de frecuencias, o partes de </w:t>
            </w:r>
            <w:proofErr w:type="gramStart"/>
            <w:r w:rsidRPr="003E6986">
              <w:rPr>
                <w:lang w:val="es-ES_tradnl" w:eastAsia="nl-NL"/>
              </w:rPr>
              <w:t>las mismas</w:t>
            </w:r>
            <w:proofErr w:type="gramEnd"/>
            <w:r w:rsidRPr="003E6986">
              <w:rPr>
                <w:lang w:val="es-ES_tradnl" w:eastAsia="nl-NL"/>
              </w:rPr>
              <w:t xml:space="preserve">, habida cuenta de los </w:t>
            </w:r>
            <w:r w:rsidRPr="003E6986">
              <w:rPr>
                <w:i/>
                <w:lang w:val="es-ES_tradnl" w:eastAsia="nl-NL"/>
              </w:rPr>
              <w:t>observando a)</w:t>
            </w:r>
            <w:r w:rsidRPr="003E6986">
              <w:rPr>
                <w:lang w:val="es-ES_tradnl" w:eastAsia="nl-NL"/>
              </w:rPr>
              <w:t xml:space="preserve">, </w:t>
            </w:r>
            <w:r w:rsidRPr="003E6986">
              <w:rPr>
                <w:i/>
                <w:lang w:val="es-ES_tradnl" w:eastAsia="nl-NL"/>
              </w:rPr>
              <w:t>b)</w:t>
            </w:r>
            <w:r w:rsidRPr="003E6986">
              <w:rPr>
                <w:lang w:val="es-ES_tradnl" w:eastAsia="nl-NL"/>
              </w:rPr>
              <w:t xml:space="preserve"> y </w:t>
            </w:r>
            <w:r w:rsidRPr="003E6986">
              <w:rPr>
                <w:i/>
                <w:lang w:val="es-ES_tradnl" w:eastAsia="nl-NL"/>
              </w:rPr>
              <w:t>c)</w:t>
            </w:r>
            <w:r w:rsidRPr="003E6986">
              <w:rPr>
                <w:lang w:val="es-ES_tradnl" w:eastAsia="nl-NL"/>
              </w:rPr>
              <w:t>:</w:t>
            </w:r>
          </w:p>
          <w:p w14:paraId="71CF22F5" w14:textId="77777777"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390-406.1 MHz, 420-430 MHz y 440-450 MHz, sólo fuera de la ZOL;</w:t>
            </w:r>
          </w:p>
          <w:p w14:paraId="327D128E" w14:textId="7818E3E7" w:rsidR="00CC4A65" w:rsidRPr="003E6986" w:rsidRDefault="00CC4A65" w:rsidP="00CC4A65">
            <w:pPr>
              <w:pStyle w:val="Tabletext"/>
              <w:tabs>
                <w:tab w:val="clear" w:pos="284"/>
                <w:tab w:val="left" w:pos="463"/>
              </w:tabs>
              <w:ind w:left="463" w:hanging="463"/>
              <w:jc w:val="both"/>
              <w:rPr>
                <w:lang w:val="es-ES_tradnl" w:eastAsia="nl-NL"/>
              </w:rPr>
            </w:pPr>
            <w:r w:rsidRPr="003E6986">
              <w:rPr>
                <w:lang w:val="es-ES_tradnl" w:eastAsia="nl-NL"/>
              </w:rPr>
              <w:t>–</w:t>
            </w:r>
            <w:r w:rsidRPr="003E6986">
              <w:rPr>
                <w:lang w:val="es-ES_tradnl" w:eastAsia="nl-NL"/>
              </w:rPr>
              <w:tab/>
              <w:t>2 400 2 690 MHz, 3 500-3 800 MHz, 5 150-5 570 MHz, 5 570-5 725 MHz; 5</w:t>
            </w:r>
            <w:r w:rsidR="00A923A9">
              <w:rPr>
                <w:lang w:val="es-ES_tradnl" w:eastAsia="nl-NL"/>
              </w:rPr>
              <w:t> </w:t>
            </w:r>
            <w:r w:rsidRPr="003E6986">
              <w:rPr>
                <w:lang w:val="es-ES_tradnl" w:eastAsia="nl-NL"/>
              </w:rPr>
              <w:t>775</w:t>
            </w:r>
            <w:r w:rsidR="00A923A9">
              <w:rPr>
                <w:lang w:val="es-ES_tradnl" w:eastAsia="nl-NL"/>
              </w:rPr>
              <w:t>-</w:t>
            </w:r>
            <w:r w:rsidRPr="003E6986">
              <w:rPr>
                <w:lang w:val="es-ES_tradnl" w:eastAsia="nl-NL"/>
              </w:rPr>
              <w:t>5</w:t>
            </w:r>
            <w:r w:rsidR="00A923A9">
              <w:rPr>
                <w:lang w:val="es-ES_tradnl" w:eastAsia="nl-NL"/>
              </w:rPr>
              <w:t> </w:t>
            </w:r>
            <w:r w:rsidRPr="003E6986">
              <w:rPr>
                <w:lang w:val="es-ES_tradnl" w:eastAsia="nl-NL"/>
              </w:rPr>
              <w:t>925</w:t>
            </w:r>
            <w:r w:rsidR="00A923A9">
              <w:rPr>
                <w:lang w:val="es-ES_tradnl" w:eastAsia="nl-NL"/>
              </w:rPr>
              <w:t> </w:t>
            </w:r>
            <w:r w:rsidRPr="003E6986">
              <w:rPr>
                <w:lang w:val="es-ES_tradnl" w:eastAsia="nl-NL"/>
              </w:rPr>
              <w:t>MHz, 7 190-7 235 MHz, 8 450-8 500 MHz y 25,25-28,35 GHz;</w:t>
            </w:r>
          </w:p>
          <w:p w14:paraId="033DADAD" w14:textId="3C5A9EAA"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 xml:space="preserve">estudios sobre las características técnicas y operativas, así como los correspondientes criterios de protección, de los sistemas del SIE previstos para utilizar las bandas de frecuencias indicadas en el </w:t>
            </w:r>
            <w:r w:rsidRPr="003E6986">
              <w:rPr>
                <w:i/>
                <w:lang w:val="es-ES_tradnl" w:eastAsia="nl-NL"/>
              </w:rPr>
              <w:t>resuelve invitar al Sector de Radiocomunicaciones de la UIT a finalizar a tiempo para la Conferencia Mundial de Radiocomunicaciones de 2027</w:t>
            </w:r>
            <w:r w:rsidR="00DE1381" w:rsidRPr="003E6986">
              <w:rPr>
                <w:lang w:val="es-ES_tradnl" w:eastAsia="nl-NL"/>
              </w:rPr>
              <w:t> </w:t>
            </w:r>
            <w:r w:rsidRPr="003E6986">
              <w:rPr>
                <w:lang w:val="es-ES_tradnl" w:eastAsia="nl-NL"/>
              </w:rPr>
              <w:t>1, así como los criterios de protección que habrán de aplicarse para proteger el servicio de radioastronomía (SRA) y los sensores activos y pasivos del SIE en la superficie de la Luna y en la órbita lunar;</w:t>
            </w:r>
          </w:p>
          <w:p w14:paraId="5C63072D" w14:textId="5AD9CDD6"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lastRenderedPageBreak/>
              <w:t>3</w:t>
            </w:r>
            <w:r w:rsidRPr="003E6986">
              <w:rPr>
                <w:lang w:val="es-ES_tradnl" w:eastAsia="nl-NL"/>
              </w:rPr>
              <w:tab/>
              <w:t xml:space="preserve">estudios sobre las consideraciones de propagación para sistemas en la superficie de la Luna y sistemas en la órbita lunar que funcionan en las gamas de frecuencias indicadas en el </w:t>
            </w:r>
            <w:r w:rsidRPr="003E6986">
              <w:rPr>
                <w:i/>
                <w:lang w:val="es-ES_tradnl" w:eastAsia="nl-NL"/>
              </w:rPr>
              <w:t>resuelve invitar al Sector de Radiocomunicaciones de la UIT a finalizar a tiempo para la Conferencia Mundial de Radiocomunicaciones de 2027</w:t>
            </w:r>
            <w:r w:rsidRPr="003E6986">
              <w:rPr>
                <w:lang w:val="es-ES_tradnl" w:eastAsia="nl-NL"/>
              </w:rPr>
              <w:t xml:space="preserve"> 1;</w:t>
            </w:r>
          </w:p>
          <w:p w14:paraId="5E1739D0" w14:textId="4F960485"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t>4</w:t>
            </w:r>
            <w:r w:rsidRPr="003E6986">
              <w:rPr>
                <w:lang w:val="es-ES_tradnl" w:eastAsia="nl-NL"/>
              </w:rPr>
              <w:tab/>
              <w:t xml:space="preserve">estudios de compartición y compatibilidad relativos a los sistemas del SIE previstos para utilizar las bandas de frecuencias identificadas en el </w:t>
            </w:r>
            <w:r w:rsidRPr="003E6986">
              <w:rPr>
                <w:i/>
                <w:lang w:val="es-ES_tradnl" w:eastAsia="nl-NL"/>
              </w:rPr>
              <w:t>resuelve invitar al Sector de Radiocomunicaciones de la UIT a finalizar a tiempo para la Conferencia Mundial de Radiocomunicaciones de 2027</w:t>
            </w:r>
            <w:r w:rsidR="00DE1381" w:rsidRPr="003E6986">
              <w:rPr>
                <w:lang w:val="es-ES_tradnl" w:eastAsia="nl-NL"/>
              </w:rPr>
              <w:t> </w:t>
            </w:r>
            <w:r w:rsidRPr="003E6986">
              <w:rPr>
                <w:lang w:val="es-ES_tradnl" w:eastAsia="nl-NL"/>
              </w:rPr>
              <w:t>1 para garantizar la protección de:</w:t>
            </w:r>
          </w:p>
          <w:p w14:paraId="3C11D30E" w14:textId="77777777"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 xml:space="preserve">los servicios de radiocomunicaciones, como se especifica en los </w:t>
            </w:r>
            <w:r w:rsidRPr="003E6986">
              <w:rPr>
                <w:i/>
                <w:lang w:val="es-ES_tradnl" w:eastAsia="nl-NL"/>
              </w:rPr>
              <w:t>reconociendo g)</w:t>
            </w:r>
            <w:r w:rsidRPr="003E6986">
              <w:rPr>
                <w:lang w:val="es-ES_tradnl" w:eastAsia="nl-NL"/>
              </w:rPr>
              <w:t xml:space="preserve"> a </w:t>
            </w:r>
            <w:r w:rsidRPr="003E6986">
              <w:rPr>
                <w:i/>
                <w:lang w:val="es-ES_tradnl" w:eastAsia="nl-NL"/>
              </w:rPr>
              <w:t>n)</w:t>
            </w:r>
            <w:r w:rsidRPr="003E6986">
              <w:rPr>
                <w:lang w:val="es-ES_tradnl" w:eastAsia="nl-NL"/>
              </w:rPr>
              <w:t>, y</w:t>
            </w:r>
          </w:p>
          <w:p w14:paraId="12DA888B" w14:textId="77777777"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el SRA en la Tierra y en la ZOL en las mismas bandas, o en bandas adyacentes o cercanas;</w:t>
            </w:r>
          </w:p>
          <w:p w14:paraId="64B508C5" w14:textId="77777777"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t>5</w:t>
            </w:r>
            <w:r w:rsidRPr="003E6986">
              <w:rPr>
                <w:lang w:val="es-ES_tradnl" w:eastAsia="nl-NL"/>
              </w:rPr>
              <w:tab/>
              <w:t>estudios sobre la posibilidad de otorgar nuevas atribuciones de frecuencias al SIE, o de modificar las existentes, y/o de proceder a su identificación mediante disposiciones reglamentarias apropiadas para las comunicaciones en la superficie lunar,</w:t>
            </w:r>
          </w:p>
          <w:p w14:paraId="101E6A53" w14:textId="77777777" w:rsidR="00CC4A65" w:rsidRPr="003E6986" w:rsidRDefault="00CC4A65" w:rsidP="00CC4A65">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al Sector de Radiocomunicaciones de la UIT</w:t>
            </w:r>
          </w:p>
          <w:p w14:paraId="79E1B62F" w14:textId="75167CEE"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 xml:space="preserve">a iniciar los estudios, habida cuenta del </w:t>
            </w:r>
            <w:r w:rsidRPr="003E6986">
              <w:rPr>
                <w:i/>
                <w:iCs/>
                <w:lang w:val="es-ES_tradnl" w:eastAsia="nl-NL"/>
              </w:rPr>
              <w:t>considerando</w:t>
            </w:r>
            <w:r w:rsidRPr="003E6986">
              <w:rPr>
                <w:lang w:val="es-ES_tradnl" w:eastAsia="nl-NL"/>
              </w:rPr>
              <w:t xml:space="preserve"> </w:t>
            </w:r>
            <w:r w:rsidRPr="003E6986">
              <w:rPr>
                <w:i/>
                <w:lang w:val="es-ES_tradnl" w:eastAsia="nl-NL"/>
              </w:rPr>
              <w:t>h)</w:t>
            </w:r>
            <w:r w:rsidRPr="003E6986">
              <w:rPr>
                <w:lang w:val="es-ES_tradnl" w:eastAsia="nl-NL"/>
              </w:rPr>
              <w:t xml:space="preserve">, sobre las futuras necesidades de espectro para los sistemas y comunicaciones lunares, más allá de las identificadas en el </w:t>
            </w:r>
            <w:r w:rsidRPr="003E6986">
              <w:rPr>
                <w:i/>
                <w:lang w:val="es-ES_tradnl" w:eastAsia="nl-NL"/>
              </w:rPr>
              <w:t>resuelve invitar al Sector de Radiocomunicaciones de la UIT a finalizar a tiempo para la Conferencia Mundial de Radiocomunicaciones de 2027</w:t>
            </w:r>
            <w:r w:rsidR="00DE1381" w:rsidRPr="003E6986">
              <w:rPr>
                <w:lang w:val="es-ES_tradnl" w:eastAsia="nl-NL"/>
              </w:rPr>
              <w:t> </w:t>
            </w:r>
            <w:r w:rsidRPr="003E6986">
              <w:rPr>
                <w:lang w:val="es-ES_tradnl" w:eastAsia="nl-NL"/>
              </w:rPr>
              <w:t xml:space="preserve">1, que puedan ser necesarias para las comunicaciones entre la Tierra, los vehículos espaciales en </w:t>
            </w:r>
            <w:proofErr w:type="gramStart"/>
            <w:r w:rsidRPr="003E6986">
              <w:rPr>
                <w:lang w:val="es-ES_tradnl" w:eastAsia="nl-NL"/>
              </w:rPr>
              <w:t>órbita lunar y la superficie lunar</w:t>
            </w:r>
            <w:proofErr w:type="gramEnd"/>
            <w:r w:rsidRPr="003E6986">
              <w:rPr>
                <w:lang w:val="es-ES_tradnl" w:eastAsia="nl-NL"/>
              </w:rPr>
              <w:t>;</w:t>
            </w:r>
          </w:p>
          <w:p w14:paraId="47118663" w14:textId="77777777"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 xml:space="preserve">a estudiar si las futuras radiocomunicaciones en las proximidades de la Luna, como se indica en el </w:t>
            </w:r>
            <w:r w:rsidRPr="003E6986">
              <w:rPr>
                <w:i/>
                <w:iCs/>
                <w:lang w:val="es-ES_tradnl" w:eastAsia="nl-NL"/>
              </w:rPr>
              <w:t>considerando</w:t>
            </w:r>
            <w:r w:rsidRPr="003E6986">
              <w:rPr>
                <w:lang w:val="es-ES_tradnl" w:eastAsia="nl-NL"/>
              </w:rPr>
              <w:t xml:space="preserve"> </w:t>
            </w:r>
            <w:r w:rsidRPr="003E6986">
              <w:rPr>
                <w:i/>
                <w:lang w:val="es-ES_tradnl" w:eastAsia="nl-NL"/>
              </w:rPr>
              <w:t>h)</w:t>
            </w:r>
            <w:r w:rsidRPr="003E6986">
              <w:rPr>
                <w:lang w:val="es-ES_tradnl" w:eastAsia="nl-NL"/>
              </w:rPr>
              <w:t>, pueden acomodarse en los servicios de radiocomunicaciones espaciales existentes, así como la suficiencia de las disposiciones reglamentarias del RR,</w:t>
            </w:r>
          </w:p>
          <w:p w14:paraId="6CAD161B" w14:textId="77777777"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t>…</w:t>
            </w:r>
          </w:p>
          <w:p w14:paraId="5D331143" w14:textId="77777777" w:rsidR="00CC4A65" w:rsidRPr="003E6986" w:rsidRDefault="00CC4A65" w:rsidP="00E2112F">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2027</w:t>
            </w:r>
          </w:p>
          <w:p w14:paraId="0B2A1D52" w14:textId="0199D424" w:rsidR="00CC4A65" w:rsidRDefault="00CC4A65" w:rsidP="00CC4A65">
            <w:pPr>
              <w:pStyle w:val="Tabletext"/>
              <w:tabs>
                <w:tab w:val="left" w:pos="463"/>
              </w:tabs>
              <w:rPr>
                <w:lang w:val="es-ES_tradnl" w:eastAsia="nl-NL"/>
              </w:rPr>
            </w:pPr>
            <w:r w:rsidRPr="003E6986">
              <w:rPr>
                <w:lang w:val="es-ES_tradnl" w:eastAsia="nl-NL"/>
              </w:rPr>
              <w:t xml:space="preserve">a considerar, sobre la base de los resultados de los estudios indicados en los </w:t>
            </w:r>
            <w:r w:rsidRPr="003E6986">
              <w:rPr>
                <w:i/>
                <w:iCs/>
                <w:lang w:val="es-ES_tradnl" w:eastAsia="nl-NL"/>
              </w:rPr>
              <w:t>resuelve invitar al Sector de Radiocomunicaciones de la UIT a finalizar a tiempo para la Conferencia Mundial de Radiocomunicaciones de 2027</w:t>
            </w:r>
            <w:r w:rsidR="00DE1381" w:rsidRPr="003E6986">
              <w:rPr>
                <w:lang w:val="es-ES_tradnl" w:eastAsia="nl-NL"/>
              </w:rPr>
              <w:t> </w:t>
            </w:r>
            <w:r w:rsidRPr="003E6986">
              <w:rPr>
                <w:lang w:val="es-ES_tradnl" w:eastAsia="nl-NL"/>
              </w:rPr>
              <w:t xml:space="preserve">1 a 5, la posibilidad de otorgar nuevas atribuciones al SIE, o de modificar las existentes, y/o de proceder a su identificación en las gamas de frecuencias identificadas en el </w:t>
            </w:r>
            <w:r w:rsidRPr="003E6986">
              <w:rPr>
                <w:i/>
                <w:iCs/>
                <w:lang w:val="es-ES_tradnl" w:eastAsia="nl-NL"/>
              </w:rPr>
              <w:t>invita al Sector de Radiocomunicaciones de la UIT a finalizar a tiempo para la Conferencia Mundial de Radiocomunicaciones de 2027</w:t>
            </w:r>
            <w:r w:rsidRPr="003E6986">
              <w:rPr>
                <w:lang w:val="es-ES_tradnl" w:eastAsia="nl-NL"/>
              </w:rPr>
              <w:t xml:space="preserve"> 1 anterior, o en partes de las mismas, para su utilización en las proximidades de la Luna,</w:t>
            </w:r>
          </w:p>
          <w:p w14:paraId="04CCA618" w14:textId="77777777" w:rsidR="00C642A5" w:rsidRPr="003E6986" w:rsidRDefault="00C642A5" w:rsidP="00CC4A65">
            <w:pPr>
              <w:pStyle w:val="Tabletext"/>
              <w:tabs>
                <w:tab w:val="left" w:pos="463"/>
              </w:tabs>
              <w:rPr>
                <w:lang w:val="es-ES_tradnl" w:eastAsia="nl-NL"/>
              </w:rPr>
            </w:pPr>
          </w:p>
          <w:p w14:paraId="69B38E6E" w14:textId="77777777" w:rsidR="00CC4A65" w:rsidRPr="003E6986" w:rsidRDefault="00CC4A65" w:rsidP="00E2112F">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lastRenderedPageBreak/>
              <w:t>encarga al Director de la Oficina de Radiocomunicaciones</w:t>
            </w:r>
          </w:p>
          <w:p w14:paraId="286C0248" w14:textId="46E838E5" w:rsidR="00CC4A65" w:rsidRPr="003E6986" w:rsidRDefault="00CC4A65" w:rsidP="00CC4A65">
            <w:pPr>
              <w:pStyle w:val="Tabletext"/>
              <w:tabs>
                <w:tab w:val="left" w:pos="463"/>
              </w:tabs>
              <w:rPr>
                <w:lang w:val="es-ES_tradnl" w:eastAsia="nl-NL"/>
              </w:rPr>
            </w:pPr>
            <w:r w:rsidRPr="003E6986">
              <w:rPr>
                <w:lang w:val="es-ES_tradnl" w:eastAsia="nl-NL"/>
              </w:rPr>
              <w:t xml:space="preserve">que rinda a la CMR-27 informe sobre los avances de los estudios indicados en los </w:t>
            </w:r>
            <w:r w:rsidRPr="003E6986">
              <w:rPr>
                <w:i/>
                <w:lang w:val="es-ES_tradnl" w:eastAsia="nl-NL"/>
              </w:rPr>
              <w:t>invita al Sector de Radiocomunicaciones de la UIT</w:t>
            </w:r>
            <w:r w:rsidR="00DE1381" w:rsidRPr="003E6986">
              <w:rPr>
                <w:lang w:val="es-ES_tradnl" w:eastAsia="nl-NL"/>
              </w:rPr>
              <w:t> </w:t>
            </w:r>
            <w:r w:rsidRPr="003E6986">
              <w:rPr>
                <w:lang w:val="es-ES_tradnl" w:eastAsia="nl-NL"/>
              </w:rPr>
              <w:t>1 y 2 anteriores,</w:t>
            </w:r>
          </w:p>
          <w:p w14:paraId="52A04259" w14:textId="77777777" w:rsidR="00CC4A65" w:rsidRPr="003E6986" w:rsidRDefault="00CC4A65" w:rsidP="00E2112F">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una futura Conferencia Mundial de Radiocomunicaciones competente posterior a la CMR-27</w:t>
            </w:r>
          </w:p>
          <w:p w14:paraId="0F40D3EF" w14:textId="691E2107" w:rsidR="00CC4A65" w:rsidRPr="003E6986" w:rsidRDefault="00CC4A65" w:rsidP="00CC4A65">
            <w:pPr>
              <w:pStyle w:val="Tabletext"/>
              <w:tabs>
                <w:tab w:val="clear" w:pos="284"/>
                <w:tab w:val="left" w:pos="463"/>
              </w:tabs>
              <w:jc w:val="both"/>
              <w:rPr>
                <w:lang w:val="es-ES_tradnl" w:eastAsia="nl-NL"/>
              </w:rPr>
            </w:pPr>
            <w:r w:rsidRPr="003E6986">
              <w:rPr>
                <w:lang w:val="es-ES_tradnl" w:eastAsia="nl-NL"/>
              </w:rPr>
              <w:t xml:space="preserve">a considerar, si procede, medidas reglamentarias adecuadas sobre la base de los estudios solicitados en el </w:t>
            </w:r>
            <w:r w:rsidRPr="003E6986">
              <w:rPr>
                <w:i/>
                <w:iCs/>
                <w:lang w:val="es-ES_tradnl" w:eastAsia="nl-NL"/>
              </w:rPr>
              <w:t>invita al Sector de Radiocomunicaciones de la UIT</w:t>
            </w:r>
            <w:r w:rsidRPr="003E6986">
              <w:rPr>
                <w:lang w:val="es-ES_tradnl" w:eastAsia="nl-NL"/>
              </w:rPr>
              <w:t xml:space="preserve"> 1 y 2 anteriores.</w:t>
            </w:r>
          </w:p>
        </w:tc>
        <w:tc>
          <w:tcPr>
            <w:tcW w:w="1406" w:type="dxa"/>
          </w:tcPr>
          <w:p w14:paraId="76E759D6" w14:textId="6A355409" w:rsidR="00B211E1" w:rsidRPr="008653C7" w:rsidRDefault="00DE1381" w:rsidP="00B211E1">
            <w:pPr>
              <w:spacing w:before="40" w:after="40"/>
              <w:jc w:val="center"/>
              <w:rPr>
                <w:b/>
                <w:bCs/>
                <w:sz w:val="20"/>
                <w:lang w:val="fr-FR"/>
              </w:rPr>
            </w:pPr>
            <w:r w:rsidRPr="008653C7">
              <w:rPr>
                <w:b/>
                <w:bCs/>
                <w:sz w:val="20"/>
                <w:lang w:val="fr-FR"/>
              </w:rPr>
              <w:lastRenderedPageBreak/>
              <w:t xml:space="preserve">GT </w:t>
            </w:r>
            <w:proofErr w:type="spellStart"/>
            <w:r w:rsidR="00B211E1" w:rsidRPr="008653C7">
              <w:rPr>
                <w:b/>
                <w:bCs/>
                <w:sz w:val="20"/>
                <w:lang w:val="fr-FR"/>
              </w:rPr>
              <w:t>1B</w:t>
            </w:r>
            <w:proofErr w:type="spellEnd"/>
          </w:p>
          <w:p w14:paraId="246E4FDE" w14:textId="5FA1EFE5" w:rsidR="00B211E1" w:rsidRPr="008653C7" w:rsidRDefault="00DE1381" w:rsidP="00B211E1">
            <w:pPr>
              <w:spacing w:before="40" w:after="40"/>
              <w:jc w:val="center"/>
              <w:rPr>
                <w:b/>
                <w:bCs/>
                <w:sz w:val="20"/>
                <w:lang w:val="fr-FR"/>
              </w:rPr>
            </w:pPr>
            <w:r w:rsidRPr="008653C7">
              <w:rPr>
                <w:b/>
                <w:bCs/>
                <w:sz w:val="20"/>
                <w:lang w:val="fr-FR"/>
              </w:rPr>
              <w:t xml:space="preserve">GT </w:t>
            </w:r>
            <w:proofErr w:type="spellStart"/>
            <w:r w:rsidR="00B211E1" w:rsidRPr="008653C7">
              <w:rPr>
                <w:b/>
                <w:bCs/>
                <w:sz w:val="20"/>
                <w:lang w:val="fr-FR"/>
              </w:rPr>
              <w:t>3J</w:t>
            </w:r>
            <w:proofErr w:type="spellEnd"/>
          </w:p>
          <w:p w14:paraId="36FACB7E" w14:textId="4049F716" w:rsidR="00B211E1" w:rsidRPr="008653C7" w:rsidRDefault="00DE1381" w:rsidP="00B211E1">
            <w:pPr>
              <w:spacing w:before="40" w:after="40"/>
              <w:jc w:val="center"/>
              <w:rPr>
                <w:b/>
                <w:bCs/>
                <w:sz w:val="20"/>
                <w:lang w:val="fr-FR"/>
              </w:rPr>
            </w:pPr>
            <w:r w:rsidRPr="008653C7">
              <w:rPr>
                <w:b/>
                <w:bCs/>
                <w:sz w:val="20"/>
                <w:lang w:val="fr-FR"/>
              </w:rPr>
              <w:t xml:space="preserve">GT </w:t>
            </w:r>
            <w:proofErr w:type="spellStart"/>
            <w:r w:rsidR="00B211E1" w:rsidRPr="008653C7">
              <w:rPr>
                <w:b/>
                <w:bCs/>
                <w:sz w:val="20"/>
                <w:lang w:val="fr-FR"/>
              </w:rPr>
              <w:t>4A</w:t>
            </w:r>
            <w:proofErr w:type="spellEnd"/>
          </w:p>
          <w:p w14:paraId="4E5D846D" w14:textId="6B04CAF2" w:rsidR="00B211E1" w:rsidRPr="008653C7" w:rsidRDefault="00DE1381" w:rsidP="00B211E1">
            <w:pPr>
              <w:spacing w:before="40" w:after="40"/>
              <w:jc w:val="center"/>
              <w:rPr>
                <w:b/>
                <w:bCs/>
                <w:sz w:val="20"/>
                <w:lang w:val="fr-FR"/>
              </w:rPr>
            </w:pPr>
            <w:r w:rsidRPr="008653C7">
              <w:rPr>
                <w:b/>
                <w:bCs/>
                <w:sz w:val="20"/>
                <w:lang w:val="fr-FR"/>
              </w:rPr>
              <w:t xml:space="preserve">GT </w:t>
            </w:r>
            <w:proofErr w:type="spellStart"/>
            <w:r w:rsidR="00B211E1" w:rsidRPr="008653C7">
              <w:rPr>
                <w:b/>
                <w:bCs/>
                <w:sz w:val="20"/>
                <w:lang w:val="fr-FR"/>
              </w:rPr>
              <w:t>4C</w:t>
            </w:r>
            <w:proofErr w:type="spellEnd"/>
          </w:p>
          <w:p w14:paraId="74AE39C3" w14:textId="6B9D8F65" w:rsidR="00B211E1" w:rsidRPr="008653C7" w:rsidRDefault="00DE1381" w:rsidP="00B211E1">
            <w:pPr>
              <w:spacing w:before="40" w:after="40"/>
              <w:jc w:val="center"/>
              <w:rPr>
                <w:b/>
                <w:bCs/>
                <w:sz w:val="20"/>
                <w:lang w:val="fr-FR"/>
              </w:rPr>
            </w:pPr>
            <w:r w:rsidRPr="008653C7">
              <w:rPr>
                <w:b/>
                <w:bCs/>
                <w:sz w:val="20"/>
                <w:lang w:val="fr-FR"/>
              </w:rPr>
              <w:t xml:space="preserve">GT </w:t>
            </w:r>
            <w:proofErr w:type="spellStart"/>
            <w:r w:rsidR="00B211E1" w:rsidRPr="008653C7">
              <w:rPr>
                <w:b/>
                <w:bCs/>
                <w:sz w:val="20"/>
                <w:lang w:val="fr-FR"/>
              </w:rPr>
              <w:t>5A</w:t>
            </w:r>
            <w:proofErr w:type="spellEnd"/>
          </w:p>
          <w:p w14:paraId="5AEAEAD2" w14:textId="20C48EF6" w:rsidR="00B211E1" w:rsidRPr="008653C7" w:rsidRDefault="00DE1381" w:rsidP="00B211E1">
            <w:pPr>
              <w:spacing w:before="40" w:after="40"/>
              <w:jc w:val="center"/>
              <w:rPr>
                <w:b/>
                <w:bCs/>
                <w:sz w:val="20"/>
                <w:lang w:val="fr-FR"/>
              </w:rPr>
            </w:pPr>
            <w:r w:rsidRPr="008653C7">
              <w:rPr>
                <w:b/>
                <w:bCs/>
                <w:sz w:val="20"/>
                <w:lang w:val="fr-FR"/>
              </w:rPr>
              <w:t xml:space="preserve">GT </w:t>
            </w:r>
            <w:proofErr w:type="spellStart"/>
            <w:r w:rsidR="00B211E1" w:rsidRPr="008653C7">
              <w:rPr>
                <w:b/>
                <w:bCs/>
                <w:sz w:val="20"/>
                <w:lang w:val="fr-FR"/>
              </w:rPr>
              <w:t>5B</w:t>
            </w:r>
            <w:proofErr w:type="spellEnd"/>
          </w:p>
          <w:p w14:paraId="013F533C" w14:textId="0F717308" w:rsidR="00B211E1" w:rsidRPr="008653C7" w:rsidRDefault="00DE1381" w:rsidP="00B211E1">
            <w:pPr>
              <w:spacing w:before="40" w:after="40"/>
              <w:jc w:val="center"/>
              <w:rPr>
                <w:b/>
                <w:bCs/>
                <w:sz w:val="20"/>
                <w:lang w:val="fr-FR"/>
              </w:rPr>
            </w:pPr>
            <w:r w:rsidRPr="008653C7">
              <w:rPr>
                <w:b/>
                <w:bCs/>
                <w:sz w:val="20"/>
                <w:lang w:val="fr-FR"/>
              </w:rPr>
              <w:t xml:space="preserve">GT </w:t>
            </w:r>
            <w:proofErr w:type="spellStart"/>
            <w:r w:rsidR="00B211E1" w:rsidRPr="008653C7">
              <w:rPr>
                <w:b/>
                <w:bCs/>
                <w:sz w:val="20"/>
                <w:lang w:val="fr-FR"/>
              </w:rPr>
              <w:t>5C</w:t>
            </w:r>
            <w:proofErr w:type="spellEnd"/>
            <w:r w:rsidR="00B211E1" w:rsidRPr="008653C7">
              <w:rPr>
                <w:b/>
                <w:bCs/>
                <w:sz w:val="20"/>
                <w:lang w:val="fr-FR"/>
              </w:rPr>
              <w:t xml:space="preserve"> </w:t>
            </w:r>
          </w:p>
          <w:p w14:paraId="7568C936" w14:textId="698F2660" w:rsidR="00B211E1" w:rsidRPr="008653C7" w:rsidRDefault="00DE1381" w:rsidP="00B211E1">
            <w:pPr>
              <w:spacing w:before="40" w:after="40"/>
              <w:jc w:val="center"/>
              <w:rPr>
                <w:b/>
                <w:bCs/>
                <w:sz w:val="20"/>
                <w:lang w:val="fr-FR"/>
              </w:rPr>
            </w:pPr>
            <w:r w:rsidRPr="008653C7">
              <w:rPr>
                <w:b/>
                <w:bCs/>
                <w:sz w:val="20"/>
                <w:lang w:val="fr-FR"/>
              </w:rPr>
              <w:t xml:space="preserve">GT </w:t>
            </w:r>
            <w:proofErr w:type="spellStart"/>
            <w:r w:rsidR="00B211E1" w:rsidRPr="008653C7">
              <w:rPr>
                <w:b/>
                <w:bCs/>
                <w:sz w:val="20"/>
                <w:lang w:val="fr-FR"/>
              </w:rPr>
              <w:t>5D</w:t>
            </w:r>
            <w:proofErr w:type="spellEnd"/>
          </w:p>
          <w:p w14:paraId="4FFC0119" w14:textId="4F461198" w:rsidR="00B211E1" w:rsidRPr="003E6986" w:rsidRDefault="00DE1381" w:rsidP="00B211E1">
            <w:pPr>
              <w:spacing w:before="40" w:after="40"/>
              <w:jc w:val="center"/>
              <w:rPr>
                <w:b/>
                <w:bCs/>
                <w:sz w:val="20"/>
                <w:lang w:val="es-ES_tradnl"/>
              </w:rPr>
            </w:pPr>
            <w:r w:rsidRPr="003E6986">
              <w:rPr>
                <w:b/>
                <w:bCs/>
                <w:sz w:val="20"/>
                <w:lang w:val="es-ES_tradnl"/>
              </w:rPr>
              <w:t>GT</w:t>
            </w:r>
            <w:r w:rsidR="00B211E1" w:rsidRPr="003E6986">
              <w:rPr>
                <w:b/>
                <w:bCs/>
                <w:sz w:val="20"/>
                <w:lang w:val="es-ES_tradnl"/>
              </w:rPr>
              <w:t xml:space="preserve"> </w:t>
            </w:r>
            <w:proofErr w:type="spellStart"/>
            <w:r w:rsidR="00B211E1" w:rsidRPr="003E6986">
              <w:rPr>
                <w:b/>
                <w:bCs/>
                <w:sz w:val="20"/>
                <w:lang w:val="es-ES_tradnl"/>
              </w:rPr>
              <w:t>7A</w:t>
            </w:r>
            <w:proofErr w:type="spellEnd"/>
          </w:p>
          <w:p w14:paraId="11C2F16E" w14:textId="28302ED2" w:rsidR="00B211E1" w:rsidRPr="003E6986" w:rsidRDefault="00DE1381" w:rsidP="00B211E1">
            <w:pPr>
              <w:spacing w:before="40" w:after="40"/>
              <w:jc w:val="center"/>
              <w:rPr>
                <w:b/>
                <w:bCs/>
                <w:sz w:val="20"/>
                <w:lang w:val="es-ES_tradnl"/>
              </w:rPr>
            </w:pPr>
            <w:r w:rsidRPr="003E6986">
              <w:rPr>
                <w:b/>
                <w:bCs/>
                <w:sz w:val="20"/>
                <w:lang w:val="es-ES_tradnl"/>
              </w:rPr>
              <w:t xml:space="preserve">GT </w:t>
            </w:r>
            <w:r w:rsidR="00B211E1" w:rsidRPr="003E6986">
              <w:rPr>
                <w:b/>
                <w:bCs/>
                <w:sz w:val="20"/>
                <w:lang w:val="es-ES_tradnl"/>
              </w:rPr>
              <w:t>7C</w:t>
            </w:r>
          </w:p>
          <w:p w14:paraId="450F2528" w14:textId="78539D66" w:rsidR="004A7B85" w:rsidRPr="003E6986" w:rsidRDefault="00DE1381" w:rsidP="00B211E1">
            <w:pPr>
              <w:pStyle w:val="Tabletext"/>
              <w:tabs>
                <w:tab w:val="clear" w:pos="284"/>
                <w:tab w:val="left" w:pos="463"/>
              </w:tabs>
              <w:spacing w:line="480" w:lineRule="auto"/>
              <w:jc w:val="center"/>
              <w:rPr>
                <w:b/>
                <w:bCs/>
                <w:lang w:val="es-ES_tradnl" w:eastAsia="nl-NL"/>
              </w:rPr>
            </w:pPr>
            <w:r w:rsidRPr="003E6986">
              <w:rPr>
                <w:b/>
                <w:bCs/>
                <w:lang w:val="es-ES_tradnl"/>
              </w:rPr>
              <w:t xml:space="preserve">GT </w:t>
            </w:r>
            <w:r w:rsidR="00B211E1" w:rsidRPr="003E6986">
              <w:rPr>
                <w:b/>
                <w:bCs/>
                <w:lang w:val="es-ES_tradnl"/>
              </w:rPr>
              <w:t>7D</w:t>
            </w:r>
          </w:p>
        </w:tc>
      </w:tr>
      <w:tr w:rsidR="004A7B85" w:rsidRPr="008653C7" w14:paraId="44C0872D" w14:textId="77777777" w:rsidTr="00C642A5">
        <w:trPr>
          <w:gridAfter w:val="1"/>
          <w:wAfter w:w="27" w:type="dxa"/>
          <w:jc w:val="center"/>
        </w:trPr>
        <w:tc>
          <w:tcPr>
            <w:tcW w:w="14036" w:type="dxa"/>
            <w:gridSpan w:val="4"/>
          </w:tcPr>
          <w:p w14:paraId="47528B8D" w14:textId="62578FA8" w:rsidR="004A7B85" w:rsidRPr="003E6986" w:rsidRDefault="00032484" w:rsidP="00060E19">
            <w:pPr>
              <w:pStyle w:val="Tabletext"/>
              <w:keepNext/>
              <w:keepLines/>
              <w:tabs>
                <w:tab w:val="clear" w:pos="284"/>
                <w:tab w:val="left" w:pos="594"/>
              </w:tabs>
              <w:jc w:val="both"/>
              <w:rPr>
                <w:lang w:val="es-ES_tradnl" w:eastAsia="nl-NL"/>
              </w:rPr>
            </w:pPr>
            <w:r w:rsidRPr="003E6986">
              <w:rPr>
                <w:lang w:val="es-ES_tradnl" w:eastAsia="nl-NL"/>
              </w:rPr>
              <w:lastRenderedPageBreak/>
              <w:t>1.16</w:t>
            </w:r>
            <w:r w:rsidRPr="003E6986">
              <w:rPr>
                <w:lang w:val="es-ES_tradnl" w:eastAsia="nl-NL"/>
              </w:rPr>
              <w:tab/>
              <w:t xml:space="preserve">considerar estudios sobre las disposiciones técnicas y reglamentarias necesarias para proteger la radioastronomía en zonas de silencio radioeléctrico específicas y en las bandas de frecuencias atribuidas a título primario al servicio de radioastronomía a nivel mundial contra la interferencia radioeléctrica combinada causada por sistemas en órbita de satélites no geoestacionarios, de conformidad con la Resolución </w:t>
            </w:r>
            <w:r w:rsidR="009B4CFB" w:rsidRPr="003E6986">
              <w:rPr>
                <w:b/>
                <w:lang w:val="es-ES_tradnl" w:eastAsia="nl-NL"/>
              </w:rPr>
              <w:t xml:space="preserve">681 </w:t>
            </w:r>
            <w:r w:rsidRPr="003E6986">
              <w:rPr>
                <w:b/>
                <w:lang w:val="es-ES_tradnl" w:eastAsia="nl-NL"/>
              </w:rPr>
              <w:t>(CMR-23)</w:t>
            </w:r>
            <w:r w:rsidRPr="003E6986">
              <w:rPr>
                <w:lang w:val="es-ES_tradnl" w:eastAsia="nl-NL"/>
              </w:rPr>
              <w:t>;</w:t>
            </w:r>
          </w:p>
        </w:tc>
      </w:tr>
      <w:tr w:rsidR="004A7B85" w:rsidRPr="008653C7" w14:paraId="0FAD3594" w14:textId="77777777" w:rsidTr="00C642A5">
        <w:trPr>
          <w:gridAfter w:val="1"/>
          <w:wAfter w:w="27" w:type="dxa"/>
          <w:jc w:val="center"/>
        </w:trPr>
        <w:tc>
          <w:tcPr>
            <w:tcW w:w="3304" w:type="dxa"/>
          </w:tcPr>
          <w:p w14:paraId="16334098" w14:textId="186CCB1A" w:rsidR="00032484" w:rsidRPr="003E6986" w:rsidRDefault="00032484" w:rsidP="00060E19">
            <w:pPr>
              <w:pStyle w:val="Tabletext"/>
              <w:tabs>
                <w:tab w:val="left" w:pos="463"/>
              </w:tabs>
              <w:rPr>
                <w:b/>
                <w:lang w:val="es-ES_tradnl" w:eastAsia="nl-NL"/>
              </w:rPr>
            </w:pPr>
            <w:r w:rsidRPr="003E6986">
              <w:rPr>
                <w:lang w:val="es-ES_tradnl" w:eastAsia="nl-NL"/>
              </w:rPr>
              <w:t>Resolución</w:t>
            </w:r>
            <w:r w:rsidRPr="003E6986">
              <w:rPr>
                <w:b/>
                <w:lang w:val="es-ES_tradnl" w:eastAsia="nl-NL"/>
              </w:rPr>
              <w:t xml:space="preserve"> </w:t>
            </w:r>
            <w:r w:rsidR="009B4CFB" w:rsidRPr="003E6986">
              <w:rPr>
                <w:b/>
                <w:lang w:val="es-ES_tradnl" w:eastAsia="nl-NL"/>
              </w:rPr>
              <w:t xml:space="preserve">681 </w:t>
            </w:r>
            <w:r w:rsidRPr="003E6986">
              <w:rPr>
                <w:b/>
                <w:lang w:val="es-ES_tradnl" w:eastAsia="nl-NL"/>
              </w:rPr>
              <w:t>(</w:t>
            </w:r>
            <w:proofErr w:type="spellStart"/>
            <w:r w:rsidRPr="003E6986">
              <w:rPr>
                <w:b/>
                <w:lang w:val="es-ES_tradnl" w:eastAsia="nl-NL"/>
              </w:rPr>
              <w:t>CMR</w:t>
            </w:r>
            <w:proofErr w:type="spellEnd"/>
            <w:r w:rsidRPr="003E6986">
              <w:rPr>
                <w:b/>
                <w:lang w:val="es-ES_tradnl" w:eastAsia="nl-NL"/>
              </w:rPr>
              <w:t>-23)</w:t>
            </w:r>
          </w:p>
          <w:p w14:paraId="2F24964E" w14:textId="6DEBFFEA" w:rsidR="004A7B85" w:rsidRPr="003E6986" w:rsidRDefault="00032484" w:rsidP="00C642A5">
            <w:pPr>
              <w:pStyle w:val="Tabletext"/>
              <w:tabs>
                <w:tab w:val="left" w:pos="463"/>
              </w:tabs>
              <w:rPr>
                <w:lang w:val="es-ES_tradnl" w:eastAsia="nl-NL"/>
              </w:rPr>
            </w:pPr>
            <w:r w:rsidRPr="003E6986">
              <w:rPr>
                <w:lang w:val="es-ES_tradnl" w:eastAsia="nl-NL"/>
              </w:rPr>
              <w:t>Estudios de las disposiciones técnicas y reglamentarias necesarias para proteger la radioastronomía en zonas de silencio radioeléctrico específicas y en las bandas de frecuencias atribuidas a título primario al servicio de radioastronomía a nivel mundial contra las interferencias de radiofrecuencia combinadas causadas por sistemas no OSG</w:t>
            </w:r>
          </w:p>
        </w:tc>
        <w:tc>
          <w:tcPr>
            <w:tcW w:w="1517" w:type="dxa"/>
          </w:tcPr>
          <w:p w14:paraId="29A6F166" w14:textId="6E267E00" w:rsidR="004A7B85" w:rsidRPr="003E6986" w:rsidRDefault="00A92266" w:rsidP="00060E19">
            <w:pPr>
              <w:pStyle w:val="Tabletext"/>
              <w:tabs>
                <w:tab w:val="clear" w:pos="284"/>
                <w:tab w:val="left" w:pos="463"/>
              </w:tabs>
              <w:jc w:val="center"/>
              <w:rPr>
                <w:b/>
                <w:bCs/>
                <w:lang w:val="es-ES_tradnl" w:eastAsia="nl-NL"/>
              </w:rPr>
            </w:pPr>
            <w:r w:rsidRPr="003E6986">
              <w:rPr>
                <w:b/>
                <w:bCs/>
                <w:lang w:val="es-ES_tradnl" w:eastAsia="nl-NL"/>
              </w:rPr>
              <w:t>GT</w:t>
            </w:r>
            <w:r w:rsidR="004A7B85" w:rsidRPr="003E6986">
              <w:rPr>
                <w:b/>
                <w:bCs/>
                <w:lang w:val="es-ES_tradnl" w:eastAsia="nl-NL"/>
              </w:rPr>
              <w:t> </w:t>
            </w:r>
            <w:r w:rsidR="00032484" w:rsidRPr="003E6986">
              <w:rPr>
                <w:b/>
                <w:bCs/>
                <w:lang w:val="es-ES_tradnl" w:eastAsia="nl-NL"/>
              </w:rPr>
              <w:t>7D</w:t>
            </w:r>
          </w:p>
        </w:tc>
        <w:tc>
          <w:tcPr>
            <w:tcW w:w="7809" w:type="dxa"/>
          </w:tcPr>
          <w:p w14:paraId="61F87271" w14:textId="1322B72F" w:rsidR="004A7B85" w:rsidRPr="003E6986" w:rsidRDefault="00032484" w:rsidP="00060E19">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considerando</w:t>
            </w:r>
          </w:p>
          <w:p w14:paraId="60BEDBB7" w14:textId="77777777" w:rsidR="004A7B85" w:rsidRPr="003E6986" w:rsidRDefault="00032484" w:rsidP="00060E19">
            <w:pPr>
              <w:pStyle w:val="Tabletext"/>
              <w:tabs>
                <w:tab w:val="clear" w:pos="284"/>
                <w:tab w:val="left" w:pos="463"/>
              </w:tabs>
              <w:jc w:val="both"/>
              <w:rPr>
                <w:lang w:val="es-ES_tradnl" w:eastAsia="nl-NL"/>
              </w:rPr>
            </w:pPr>
            <w:r w:rsidRPr="003E6986">
              <w:rPr>
                <w:lang w:val="es-ES_tradnl" w:eastAsia="nl-NL"/>
              </w:rPr>
              <w:t>…</w:t>
            </w:r>
          </w:p>
          <w:p w14:paraId="0E5B65C3" w14:textId="77777777" w:rsidR="00032484" w:rsidRPr="003E6986" w:rsidRDefault="00032484" w:rsidP="00060E19">
            <w:pPr>
              <w:pStyle w:val="Tabletext"/>
              <w:tabs>
                <w:tab w:val="clear" w:pos="284"/>
                <w:tab w:val="left" w:pos="463"/>
              </w:tabs>
              <w:jc w:val="both"/>
              <w:rPr>
                <w:lang w:val="es-ES_tradnl" w:eastAsia="nl-NL"/>
              </w:rPr>
            </w:pPr>
            <w:r w:rsidRPr="003E6986">
              <w:rPr>
                <w:i/>
                <w:lang w:val="es-ES_tradnl" w:eastAsia="nl-NL"/>
              </w:rPr>
              <w:t>j)</w:t>
            </w:r>
            <w:r w:rsidRPr="003E6986">
              <w:rPr>
                <w:lang w:val="es-ES_tradnl" w:eastAsia="nl-NL"/>
              </w:rPr>
              <w:tab/>
              <w:t>que un reducido número de estaciones remotas del SRA son de suma importancia, ya que están concebidas para realizar observaciones de gran significancia que den lugar a nuevos conocimientos de los fenómenos astronómicos, lo que puede requerir la observación de objetos no estudiados anteriormente o la observación de objetos con mayor precisión;</w:t>
            </w:r>
          </w:p>
          <w:p w14:paraId="635B9153" w14:textId="77777777" w:rsidR="00032484" w:rsidRPr="003E6986" w:rsidRDefault="00032484" w:rsidP="00060E19">
            <w:pPr>
              <w:pStyle w:val="Tabletext"/>
              <w:tabs>
                <w:tab w:val="clear" w:pos="284"/>
                <w:tab w:val="left" w:pos="463"/>
              </w:tabs>
              <w:jc w:val="both"/>
              <w:rPr>
                <w:lang w:val="es-ES_tradnl" w:eastAsia="nl-NL"/>
              </w:rPr>
            </w:pPr>
            <w:r w:rsidRPr="003E6986">
              <w:rPr>
                <w:i/>
                <w:lang w:val="es-ES_tradnl" w:eastAsia="nl-NL"/>
              </w:rPr>
              <w:t>k)</w:t>
            </w:r>
            <w:r w:rsidRPr="003E6986">
              <w:rPr>
                <w:lang w:val="es-ES_tradnl" w:eastAsia="nl-NL"/>
              </w:rPr>
              <w:tab/>
              <w:t xml:space="preserve">que, a efectos de la presente Resolución, las instalaciones que quedan abarcadas por la categoría definida en el </w:t>
            </w:r>
            <w:r w:rsidRPr="003E6986">
              <w:rPr>
                <w:i/>
                <w:lang w:val="es-ES_tradnl" w:eastAsia="nl-NL"/>
              </w:rPr>
              <w:t>considerando j)</w:t>
            </w:r>
            <w:r w:rsidRPr="003E6986">
              <w:rPr>
                <w:lang w:val="es-ES_tradnl" w:eastAsia="nl-NL"/>
              </w:rPr>
              <w:t xml:space="preserve"> son las siguientes:</w:t>
            </w:r>
          </w:p>
          <w:p w14:paraId="4AE312CA" w14:textId="77777777" w:rsidR="00032484" w:rsidRPr="003E6986" w:rsidRDefault="00032484" w:rsidP="00060E19">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el Observatorio del Square Kilometre Array en la República Sudafricana; y</w:t>
            </w:r>
          </w:p>
          <w:p w14:paraId="62DFAFBA" w14:textId="77777777" w:rsidR="00032484" w:rsidRPr="003E6986" w:rsidRDefault="00032484" w:rsidP="00060E19">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la gran red de antenas milimétricas/submilimétricas de Atacama (ALMA) en Chile;</w:t>
            </w:r>
          </w:p>
          <w:p w14:paraId="4A61B126" w14:textId="77777777" w:rsidR="00032484" w:rsidRPr="003E6986" w:rsidRDefault="00032484" w:rsidP="00060E19">
            <w:pPr>
              <w:pStyle w:val="Tabletext"/>
              <w:tabs>
                <w:tab w:val="clear" w:pos="284"/>
                <w:tab w:val="left" w:pos="463"/>
              </w:tabs>
              <w:jc w:val="both"/>
              <w:rPr>
                <w:lang w:val="es-ES_tradnl" w:eastAsia="nl-NL"/>
              </w:rPr>
            </w:pPr>
            <w:r w:rsidRPr="003E6986">
              <w:rPr>
                <w:lang w:val="es-ES_tradnl" w:eastAsia="nl-NL"/>
              </w:rPr>
              <w:t>…</w:t>
            </w:r>
          </w:p>
          <w:p w14:paraId="0F4D974F" w14:textId="77777777" w:rsidR="00032484" w:rsidRPr="003E6986" w:rsidRDefault="00032484" w:rsidP="00060E19">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2027</w:t>
            </w:r>
          </w:p>
          <w:p w14:paraId="2EB26F5E" w14:textId="77777777" w:rsidR="00032484" w:rsidRPr="003E6986" w:rsidRDefault="00032484" w:rsidP="00060E19">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estudios sobre la incidencia de la interferencia producida por las emisiones no deseadas de un sistema de satélites no OSG que funciona en las bandas de frecuencias adyacentes o cercanas a las previstas en el Cuadro 1 en el funcionamiento de las estaciones del SRA en las bandas de frecuencias atribuidas al SRA a título primario en el Cuadro 1;</w:t>
            </w:r>
          </w:p>
          <w:p w14:paraId="0E672F6F" w14:textId="77777777" w:rsidR="00032484" w:rsidRPr="003E6986" w:rsidRDefault="00032484" w:rsidP="00060E19">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estudios sobre la incidencia de la interferencia combinada producida por las emisiones no deseadas de varios sistemas de satélites no OSG que funcionan en las bandas de frecuencias adyacentes o cercanas a las previstas en el Cuadro 1 en el funcionamiento de las estaciones del SRA en las bandas de frecuencias atribuidas al SRA a título primario en el Cuadro 1;</w:t>
            </w:r>
          </w:p>
          <w:p w14:paraId="27937756" w14:textId="77777777" w:rsidR="00032484" w:rsidRPr="003E6986" w:rsidRDefault="00032484" w:rsidP="00060E19">
            <w:pPr>
              <w:pStyle w:val="Tabletext"/>
              <w:tabs>
                <w:tab w:val="left" w:pos="463"/>
              </w:tabs>
              <w:rPr>
                <w:lang w:val="es-ES_tradnl" w:eastAsia="nl-NL"/>
              </w:rPr>
            </w:pPr>
            <w:r w:rsidRPr="003E6986">
              <w:rPr>
                <w:lang w:val="es-ES_tradnl" w:eastAsia="nl-NL"/>
              </w:rPr>
              <w:lastRenderedPageBreak/>
              <w:t>3</w:t>
            </w:r>
            <w:r w:rsidRPr="003E6986">
              <w:rPr>
                <w:lang w:val="es-ES_tradnl" w:eastAsia="nl-NL"/>
              </w:rPr>
              <w:tab/>
              <w:t xml:space="preserve">estudios sobre el posible reconocimiento de las RQZ especificadas en el </w:t>
            </w:r>
            <w:r w:rsidRPr="003E6986">
              <w:rPr>
                <w:i/>
                <w:lang w:val="es-ES_tradnl" w:eastAsia="nl-NL"/>
              </w:rPr>
              <w:t>considerando k)</w:t>
            </w:r>
            <w:r w:rsidRPr="003E6986">
              <w:rPr>
                <w:lang w:val="es-ES_tradnl" w:eastAsia="nl-NL"/>
              </w:rPr>
              <w:t>, sobre la base de sus características y de los estudios existentes del UIT-R;</w:t>
            </w:r>
          </w:p>
          <w:p w14:paraId="5F55F90E" w14:textId="77777777" w:rsidR="00032484" w:rsidRPr="003E6986" w:rsidRDefault="00032484" w:rsidP="00060E19">
            <w:pPr>
              <w:pStyle w:val="Tabletext"/>
              <w:tabs>
                <w:tab w:val="clear" w:pos="284"/>
                <w:tab w:val="left" w:pos="463"/>
              </w:tabs>
              <w:jc w:val="both"/>
              <w:rPr>
                <w:lang w:val="es-ES_tradnl" w:eastAsia="nl-NL"/>
              </w:rPr>
            </w:pPr>
            <w:r w:rsidRPr="003E6986">
              <w:rPr>
                <w:lang w:val="es-ES_tradnl" w:eastAsia="nl-NL"/>
              </w:rPr>
              <w:t>4</w:t>
            </w:r>
            <w:r w:rsidRPr="003E6986">
              <w:rPr>
                <w:lang w:val="es-ES_tradnl" w:eastAsia="nl-NL"/>
              </w:rPr>
              <w:tab/>
              <w:t xml:space="preserve">estudios sobre la incidencia de la interferencia combinada de uno o varios sistemas de satélites no OSG en el funcionamiento de las estaciones del SRA en las RQZ especificadas en el </w:t>
            </w:r>
            <w:r w:rsidRPr="003E6986">
              <w:rPr>
                <w:i/>
                <w:lang w:val="es-ES_tradnl" w:eastAsia="nl-NL"/>
              </w:rPr>
              <w:t>considerando k)</w:t>
            </w:r>
            <w:r w:rsidRPr="003E6986">
              <w:rPr>
                <w:lang w:val="es-ES_tradnl" w:eastAsia="nl-NL"/>
              </w:rPr>
              <w:t>;</w:t>
            </w:r>
          </w:p>
          <w:p w14:paraId="00406DA0" w14:textId="77777777" w:rsidR="00032484" w:rsidRPr="003E6986" w:rsidRDefault="00032484" w:rsidP="00060E19">
            <w:pPr>
              <w:pStyle w:val="Tabletext"/>
              <w:tabs>
                <w:tab w:val="clear" w:pos="284"/>
                <w:tab w:val="left" w:pos="463"/>
              </w:tabs>
              <w:jc w:val="both"/>
              <w:rPr>
                <w:lang w:val="es-ES_tradnl" w:eastAsia="nl-NL"/>
              </w:rPr>
            </w:pPr>
            <w:r w:rsidRPr="003E6986">
              <w:rPr>
                <w:lang w:val="es-ES_tradnl" w:eastAsia="nl-NL"/>
              </w:rPr>
              <w:t>5</w:t>
            </w:r>
            <w:r w:rsidRPr="003E6986">
              <w:rPr>
                <w:lang w:val="es-ES_tradnl" w:eastAsia="nl-NL"/>
              </w:rPr>
              <w:tab/>
              <w:t xml:space="preserve">estudios sobre nuevas medidas de coexistencia entre los sistemas de satélites no OSG y las estaciones del SRA en las RQZ especificadas en el </w:t>
            </w:r>
            <w:r w:rsidRPr="003E6986">
              <w:rPr>
                <w:i/>
                <w:lang w:val="es-ES_tradnl" w:eastAsia="nl-NL"/>
              </w:rPr>
              <w:t>considerando k)</w:t>
            </w:r>
            <w:r w:rsidRPr="003E6986">
              <w:rPr>
                <w:lang w:val="es-ES_tradnl" w:eastAsia="nl-NL"/>
              </w:rPr>
              <w:t>;</w:t>
            </w:r>
          </w:p>
          <w:p w14:paraId="66752DA3" w14:textId="77777777" w:rsidR="00032484" w:rsidRPr="003E6986" w:rsidRDefault="00032484" w:rsidP="00060E19">
            <w:pPr>
              <w:pStyle w:val="Tabletext"/>
              <w:tabs>
                <w:tab w:val="clear" w:pos="284"/>
                <w:tab w:val="left" w:pos="463"/>
              </w:tabs>
              <w:jc w:val="both"/>
              <w:rPr>
                <w:lang w:val="es-ES_tradnl" w:eastAsia="nl-NL"/>
              </w:rPr>
            </w:pPr>
            <w:r w:rsidRPr="003E6986">
              <w:rPr>
                <w:lang w:val="es-ES_tradnl" w:eastAsia="nl-NL"/>
              </w:rPr>
              <w:t>6</w:t>
            </w:r>
            <w:r w:rsidRPr="003E6986">
              <w:rPr>
                <w:lang w:val="es-ES_tradnl" w:eastAsia="nl-NL"/>
              </w:rPr>
              <w:tab/>
              <w:t xml:space="preserve">estudios de métodos para calcular las distancias de separación necesarias entre las pasarelas de los sistemas no OSG que funcionan en bandas adyacentes o cercanas a las atribuciones al SRA y las estaciones del SRA protegidas por las RQZ especificadas en el </w:t>
            </w:r>
            <w:r w:rsidRPr="003E6986">
              <w:rPr>
                <w:i/>
                <w:lang w:val="es-ES_tradnl" w:eastAsia="nl-NL"/>
              </w:rPr>
              <w:t>considerando k)</w:t>
            </w:r>
            <w:r w:rsidRPr="003E6986">
              <w:rPr>
                <w:lang w:val="es-ES_tradnl" w:eastAsia="nl-NL"/>
              </w:rPr>
              <w:t>,</w:t>
            </w:r>
          </w:p>
          <w:p w14:paraId="33D61E0B" w14:textId="77777777" w:rsidR="00032484" w:rsidRPr="003E6986" w:rsidRDefault="00032484" w:rsidP="00060E19">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las administraciones</w:t>
            </w:r>
          </w:p>
          <w:p w14:paraId="3E862050" w14:textId="7DAC9247" w:rsidR="00032484" w:rsidRPr="003E6986" w:rsidRDefault="00032484" w:rsidP="00060E19">
            <w:pPr>
              <w:pStyle w:val="Tabletext"/>
              <w:tabs>
                <w:tab w:val="clear" w:pos="284"/>
                <w:tab w:val="left" w:pos="463"/>
              </w:tabs>
              <w:jc w:val="both"/>
              <w:rPr>
                <w:lang w:val="es-ES_tradnl" w:eastAsia="nl-NL"/>
              </w:rPr>
            </w:pPr>
            <w:r w:rsidRPr="003E6986">
              <w:rPr>
                <w:lang w:val="es-ES_tradnl" w:eastAsia="nl-NL"/>
              </w:rPr>
              <w:t>a participar activamente en los estudios y a proporcionar las características técnicas y operativas de los sistemas afectados, así como toda información necesaria para la realización de estudios mediante la presentación de contribuciones al UIT-R,</w:t>
            </w:r>
          </w:p>
          <w:p w14:paraId="3A9271F5" w14:textId="77777777" w:rsidR="00032484" w:rsidRPr="003E6986" w:rsidRDefault="00032484" w:rsidP="00060E19">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2027</w:t>
            </w:r>
          </w:p>
          <w:p w14:paraId="1F2A9621" w14:textId="23306919" w:rsidR="00032484" w:rsidRPr="003E6986" w:rsidRDefault="00032484" w:rsidP="00060E19">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 xml:space="preserve">a considerar medidas técnicas y/o reglamentarias apropiadas con base en los resultados de los estudios mencionados en el </w:t>
            </w:r>
            <w:r w:rsidR="00060E19" w:rsidRPr="003E6986">
              <w:rPr>
                <w:i/>
                <w:lang w:val="es-ES_tradnl" w:eastAsia="nl-NL"/>
              </w:rPr>
              <w:t>resuelve invitar al Sector de Radiocomunicaciones de la UIT a finalizar a tiempo para la Conferencia Mundial de Radiocomunicaciones de 2027</w:t>
            </w:r>
            <w:r w:rsidR="00060E19" w:rsidRPr="003E6986">
              <w:rPr>
                <w:lang w:val="es-ES_tradnl" w:eastAsia="nl-NL"/>
              </w:rPr>
              <w:t> </w:t>
            </w:r>
            <w:r w:rsidRPr="003E6986">
              <w:rPr>
                <w:lang w:val="es-ES_tradnl" w:eastAsia="nl-NL"/>
              </w:rPr>
              <w:t>1;</w:t>
            </w:r>
          </w:p>
          <w:p w14:paraId="3FCE2676" w14:textId="336A0C12" w:rsidR="00032484" w:rsidRPr="003E6986" w:rsidRDefault="00032484" w:rsidP="00060E19">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 xml:space="preserve">a considerar, si se estima oportuno, con base en los estudios mencionados en los </w:t>
            </w:r>
            <w:r w:rsidR="00060E19" w:rsidRPr="003E6986">
              <w:rPr>
                <w:i/>
                <w:lang w:val="es-ES_tradnl" w:eastAsia="nl-NL"/>
              </w:rPr>
              <w:t>resuelve invitar al Sector de Radiocomunicaciones de la UIT a finalizar a tiempo para la Conferencia Mundial de Radiocomunicaciones de 2027</w:t>
            </w:r>
            <w:r w:rsidR="005A6CA0" w:rsidRPr="003E6986">
              <w:rPr>
                <w:lang w:val="es-ES_tradnl" w:eastAsia="nl-NL"/>
              </w:rPr>
              <w:t> </w:t>
            </w:r>
            <w:r w:rsidRPr="003E6986">
              <w:rPr>
                <w:lang w:val="es-ES_tradnl" w:eastAsia="nl-NL"/>
              </w:rPr>
              <w:t xml:space="preserve">3, 4, 5 y 6, posibles soluciones para definir las características de las RQZ definidas en el </w:t>
            </w:r>
            <w:r w:rsidRPr="00C642A5">
              <w:rPr>
                <w:i/>
                <w:iCs/>
                <w:lang w:val="es-ES_tradnl" w:eastAsia="nl-NL"/>
              </w:rPr>
              <w:t>considerando k)</w:t>
            </w:r>
            <w:r w:rsidRPr="003E6986">
              <w:rPr>
                <w:lang w:val="es-ES_tradnl" w:eastAsia="nl-NL"/>
              </w:rPr>
              <w:t xml:space="preserve"> en el Reglamento de Radiocomunicaciones y/o en una Resolución de la CMR,</w:t>
            </w:r>
          </w:p>
          <w:p w14:paraId="62A658BA" w14:textId="6E236685" w:rsidR="00032484" w:rsidRPr="003E6986" w:rsidRDefault="00032484" w:rsidP="00060E19">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encarga a</w:t>
            </w:r>
            <w:r w:rsidR="00B211E1" w:rsidRPr="003E6986">
              <w:rPr>
                <w:rFonts w:eastAsia="???"/>
                <w:i/>
                <w:iCs/>
                <w:lang w:val="es-ES_tradnl" w:eastAsia="nl-NL"/>
              </w:rPr>
              <w:t xml:space="preserve"> </w:t>
            </w:r>
            <w:r w:rsidRPr="003E6986">
              <w:rPr>
                <w:rFonts w:eastAsia="???"/>
                <w:i/>
                <w:iCs/>
                <w:lang w:val="es-ES_tradnl" w:eastAsia="nl-NL"/>
              </w:rPr>
              <w:t>l</w:t>
            </w:r>
            <w:r w:rsidR="00B211E1" w:rsidRPr="003E6986">
              <w:rPr>
                <w:rFonts w:eastAsia="???"/>
                <w:i/>
                <w:iCs/>
                <w:lang w:val="es-ES_tradnl" w:eastAsia="nl-NL"/>
              </w:rPr>
              <w:t>a</w:t>
            </w:r>
            <w:r w:rsidRPr="003E6986">
              <w:rPr>
                <w:rFonts w:eastAsia="???"/>
                <w:i/>
                <w:iCs/>
                <w:lang w:val="es-ES_tradnl" w:eastAsia="nl-NL"/>
              </w:rPr>
              <w:t xml:space="preserve"> Secretari</w:t>
            </w:r>
            <w:r w:rsidR="00B211E1" w:rsidRPr="003E6986">
              <w:rPr>
                <w:rFonts w:eastAsia="???"/>
                <w:i/>
                <w:iCs/>
                <w:lang w:val="es-ES_tradnl" w:eastAsia="nl-NL"/>
              </w:rPr>
              <w:t>a</w:t>
            </w:r>
            <w:r w:rsidRPr="003E6986">
              <w:rPr>
                <w:rFonts w:eastAsia="???"/>
                <w:i/>
                <w:iCs/>
                <w:lang w:val="es-ES_tradnl" w:eastAsia="nl-NL"/>
              </w:rPr>
              <w:t xml:space="preserve"> General</w:t>
            </w:r>
          </w:p>
          <w:p w14:paraId="0FC4251A" w14:textId="77777777" w:rsidR="00032484" w:rsidRPr="003E6986" w:rsidRDefault="00032484" w:rsidP="00060E19">
            <w:pPr>
              <w:pStyle w:val="Tabletext"/>
              <w:tabs>
                <w:tab w:val="clear" w:pos="284"/>
                <w:tab w:val="left" w:pos="463"/>
              </w:tabs>
              <w:jc w:val="both"/>
              <w:rPr>
                <w:lang w:val="es-ES_tradnl" w:eastAsia="nl-NL"/>
              </w:rPr>
            </w:pPr>
            <w:r w:rsidRPr="003E6986">
              <w:rPr>
                <w:lang w:val="es-ES_tradnl" w:eastAsia="nl-NL"/>
              </w:rPr>
              <w:t>que señale la presente Resolución a la atención de la UN/COPOUS y de otras organizaciones internacionales y regionales pertinentes.</w:t>
            </w:r>
          </w:p>
          <w:p w14:paraId="10D7A996" w14:textId="77777777" w:rsidR="00C642A5" w:rsidRDefault="00C642A5" w:rsidP="00A923A9">
            <w:pPr>
              <w:pStyle w:val="TableNo"/>
              <w:keepNext w:val="0"/>
              <w:spacing w:before="240"/>
              <w:rPr>
                <w:rFonts w:asciiTheme="minorHAnsi" w:hAnsiTheme="minorHAnsi" w:cstheme="minorHAnsi"/>
                <w:lang w:val="es-ES_tradnl"/>
              </w:rPr>
            </w:pPr>
          </w:p>
          <w:p w14:paraId="38136204" w14:textId="77777777" w:rsidR="00C642A5" w:rsidRDefault="00C642A5" w:rsidP="00A923A9">
            <w:pPr>
              <w:pStyle w:val="TableNo"/>
              <w:keepNext w:val="0"/>
              <w:spacing w:before="240"/>
              <w:rPr>
                <w:rFonts w:asciiTheme="minorHAnsi" w:hAnsiTheme="minorHAnsi" w:cstheme="minorHAnsi"/>
                <w:lang w:val="es-ES_tradnl"/>
              </w:rPr>
            </w:pPr>
          </w:p>
          <w:p w14:paraId="776DEFDE" w14:textId="3C919524" w:rsidR="00BC0FC3" w:rsidRPr="003E6986" w:rsidRDefault="00BC0FC3" w:rsidP="00A923A9">
            <w:pPr>
              <w:pStyle w:val="TableNo"/>
              <w:keepNext w:val="0"/>
              <w:spacing w:before="240"/>
              <w:rPr>
                <w:rFonts w:asciiTheme="minorHAnsi" w:hAnsiTheme="minorHAnsi" w:cstheme="minorHAnsi"/>
                <w:lang w:val="es-ES_tradnl"/>
              </w:rPr>
            </w:pPr>
            <w:r w:rsidRPr="003E6986">
              <w:rPr>
                <w:rFonts w:asciiTheme="minorHAnsi" w:hAnsiTheme="minorHAnsi" w:cstheme="minorHAnsi"/>
                <w:lang w:val="es-ES_tradnl"/>
              </w:rPr>
              <w:lastRenderedPageBreak/>
              <w:t>CUADRO 1</w:t>
            </w:r>
          </w:p>
          <w:p w14:paraId="4F981215" w14:textId="3A18A697" w:rsidR="00BC0FC3" w:rsidRDefault="00BC0FC3" w:rsidP="00060E19">
            <w:pPr>
              <w:pStyle w:val="Tabletitle"/>
              <w:keepNext w:val="0"/>
              <w:keepLines w:val="0"/>
              <w:rPr>
                <w:rFonts w:asciiTheme="minorHAnsi" w:hAnsiTheme="minorHAnsi" w:cstheme="minorHAnsi"/>
                <w:lang w:val="es-ES_tradnl"/>
              </w:rPr>
            </w:pPr>
            <w:r w:rsidRPr="003E6986">
              <w:rPr>
                <w:rFonts w:asciiTheme="minorHAnsi" w:hAnsiTheme="minorHAnsi" w:cstheme="minorHAnsi"/>
                <w:lang w:val="es-ES_tradnl"/>
              </w:rPr>
              <w:t>Bandas de frecuencias del SRA que deben estudiarse y servicios activos</w:t>
            </w:r>
            <w:r w:rsidRPr="003E6986">
              <w:rPr>
                <w:rFonts w:asciiTheme="minorHAnsi" w:hAnsiTheme="minorHAnsi" w:cstheme="minorHAnsi"/>
                <w:lang w:val="es-ES_tradnl"/>
              </w:rPr>
              <w:br/>
              <w:t xml:space="preserve"> correspondientes que deben incluirse</w:t>
            </w:r>
          </w:p>
          <w:tbl>
            <w:tblPr>
              <w:tblW w:w="7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908"/>
              <w:gridCol w:w="2127"/>
              <w:gridCol w:w="1923"/>
            </w:tblGrid>
            <w:tr w:rsidR="00C642A5" w:rsidRPr="003E6986" w14:paraId="0F142AA3" w14:textId="77777777" w:rsidTr="005F72DB">
              <w:trPr>
                <w:trHeight w:val="276"/>
                <w:tblHeader/>
                <w:jc w:val="center"/>
              </w:trPr>
              <w:tc>
                <w:tcPr>
                  <w:tcW w:w="1696" w:type="dxa"/>
                </w:tcPr>
                <w:p w14:paraId="7D749DCA" w14:textId="77777777" w:rsidR="00C642A5" w:rsidRPr="003E6986" w:rsidRDefault="00C642A5" w:rsidP="00C642A5">
                  <w:pPr>
                    <w:pStyle w:val="Tablehead"/>
                    <w:keepNext w:val="0"/>
                    <w:rPr>
                      <w:rFonts w:asciiTheme="minorHAnsi" w:hAnsiTheme="minorHAnsi" w:cstheme="minorHAnsi"/>
                      <w:lang w:val="es-ES_tradnl"/>
                    </w:rPr>
                  </w:pPr>
                  <w:r w:rsidRPr="003E6986">
                    <w:rPr>
                      <w:rFonts w:asciiTheme="minorHAnsi" w:hAnsiTheme="minorHAnsi" w:cstheme="minorHAnsi"/>
                      <w:lang w:val="es-ES_tradnl"/>
                    </w:rPr>
                    <w:t>Bandas de frecuencias radioastronómica</w:t>
                  </w:r>
                </w:p>
              </w:tc>
              <w:tc>
                <w:tcPr>
                  <w:tcW w:w="1908" w:type="dxa"/>
                </w:tcPr>
                <w:p w14:paraId="7DD65566" w14:textId="77777777" w:rsidR="00C642A5" w:rsidRPr="003E6986" w:rsidRDefault="00C642A5" w:rsidP="00C642A5">
                  <w:pPr>
                    <w:pStyle w:val="Tablehead"/>
                    <w:keepNext w:val="0"/>
                    <w:rPr>
                      <w:rFonts w:asciiTheme="minorHAnsi" w:hAnsiTheme="minorHAnsi" w:cstheme="minorHAnsi"/>
                      <w:lang w:val="es-ES_tradnl"/>
                    </w:rPr>
                  </w:pPr>
                  <w:r w:rsidRPr="003E6986">
                    <w:rPr>
                      <w:rFonts w:asciiTheme="minorHAnsi" w:hAnsiTheme="minorHAnsi" w:cstheme="minorHAnsi"/>
                      <w:lang w:val="es-ES_tradnl"/>
                    </w:rPr>
                    <w:t>Servicios espaciales activos que funcionan en bandas de frecuencias adyacentes y próximas</w:t>
                  </w:r>
                </w:p>
              </w:tc>
              <w:tc>
                <w:tcPr>
                  <w:tcW w:w="2127" w:type="dxa"/>
                </w:tcPr>
                <w:p w14:paraId="2297368C" w14:textId="77777777" w:rsidR="00C642A5" w:rsidRPr="003E6986" w:rsidRDefault="00C642A5" w:rsidP="00C642A5">
                  <w:pPr>
                    <w:pStyle w:val="Tablehead"/>
                    <w:keepNext w:val="0"/>
                    <w:rPr>
                      <w:rFonts w:asciiTheme="minorHAnsi" w:hAnsiTheme="minorHAnsi" w:cstheme="minorHAnsi"/>
                      <w:lang w:val="es-ES_tradnl"/>
                    </w:rPr>
                  </w:pPr>
                  <w:r w:rsidRPr="003E6986">
                    <w:rPr>
                      <w:rFonts w:asciiTheme="minorHAnsi" w:hAnsiTheme="minorHAnsi" w:cstheme="minorHAnsi"/>
                      <w:lang w:val="es-ES_tradnl"/>
                    </w:rPr>
                    <w:t>Servicio especial active</w:t>
                  </w:r>
                  <w:r w:rsidRPr="003E6986">
                    <w:rPr>
                      <w:rFonts w:asciiTheme="minorHAnsi" w:hAnsiTheme="minorHAnsi" w:cstheme="minorHAnsi"/>
                      <w:lang w:val="es-ES_tradnl"/>
                    </w:rPr>
                    <w:br/>
                    <w:t>(espacio-Tierra</w:t>
                  </w:r>
                </w:p>
              </w:tc>
              <w:tc>
                <w:tcPr>
                  <w:tcW w:w="1923" w:type="dxa"/>
                </w:tcPr>
                <w:p w14:paraId="1E146284" w14:textId="77777777" w:rsidR="00C642A5" w:rsidRPr="003E6986" w:rsidRDefault="00C642A5" w:rsidP="00C642A5">
                  <w:pPr>
                    <w:pStyle w:val="Tablehead"/>
                    <w:keepNext w:val="0"/>
                    <w:rPr>
                      <w:rFonts w:asciiTheme="minorHAnsi" w:hAnsiTheme="minorHAnsi" w:cstheme="minorHAnsi"/>
                      <w:lang w:val="es-ES_tradnl"/>
                    </w:rPr>
                  </w:pPr>
                  <w:r w:rsidRPr="003E6986">
                    <w:rPr>
                      <w:rFonts w:asciiTheme="minorHAnsi" w:hAnsiTheme="minorHAnsi" w:cstheme="minorHAnsi"/>
                      <w:lang w:val="es-ES_tradnl"/>
                    </w:rPr>
                    <w:t>Alcance</w:t>
                  </w:r>
                </w:p>
              </w:tc>
            </w:tr>
            <w:tr w:rsidR="00C642A5" w:rsidRPr="003E6986" w14:paraId="1A808A5E" w14:textId="77777777" w:rsidTr="005F72DB">
              <w:trPr>
                <w:trHeight w:val="276"/>
                <w:jc w:val="center"/>
              </w:trPr>
              <w:tc>
                <w:tcPr>
                  <w:tcW w:w="1696" w:type="dxa"/>
                  <w:shd w:val="clear" w:color="auto" w:fill="auto"/>
                </w:tcPr>
                <w:p w14:paraId="13B46A09"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lang w:val="es-ES_tradnl"/>
                    </w:rPr>
                    <w:t>10,6-10,7 GHz</w:t>
                  </w:r>
                </w:p>
              </w:tc>
              <w:tc>
                <w:tcPr>
                  <w:tcW w:w="1908" w:type="dxa"/>
                  <w:shd w:val="clear" w:color="auto" w:fill="auto"/>
                </w:tcPr>
                <w:p w14:paraId="0B54A54D"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lang w:val="es-ES_tradnl"/>
                    </w:rPr>
                    <w:t>10,7-10,95 GHz</w:t>
                  </w:r>
                </w:p>
              </w:tc>
              <w:tc>
                <w:tcPr>
                  <w:tcW w:w="2127" w:type="dxa"/>
                  <w:shd w:val="clear" w:color="auto" w:fill="auto"/>
                </w:tcPr>
                <w:p w14:paraId="49564022" w14:textId="77777777" w:rsidR="00C642A5" w:rsidRPr="003E6986" w:rsidRDefault="00C642A5" w:rsidP="00C642A5">
                  <w:pPr>
                    <w:pStyle w:val="Tabletext"/>
                    <w:spacing w:before="60" w:after="60"/>
                    <w:rPr>
                      <w:rFonts w:asciiTheme="minorHAnsi" w:hAnsiTheme="minorHAnsi" w:cstheme="minorHAnsi"/>
                      <w:lang w:val="es-ES_tradnl"/>
                    </w:rPr>
                  </w:pPr>
                  <w:proofErr w:type="spellStart"/>
                  <w:r w:rsidRPr="003E6986">
                    <w:rPr>
                      <w:rFonts w:asciiTheme="minorHAnsi" w:hAnsiTheme="minorHAnsi" w:cstheme="minorHAnsi"/>
                      <w:lang w:val="es-ES_tradnl"/>
                    </w:rPr>
                    <w:t>SFS</w:t>
                  </w:r>
                  <w:proofErr w:type="spellEnd"/>
                </w:p>
              </w:tc>
              <w:tc>
                <w:tcPr>
                  <w:tcW w:w="1923" w:type="dxa"/>
                </w:tcPr>
                <w:p w14:paraId="0CE724EF"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i/>
                      <w:iCs/>
                      <w:lang w:val="es-ES_tradnl"/>
                    </w:rPr>
                    <w:t xml:space="preserve">Resuelve </w:t>
                  </w:r>
                  <w:r w:rsidRPr="003E6986">
                    <w:rPr>
                      <w:rFonts w:asciiTheme="minorHAnsi" w:hAnsiTheme="minorHAnsi" w:cstheme="minorHAnsi"/>
                      <w:lang w:val="es-ES_tradnl"/>
                    </w:rPr>
                    <w:t>1 y 2</w:t>
                  </w:r>
                </w:p>
              </w:tc>
            </w:tr>
            <w:tr w:rsidR="00C642A5" w:rsidRPr="003E6986" w14:paraId="4D4AE3B1" w14:textId="77777777" w:rsidTr="005F72DB">
              <w:trPr>
                <w:trHeight w:val="276"/>
                <w:jc w:val="center"/>
              </w:trPr>
              <w:tc>
                <w:tcPr>
                  <w:tcW w:w="1696" w:type="dxa"/>
                  <w:shd w:val="clear" w:color="auto" w:fill="auto"/>
                </w:tcPr>
                <w:p w14:paraId="5048EBB3"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lang w:val="es-ES_tradnl"/>
                    </w:rPr>
                    <w:t>42,5-43,5 GHz</w:t>
                  </w:r>
                </w:p>
              </w:tc>
              <w:tc>
                <w:tcPr>
                  <w:tcW w:w="1908" w:type="dxa"/>
                  <w:shd w:val="clear" w:color="auto" w:fill="auto"/>
                </w:tcPr>
                <w:p w14:paraId="18870AAC"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lang w:val="es-ES_tradnl"/>
                    </w:rPr>
                    <w:t>42-42,5 GHz</w:t>
                  </w:r>
                </w:p>
              </w:tc>
              <w:tc>
                <w:tcPr>
                  <w:tcW w:w="2127" w:type="dxa"/>
                  <w:shd w:val="clear" w:color="auto" w:fill="auto"/>
                </w:tcPr>
                <w:p w14:paraId="0FB11765" w14:textId="77777777" w:rsidR="00C642A5" w:rsidRPr="003E6986" w:rsidRDefault="00C642A5" w:rsidP="00C642A5">
                  <w:pPr>
                    <w:pStyle w:val="Tabletext"/>
                    <w:spacing w:before="60" w:after="60"/>
                    <w:rPr>
                      <w:rFonts w:asciiTheme="minorHAnsi" w:hAnsiTheme="minorHAnsi" w:cstheme="minorHAnsi"/>
                      <w:lang w:val="es-ES_tradnl"/>
                    </w:rPr>
                  </w:pPr>
                  <w:proofErr w:type="spellStart"/>
                  <w:r w:rsidRPr="003E6986">
                    <w:rPr>
                      <w:rFonts w:asciiTheme="minorHAnsi" w:hAnsiTheme="minorHAnsi" w:cstheme="minorHAnsi"/>
                      <w:lang w:val="es-ES_tradnl"/>
                    </w:rPr>
                    <w:t>SFS</w:t>
                  </w:r>
                  <w:proofErr w:type="spellEnd"/>
                </w:p>
              </w:tc>
              <w:tc>
                <w:tcPr>
                  <w:tcW w:w="1923" w:type="dxa"/>
                </w:tcPr>
                <w:p w14:paraId="17DB25EE"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i/>
                      <w:iCs/>
                      <w:lang w:val="es-ES_tradnl"/>
                    </w:rPr>
                    <w:t xml:space="preserve">Resuelve </w:t>
                  </w:r>
                  <w:r w:rsidRPr="003E6986">
                    <w:rPr>
                      <w:rFonts w:asciiTheme="minorHAnsi" w:hAnsiTheme="minorHAnsi" w:cstheme="minorHAnsi"/>
                      <w:lang w:val="es-ES_tradnl"/>
                    </w:rPr>
                    <w:t>2</w:t>
                  </w:r>
                </w:p>
              </w:tc>
            </w:tr>
            <w:tr w:rsidR="00C642A5" w:rsidRPr="003E6986" w14:paraId="495C2E47" w14:textId="77777777" w:rsidTr="005F72DB">
              <w:trPr>
                <w:trHeight w:val="276"/>
                <w:jc w:val="center"/>
              </w:trPr>
              <w:tc>
                <w:tcPr>
                  <w:tcW w:w="1696" w:type="dxa"/>
                  <w:shd w:val="clear" w:color="auto" w:fill="auto"/>
                </w:tcPr>
                <w:p w14:paraId="4D0DDB09"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lang w:val="es-ES_tradnl"/>
                    </w:rPr>
                    <w:t>76-77,5 GHz</w:t>
                  </w:r>
                </w:p>
              </w:tc>
              <w:tc>
                <w:tcPr>
                  <w:tcW w:w="1908" w:type="dxa"/>
                  <w:shd w:val="clear" w:color="auto" w:fill="auto"/>
                </w:tcPr>
                <w:p w14:paraId="2798CB07"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lang w:val="es-ES_tradnl"/>
                    </w:rPr>
                    <w:t>74-76 GHz</w:t>
                  </w:r>
                </w:p>
              </w:tc>
              <w:tc>
                <w:tcPr>
                  <w:tcW w:w="2127" w:type="dxa"/>
                  <w:shd w:val="clear" w:color="auto" w:fill="auto"/>
                </w:tcPr>
                <w:p w14:paraId="2BB18E75" w14:textId="77777777" w:rsidR="00C642A5" w:rsidRPr="003E6986" w:rsidRDefault="00C642A5" w:rsidP="00C642A5">
                  <w:pPr>
                    <w:pStyle w:val="Tabletext"/>
                    <w:spacing w:before="60" w:after="60"/>
                    <w:rPr>
                      <w:rFonts w:asciiTheme="minorHAnsi" w:hAnsiTheme="minorHAnsi" w:cstheme="minorHAnsi"/>
                      <w:lang w:val="es-ES_tradnl"/>
                    </w:rPr>
                  </w:pPr>
                  <w:proofErr w:type="spellStart"/>
                  <w:r w:rsidRPr="003E6986">
                    <w:rPr>
                      <w:rFonts w:asciiTheme="minorHAnsi" w:hAnsiTheme="minorHAnsi" w:cstheme="minorHAnsi"/>
                      <w:lang w:val="es-ES_tradnl"/>
                    </w:rPr>
                    <w:t>SFS</w:t>
                  </w:r>
                  <w:proofErr w:type="spellEnd"/>
                  <w:r w:rsidRPr="003E6986">
                    <w:rPr>
                      <w:rFonts w:asciiTheme="minorHAnsi" w:hAnsiTheme="minorHAnsi" w:cstheme="minorHAnsi"/>
                      <w:lang w:val="es-ES_tradnl"/>
                    </w:rPr>
                    <w:t>, SMS</w:t>
                  </w:r>
                </w:p>
              </w:tc>
              <w:tc>
                <w:tcPr>
                  <w:tcW w:w="1923" w:type="dxa"/>
                </w:tcPr>
                <w:p w14:paraId="55B2D9D9"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i/>
                      <w:iCs/>
                      <w:lang w:val="es-ES_tradnl"/>
                    </w:rPr>
                    <w:t xml:space="preserve">Resuelve </w:t>
                  </w:r>
                  <w:r w:rsidRPr="003E6986">
                    <w:rPr>
                      <w:rFonts w:asciiTheme="minorHAnsi" w:hAnsiTheme="minorHAnsi" w:cstheme="minorHAnsi"/>
                      <w:lang w:val="es-ES_tradnl"/>
                    </w:rPr>
                    <w:t>2</w:t>
                  </w:r>
                </w:p>
              </w:tc>
            </w:tr>
            <w:tr w:rsidR="00C642A5" w:rsidRPr="003E6986" w14:paraId="5A15B3DD" w14:textId="77777777" w:rsidTr="005F72DB">
              <w:trPr>
                <w:trHeight w:val="276"/>
                <w:jc w:val="center"/>
              </w:trPr>
              <w:tc>
                <w:tcPr>
                  <w:tcW w:w="1696" w:type="dxa"/>
                  <w:shd w:val="clear" w:color="auto" w:fill="auto"/>
                </w:tcPr>
                <w:p w14:paraId="70682877"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lang w:val="es-ES_tradnl"/>
                    </w:rPr>
                    <w:t>94,1-95 GHz</w:t>
                  </w:r>
                </w:p>
              </w:tc>
              <w:tc>
                <w:tcPr>
                  <w:tcW w:w="1908" w:type="dxa"/>
                  <w:shd w:val="clear" w:color="auto" w:fill="auto"/>
                </w:tcPr>
                <w:p w14:paraId="66E552CA"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lang w:val="es-ES_tradnl"/>
                    </w:rPr>
                    <w:t>95-100 GHz</w:t>
                  </w:r>
                </w:p>
              </w:tc>
              <w:tc>
                <w:tcPr>
                  <w:tcW w:w="2127" w:type="dxa"/>
                  <w:shd w:val="clear" w:color="auto" w:fill="auto"/>
                </w:tcPr>
                <w:p w14:paraId="06A60F70" w14:textId="77777777" w:rsidR="00C642A5" w:rsidRPr="003E6986" w:rsidRDefault="00C642A5" w:rsidP="00C642A5">
                  <w:pPr>
                    <w:pStyle w:val="Tabletext"/>
                    <w:spacing w:before="60" w:after="60"/>
                    <w:rPr>
                      <w:rFonts w:asciiTheme="minorHAnsi" w:hAnsiTheme="minorHAnsi" w:cstheme="minorHAnsi"/>
                      <w:lang w:val="es-ES_tradnl"/>
                    </w:rPr>
                  </w:pPr>
                  <w:proofErr w:type="spellStart"/>
                  <w:r w:rsidRPr="003E6986">
                    <w:rPr>
                      <w:rFonts w:asciiTheme="minorHAnsi" w:hAnsiTheme="minorHAnsi" w:cstheme="minorHAnsi"/>
                      <w:lang w:val="es-ES_tradnl"/>
                    </w:rPr>
                    <w:t>SRNS</w:t>
                  </w:r>
                  <w:proofErr w:type="spellEnd"/>
                  <w:r w:rsidRPr="003E6986">
                    <w:rPr>
                      <w:rFonts w:asciiTheme="minorHAnsi" w:hAnsiTheme="minorHAnsi" w:cstheme="minorHAnsi"/>
                      <w:lang w:val="es-ES_tradnl"/>
                    </w:rPr>
                    <w:t>, SMS</w:t>
                  </w:r>
                </w:p>
              </w:tc>
              <w:tc>
                <w:tcPr>
                  <w:tcW w:w="1923" w:type="dxa"/>
                </w:tcPr>
                <w:p w14:paraId="2BAAFF6D"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i/>
                      <w:iCs/>
                      <w:lang w:val="es-ES_tradnl"/>
                    </w:rPr>
                    <w:t xml:space="preserve">Resuelve </w:t>
                  </w:r>
                  <w:r w:rsidRPr="003E6986">
                    <w:rPr>
                      <w:rFonts w:asciiTheme="minorHAnsi" w:hAnsiTheme="minorHAnsi" w:cstheme="minorHAnsi"/>
                      <w:lang w:val="es-ES_tradnl"/>
                    </w:rPr>
                    <w:t>2</w:t>
                  </w:r>
                </w:p>
              </w:tc>
            </w:tr>
            <w:tr w:rsidR="00C642A5" w:rsidRPr="003E6986" w14:paraId="5F3F64DD" w14:textId="77777777" w:rsidTr="005F72DB">
              <w:trPr>
                <w:trHeight w:val="276"/>
                <w:jc w:val="center"/>
              </w:trPr>
              <w:tc>
                <w:tcPr>
                  <w:tcW w:w="1696" w:type="dxa"/>
                  <w:shd w:val="clear" w:color="auto" w:fill="auto"/>
                </w:tcPr>
                <w:p w14:paraId="0DA21921"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lang w:val="es-ES_tradnl"/>
                    </w:rPr>
                    <w:t>100-102 GHz</w:t>
                  </w:r>
                </w:p>
              </w:tc>
              <w:tc>
                <w:tcPr>
                  <w:tcW w:w="1908" w:type="dxa"/>
                  <w:shd w:val="clear" w:color="auto" w:fill="auto"/>
                </w:tcPr>
                <w:p w14:paraId="1EAAB36C"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lang w:val="es-ES_tradnl"/>
                    </w:rPr>
                    <w:t>95-100 GHz</w:t>
                  </w:r>
                </w:p>
              </w:tc>
              <w:tc>
                <w:tcPr>
                  <w:tcW w:w="2127" w:type="dxa"/>
                  <w:shd w:val="clear" w:color="auto" w:fill="auto"/>
                </w:tcPr>
                <w:p w14:paraId="15B20510" w14:textId="77777777" w:rsidR="00C642A5" w:rsidRPr="003E6986" w:rsidRDefault="00C642A5" w:rsidP="00C642A5">
                  <w:pPr>
                    <w:pStyle w:val="Tabletext"/>
                    <w:spacing w:before="60" w:after="60"/>
                    <w:rPr>
                      <w:rFonts w:asciiTheme="minorHAnsi" w:hAnsiTheme="minorHAnsi" w:cstheme="minorHAnsi"/>
                      <w:lang w:val="es-ES_tradnl"/>
                    </w:rPr>
                  </w:pPr>
                  <w:proofErr w:type="spellStart"/>
                  <w:r w:rsidRPr="003E6986">
                    <w:rPr>
                      <w:rFonts w:asciiTheme="minorHAnsi" w:hAnsiTheme="minorHAnsi" w:cstheme="minorHAnsi"/>
                      <w:lang w:val="es-ES_tradnl"/>
                    </w:rPr>
                    <w:t>SRNS</w:t>
                  </w:r>
                  <w:proofErr w:type="spellEnd"/>
                  <w:r w:rsidRPr="003E6986">
                    <w:rPr>
                      <w:rFonts w:asciiTheme="minorHAnsi" w:hAnsiTheme="minorHAnsi" w:cstheme="minorHAnsi"/>
                      <w:lang w:val="es-ES_tradnl"/>
                    </w:rPr>
                    <w:t>, SMS</w:t>
                  </w:r>
                </w:p>
              </w:tc>
              <w:tc>
                <w:tcPr>
                  <w:tcW w:w="1923" w:type="dxa"/>
                </w:tcPr>
                <w:p w14:paraId="6978ED95"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i/>
                      <w:iCs/>
                      <w:lang w:val="es-ES_tradnl"/>
                    </w:rPr>
                    <w:t xml:space="preserve">Resuelve </w:t>
                  </w:r>
                  <w:r w:rsidRPr="003E6986">
                    <w:rPr>
                      <w:rFonts w:asciiTheme="minorHAnsi" w:hAnsiTheme="minorHAnsi" w:cstheme="minorHAnsi"/>
                      <w:lang w:val="es-ES_tradnl"/>
                    </w:rPr>
                    <w:t>1 y 2</w:t>
                  </w:r>
                </w:p>
              </w:tc>
            </w:tr>
            <w:tr w:rsidR="00C642A5" w:rsidRPr="003E6986" w14:paraId="0F011BBC" w14:textId="77777777" w:rsidTr="005F72DB">
              <w:trPr>
                <w:trHeight w:val="276"/>
                <w:jc w:val="center"/>
              </w:trPr>
              <w:tc>
                <w:tcPr>
                  <w:tcW w:w="1696" w:type="dxa"/>
                  <w:shd w:val="clear" w:color="auto" w:fill="auto"/>
                </w:tcPr>
                <w:p w14:paraId="1E0D562B"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lang w:val="es-ES_tradnl"/>
                    </w:rPr>
                    <w:t>114,25-116 GHz</w:t>
                  </w:r>
                </w:p>
              </w:tc>
              <w:tc>
                <w:tcPr>
                  <w:tcW w:w="1908" w:type="dxa"/>
                  <w:shd w:val="clear" w:color="auto" w:fill="auto"/>
                </w:tcPr>
                <w:p w14:paraId="00AF67F9"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lang w:val="es-ES_tradnl"/>
                    </w:rPr>
                    <w:t>116-119,98 GHz</w:t>
                  </w:r>
                </w:p>
              </w:tc>
              <w:tc>
                <w:tcPr>
                  <w:tcW w:w="2127" w:type="dxa"/>
                  <w:shd w:val="clear" w:color="auto" w:fill="auto"/>
                </w:tcPr>
                <w:p w14:paraId="64345F59" w14:textId="77777777" w:rsidR="00C642A5" w:rsidRPr="003E6986" w:rsidRDefault="00C642A5" w:rsidP="00C642A5">
                  <w:pPr>
                    <w:pStyle w:val="Tabletext"/>
                    <w:spacing w:before="60" w:after="60"/>
                    <w:rPr>
                      <w:rFonts w:asciiTheme="minorHAnsi" w:hAnsiTheme="minorHAnsi" w:cstheme="minorHAnsi"/>
                      <w:lang w:val="es-ES_tradnl"/>
                    </w:rPr>
                  </w:pPr>
                  <w:proofErr w:type="spellStart"/>
                  <w:r w:rsidRPr="003E6986">
                    <w:rPr>
                      <w:rFonts w:asciiTheme="minorHAnsi" w:hAnsiTheme="minorHAnsi" w:cstheme="minorHAnsi"/>
                      <w:lang w:val="es-ES_tradnl"/>
                    </w:rPr>
                    <w:t>SES</w:t>
                  </w:r>
                  <w:proofErr w:type="spellEnd"/>
                </w:p>
              </w:tc>
              <w:tc>
                <w:tcPr>
                  <w:tcW w:w="1923" w:type="dxa"/>
                </w:tcPr>
                <w:p w14:paraId="483AB366"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i/>
                      <w:iCs/>
                      <w:lang w:val="es-ES_tradnl"/>
                    </w:rPr>
                    <w:t xml:space="preserve">Resuelve </w:t>
                  </w:r>
                  <w:r w:rsidRPr="003E6986">
                    <w:rPr>
                      <w:rFonts w:asciiTheme="minorHAnsi" w:hAnsiTheme="minorHAnsi" w:cstheme="minorHAnsi"/>
                      <w:lang w:val="es-ES_tradnl"/>
                    </w:rPr>
                    <w:t>1 y 2</w:t>
                  </w:r>
                </w:p>
              </w:tc>
            </w:tr>
            <w:tr w:rsidR="00C642A5" w:rsidRPr="003E6986" w14:paraId="475A84B1" w14:textId="77777777" w:rsidTr="005F72DB">
              <w:trPr>
                <w:trHeight w:val="276"/>
                <w:jc w:val="center"/>
              </w:trPr>
              <w:tc>
                <w:tcPr>
                  <w:tcW w:w="1696" w:type="dxa"/>
                  <w:shd w:val="clear" w:color="auto" w:fill="auto"/>
                </w:tcPr>
                <w:p w14:paraId="3891C04E"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lang w:val="es-ES_tradnl"/>
                    </w:rPr>
                    <w:t>130-134 GHz</w:t>
                  </w:r>
                </w:p>
              </w:tc>
              <w:tc>
                <w:tcPr>
                  <w:tcW w:w="1908" w:type="dxa"/>
                  <w:shd w:val="clear" w:color="auto" w:fill="auto"/>
                </w:tcPr>
                <w:p w14:paraId="4A8B5557"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lang w:val="es-ES_tradnl"/>
                    </w:rPr>
                    <w:t>123-130 GHz</w:t>
                  </w:r>
                </w:p>
              </w:tc>
              <w:tc>
                <w:tcPr>
                  <w:tcW w:w="2127" w:type="dxa"/>
                  <w:shd w:val="clear" w:color="auto" w:fill="auto"/>
                </w:tcPr>
                <w:p w14:paraId="5E55BEC0" w14:textId="77777777" w:rsidR="00C642A5" w:rsidRPr="003E6986" w:rsidRDefault="00C642A5" w:rsidP="00C642A5">
                  <w:pPr>
                    <w:pStyle w:val="Tabletext"/>
                    <w:spacing w:before="60" w:after="60"/>
                    <w:rPr>
                      <w:rFonts w:asciiTheme="minorHAnsi" w:hAnsiTheme="minorHAnsi" w:cstheme="minorHAnsi"/>
                      <w:lang w:val="es-ES_tradnl"/>
                    </w:rPr>
                  </w:pPr>
                  <w:proofErr w:type="spellStart"/>
                  <w:r w:rsidRPr="003E6986">
                    <w:rPr>
                      <w:rFonts w:asciiTheme="minorHAnsi" w:hAnsiTheme="minorHAnsi" w:cstheme="minorHAnsi"/>
                      <w:lang w:val="es-ES_tradnl"/>
                    </w:rPr>
                    <w:t>SFS</w:t>
                  </w:r>
                  <w:proofErr w:type="spellEnd"/>
                  <w:r w:rsidRPr="003E6986">
                    <w:rPr>
                      <w:rFonts w:asciiTheme="minorHAnsi" w:hAnsiTheme="minorHAnsi" w:cstheme="minorHAnsi"/>
                      <w:lang w:val="es-ES_tradnl"/>
                    </w:rPr>
                    <w:t xml:space="preserve">, SMS, </w:t>
                  </w:r>
                  <w:proofErr w:type="spellStart"/>
                  <w:r w:rsidRPr="003E6986">
                    <w:rPr>
                      <w:rFonts w:asciiTheme="minorHAnsi" w:hAnsiTheme="minorHAnsi" w:cstheme="minorHAnsi"/>
                      <w:lang w:val="es-ES_tradnl"/>
                    </w:rPr>
                    <w:t>SRNS</w:t>
                  </w:r>
                  <w:proofErr w:type="spellEnd"/>
                </w:p>
              </w:tc>
              <w:tc>
                <w:tcPr>
                  <w:tcW w:w="1923" w:type="dxa"/>
                </w:tcPr>
                <w:p w14:paraId="1A83A4EB" w14:textId="77777777" w:rsidR="00C642A5" w:rsidRPr="003E6986" w:rsidRDefault="00C642A5" w:rsidP="00C642A5">
                  <w:pPr>
                    <w:pStyle w:val="Tabletext"/>
                    <w:spacing w:before="60" w:after="60"/>
                    <w:rPr>
                      <w:rFonts w:asciiTheme="minorHAnsi" w:hAnsiTheme="minorHAnsi" w:cstheme="minorHAnsi"/>
                      <w:lang w:val="es-ES_tradnl"/>
                    </w:rPr>
                  </w:pPr>
                  <w:r w:rsidRPr="003E6986">
                    <w:rPr>
                      <w:rFonts w:asciiTheme="minorHAnsi" w:hAnsiTheme="minorHAnsi" w:cstheme="minorHAnsi"/>
                      <w:i/>
                      <w:iCs/>
                      <w:lang w:val="es-ES_tradnl"/>
                    </w:rPr>
                    <w:t xml:space="preserve">Resuelve </w:t>
                  </w:r>
                  <w:r w:rsidRPr="003E6986">
                    <w:rPr>
                      <w:rFonts w:asciiTheme="minorHAnsi" w:hAnsiTheme="minorHAnsi" w:cstheme="minorHAnsi"/>
                      <w:lang w:val="es-ES_tradnl"/>
                    </w:rPr>
                    <w:t>2</w:t>
                  </w:r>
                </w:p>
              </w:tc>
            </w:tr>
          </w:tbl>
          <w:p w14:paraId="182B0CDB" w14:textId="2CEA2B10" w:rsidR="00C642A5" w:rsidRDefault="00C642A5" w:rsidP="00C642A5">
            <w:pPr>
              <w:pStyle w:val="Tabletext"/>
              <w:rPr>
                <w:highlight w:val="yellow"/>
                <w:lang w:val="es-ES_tradnl"/>
              </w:rPr>
            </w:pPr>
          </w:p>
          <w:p w14:paraId="57CDB6D6" w14:textId="77777777" w:rsidR="00C642A5" w:rsidRDefault="00C642A5" w:rsidP="00C642A5">
            <w:pPr>
              <w:pStyle w:val="Tabletext"/>
              <w:rPr>
                <w:highlight w:val="yellow"/>
                <w:lang w:val="es-ES_tradnl"/>
              </w:rPr>
            </w:pPr>
          </w:p>
          <w:p w14:paraId="577A53C6" w14:textId="77777777" w:rsidR="00BC0FC3" w:rsidRDefault="00BC0FC3" w:rsidP="00060E19">
            <w:pPr>
              <w:pStyle w:val="Tabletext"/>
              <w:tabs>
                <w:tab w:val="clear" w:pos="284"/>
                <w:tab w:val="left" w:pos="463"/>
              </w:tabs>
              <w:jc w:val="both"/>
              <w:rPr>
                <w:lang w:val="es-ES_tradnl" w:eastAsia="nl-NL"/>
              </w:rPr>
            </w:pPr>
          </w:p>
          <w:p w14:paraId="367E7E4A" w14:textId="77777777" w:rsidR="00C642A5" w:rsidRDefault="00C642A5" w:rsidP="00060E19">
            <w:pPr>
              <w:pStyle w:val="Tabletext"/>
              <w:tabs>
                <w:tab w:val="clear" w:pos="284"/>
                <w:tab w:val="left" w:pos="463"/>
              </w:tabs>
              <w:jc w:val="both"/>
              <w:rPr>
                <w:lang w:val="es-ES_tradnl" w:eastAsia="nl-NL"/>
              </w:rPr>
            </w:pPr>
          </w:p>
          <w:p w14:paraId="2C70444C" w14:textId="77777777" w:rsidR="00C642A5" w:rsidRDefault="00C642A5" w:rsidP="00060E19">
            <w:pPr>
              <w:pStyle w:val="Tabletext"/>
              <w:tabs>
                <w:tab w:val="clear" w:pos="284"/>
                <w:tab w:val="left" w:pos="463"/>
              </w:tabs>
              <w:jc w:val="both"/>
              <w:rPr>
                <w:lang w:val="es-ES_tradnl" w:eastAsia="nl-NL"/>
              </w:rPr>
            </w:pPr>
          </w:p>
          <w:p w14:paraId="0CF4EA3B" w14:textId="77777777" w:rsidR="00C642A5" w:rsidRDefault="00C642A5" w:rsidP="00060E19">
            <w:pPr>
              <w:pStyle w:val="Tabletext"/>
              <w:tabs>
                <w:tab w:val="clear" w:pos="284"/>
                <w:tab w:val="left" w:pos="463"/>
              </w:tabs>
              <w:jc w:val="both"/>
              <w:rPr>
                <w:lang w:val="es-ES_tradnl" w:eastAsia="nl-NL"/>
              </w:rPr>
            </w:pPr>
          </w:p>
          <w:p w14:paraId="3816921C" w14:textId="77777777" w:rsidR="00C642A5" w:rsidRDefault="00C642A5" w:rsidP="00060E19">
            <w:pPr>
              <w:pStyle w:val="Tabletext"/>
              <w:tabs>
                <w:tab w:val="clear" w:pos="284"/>
                <w:tab w:val="left" w:pos="463"/>
              </w:tabs>
              <w:jc w:val="both"/>
              <w:rPr>
                <w:lang w:val="es-ES_tradnl" w:eastAsia="nl-NL"/>
              </w:rPr>
            </w:pPr>
          </w:p>
          <w:p w14:paraId="18920DE3" w14:textId="77777777" w:rsidR="00C642A5" w:rsidRDefault="00C642A5" w:rsidP="00060E19">
            <w:pPr>
              <w:pStyle w:val="Tabletext"/>
              <w:tabs>
                <w:tab w:val="clear" w:pos="284"/>
                <w:tab w:val="left" w:pos="463"/>
              </w:tabs>
              <w:jc w:val="both"/>
              <w:rPr>
                <w:lang w:val="es-ES_tradnl" w:eastAsia="nl-NL"/>
              </w:rPr>
            </w:pPr>
          </w:p>
          <w:p w14:paraId="77A98A5E" w14:textId="59D9B366" w:rsidR="00C642A5" w:rsidRPr="003E6986" w:rsidRDefault="00C642A5" w:rsidP="00060E19">
            <w:pPr>
              <w:pStyle w:val="Tabletext"/>
              <w:tabs>
                <w:tab w:val="clear" w:pos="284"/>
                <w:tab w:val="left" w:pos="463"/>
              </w:tabs>
              <w:jc w:val="both"/>
              <w:rPr>
                <w:lang w:val="es-ES_tradnl" w:eastAsia="nl-NL"/>
              </w:rPr>
            </w:pPr>
          </w:p>
        </w:tc>
        <w:tc>
          <w:tcPr>
            <w:tcW w:w="1406" w:type="dxa"/>
          </w:tcPr>
          <w:p w14:paraId="3CEFFAEF" w14:textId="087FD040" w:rsidR="00B211E1" w:rsidRPr="008653C7" w:rsidRDefault="00060E19" w:rsidP="00060E19">
            <w:pPr>
              <w:spacing w:before="40" w:after="40"/>
              <w:jc w:val="center"/>
              <w:rPr>
                <w:b/>
                <w:bCs/>
                <w:sz w:val="20"/>
                <w:lang w:val="fr-FR"/>
              </w:rPr>
            </w:pPr>
            <w:r w:rsidRPr="008653C7">
              <w:rPr>
                <w:b/>
                <w:bCs/>
                <w:sz w:val="20"/>
                <w:lang w:val="fr-FR"/>
              </w:rPr>
              <w:lastRenderedPageBreak/>
              <w:t xml:space="preserve">GT </w:t>
            </w:r>
            <w:proofErr w:type="spellStart"/>
            <w:r w:rsidR="00B211E1" w:rsidRPr="008653C7">
              <w:rPr>
                <w:b/>
                <w:bCs/>
                <w:sz w:val="20"/>
                <w:lang w:val="fr-FR"/>
              </w:rPr>
              <w:t>1B</w:t>
            </w:r>
            <w:proofErr w:type="spellEnd"/>
          </w:p>
          <w:p w14:paraId="5D7A82A8" w14:textId="49A72E37" w:rsidR="00B211E1" w:rsidRPr="008653C7" w:rsidRDefault="00060E19" w:rsidP="00060E19">
            <w:pPr>
              <w:spacing w:before="40" w:after="40"/>
              <w:jc w:val="center"/>
              <w:rPr>
                <w:b/>
                <w:bCs/>
                <w:sz w:val="20"/>
                <w:lang w:val="fr-FR"/>
              </w:rPr>
            </w:pPr>
            <w:r w:rsidRPr="008653C7">
              <w:rPr>
                <w:b/>
                <w:bCs/>
                <w:sz w:val="20"/>
                <w:lang w:val="fr-FR"/>
              </w:rPr>
              <w:t>GT</w:t>
            </w:r>
            <w:r w:rsidR="00B211E1" w:rsidRPr="008653C7">
              <w:rPr>
                <w:b/>
                <w:bCs/>
                <w:sz w:val="20"/>
                <w:lang w:val="fr-FR"/>
              </w:rPr>
              <w:t xml:space="preserve"> </w:t>
            </w:r>
            <w:proofErr w:type="spellStart"/>
            <w:r w:rsidR="00B211E1" w:rsidRPr="008653C7">
              <w:rPr>
                <w:b/>
                <w:bCs/>
                <w:sz w:val="20"/>
                <w:lang w:val="fr-FR"/>
              </w:rPr>
              <w:t>3J</w:t>
            </w:r>
            <w:proofErr w:type="spellEnd"/>
          </w:p>
          <w:p w14:paraId="3FF34D15" w14:textId="0CB4D6F0" w:rsidR="00B211E1" w:rsidRPr="008653C7" w:rsidRDefault="00060E19" w:rsidP="00060E19">
            <w:pPr>
              <w:spacing w:before="40" w:after="40"/>
              <w:jc w:val="center"/>
              <w:rPr>
                <w:b/>
                <w:bCs/>
                <w:sz w:val="20"/>
                <w:lang w:val="fr-FR"/>
              </w:rPr>
            </w:pPr>
            <w:r w:rsidRPr="008653C7">
              <w:rPr>
                <w:b/>
                <w:bCs/>
                <w:sz w:val="20"/>
                <w:lang w:val="fr-FR"/>
              </w:rPr>
              <w:t xml:space="preserve">GT </w:t>
            </w:r>
            <w:r w:rsidR="00B211E1" w:rsidRPr="008653C7">
              <w:rPr>
                <w:b/>
                <w:bCs/>
                <w:sz w:val="20"/>
                <w:lang w:val="fr-FR"/>
              </w:rPr>
              <w:t>3M</w:t>
            </w:r>
          </w:p>
          <w:p w14:paraId="73E1079A" w14:textId="74759158" w:rsidR="00B211E1" w:rsidRPr="008653C7" w:rsidRDefault="00060E19" w:rsidP="00060E19">
            <w:pPr>
              <w:spacing w:before="40" w:after="40"/>
              <w:jc w:val="center"/>
              <w:rPr>
                <w:b/>
                <w:bCs/>
                <w:sz w:val="20"/>
                <w:lang w:val="fr-FR"/>
              </w:rPr>
            </w:pPr>
            <w:r w:rsidRPr="008653C7">
              <w:rPr>
                <w:b/>
                <w:bCs/>
                <w:sz w:val="20"/>
                <w:lang w:val="fr-FR"/>
              </w:rPr>
              <w:t>GT</w:t>
            </w:r>
            <w:r w:rsidR="00B211E1" w:rsidRPr="008653C7">
              <w:rPr>
                <w:b/>
                <w:bCs/>
                <w:sz w:val="20"/>
                <w:lang w:val="fr-FR"/>
              </w:rPr>
              <w:t xml:space="preserve"> </w:t>
            </w:r>
            <w:proofErr w:type="spellStart"/>
            <w:r w:rsidR="00B211E1" w:rsidRPr="008653C7">
              <w:rPr>
                <w:b/>
                <w:bCs/>
                <w:sz w:val="20"/>
                <w:lang w:val="fr-FR"/>
              </w:rPr>
              <w:t>4A</w:t>
            </w:r>
            <w:proofErr w:type="spellEnd"/>
          </w:p>
          <w:p w14:paraId="1AED8B25" w14:textId="05FBCB6A" w:rsidR="00B211E1" w:rsidRPr="008653C7" w:rsidRDefault="00060E19" w:rsidP="00060E19">
            <w:pPr>
              <w:spacing w:before="40" w:after="40"/>
              <w:jc w:val="center"/>
              <w:rPr>
                <w:b/>
                <w:bCs/>
                <w:sz w:val="20"/>
                <w:lang w:val="fr-FR"/>
              </w:rPr>
            </w:pPr>
            <w:r w:rsidRPr="008653C7">
              <w:rPr>
                <w:b/>
                <w:bCs/>
                <w:sz w:val="20"/>
                <w:lang w:val="fr-FR"/>
              </w:rPr>
              <w:t xml:space="preserve">GT </w:t>
            </w:r>
            <w:proofErr w:type="spellStart"/>
            <w:r w:rsidR="00B211E1" w:rsidRPr="008653C7">
              <w:rPr>
                <w:b/>
                <w:bCs/>
                <w:sz w:val="20"/>
                <w:lang w:val="fr-FR"/>
              </w:rPr>
              <w:t>4C</w:t>
            </w:r>
            <w:proofErr w:type="spellEnd"/>
          </w:p>
          <w:p w14:paraId="25FFC902" w14:textId="2FB8B211" w:rsidR="00B211E1" w:rsidRPr="008653C7" w:rsidRDefault="00060E19" w:rsidP="00060E19">
            <w:pPr>
              <w:spacing w:before="40" w:after="40"/>
              <w:jc w:val="center"/>
              <w:rPr>
                <w:b/>
                <w:bCs/>
                <w:sz w:val="20"/>
                <w:lang w:val="fr-FR"/>
              </w:rPr>
            </w:pPr>
            <w:r w:rsidRPr="008653C7">
              <w:rPr>
                <w:b/>
                <w:bCs/>
                <w:sz w:val="20"/>
                <w:lang w:val="fr-FR"/>
              </w:rPr>
              <w:t>GT</w:t>
            </w:r>
            <w:r w:rsidR="00855045" w:rsidRPr="008653C7">
              <w:rPr>
                <w:b/>
                <w:bCs/>
                <w:sz w:val="20"/>
                <w:lang w:val="fr-FR"/>
              </w:rPr>
              <w:t xml:space="preserve"> </w:t>
            </w:r>
            <w:proofErr w:type="spellStart"/>
            <w:r w:rsidR="00B211E1" w:rsidRPr="008653C7">
              <w:rPr>
                <w:b/>
                <w:bCs/>
                <w:sz w:val="20"/>
                <w:lang w:val="fr-FR"/>
              </w:rPr>
              <w:t>5A</w:t>
            </w:r>
            <w:proofErr w:type="spellEnd"/>
          </w:p>
          <w:p w14:paraId="60CF1EE7" w14:textId="060B27BB" w:rsidR="00B211E1" w:rsidRPr="008653C7" w:rsidRDefault="00060E19" w:rsidP="00060E19">
            <w:pPr>
              <w:spacing w:before="40" w:after="40"/>
              <w:jc w:val="center"/>
              <w:rPr>
                <w:b/>
                <w:bCs/>
                <w:sz w:val="20"/>
                <w:lang w:val="fr-FR"/>
              </w:rPr>
            </w:pPr>
            <w:r w:rsidRPr="008653C7">
              <w:rPr>
                <w:b/>
                <w:bCs/>
                <w:sz w:val="20"/>
                <w:lang w:val="fr-FR"/>
              </w:rPr>
              <w:t>GT</w:t>
            </w:r>
            <w:r w:rsidR="00B211E1" w:rsidRPr="008653C7">
              <w:rPr>
                <w:b/>
                <w:bCs/>
                <w:sz w:val="20"/>
                <w:lang w:val="fr-FR"/>
              </w:rPr>
              <w:t xml:space="preserve"> </w:t>
            </w:r>
            <w:proofErr w:type="spellStart"/>
            <w:r w:rsidR="00B211E1" w:rsidRPr="008653C7">
              <w:rPr>
                <w:b/>
                <w:bCs/>
                <w:sz w:val="20"/>
                <w:lang w:val="fr-FR"/>
              </w:rPr>
              <w:t>5B</w:t>
            </w:r>
            <w:proofErr w:type="spellEnd"/>
          </w:p>
          <w:p w14:paraId="3E2E422B" w14:textId="4EE2F1D2" w:rsidR="004A7B85" w:rsidRPr="008653C7" w:rsidRDefault="00060E19" w:rsidP="00060E19">
            <w:pPr>
              <w:pStyle w:val="Tabletext"/>
              <w:tabs>
                <w:tab w:val="clear" w:pos="284"/>
                <w:tab w:val="left" w:pos="463"/>
              </w:tabs>
              <w:spacing w:line="480" w:lineRule="auto"/>
              <w:jc w:val="center"/>
              <w:rPr>
                <w:b/>
                <w:bCs/>
                <w:lang w:val="fr-FR" w:eastAsia="nl-NL"/>
              </w:rPr>
            </w:pPr>
            <w:r w:rsidRPr="008653C7">
              <w:rPr>
                <w:b/>
                <w:bCs/>
                <w:lang w:val="fr-FR"/>
              </w:rPr>
              <w:t xml:space="preserve">GT </w:t>
            </w:r>
            <w:proofErr w:type="spellStart"/>
            <w:r w:rsidR="00B211E1" w:rsidRPr="008653C7">
              <w:rPr>
                <w:b/>
                <w:bCs/>
                <w:lang w:val="fr-FR"/>
              </w:rPr>
              <w:t>5D</w:t>
            </w:r>
            <w:proofErr w:type="spellEnd"/>
          </w:p>
        </w:tc>
      </w:tr>
      <w:tr w:rsidR="004A7B85" w:rsidRPr="008653C7" w14:paraId="0FE35BED" w14:textId="77777777" w:rsidTr="00C642A5">
        <w:trPr>
          <w:gridAfter w:val="1"/>
          <w:wAfter w:w="27" w:type="dxa"/>
          <w:jc w:val="center"/>
        </w:trPr>
        <w:tc>
          <w:tcPr>
            <w:tcW w:w="14036" w:type="dxa"/>
            <w:gridSpan w:val="4"/>
          </w:tcPr>
          <w:p w14:paraId="5FE283B3" w14:textId="1DE5DD43" w:rsidR="004A7B85" w:rsidRPr="003E6986" w:rsidRDefault="006339B8" w:rsidP="00060E19">
            <w:pPr>
              <w:pStyle w:val="Tabletext"/>
              <w:tabs>
                <w:tab w:val="clear" w:pos="284"/>
                <w:tab w:val="left" w:pos="594"/>
              </w:tabs>
              <w:jc w:val="both"/>
              <w:rPr>
                <w:lang w:val="es-ES_tradnl" w:eastAsia="nl-NL"/>
              </w:rPr>
            </w:pPr>
            <w:r w:rsidRPr="003E6986">
              <w:rPr>
                <w:lang w:val="es-ES_tradnl" w:eastAsia="nl-NL"/>
              </w:rPr>
              <w:lastRenderedPageBreak/>
              <w:t>1.17</w:t>
            </w:r>
            <w:r w:rsidRPr="003E6986">
              <w:rPr>
                <w:lang w:val="es-ES_tradnl" w:eastAsia="nl-NL"/>
              </w:rPr>
              <w:tab/>
              <w:t xml:space="preserve">considerar las disposiciones reglamentarias para los sensores de meteorología espacial de sólo recepción y su protección en el Reglamento de Radiocomunicaciones, teniendo en cuenta los resultados de los estudios del Sector de Radiocomunicaciones de la UIT de conformidad con la Resolución </w:t>
            </w:r>
            <w:r w:rsidR="009B4CFB" w:rsidRPr="003E6986">
              <w:rPr>
                <w:b/>
                <w:lang w:val="es-ES_tradnl" w:eastAsia="nl-NL"/>
              </w:rPr>
              <w:t xml:space="preserve">682 </w:t>
            </w:r>
            <w:r w:rsidRPr="003E6986">
              <w:rPr>
                <w:b/>
                <w:lang w:val="es-ES_tradnl" w:eastAsia="nl-NL"/>
              </w:rPr>
              <w:t>(CMR 23)</w:t>
            </w:r>
            <w:r w:rsidRPr="003E6986">
              <w:rPr>
                <w:lang w:val="es-ES_tradnl" w:eastAsia="nl-NL"/>
              </w:rPr>
              <w:t>;</w:t>
            </w:r>
          </w:p>
        </w:tc>
      </w:tr>
      <w:tr w:rsidR="004A7B85" w:rsidRPr="003E6986" w14:paraId="12D0E5BB" w14:textId="77777777" w:rsidTr="00C642A5">
        <w:trPr>
          <w:gridAfter w:val="1"/>
          <w:wAfter w:w="27" w:type="dxa"/>
          <w:jc w:val="center"/>
        </w:trPr>
        <w:tc>
          <w:tcPr>
            <w:tcW w:w="3304" w:type="dxa"/>
          </w:tcPr>
          <w:p w14:paraId="55FEAC7C" w14:textId="6BFC1CC9" w:rsidR="006339B8" w:rsidRPr="003E6986" w:rsidRDefault="006339B8" w:rsidP="006339B8">
            <w:pPr>
              <w:pStyle w:val="Tabletext"/>
              <w:tabs>
                <w:tab w:val="left" w:pos="463"/>
              </w:tabs>
              <w:rPr>
                <w:lang w:val="es-ES_tradnl" w:eastAsia="nl-NL"/>
              </w:rPr>
            </w:pPr>
            <w:r w:rsidRPr="003E6986">
              <w:rPr>
                <w:lang w:val="es-ES_tradnl" w:eastAsia="nl-NL"/>
              </w:rPr>
              <w:t xml:space="preserve">Resolución </w:t>
            </w:r>
            <w:r w:rsidR="009B4CFB" w:rsidRPr="003E6986">
              <w:rPr>
                <w:b/>
                <w:lang w:val="es-ES_tradnl" w:eastAsia="nl-NL"/>
              </w:rPr>
              <w:t xml:space="preserve">682 </w:t>
            </w:r>
            <w:r w:rsidRPr="003E6986">
              <w:rPr>
                <w:b/>
                <w:lang w:val="es-ES_tradnl" w:eastAsia="nl-NL"/>
              </w:rPr>
              <w:t>(</w:t>
            </w:r>
            <w:proofErr w:type="spellStart"/>
            <w:r w:rsidRPr="003E6986">
              <w:rPr>
                <w:b/>
                <w:lang w:val="es-ES_tradnl" w:eastAsia="nl-NL"/>
              </w:rPr>
              <w:t>CMR</w:t>
            </w:r>
            <w:proofErr w:type="spellEnd"/>
            <w:r w:rsidRPr="003E6986">
              <w:rPr>
                <w:b/>
                <w:lang w:val="es-ES_tradnl" w:eastAsia="nl-NL"/>
              </w:rPr>
              <w:t>-23)</w:t>
            </w:r>
          </w:p>
          <w:p w14:paraId="5ABEFB61" w14:textId="262BF215" w:rsidR="004A7B85" w:rsidRPr="003E6986" w:rsidRDefault="006339B8" w:rsidP="00C642A5">
            <w:pPr>
              <w:pStyle w:val="Tabletext"/>
              <w:tabs>
                <w:tab w:val="clear" w:pos="284"/>
                <w:tab w:val="left" w:pos="463"/>
              </w:tabs>
              <w:rPr>
                <w:lang w:val="es-ES_tradnl" w:eastAsia="nl-NL"/>
              </w:rPr>
            </w:pPr>
            <w:r w:rsidRPr="003E6986">
              <w:rPr>
                <w:lang w:val="es-ES_tradnl" w:eastAsia="nl-NL"/>
              </w:rPr>
              <w:t>Consideración de disposiciones reglamentarias y posibles atribuciones a título primario al servicio de ayudas a la meteorología (meteorología espacial) para las aplicaciones de sensores de meteorología espacial de sólo recepción en el Reglamento de Radiocomunicaciones.</w:t>
            </w:r>
          </w:p>
        </w:tc>
        <w:tc>
          <w:tcPr>
            <w:tcW w:w="1517" w:type="dxa"/>
          </w:tcPr>
          <w:p w14:paraId="6BBE8C75" w14:textId="0377E8EB" w:rsidR="004A7B85" w:rsidRPr="003E6986" w:rsidRDefault="00A92266" w:rsidP="005F0DA1">
            <w:pPr>
              <w:pStyle w:val="Tabletext"/>
              <w:tabs>
                <w:tab w:val="clear" w:pos="284"/>
                <w:tab w:val="left" w:pos="463"/>
              </w:tabs>
              <w:jc w:val="center"/>
              <w:rPr>
                <w:b/>
                <w:bCs/>
                <w:lang w:val="es-ES_tradnl" w:eastAsia="nl-NL"/>
              </w:rPr>
            </w:pPr>
            <w:r w:rsidRPr="003E6986">
              <w:rPr>
                <w:b/>
                <w:bCs/>
                <w:lang w:val="es-ES_tradnl" w:eastAsia="nl-NL"/>
              </w:rPr>
              <w:t>GT</w:t>
            </w:r>
            <w:r w:rsidR="006339B8" w:rsidRPr="003E6986">
              <w:rPr>
                <w:b/>
                <w:bCs/>
                <w:lang w:val="es-ES_tradnl" w:eastAsia="nl-NL"/>
              </w:rPr>
              <w:t> 7C</w:t>
            </w:r>
          </w:p>
        </w:tc>
        <w:tc>
          <w:tcPr>
            <w:tcW w:w="7809" w:type="dxa"/>
          </w:tcPr>
          <w:p w14:paraId="0E15B2FF" w14:textId="77777777" w:rsidR="006339B8" w:rsidRPr="003E6986" w:rsidRDefault="006339B8" w:rsidP="006339B8">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observando</w:t>
            </w:r>
          </w:p>
          <w:p w14:paraId="718088DF" w14:textId="1BEE0339" w:rsidR="006339B8" w:rsidRPr="003E6986" w:rsidRDefault="006339B8" w:rsidP="006339B8">
            <w:pPr>
              <w:pStyle w:val="Tabletext"/>
              <w:tabs>
                <w:tab w:val="clear" w:pos="284"/>
                <w:tab w:val="left" w:pos="463"/>
              </w:tabs>
              <w:jc w:val="both"/>
              <w:rPr>
                <w:lang w:val="es-ES_tradnl" w:eastAsia="nl-NL"/>
              </w:rPr>
            </w:pPr>
            <w:r w:rsidRPr="003E6986">
              <w:rPr>
                <w:i/>
                <w:lang w:val="es-ES_tradnl" w:eastAsia="nl-NL"/>
              </w:rPr>
              <w:t>a)</w:t>
            </w:r>
            <w:r w:rsidRPr="003E6986">
              <w:rPr>
                <w:lang w:val="es-ES_tradnl" w:eastAsia="nl-NL"/>
              </w:rPr>
              <w:tab/>
              <w:t xml:space="preserve">que la Resolución </w:t>
            </w:r>
            <w:r w:rsidR="009B4CFB" w:rsidRPr="003E6986">
              <w:rPr>
                <w:b/>
                <w:bCs/>
                <w:lang w:val="es-ES_tradnl" w:eastAsia="nl-NL"/>
              </w:rPr>
              <w:t>675</w:t>
            </w:r>
            <w:r w:rsidRPr="003E6986">
              <w:rPr>
                <w:b/>
                <w:bCs/>
                <w:lang w:val="es-ES_tradnl" w:eastAsia="nl-NL"/>
              </w:rPr>
              <w:t xml:space="preserve"> (CMR-23)</w:t>
            </w:r>
            <w:r w:rsidRPr="003E6986">
              <w:rPr>
                <w:lang w:val="es-ES_tradnl" w:eastAsia="nl-NL"/>
              </w:rPr>
              <w:t>:</w:t>
            </w:r>
          </w:p>
          <w:p w14:paraId="6B0FC19B" w14:textId="77777777" w:rsidR="006339B8" w:rsidRPr="003E6986" w:rsidRDefault="006339B8" w:rsidP="006339B8">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define la meteorología espacial;</w:t>
            </w:r>
          </w:p>
          <w:p w14:paraId="04859244" w14:textId="77777777" w:rsidR="004A7B85" w:rsidRPr="003E6986" w:rsidRDefault="006339B8" w:rsidP="006339B8">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designa los sensores de meteorología espacial al servicio de ayudas meteorológicas (</w:t>
            </w:r>
            <w:proofErr w:type="spellStart"/>
            <w:r w:rsidRPr="003E6986">
              <w:rPr>
                <w:lang w:val="es-ES_tradnl" w:eastAsia="nl-NL"/>
              </w:rPr>
              <w:t>MetAids</w:t>
            </w:r>
            <w:proofErr w:type="spellEnd"/>
            <w:r w:rsidRPr="003E6986">
              <w:rPr>
                <w:lang w:val="es-ES_tradnl" w:eastAsia="nl-NL"/>
              </w:rPr>
              <w:t xml:space="preserve">) en un subconjunto del </w:t>
            </w:r>
            <w:proofErr w:type="spellStart"/>
            <w:r w:rsidRPr="003E6986">
              <w:rPr>
                <w:lang w:val="es-ES_tradnl" w:eastAsia="nl-NL"/>
              </w:rPr>
              <w:t>MetAids</w:t>
            </w:r>
            <w:proofErr w:type="spellEnd"/>
            <w:r w:rsidRPr="003E6986">
              <w:rPr>
                <w:lang w:val="es-ES_tradnl" w:eastAsia="nl-NL"/>
              </w:rPr>
              <w:t xml:space="preserve"> (meteorología espacial);</w:t>
            </w:r>
          </w:p>
          <w:p w14:paraId="42CB5A35" w14:textId="77777777" w:rsidR="006339B8" w:rsidRPr="003E6986" w:rsidRDefault="006339B8" w:rsidP="006339B8">
            <w:pPr>
              <w:pStyle w:val="Tabletext"/>
              <w:tabs>
                <w:tab w:val="clear" w:pos="284"/>
                <w:tab w:val="left" w:pos="463"/>
              </w:tabs>
              <w:jc w:val="both"/>
              <w:rPr>
                <w:lang w:val="es-ES_tradnl" w:eastAsia="nl-NL"/>
              </w:rPr>
            </w:pPr>
            <w:r w:rsidRPr="003E6986">
              <w:rPr>
                <w:lang w:val="es-ES_tradnl" w:eastAsia="nl-NL"/>
              </w:rPr>
              <w:t>…</w:t>
            </w:r>
          </w:p>
          <w:p w14:paraId="4C5BDE9A" w14:textId="77777777" w:rsidR="006339B8" w:rsidRPr="003E6986" w:rsidRDefault="006339B8" w:rsidP="006339B8">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2027</w:t>
            </w:r>
          </w:p>
          <w:p w14:paraId="7B7799C6" w14:textId="77777777" w:rsidR="006339B8" w:rsidRPr="003E6986" w:rsidRDefault="006339B8" w:rsidP="006339B8">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 xml:space="preserve">estudios sobre las necesidades de espectro y los criterios de protección adecuados de los sensores de meteorología espacial de sólo recepción, así como sobre las características de los sistemas, según proceda, teniendo en cuenta el </w:t>
            </w:r>
            <w:r w:rsidRPr="00C642A5">
              <w:rPr>
                <w:i/>
                <w:iCs/>
                <w:lang w:val="es-ES_tradnl" w:eastAsia="nl-NL"/>
              </w:rPr>
              <w:t>observando a)</w:t>
            </w:r>
            <w:r w:rsidRPr="003E6986">
              <w:rPr>
                <w:lang w:val="es-ES_tradnl" w:eastAsia="nl-NL"/>
              </w:rPr>
              <w:t>;</w:t>
            </w:r>
          </w:p>
          <w:p w14:paraId="36534D59" w14:textId="77777777" w:rsidR="006339B8" w:rsidRPr="003E6986" w:rsidRDefault="006339B8" w:rsidP="006339B8">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 xml:space="preserve">estudios de compartición y compatibilidad relativos a posibles nuevas atribuciones primarias al </w:t>
            </w:r>
            <w:proofErr w:type="spellStart"/>
            <w:r w:rsidRPr="003E6986">
              <w:rPr>
                <w:lang w:val="es-ES_tradnl" w:eastAsia="nl-NL"/>
              </w:rPr>
              <w:t>MetAids</w:t>
            </w:r>
            <w:proofErr w:type="spellEnd"/>
            <w:r w:rsidRPr="003E6986">
              <w:rPr>
                <w:lang w:val="es-ES_tradnl" w:eastAsia="nl-NL"/>
              </w:rPr>
              <w:t xml:space="preserve"> (meteorología espacial) en las bandas de frecuencias para sensores de sólo recepción, teniendo en cuenta el </w:t>
            </w:r>
            <w:r w:rsidRPr="00C642A5">
              <w:rPr>
                <w:i/>
                <w:iCs/>
                <w:lang w:val="es-ES_tradnl" w:eastAsia="nl-NL"/>
              </w:rPr>
              <w:t>resuelve</w:t>
            </w:r>
            <w:r w:rsidRPr="003E6986">
              <w:rPr>
                <w:lang w:val="es-ES_tradnl" w:eastAsia="nl-NL"/>
              </w:rPr>
              <w:t xml:space="preserve"> 2:</w:t>
            </w:r>
          </w:p>
          <w:p w14:paraId="34CB1218" w14:textId="77777777" w:rsidR="006339B8" w:rsidRPr="003E6986" w:rsidRDefault="006339B8" w:rsidP="006339B8">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27,5-28,0 MHz;</w:t>
            </w:r>
          </w:p>
          <w:p w14:paraId="6D81F67C" w14:textId="77777777" w:rsidR="006339B8" w:rsidRPr="003E6986" w:rsidRDefault="006339B8" w:rsidP="006339B8">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29,7-30,2 MHz;</w:t>
            </w:r>
          </w:p>
          <w:p w14:paraId="2DD9F619" w14:textId="77777777" w:rsidR="006339B8" w:rsidRPr="003E6986" w:rsidRDefault="006339B8" w:rsidP="006339B8">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32,2-32,6 MHz;</w:t>
            </w:r>
          </w:p>
          <w:p w14:paraId="1DC2EB16" w14:textId="77777777" w:rsidR="006339B8" w:rsidRPr="003E6986" w:rsidRDefault="006339B8" w:rsidP="006339B8">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37,5-38,325 MHz;</w:t>
            </w:r>
          </w:p>
          <w:p w14:paraId="59C161D7" w14:textId="77777777" w:rsidR="006339B8" w:rsidRPr="003E6986" w:rsidRDefault="006339B8" w:rsidP="006339B8">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73,0-74,6 MHz;</w:t>
            </w:r>
          </w:p>
          <w:p w14:paraId="6AD34D72" w14:textId="77777777" w:rsidR="006339B8" w:rsidRPr="003E6986" w:rsidRDefault="006339B8" w:rsidP="006339B8">
            <w:pPr>
              <w:pStyle w:val="Tabletext"/>
              <w:tabs>
                <w:tab w:val="clear" w:pos="284"/>
                <w:tab w:val="left" w:pos="463"/>
              </w:tabs>
              <w:jc w:val="both"/>
              <w:rPr>
                <w:lang w:val="es-ES_tradnl" w:eastAsia="nl-NL"/>
              </w:rPr>
            </w:pPr>
            <w:r w:rsidRPr="003E6986">
              <w:rPr>
                <w:lang w:val="es-ES_tradnl" w:eastAsia="nl-NL"/>
              </w:rPr>
              <w:t>–</w:t>
            </w:r>
            <w:r w:rsidRPr="003E6986">
              <w:rPr>
                <w:lang w:val="es-ES_tradnl" w:eastAsia="nl-NL"/>
              </w:rPr>
              <w:tab/>
              <w:t>608-614 MHz;</w:t>
            </w:r>
          </w:p>
          <w:p w14:paraId="474EEE2C" w14:textId="77777777" w:rsidR="006339B8" w:rsidRPr="003E6986" w:rsidRDefault="006339B8" w:rsidP="006339B8">
            <w:pPr>
              <w:pStyle w:val="Tabletext"/>
              <w:tabs>
                <w:tab w:val="clear" w:pos="284"/>
                <w:tab w:val="left" w:pos="463"/>
              </w:tabs>
              <w:jc w:val="both"/>
              <w:rPr>
                <w:lang w:val="es-ES_tradnl" w:eastAsia="nl-NL"/>
              </w:rPr>
            </w:pPr>
            <w:r w:rsidRPr="003E6986">
              <w:rPr>
                <w:lang w:val="es-ES_tradnl" w:eastAsia="nl-NL"/>
              </w:rPr>
              <w:t>3</w:t>
            </w:r>
            <w:r w:rsidRPr="003E6986">
              <w:rPr>
                <w:lang w:val="es-ES_tradnl" w:eastAsia="nl-NL"/>
              </w:rPr>
              <w:tab/>
              <w:t>estudios sobre posibles disposiciones reglamentarias del Reglamento de Radiocomunicaciones para ofrecer a las administraciones la posibilidad de notificar la inclusión en el Registro Internacional de Frecuencias de una estación de recepción de sensores de meteorología espacial,</w:t>
            </w:r>
          </w:p>
          <w:p w14:paraId="3A13ED38" w14:textId="77777777" w:rsidR="006339B8" w:rsidRPr="003E6986" w:rsidRDefault="006339B8" w:rsidP="006339B8">
            <w:pPr>
              <w:pStyle w:val="Tabletext"/>
              <w:tabs>
                <w:tab w:val="clear" w:pos="284"/>
                <w:tab w:val="left" w:pos="463"/>
              </w:tabs>
              <w:ind w:left="454"/>
              <w:jc w:val="both"/>
              <w:rPr>
                <w:rFonts w:eastAsia="???"/>
                <w:i/>
                <w:iCs/>
                <w:lang w:val="es-ES_tradnl" w:eastAsia="nl-NL"/>
              </w:rPr>
            </w:pPr>
            <w:proofErr w:type="gramStart"/>
            <w:r w:rsidRPr="003E6986">
              <w:rPr>
                <w:rFonts w:eastAsia="???"/>
                <w:i/>
                <w:iCs/>
                <w:lang w:val="es-ES_tradnl" w:eastAsia="nl-NL"/>
              </w:rPr>
              <w:t>resuelve</w:t>
            </w:r>
            <w:proofErr w:type="gramEnd"/>
            <w:r w:rsidRPr="003E6986">
              <w:rPr>
                <w:rFonts w:eastAsia="???"/>
                <w:i/>
                <w:iCs/>
                <w:lang w:val="es-ES_tradnl" w:eastAsia="nl-NL"/>
              </w:rPr>
              <w:t xml:space="preserve"> además</w:t>
            </w:r>
          </w:p>
          <w:p w14:paraId="29805204" w14:textId="77777777" w:rsidR="006339B8" w:rsidRPr="003E6986" w:rsidRDefault="006339B8" w:rsidP="006339B8">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 xml:space="preserve">que las administraciones no notifiquen asignaciones de frecuencias a una estación utilizada para la observación de meteorología espacial en el </w:t>
            </w:r>
            <w:proofErr w:type="spellStart"/>
            <w:r w:rsidRPr="003E6986">
              <w:rPr>
                <w:lang w:val="es-ES_tradnl" w:eastAsia="nl-NL"/>
              </w:rPr>
              <w:t>MetAids</w:t>
            </w:r>
            <w:proofErr w:type="spellEnd"/>
            <w:r w:rsidRPr="003E6986">
              <w:rPr>
                <w:lang w:val="es-ES_tradnl" w:eastAsia="nl-NL"/>
              </w:rPr>
              <w:t xml:space="preserve"> (meteorología espacial) hasta tanto la CMR-27 no introduzca las atribuciones correspondientes en el Artículo </w:t>
            </w:r>
            <w:r w:rsidRPr="003E6986">
              <w:rPr>
                <w:b/>
                <w:bCs/>
                <w:lang w:val="es-ES_tradnl" w:eastAsia="nl-NL"/>
              </w:rPr>
              <w:t>5</w:t>
            </w:r>
            <w:r w:rsidRPr="003E6986">
              <w:rPr>
                <w:lang w:val="es-ES_tradnl" w:eastAsia="nl-NL"/>
              </w:rPr>
              <w:t>;</w:t>
            </w:r>
          </w:p>
          <w:p w14:paraId="39576394" w14:textId="69D49CCA" w:rsidR="006339B8" w:rsidRPr="003E6986" w:rsidRDefault="006339B8" w:rsidP="006339B8">
            <w:pPr>
              <w:pStyle w:val="Tabletext"/>
              <w:tabs>
                <w:tab w:val="clear" w:pos="284"/>
                <w:tab w:val="left" w:pos="463"/>
              </w:tabs>
              <w:jc w:val="both"/>
              <w:rPr>
                <w:lang w:val="es-ES_tradnl" w:eastAsia="nl-NL"/>
              </w:rPr>
            </w:pPr>
            <w:r w:rsidRPr="003E6986">
              <w:rPr>
                <w:lang w:val="es-ES_tradnl" w:eastAsia="nl-NL"/>
              </w:rPr>
              <w:lastRenderedPageBreak/>
              <w:t>2</w:t>
            </w:r>
            <w:r w:rsidRPr="003E6986">
              <w:rPr>
                <w:lang w:val="es-ES_tradnl" w:eastAsia="nl-NL"/>
              </w:rPr>
              <w:tab/>
              <w:t xml:space="preserve">que para toda posible nueva atribución a título primario al </w:t>
            </w:r>
            <w:proofErr w:type="spellStart"/>
            <w:r w:rsidRPr="003E6986">
              <w:rPr>
                <w:lang w:val="es-ES_tradnl" w:eastAsia="nl-NL"/>
              </w:rPr>
              <w:t>MetAids</w:t>
            </w:r>
            <w:proofErr w:type="spellEnd"/>
            <w:r w:rsidRPr="003E6986">
              <w:rPr>
                <w:lang w:val="es-ES_tradnl" w:eastAsia="nl-NL"/>
              </w:rPr>
              <w:t xml:space="preserve"> (meteorología espacial) que se efectúe en el marco del </w:t>
            </w:r>
            <w:r w:rsidRPr="003E6986">
              <w:rPr>
                <w:i/>
                <w:iCs/>
                <w:lang w:val="es-ES_tradnl" w:eastAsia="nl-NL"/>
              </w:rPr>
              <w:t>resuelve invitar al Sector de Radiocomunicaciones de la UIT a finalizar a tiempo para la Conferencia Mundial de Radiocomunicaciones de 2027</w:t>
            </w:r>
            <w:r w:rsidR="005A0575" w:rsidRPr="003E6986">
              <w:rPr>
                <w:lang w:val="es-ES_tradnl" w:eastAsia="nl-NL"/>
              </w:rPr>
              <w:t> </w:t>
            </w:r>
            <w:r w:rsidRPr="003E6986">
              <w:rPr>
                <w:lang w:val="es-ES_tradnl" w:eastAsia="nl-NL"/>
              </w:rPr>
              <w:t>2 no se pueda reclamarse protección contra los servicios establecidos en las bandas de frecuencias o en las bandas adyacentes, ni imponer limitaciones al desarrollo futuro de estos servicios,</w:t>
            </w:r>
          </w:p>
          <w:p w14:paraId="3D64F10D" w14:textId="77777777" w:rsidR="006339B8" w:rsidRPr="003E6986" w:rsidRDefault="006339B8" w:rsidP="006339B8">
            <w:pPr>
              <w:pStyle w:val="Tabletext"/>
              <w:tabs>
                <w:tab w:val="clear" w:pos="284"/>
                <w:tab w:val="left" w:pos="463"/>
              </w:tabs>
              <w:jc w:val="both"/>
              <w:rPr>
                <w:lang w:val="es-ES_tradnl" w:eastAsia="nl-NL"/>
              </w:rPr>
            </w:pPr>
            <w:r w:rsidRPr="003E6986">
              <w:rPr>
                <w:lang w:val="es-ES_tradnl" w:eastAsia="nl-NL"/>
              </w:rPr>
              <w:t>…</w:t>
            </w:r>
          </w:p>
          <w:p w14:paraId="69A41ABF" w14:textId="071A4FF7" w:rsidR="006339B8" w:rsidRPr="003E6986" w:rsidRDefault="006339B8" w:rsidP="006339B8">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2027</w:t>
            </w:r>
          </w:p>
          <w:p w14:paraId="50539092" w14:textId="77777777" w:rsidR="006339B8" w:rsidRPr="003E6986" w:rsidRDefault="006339B8" w:rsidP="006339B8">
            <w:pPr>
              <w:pStyle w:val="Tabletext"/>
              <w:tabs>
                <w:tab w:val="clear" w:pos="284"/>
                <w:tab w:val="left" w:pos="463"/>
              </w:tabs>
              <w:jc w:val="both"/>
              <w:rPr>
                <w:lang w:val="es-ES_tradnl" w:eastAsia="nl-NL"/>
              </w:rPr>
            </w:pPr>
            <w:r w:rsidRPr="003E6986">
              <w:rPr>
                <w:lang w:val="es-ES_tradnl" w:eastAsia="nl-NL"/>
              </w:rPr>
              <w:t xml:space="preserve">a adoptar las medidas oportunas, incluidas posibles nuevas atribuciones a título primario al </w:t>
            </w:r>
            <w:proofErr w:type="spellStart"/>
            <w:r w:rsidRPr="003E6986">
              <w:rPr>
                <w:lang w:val="es-ES_tradnl" w:eastAsia="nl-NL"/>
              </w:rPr>
              <w:t>MetAids</w:t>
            </w:r>
            <w:proofErr w:type="spellEnd"/>
            <w:r w:rsidRPr="003E6986">
              <w:rPr>
                <w:lang w:val="es-ES_tradnl" w:eastAsia="nl-NL"/>
              </w:rPr>
              <w:t xml:space="preserve"> de sólo recepción (meteorología espacial), basándose en los resultados de los estudios mencionados en el </w:t>
            </w:r>
            <w:r w:rsidRPr="003E6986">
              <w:rPr>
                <w:i/>
                <w:iCs/>
                <w:lang w:val="es-ES_tradnl" w:eastAsia="nl-NL"/>
              </w:rPr>
              <w:t>resuelve invitar al Sector de Radiocomunicaciones de la UIT a finalizar a tiempo para la Conferencia Mundial de Radiocomunicaciones de 2027</w:t>
            </w:r>
            <w:r w:rsidRPr="003E6986">
              <w:rPr>
                <w:lang w:val="es-ES_tradnl" w:eastAsia="nl-NL"/>
              </w:rPr>
              <w:t xml:space="preserve">, teniendo en cuenta el </w:t>
            </w:r>
            <w:r w:rsidRPr="003E6986">
              <w:rPr>
                <w:i/>
                <w:iCs/>
                <w:lang w:val="es-ES_tradnl" w:eastAsia="nl-NL"/>
              </w:rPr>
              <w:t>resuelve</w:t>
            </w:r>
            <w:r w:rsidRPr="003E6986">
              <w:rPr>
                <w:lang w:val="es-ES_tradnl" w:eastAsia="nl-NL"/>
              </w:rPr>
              <w:t xml:space="preserve"> 2,</w:t>
            </w:r>
          </w:p>
          <w:p w14:paraId="3CE61039" w14:textId="77777777" w:rsidR="00997DE8" w:rsidRDefault="00997DE8" w:rsidP="006339B8">
            <w:pPr>
              <w:pStyle w:val="Tabletext"/>
              <w:tabs>
                <w:tab w:val="clear" w:pos="284"/>
                <w:tab w:val="left" w:pos="463"/>
              </w:tabs>
              <w:jc w:val="both"/>
              <w:rPr>
                <w:lang w:val="es-ES_tradnl" w:eastAsia="nl-NL"/>
              </w:rPr>
            </w:pPr>
            <w:r w:rsidRPr="003E6986">
              <w:rPr>
                <w:lang w:val="es-ES_tradnl" w:eastAsia="nl-NL"/>
              </w:rPr>
              <w:t>…</w:t>
            </w:r>
          </w:p>
          <w:p w14:paraId="367A0FD4" w14:textId="77777777" w:rsidR="00C642A5" w:rsidRDefault="00C642A5" w:rsidP="006339B8">
            <w:pPr>
              <w:pStyle w:val="Tabletext"/>
              <w:tabs>
                <w:tab w:val="clear" w:pos="284"/>
                <w:tab w:val="left" w:pos="463"/>
              </w:tabs>
              <w:jc w:val="both"/>
              <w:rPr>
                <w:lang w:val="es-ES_tradnl" w:eastAsia="nl-NL"/>
              </w:rPr>
            </w:pPr>
          </w:p>
          <w:p w14:paraId="2DA8D144" w14:textId="77777777" w:rsidR="00C642A5" w:rsidRDefault="00C642A5" w:rsidP="006339B8">
            <w:pPr>
              <w:pStyle w:val="Tabletext"/>
              <w:tabs>
                <w:tab w:val="clear" w:pos="284"/>
                <w:tab w:val="left" w:pos="463"/>
              </w:tabs>
              <w:jc w:val="both"/>
              <w:rPr>
                <w:lang w:val="es-ES_tradnl" w:eastAsia="nl-NL"/>
              </w:rPr>
            </w:pPr>
          </w:p>
          <w:p w14:paraId="47F52B41" w14:textId="77777777" w:rsidR="00C642A5" w:rsidRDefault="00C642A5" w:rsidP="006339B8">
            <w:pPr>
              <w:pStyle w:val="Tabletext"/>
              <w:tabs>
                <w:tab w:val="clear" w:pos="284"/>
                <w:tab w:val="left" w:pos="463"/>
              </w:tabs>
              <w:jc w:val="both"/>
              <w:rPr>
                <w:lang w:val="es-ES_tradnl" w:eastAsia="nl-NL"/>
              </w:rPr>
            </w:pPr>
          </w:p>
          <w:p w14:paraId="6417397F" w14:textId="77777777" w:rsidR="00C642A5" w:rsidRDefault="00C642A5" w:rsidP="006339B8">
            <w:pPr>
              <w:pStyle w:val="Tabletext"/>
              <w:tabs>
                <w:tab w:val="clear" w:pos="284"/>
                <w:tab w:val="left" w:pos="463"/>
              </w:tabs>
              <w:jc w:val="both"/>
              <w:rPr>
                <w:lang w:val="es-ES_tradnl" w:eastAsia="nl-NL"/>
              </w:rPr>
            </w:pPr>
          </w:p>
          <w:p w14:paraId="780CD1FC" w14:textId="77777777" w:rsidR="00C642A5" w:rsidRDefault="00C642A5" w:rsidP="006339B8">
            <w:pPr>
              <w:pStyle w:val="Tabletext"/>
              <w:tabs>
                <w:tab w:val="clear" w:pos="284"/>
                <w:tab w:val="left" w:pos="463"/>
              </w:tabs>
              <w:jc w:val="both"/>
              <w:rPr>
                <w:lang w:val="es-ES_tradnl" w:eastAsia="nl-NL"/>
              </w:rPr>
            </w:pPr>
          </w:p>
          <w:p w14:paraId="2951B0E2" w14:textId="77777777" w:rsidR="00C642A5" w:rsidRDefault="00C642A5" w:rsidP="006339B8">
            <w:pPr>
              <w:pStyle w:val="Tabletext"/>
              <w:tabs>
                <w:tab w:val="clear" w:pos="284"/>
                <w:tab w:val="left" w:pos="463"/>
              </w:tabs>
              <w:jc w:val="both"/>
              <w:rPr>
                <w:lang w:val="es-ES_tradnl" w:eastAsia="nl-NL"/>
              </w:rPr>
            </w:pPr>
          </w:p>
          <w:p w14:paraId="77C8D85A" w14:textId="77777777" w:rsidR="00C642A5" w:rsidRDefault="00C642A5" w:rsidP="006339B8">
            <w:pPr>
              <w:pStyle w:val="Tabletext"/>
              <w:tabs>
                <w:tab w:val="clear" w:pos="284"/>
                <w:tab w:val="left" w:pos="463"/>
              </w:tabs>
              <w:jc w:val="both"/>
              <w:rPr>
                <w:lang w:val="es-ES_tradnl" w:eastAsia="nl-NL"/>
              </w:rPr>
            </w:pPr>
          </w:p>
          <w:p w14:paraId="5E79CC10" w14:textId="77777777" w:rsidR="00C642A5" w:rsidRDefault="00C642A5" w:rsidP="006339B8">
            <w:pPr>
              <w:pStyle w:val="Tabletext"/>
              <w:tabs>
                <w:tab w:val="clear" w:pos="284"/>
                <w:tab w:val="left" w:pos="463"/>
              </w:tabs>
              <w:jc w:val="both"/>
              <w:rPr>
                <w:lang w:val="es-ES_tradnl" w:eastAsia="nl-NL"/>
              </w:rPr>
            </w:pPr>
          </w:p>
          <w:p w14:paraId="006965CB" w14:textId="77777777" w:rsidR="00C642A5" w:rsidRDefault="00C642A5" w:rsidP="006339B8">
            <w:pPr>
              <w:pStyle w:val="Tabletext"/>
              <w:tabs>
                <w:tab w:val="clear" w:pos="284"/>
                <w:tab w:val="left" w:pos="463"/>
              </w:tabs>
              <w:jc w:val="both"/>
              <w:rPr>
                <w:lang w:val="es-ES_tradnl" w:eastAsia="nl-NL"/>
              </w:rPr>
            </w:pPr>
          </w:p>
          <w:p w14:paraId="16A80361" w14:textId="608D2723" w:rsidR="00C642A5" w:rsidRPr="003E6986" w:rsidRDefault="00C642A5" w:rsidP="006339B8">
            <w:pPr>
              <w:pStyle w:val="Tabletext"/>
              <w:tabs>
                <w:tab w:val="clear" w:pos="284"/>
                <w:tab w:val="left" w:pos="463"/>
              </w:tabs>
              <w:jc w:val="both"/>
              <w:rPr>
                <w:lang w:val="es-ES_tradnl" w:eastAsia="nl-NL"/>
              </w:rPr>
            </w:pPr>
          </w:p>
        </w:tc>
        <w:tc>
          <w:tcPr>
            <w:tcW w:w="1406" w:type="dxa"/>
          </w:tcPr>
          <w:p w14:paraId="79D55E7F" w14:textId="2C91511C" w:rsidR="00997DE8" w:rsidRPr="008653C7" w:rsidRDefault="005A0575" w:rsidP="00997DE8">
            <w:pPr>
              <w:spacing w:before="40" w:after="40"/>
              <w:jc w:val="center"/>
              <w:rPr>
                <w:b/>
                <w:bCs/>
                <w:sz w:val="20"/>
                <w:lang w:val="fr-FR"/>
              </w:rPr>
            </w:pPr>
            <w:r w:rsidRPr="008653C7">
              <w:rPr>
                <w:b/>
                <w:bCs/>
                <w:sz w:val="20"/>
                <w:lang w:val="fr-FR"/>
              </w:rPr>
              <w:lastRenderedPageBreak/>
              <w:t>GT</w:t>
            </w:r>
            <w:r w:rsidR="00997DE8" w:rsidRPr="008653C7">
              <w:rPr>
                <w:b/>
                <w:bCs/>
                <w:sz w:val="20"/>
                <w:lang w:val="fr-FR"/>
              </w:rPr>
              <w:t xml:space="preserve"> </w:t>
            </w:r>
            <w:proofErr w:type="spellStart"/>
            <w:r w:rsidR="00997DE8" w:rsidRPr="008653C7">
              <w:rPr>
                <w:b/>
                <w:bCs/>
                <w:sz w:val="20"/>
                <w:lang w:val="fr-FR"/>
              </w:rPr>
              <w:t>3L</w:t>
            </w:r>
            <w:proofErr w:type="spellEnd"/>
          </w:p>
          <w:p w14:paraId="09971B2A" w14:textId="43447351" w:rsidR="00997DE8" w:rsidRPr="008653C7" w:rsidRDefault="00997DE8" w:rsidP="00997DE8">
            <w:pPr>
              <w:spacing w:before="40" w:after="40"/>
              <w:jc w:val="center"/>
              <w:rPr>
                <w:b/>
                <w:bCs/>
                <w:sz w:val="20"/>
                <w:lang w:val="fr-FR"/>
              </w:rPr>
            </w:pPr>
            <w:r w:rsidRPr="008653C7">
              <w:rPr>
                <w:b/>
                <w:bCs/>
                <w:sz w:val="20"/>
                <w:lang w:val="fr-FR"/>
              </w:rPr>
              <w:t>GT</w:t>
            </w:r>
            <w:r w:rsidR="005A0575" w:rsidRPr="008653C7">
              <w:rPr>
                <w:b/>
                <w:bCs/>
                <w:sz w:val="20"/>
                <w:lang w:val="fr-FR"/>
              </w:rPr>
              <w:t xml:space="preserve"> </w:t>
            </w:r>
            <w:r w:rsidRPr="008653C7">
              <w:rPr>
                <w:b/>
                <w:bCs/>
                <w:sz w:val="20"/>
                <w:lang w:val="fr-FR"/>
              </w:rPr>
              <w:t>3M</w:t>
            </w:r>
          </w:p>
          <w:p w14:paraId="04F9C964" w14:textId="4D46581D" w:rsidR="00997DE8" w:rsidRPr="008653C7" w:rsidRDefault="005A0575" w:rsidP="00997DE8">
            <w:pPr>
              <w:spacing w:before="40" w:after="40"/>
              <w:jc w:val="center"/>
              <w:rPr>
                <w:b/>
                <w:bCs/>
                <w:sz w:val="20"/>
                <w:lang w:val="fr-FR"/>
              </w:rPr>
            </w:pPr>
            <w:r w:rsidRPr="008653C7">
              <w:rPr>
                <w:b/>
                <w:bCs/>
                <w:sz w:val="20"/>
                <w:lang w:val="fr-FR"/>
              </w:rPr>
              <w:t xml:space="preserve">GT </w:t>
            </w:r>
            <w:proofErr w:type="spellStart"/>
            <w:r w:rsidR="00997DE8" w:rsidRPr="008653C7">
              <w:rPr>
                <w:b/>
                <w:bCs/>
                <w:sz w:val="20"/>
                <w:lang w:val="fr-FR"/>
              </w:rPr>
              <w:t>4A</w:t>
            </w:r>
            <w:proofErr w:type="spellEnd"/>
          </w:p>
          <w:p w14:paraId="7DAFBE77" w14:textId="40E5D4A1" w:rsidR="00997DE8" w:rsidRPr="008653C7" w:rsidRDefault="005A0575" w:rsidP="00997DE8">
            <w:pPr>
              <w:spacing w:before="40" w:after="40"/>
              <w:jc w:val="center"/>
              <w:rPr>
                <w:b/>
                <w:bCs/>
                <w:sz w:val="20"/>
                <w:lang w:val="fr-FR"/>
              </w:rPr>
            </w:pPr>
            <w:r w:rsidRPr="008653C7">
              <w:rPr>
                <w:b/>
                <w:bCs/>
                <w:sz w:val="20"/>
                <w:lang w:val="fr-FR"/>
              </w:rPr>
              <w:t xml:space="preserve">GT </w:t>
            </w:r>
            <w:proofErr w:type="spellStart"/>
            <w:r w:rsidR="00997DE8" w:rsidRPr="008653C7">
              <w:rPr>
                <w:b/>
                <w:bCs/>
                <w:sz w:val="20"/>
                <w:lang w:val="fr-FR"/>
              </w:rPr>
              <w:t>4C</w:t>
            </w:r>
            <w:proofErr w:type="spellEnd"/>
          </w:p>
          <w:p w14:paraId="5A2AE3D3" w14:textId="290FE803" w:rsidR="00997DE8" w:rsidRPr="008653C7" w:rsidRDefault="005A0575" w:rsidP="00997DE8">
            <w:pPr>
              <w:spacing w:before="40" w:after="40"/>
              <w:jc w:val="center"/>
              <w:rPr>
                <w:b/>
                <w:bCs/>
                <w:sz w:val="20"/>
                <w:lang w:val="fr-FR"/>
              </w:rPr>
            </w:pPr>
            <w:r w:rsidRPr="008653C7">
              <w:rPr>
                <w:b/>
                <w:bCs/>
                <w:sz w:val="20"/>
                <w:lang w:val="fr-FR"/>
              </w:rPr>
              <w:t>GT</w:t>
            </w:r>
            <w:r w:rsidR="00997DE8" w:rsidRPr="008653C7">
              <w:rPr>
                <w:b/>
                <w:bCs/>
                <w:sz w:val="20"/>
                <w:lang w:val="fr-FR"/>
              </w:rPr>
              <w:t xml:space="preserve"> </w:t>
            </w:r>
            <w:proofErr w:type="spellStart"/>
            <w:r w:rsidR="00997DE8" w:rsidRPr="008653C7">
              <w:rPr>
                <w:b/>
                <w:bCs/>
                <w:sz w:val="20"/>
                <w:lang w:val="fr-FR"/>
              </w:rPr>
              <w:t>5A</w:t>
            </w:r>
            <w:proofErr w:type="spellEnd"/>
          </w:p>
          <w:p w14:paraId="3A72F496" w14:textId="5902F11D" w:rsidR="00997DE8" w:rsidRPr="008653C7" w:rsidRDefault="005A0575" w:rsidP="00997DE8">
            <w:pPr>
              <w:spacing w:before="40" w:after="40"/>
              <w:jc w:val="center"/>
              <w:rPr>
                <w:b/>
                <w:bCs/>
                <w:sz w:val="20"/>
                <w:lang w:val="fr-FR"/>
              </w:rPr>
            </w:pPr>
            <w:r w:rsidRPr="008653C7">
              <w:rPr>
                <w:b/>
                <w:bCs/>
                <w:sz w:val="20"/>
                <w:lang w:val="fr-FR"/>
              </w:rPr>
              <w:t xml:space="preserve">GT </w:t>
            </w:r>
            <w:proofErr w:type="spellStart"/>
            <w:r w:rsidR="00997DE8" w:rsidRPr="008653C7">
              <w:rPr>
                <w:b/>
                <w:bCs/>
                <w:sz w:val="20"/>
                <w:lang w:val="fr-FR"/>
              </w:rPr>
              <w:t>5B</w:t>
            </w:r>
            <w:proofErr w:type="spellEnd"/>
          </w:p>
          <w:p w14:paraId="671DFDA6" w14:textId="6BAAFF35" w:rsidR="00997DE8" w:rsidRPr="008653C7" w:rsidRDefault="005A0575" w:rsidP="00997DE8">
            <w:pPr>
              <w:spacing w:before="40" w:after="40"/>
              <w:jc w:val="center"/>
              <w:rPr>
                <w:b/>
                <w:bCs/>
                <w:sz w:val="20"/>
                <w:lang w:val="fr-FR"/>
              </w:rPr>
            </w:pPr>
            <w:r w:rsidRPr="008653C7">
              <w:rPr>
                <w:b/>
                <w:bCs/>
                <w:sz w:val="20"/>
                <w:lang w:val="fr-FR"/>
              </w:rPr>
              <w:t>GT</w:t>
            </w:r>
            <w:r w:rsidR="00997DE8" w:rsidRPr="008653C7">
              <w:rPr>
                <w:b/>
                <w:bCs/>
                <w:sz w:val="20"/>
                <w:lang w:val="fr-FR"/>
              </w:rPr>
              <w:t xml:space="preserve"> </w:t>
            </w:r>
            <w:proofErr w:type="spellStart"/>
            <w:r w:rsidR="00997DE8" w:rsidRPr="008653C7">
              <w:rPr>
                <w:b/>
                <w:bCs/>
                <w:sz w:val="20"/>
                <w:lang w:val="fr-FR"/>
              </w:rPr>
              <w:t>5C</w:t>
            </w:r>
            <w:proofErr w:type="spellEnd"/>
          </w:p>
          <w:p w14:paraId="0498BD5F" w14:textId="26D951B4" w:rsidR="00997DE8" w:rsidRPr="008653C7" w:rsidRDefault="005A0575" w:rsidP="00997DE8">
            <w:pPr>
              <w:spacing w:before="40" w:after="40"/>
              <w:jc w:val="center"/>
              <w:rPr>
                <w:b/>
                <w:bCs/>
                <w:sz w:val="20"/>
                <w:lang w:val="fr-FR"/>
              </w:rPr>
            </w:pPr>
            <w:r w:rsidRPr="008653C7">
              <w:rPr>
                <w:b/>
                <w:bCs/>
                <w:sz w:val="20"/>
                <w:lang w:val="fr-FR"/>
              </w:rPr>
              <w:t xml:space="preserve">GT </w:t>
            </w:r>
            <w:proofErr w:type="spellStart"/>
            <w:r w:rsidR="00997DE8" w:rsidRPr="008653C7">
              <w:rPr>
                <w:b/>
                <w:bCs/>
                <w:sz w:val="20"/>
                <w:lang w:val="fr-FR"/>
              </w:rPr>
              <w:t>5D</w:t>
            </w:r>
            <w:proofErr w:type="spellEnd"/>
          </w:p>
          <w:p w14:paraId="72A5A6D9" w14:textId="1CA7D49F" w:rsidR="00997DE8" w:rsidRPr="003E6986" w:rsidRDefault="005A0575" w:rsidP="00997DE8">
            <w:pPr>
              <w:spacing w:before="40" w:after="40"/>
              <w:jc w:val="center"/>
              <w:rPr>
                <w:b/>
                <w:bCs/>
                <w:sz w:val="20"/>
                <w:lang w:val="es-ES_tradnl"/>
              </w:rPr>
            </w:pPr>
            <w:r w:rsidRPr="003E6986">
              <w:rPr>
                <w:b/>
                <w:bCs/>
                <w:sz w:val="20"/>
                <w:lang w:val="es-ES_tradnl"/>
              </w:rPr>
              <w:t xml:space="preserve">GT </w:t>
            </w:r>
            <w:proofErr w:type="spellStart"/>
            <w:r w:rsidR="00997DE8" w:rsidRPr="003E6986">
              <w:rPr>
                <w:b/>
                <w:bCs/>
                <w:sz w:val="20"/>
                <w:lang w:val="es-ES_tradnl"/>
              </w:rPr>
              <w:t>6A</w:t>
            </w:r>
            <w:proofErr w:type="spellEnd"/>
          </w:p>
          <w:p w14:paraId="57FEBBA8" w14:textId="11981395" w:rsidR="00997DE8" w:rsidRPr="003E6986" w:rsidRDefault="005A0575" w:rsidP="00997DE8">
            <w:pPr>
              <w:spacing w:before="40" w:after="40"/>
              <w:jc w:val="center"/>
              <w:rPr>
                <w:b/>
                <w:bCs/>
                <w:sz w:val="20"/>
                <w:lang w:val="es-ES_tradnl"/>
              </w:rPr>
            </w:pPr>
            <w:r w:rsidRPr="003E6986">
              <w:rPr>
                <w:b/>
                <w:bCs/>
                <w:sz w:val="20"/>
                <w:lang w:val="es-ES_tradnl"/>
              </w:rPr>
              <w:t xml:space="preserve">GT </w:t>
            </w:r>
            <w:r w:rsidR="00997DE8" w:rsidRPr="003E6986">
              <w:rPr>
                <w:b/>
                <w:bCs/>
                <w:sz w:val="20"/>
                <w:lang w:val="es-ES_tradnl"/>
              </w:rPr>
              <w:t>7B</w:t>
            </w:r>
          </w:p>
          <w:p w14:paraId="469665EC" w14:textId="748D26DF" w:rsidR="004A7B85" w:rsidRPr="003E6986" w:rsidRDefault="005A0575" w:rsidP="00997DE8">
            <w:pPr>
              <w:pStyle w:val="Tabletext"/>
              <w:tabs>
                <w:tab w:val="clear" w:pos="284"/>
                <w:tab w:val="left" w:pos="463"/>
              </w:tabs>
              <w:spacing w:line="480" w:lineRule="auto"/>
              <w:jc w:val="center"/>
              <w:rPr>
                <w:b/>
                <w:bCs/>
                <w:lang w:val="es-ES_tradnl" w:eastAsia="nl-NL"/>
              </w:rPr>
            </w:pPr>
            <w:r w:rsidRPr="003E6986">
              <w:rPr>
                <w:b/>
                <w:bCs/>
                <w:lang w:val="es-ES_tradnl"/>
              </w:rPr>
              <w:t xml:space="preserve">GT </w:t>
            </w:r>
            <w:r w:rsidR="00997DE8" w:rsidRPr="003E6986">
              <w:rPr>
                <w:b/>
                <w:bCs/>
                <w:lang w:val="es-ES_tradnl"/>
              </w:rPr>
              <w:t>7D</w:t>
            </w:r>
          </w:p>
        </w:tc>
      </w:tr>
      <w:tr w:rsidR="004A7B85" w:rsidRPr="008653C7" w14:paraId="01C9B6D8" w14:textId="77777777" w:rsidTr="00C642A5">
        <w:trPr>
          <w:gridAfter w:val="1"/>
          <w:wAfter w:w="27" w:type="dxa"/>
          <w:cantSplit/>
          <w:jc w:val="center"/>
        </w:trPr>
        <w:tc>
          <w:tcPr>
            <w:tcW w:w="14036" w:type="dxa"/>
            <w:gridSpan w:val="4"/>
          </w:tcPr>
          <w:p w14:paraId="5DC8F772" w14:textId="3B2F6DE7" w:rsidR="004A7B85" w:rsidRPr="003E6986" w:rsidRDefault="006339B8" w:rsidP="00BD2741">
            <w:pPr>
              <w:pStyle w:val="Tabletext"/>
              <w:keepNext/>
              <w:keepLines/>
              <w:tabs>
                <w:tab w:val="clear" w:pos="284"/>
                <w:tab w:val="left" w:pos="594"/>
              </w:tabs>
              <w:jc w:val="both"/>
              <w:rPr>
                <w:lang w:val="es-ES_tradnl" w:eastAsia="nl-NL"/>
              </w:rPr>
            </w:pPr>
            <w:r w:rsidRPr="003E6986">
              <w:rPr>
                <w:lang w:val="es-ES_tradnl" w:eastAsia="nl-NL"/>
              </w:rPr>
              <w:lastRenderedPageBreak/>
              <w:t>1.18</w:t>
            </w:r>
            <w:r w:rsidRPr="003E6986">
              <w:rPr>
                <w:lang w:val="es-ES_tradnl" w:eastAsia="nl-NL"/>
              </w:rPr>
              <w:tab/>
              <w:t xml:space="preserve">considerar, basándose en los resultados de los estudios del Sector de Radiocomunicaciones de la UIT, posibles medidas reglamentarias relativas a la protección del servicio de exploración de la Tierra por satélite (pasivo) y del servicio de radioastronomía en determinadas bandas de frecuencias por encima de 76 GHz contra las emisiones no deseadas de los servicios activos, de conformidad con la Resolución </w:t>
            </w:r>
            <w:r w:rsidR="009B4CFB" w:rsidRPr="003E6986">
              <w:rPr>
                <w:b/>
                <w:lang w:val="es-ES_tradnl" w:eastAsia="nl-NL"/>
              </w:rPr>
              <w:t>712</w:t>
            </w:r>
            <w:r w:rsidRPr="003E6986">
              <w:rPr>
                <w:b/>
                <w:lang w:val="es-ES_tradnl" w:eastAsia="nl-NL"/>
              </w:rPr>
              <w:t xml:space="preserve"> (CMR-23)</w:t>
            </w:r>
            <w:r w:rsidRPr="003E6986">
              <w:rPr>
                <w:lang w:val="es-ES_tradnl" w:eastAsia="nl-NL"/>
              </w:rPr>
              <w:t>;</w:t>
            </w:r>
          </w:p>
        </w:tc>
      </w:tr>
      <w:tr w:rsidR="004A7B85" w:rsidRPr="003E6986" w14:paraId="5FC4AC1A" w14:textId="77777777" w:rsidTr="00C642A5">
        <w:trPr>
          <w:gridAfter w:val="1"/>
          <w:wAfter w:w="27" w:type="dxa"/>
          <w:jc w:val="center"/>
        </w:trPr>
        <w:tc>
          <w:tcPr>
            <w:tcW w:w="3304" w:type="dxa"/>
          </w:tcPr>
          <w:p w14:paraId="62B70A89" w14:textId="3AF9D5D7" w:rsidR="00926925" w:rsidRPr="003E6986" w:rsidRDefault="00926925" w:rsidP="0027145A">
            <w:pPr>
              <w:pStyle w:val="Tabletext"/>
              <w:tabs>
                <w:tab w:val="left" w:pos="463"/>
              </w:tabs>
              <w:rPr>
                <w:lang w:val="es-ES_tradnl" w:eastAsia="nl-NL"/>
              </w:rPr>
            </w:pPr>
            <w:r w:rsidRPr="003E6986">
              <w:rPr>
                <w:lang w:val="es-ES_tradnl" w:eastAsia="nl-NL"/>
              </w:rPr>
              <w:t xml:space="preserve">Resolución </w:t>
            </w:r>
            <w:r w:rsidR="009B4CFB" w:rsidRPr="003E6986">
              <w:rPr>
                <w:b/>
                <w:lang w:val="es-ES_tradnl" w:eastAsia="nl-NL"/>
              </w:rPr>
              <w:t>712</w:t>
            </w:r>
            <w:r w:rsidRPr="003E6986">
              <w:rPr>
                <w:b/>
                <w:lang w:val="es-ES_tradnl" w:eastAsia="nl-NL"/>
              </w:rPr>
              <w:t xml:space="preserve"> (</w:t>
            </w:r>
            <w:proofErr w:type="spellStart"/>
            <w:r w:rsidRPr="003E6986">
              <w:rPr>
                <w:b/>
                <w:lang w:val="es-ES_tradnl" w:eastAsia="nl-NL"/>
              </w:rPr>
              <w:t>CMR</w:t>
            </w:r>
            <w:proofErr w:type="spellEnd"/>
            <w:r w:rsidRPr="003E6986">
              <w:rPr>
                <w:b/>
                <w:lang w:val="es-ES_tradnl" w:eastAsia="nl-NL"/>
              </w:rPr>
              <w:t>-23)</w:t>
            </w:r>
          </w:p>
          <w:p w14:paraId="4991B48B" w14:textId="1F86E3FD" w:rsidR="00EF3D59" w:rsidRPr="003E6986" w:rsidRDefault="00926925" w:rsidP="00C642A5">
            <w:pPr>
              <w:pStyle w:val="Tabletext"/>
              <w:tabs>
                <w:tab w:val="left" w:pos="463"/>
              </w:tabs>
              <w:rPr>
                <w:lang w:val="es-ES_tradnl" w:eastAsia="nl-NL"/>
              </w:rPr>
            </w:pPr>
            <w:r w:rsidRPr="003E6986">
              <w:rPr>
                <w:lang w:val="es-ES_tradnl" w:eastAsia="nl-NL"/>
              </w:rPr>
              <w:t>Estudios sobre la compatibilidad entre el servicio de exploración de la Tierra por satélite (pasivo), el servicio de radioastronomía en determinadas bandas por encima de 76 GHz, y los servicios activos en bandas de frecuencias adyacentes y próximas</w:t>
            </w:r>
          </w:p>
        </w:tc>
        <w:tc>
          <w:tcPr>
            <w:tcW w:w="1517" w:type="dxa"/>
          </w:tcPr>
          <w:p w14:paraId="62115CB1" w14:textId="6A843610" w:rsidR="00926925" w:rsidRPr="003E6986" w:rsidRDefault="004A6070" w:rsidP="0027145A">
            <w:pPr>
              <w:pStyle w:val="Tabletext"/>
              <w:jc w:val="center"/>
              <w:rPr>
                <w:lang w:val="es-ES_tradnl"/>
              </w:rPr>
            </w:pPr>
            <w:r w:rsidRPr="003E6986">
              <w:rPr>
                <w:rFonts w:eastAsia="Calibri"/>
                <w:b/>
                <w:bCs/>
                <w:lang w:val="es-ES_tradnl"/>
              </w:rPr>
              <w:t>G</w:t>
            </w:r>
            <w:r w:rsidR="0027145A" w:rsidRPr="003E6986">
              <w:rPr>
                <w:rFonts w:eastAsia="Calibri"/>
                <w:b/>
                <w:bCs/>
                <w:lang w:val="es-ES_tradnl"/>
              </w:rPr>
              <w:t xml:space="preserve">T </w:t>
            </w:r>
            <w:r w:rsidR="00926925" w:rsidRPr="003E6986">
              <w:rPr>
                <w:b/>
                <w:bCs/>
                <w:lang w:val="es-ES_tradnl"/>
              </w:rPr>
              <w:t xml:space="preserve">7C </w:t>
            </w:r>
            <w:r w:rsidR="0027145A" w:rsidRPr="003E6986">
              <w:rPr>
                <w:b/>
                <w:bCs/>
                <w:lang w:val="es-ES_tradnl"/>
              </w:rPr>
              <w:br/>
            </w:r>
            <w:r w:rsidR="00926925" w:rsidRPr="003E6986">
              <w:rPr>
                <w:lang w:val="es-ES_tradnl"/>
              </w:rPr>
              <w:t>(</w:t>
            </w:r>
            <w:r w:rsidR="00EF3D59" w:rsidRPr="003E6986">
              <w:rPr>
                <w:i/>
                <w:iCs/>
                <w:lang w:val="es-ES_tradnl"/>
              </w:rPr>
              <w:t>resuelve</w:t>
            </w:r>
            <w:r w:rsidR="00926925" w:rsidRPr="003E6986">
              <w:rPr>
                <w:lang w:val="es-ES_tradnl"/>
              </w:rPr>
              <w:t xml:space="preserve"> 1)</w:t>
            </w:r>
          </w:p>
          <w:p w14:paraId="4F1DCA57" w14:textId="431E4C8C" w:rsidR="00926925" w:rsidRPr="003E6986" w:rsidRDefault="0027145A" w:rsidP="0027145A">
            <w:pPr>
              <w:pStyle w:val="Tabletext"/>
              <w:jc w:val="center"/>
              <w:rPr>
                <w:b/>
                <w:bCs/>
                <w:lang w:val="es-ES_tradnl"/>
              </w:rPr>
            </w:pPr>
            <w:r w:rsidRPr="003E6986">
              <w:rPr>
                <w:b/>
                <w:bCs/>
                <w:lang w:val="es-ES_tradnl"/>
              </w:rPr>
              <w:t xml:space="preserve">GT </w:t>
            </w:r>
            <w:r w:rsidR="00926925" w:rsidRPr="003E6986">
              <w:rPr>
                <w:b/>
                <w:bCs/>
                <w:lang w:val="es-ES_tradnl"/>
              </w:rPr>
              <w:t>7D</w:t>
            </w:r>
          </w:p>
          <w:p w14:paraId="44E855DB" w14:textId="13E2EE82" w:rsidR="00926925" w:rsidRPr="003E6986" w:rsidRDefault="00926925" w:rsidP="0027145A">
            <w:pPr>
              <w:pStyle w:val="Tabletext"/>
              <w:jc w:val="center"/>
              <w:rPr>
                <w:lang w:val="es-ES_tradnl"/>
              </w:rPr>
            </w:pPr>
            <w:r w:rsidRPr="003E6986">
              <w:rPr>
                <w:lang w:val="es-ES_tradnl"/>
              </w:rPr>
              <w:t>(</w:t>
            </w:r>
            <w:r w:rsidR="00EF3D59" w:rsidRPr="003E6986">
              <w:rPr>
                <w:i/>
                <w:iCs/>
                <w:lang w:val="es-ES_tradnl"/>
              </w:rPr>
              <w:t>resuelve</w:t>
            </w:r>
            <w:r w:rsidR="00EF3D59" w:rsidRPr="003E6986">
              <w:rPr>
                <w:lang w:val="es-ES_tradnl"/>
              </w:rPr>
              <w:t xml:space="preserve"> </w:t>
            </w:r>
            <w:r w:rsidRPr="003E6986">
              <w:rPr>
                <w:lang w:val="es-ES_tradnl"/>
              </w:rPr>
              <w:t>2)</w:t>
            </w:r>
          </w:p>
          <w:p w14:paraId="20327BC4" w14:textId="77777777" w:rsidR="00926925" w:rsidRPr="003E6986" w:rsidRDefault="00926925" w:rsidP="0027145A">
            <w:pPr>
              <w:pStyle w:val="Tabletext"/>
              <w:jc w:val="center"/>
              <w:rPr>
                <w:b/>
                <w:lang w:val="es-ES_tradnl"/>
              </w:rPr>
            </w:pPr>
          </w:p>
          <w:p w14:paraId="75C80FEF" w14:textId="6AA3F120" w:rsidR="004A7B85" w:rsidRPr="003E6986" w:rsidRDefault="00926925" w:rsidP="0027145A">
            <w:pPr>
              <w:pStyle w:val="Tabletext"/>
              <w:tabs>
                <w:tab w:val="clear" w:pos="284"/>
                <w:tab w:val="left" w:pos="463"/>
              </w:tabs>
              <w:jc w:val="center"/>
              <w:rPr>
                <w:b/>
                <w:bCs/>
                <w:lang w:val="es-ES_tradnl" w:eastAsia="nl-NL"/>
              </w:rPr>
            </w:pPr>
            <w:r w:rsidRPr="003E6986">
              <w:rPr>
                <w:bCs/>
                <w:lang w:val="es-ES_tradnl"/>
              </w:rPr>
              <w:t>(</w:t>
            </w:r>
            <w:r w:rsidR="00EF3D59" w:rsidRPr="003E6986">
              <w:rPr>
                <w:bCs/>
                <w:u w:val="single"/>
                <w:lang w:val="es-ES_tradnl"/>
              </w:rPr>
              <w:t>Nota</w:t>
            </w:r>
            <w:r w:rsidR="00EF3D59" w:rsidRPr="003E6986">
              <w:rPr>
                <w:bCs/>
                <w:lang w:val="es-ES_tradnl"/>
              </w:rPr>
              <w:t>: el GT 7C facilitará el proyecto de texto de la RPC</w:t>
            </w:r>
            <w:r w:rsidR="0027145A" w:rsidRPr="003E6986">
              <w:rPr>
                <w:bCs/>
                <w:lang w:val="es-ES_tradnl"/>
              </w:rPr>
              <w:t xml:space="preserve"> elaborado por el GT 7C y el GT </w:t>
            </w:r>
            <w:r w:rsidR="00EF3D59" w:rsidRPr="003E6986">
              <w:rPr>
                <w:bCs/>
                <w:lang w:val="es-ES_tradnl"/>
              </w:rPr>
              <w:t>7D</w:t>
            </w:r>
            <w:r w:rsidRPr="003E6986">
              <w:rPr>
                <w:bCs/>
                <w:lang w:val="es-ES_tradnl"/>
              </w:rPr>
              <w:t>)</w:t>
            </w:r>
          </w:p>
        </w:tc>
        <w:tc>
          <w:tcPr>
            <w:tcW w:w="7809" w:type="dxa"/>
          </w:tcPr>
          <w:p w14:paraId="587E1C93" w14:textId="77777777" w:rsidR="00926925" w:rsidRPr="003E6986" w:rsidRDefault="00926925" w:rsidP="0027145A">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2027</w:t>
            </w:r>
          </w:p>
          <w:p w14:paraId="1BDDE190" w14:textId="2E0E42C7" w:rsidR="004A7B85" w:rsidRPr="003E6986" w:rsidRDefault="00926925" w:rsidP="0027145A">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estudios de compatibilidad entre el SETS (pasivo) y los servicios activos correspondientes en las bandas de frecuencias adyacentes que figuran en el Cuadro 1:</w:t>
            </w:r>
          </w:p>
          <w:p w14:paraId="2362BC93" w14:textId="6414AA09" w:rsidR="00926925" w:rsidRPr="003E6986" w:rsidRDefault="00926925" w:rsidP="00C642A5">
            <w:pPr>
              <w:pStyle w:val="TableNo"/>
              <w:keepNext w:val="0"/>
              <w:spacing w:before="120"/>
              <w:rPr>
                <w:rFonts w:asciiTheme="minorHAnsi" w:hAnsiTheme="minorHAnsi" w:cstheme="minorHAnsi"/>
                <w:szCs w:val="18"/>
                <w:lang w:val="es-ES_tradnl"/>
              </w:rPr>
            </w:pPr>
            <w:r w:rsidRPr="003E6986">
              <w:rPr>
                <w:rFonts w:asciiTheme="minorHAnsi" w:hAnsiTheme="minorHAnsi" w:cstheme="minorHAnsi"/>
                <w:szCs w:val="18"/>
                <w:lang w:val="es-ES_tradnl"/>
              </w:rPr>
              <w:t>Cuadro 1</w:t>
            </w:r>
          </w:p>
          <w:p w14:paraId="1DE91A31" w14:textId="7E48DC2A" w:rsidR="00926925" w:rsidRPr="003E6986" w:rsidRDefault="00926925" w:rsidP="0027145A">
            <w:pPr>
              <w:pStyle w:val="Tabletitle"/>
              <w:keepNext w:val="0"/>
              <w:keepLines w:val="0"/>
              <w:rPr>
                <w:rFonts w:asciiTheme="minorHAnsi" w:hAnsiTheme="minorHAnsi" w:cstheme="minorHAnsi"/>
                <w:szCs w:val="18"/>
                <w:lang w:val="es-ES_tradnl"/>
              </w:rPr>
            </w:pPr>
            <w:r w:rsidRPr="003E6986">
              <w:rPr>
                <w:rFonts w:asciiTheme="minorHAnsi" w:hAnsiTheme="minorHAnsi" w:cstheme="minorHAnsi"/>
                <w:szCs w:val="18"/>
                <w:lang w:val="es-ES_tradnl"/>
              </w:rPr>
              <w:t>Bandas de frecuencias del SETS (pasivo) que deben estudiarse y servicios activos</w:t>
            </w:r>
            <w:r w:rsidRPr="003E6986">
              <w:rPr>
                <w:rFonts w:asciiTheme="minorHAnsi" w:hAnsiTheme="minorHAnsi" w:cstheme="minorHAnsi"/>
                <w:szCs w:val="18"/>
                <w:lang w:val="es-ES_tradnl"/>
              </w:rPr>
              <w:br/>
              <w:t>correspondientes que deben incluirse</w:t>
            </w:r>
          </w:p>
          <w:tbl>
            <w:tblPr>
              <w:tblW w:w="7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04"/>
              <w:gridCol w:w="1843"/>
              <w:gridCol w:w="3919"/>
            </w:tblGrid>
            <w:tr w:rsidR="00926925" w:rsidRPr="003E6986" w14:paraId="3F3B5ECD" w14:textId="77777777" w:rsidTr="00926925">
              <w:trPr>
                <w:tblHeader/>
                <w:jc w:val="center"/>
              </w:trPr>
              <w:tc>
                <w:tcPr>
                  <w:tcW w:w="1704" w:type="dxa"/>
                </w:tcPr>
                <w:p w14:paraId="129E9E19" w14:textId="161A3159" w:rsidR="00926925" w:rsidRPr="003E6986" w:rsidRDefault="00926925" w:rsidP="00C642A5">
                  <w:pPr>
                    <w:pStyle w:val="Tablehead"/>
                    <w:keepNext w:val="0"/>
                    <w:spacing w:before="20" w:after="20"/>
                    <w:rPr>
                      <w:rFonts w:asciiTheme="minorHAnsi" w:hAnsiTheme="minorHAnsi" w:cstheme="minorHAnsi"/>
                      <w:sz w:val="18"/>
                      <w:szCs w:val="18"/>
                      <w:lang w:val="es-ES_tradnl"/>
                    </w:rPr>
                  </w:pPr>
                  <w:r w:rsidRPr="003E6986">
                    <w:rPr>
                      <w:rFonts w:asciiTheme="minorHAnsi" w:hAnsiTheme="minorHAnsi" w:cstheme="minorHAnsi"/>
                      <w:sz w:val="18"/>
                      <w:szCs w:val="18"/>
                      <w:lang w:val="es-ES_tradnl"/>
                    </w:rPr>
                    <w:t>Banda de frecuencias del SETS (pasivo)</w:t>
                  </w:r>
                </w:p>
              </w:tc>
              <w:tc>
                <w:tcPr>
                  <w:tcW w:w="1843" w:type="dxa"/>
                </w:tcPr>
                <w:p w14:paraId="6A23E5D1" w14:textId="5822C68F" w:rsidR="00926925" w:rsidRPr="003E6986" w:rsidRDefault="00926925" w:rsidP="00C642A5">
                  <w:pPr>
                    <w:pStyle w:val="Tablehead"/>
                    <w:keepNext w:val="0"/>
                    <w:spacing w:before="20" w:after="20"/>
                    <w:rPr>
                      <w:rFonts w:asciiTheme="minorHAnsi" w:hAnsiTheme="minorHAnsi" w:cstheme="minorHAnsi"/>
                      <w:sz w:val="18"/>
                      <w:szCs w:val="18"/>
                      <w:lang w:val="es-ES_tradnl"/>
                    </w:rPr>
                  </w:pPr>
                  <w:r w:rsidRPr="003E6986">
                    <w:rPr>
                      <w:rFonts w:asciiTheme="minorHAnsi" w:hAnsiTheme="minorHAnsi" w:cstheme="minorHAnsi"/>
                      <w:sz w:val="18"/>
                      <w:szCs w:val="18"/>
                      <w:lang w:val="es-ES_tradnl"/>
                    </w:rPr>
                    <w:t>Banda de frecuencias del servicio activo</w:t>
                  </w:r>
                </w:p>
              </w:tc>
              <w:tc>
                <w:tcPr>
                  <w:tcW w:w="3919" w:type="dxa"/>
                </w:tcPr>
                <w:p w14:paraId="7E3480BA" w14:textId="15BB947E" w:rsidR="00926925" w:rsidRPr="003E6986" w:rsidRDefault="00926925" w:rsidP="00C642A5">
                  <w:pPr>
                    <w:pStyle w:val="Tablehead"/>
                    <w:keepNext w:val="0"/>
                    <w:spacing w:before="20" w:after="20"/>
                    <w:rPr>
                      <w:rFonts w:asciiTheme="minorHAnsi" w:hAnsiTheme="minorHAnsi" w:cstheme="minorHAnsi"/>
                      <w:sz w:val="18"/>
                      <w:szCs w:val="18"/>
                      <w:lang w:val="es-ES_tradnl"/>
                    </w:rPr>
                  </w:pPr>
                  <w:r w:rsidRPr="003E6986">
                    <w:rPr>
                      <w:rFonts w:asciiTheme="minorHAnsi" w:hAnsiTheme="minorHAnsi" w:cstheme="minorHAnsi"/>
                      <w:sz w:val="18"/>
                      <w:szCs w:val="18"/>
                      <w:lang w:val="es-ES_tradnl"/>
                    </w:rPr>
                    <w:t>Servicio activo</w:t>
                  </w:r>
                </w:p>
              </w:tc>
            </w:tr>
            <w:tr w:rsidR="00926925" w:rsidRPr="008653C7" w14:paraId="3F83D9F5" w14:textId="77777777" w:rsidTr="00926925">
              <w:trPr>
                <w:trHeight w:val="141"/>
                <w:jc w:val="center"/>
              </w:trPr>
              <w:tc>
                <w:tcPr>
                  <w:tcW w:w="1704" w:type="dxa"/>
                  <w:vMerge w:val="restart"/>
                  <w:shd w:val="clear" w:color="auto" w:fill="auto"/>
                </w:tcPr>
                <w:p w14:paraId="63B0A26E" w14:textId="77777777"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rFonts w:asciiTheme="minorHAnsi" w:hAnsiTheme="minorHAnsi" w:cstheme="minorHAnsi"/>
                      <w:sz w:val="18"/>
                      <w:szCs w:val="18"/>
                      <w:lang w:val="es-ES_tradnl"/>
                    </w:rPr>
                    <w:t>86-92 GHz</w:t>
                  </w:r>
                </w:p>
              </w:tc>
              <w:tc>
                <w:tcPr>
                  <w:tcW w:w="1843" w:type="dxa"/>
                  <w:shd w:val="clear" w:color="auto" w:fill="auto"/>
                </w:tcPr>
                <w:p w14:paraId="0A544C80" w14:textId="77777777"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rFonts w:asciiTheme="minorHAnsi" w:hAnsiTheme="minorHAnsi" w:cstheme="minorHAnsi"/>
                      <w:sz w:val="18"/>
                      <w:szCs w:val="18"/>
                      <w:lang w:val="es-ES_tradnl"/>
                    </w:rPr>
                    <w:t>81-86 GHz</w:t>
                  </w:r>
                </w:p>
              </w:tc>
              <w:tc>
                <w:tcPr>
                  <w:tcW w:w="3919" w:type="dxa"/>
                  <w:shd w:val="clear" w:color="auto" w:fill="auto"/>
                </w:tcPr>
                <w:p w14:paraId="5F078B9C" w14:textId="26E42F8D"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lang w:val="es-ES_tradnl"/>
                    </w:rPr>
                    <w:t>Servicio fijo por satélite (SFS) (Tierra-espacio), servicio móvil (SM)</w:t>
                  </w:r>
                </w:p>
              </w:tc>
            </w:tr>
            <w:tr w:rsidR="00926925" w:rsidRPr="008653C7" w14:paraId="6A6EBE7F" w14:textId="77777777" w:rsidTr="00926925">
              <w:trPr>
                <w:trHeight w:val="118"/>
                <w:jc w:val="center"/>
              </w:trPr>
              <w:tc>
                <w:tcPr>
                  <w:tcW w:w="1704" w:type="dxa"/>
                  <w:vMerge/>
                  <w:shd w:val="clear" w:color="auto" w:fill="auto"/>
                </w:tcPr>
                <w:p w14:paraId="404D5044" w14:textId="77777777" w:rsidR="00926925" w:rsidRPr="003E6986" w:rsidRDefault="00926925" w:rsidP="00C642A5">
                  <w:pPr>
                    <w:pStyle w:val="Tabletext"/>
                    <w:spacing w:before="20" w:after="20"/>
                    <w:rPr>
                      <w:rFonts w:asciiTheme="minorHAnsi" w:hAnsiTheme="minorHAnsi" w:cstheme="minorHAnsi"/>
                      <w:sz w:val="18"/>
                      <w:szCs w:val="18"/>
                      <w:lang w:val="es-ES_tradnl"/>
                    </w:rPr>
                  </w:pPr>
                </w:p>
              </w:tc>
              <w:tc>
                <w:tcPr>
                  <w:tcW w:w="1843" w:type="dxa"/>
                  <w:shd w:val="clear" w:color="auto" w:fill="auto"/>
                </w:tcPr>
                <w:p w14:paraId="710D0662" w14:textId="77777777"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rFonts w:asciiTheme="minorHAnsi" w:hAnsiTheme="minorHAnsi" w:cstheme="minorHAnsi"/>
                      <w:sz w:val="18"/>
                      <w:szCs w:val="18"/>
                      <w:lang w:val="es-ES_tradnl"/>
                    </w:rPr>
                    <w:t>92-94 GHz</w:t>
                  </w:r>
                </w:p>
              </w:tc>
              <w:tc>
                <w:tcPr>
                  <w:tcW w:w="3919" w:type="dxa"/>
                  <w:shd w:val="clear" w:color="auto" w:fill="auto"/>
                </w:tcPr>
                <w:p w14:paraId="1BBADAF6" w14:textId="0D160C15"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lang w:val="es-ES_tradnl"/>
                    </w:rPr>
                    <w:t>SM, servicio de radiolocalización (SRL)</w:t>
                  </w:r>
                </w:p>
              </w:tc>
            </w:tr>
            <w:tr w:rsidR="00926925" w:rsidRPr="003E6986" w14:paraId="1BB57DA4" w14:textId="77777777" w:rsidTr="00926925">
              <w:trPr>
                <w:trHeight w:val="341"/>
                <w:jc w:val="center"/>
              </w:trPr>
              <w:tc>
                <w:tcPr>
                  <w:tcW w:w="1704" w:type="dxa"/>
                </w:tcPr>
                <w:p w14:paraId="358EF1A4" w14:textId="01CED9E6"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rFonts w:asciiTheme="minorHAnsi" w:hAnsiTheme="minorHAnsi" w:cstheme="minorHAnsi"/>
                      <w:sz w:val="18"/>
                      <w:szCs w:val="18"/>
                      <w:lang w:val="es-ES_tradnl"/>
                    </w:rPr>
                    <w:t>114,25-116 GHz</w:t>
                  </w:r>
                </w:p>
              </w:tc>
              <w:tc>
                <w:tcPr>
                  <w:tcW w:w="1843" w:type="dxa"/>
                </w:tcPr>
                <w:p w14:paraId="47D902CF" w14:textId="655E1BE1"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rFonts w:asciiTheme="minorHAnsi" w:hAnsiTheme="minorHAnsi" w:cstheme="minorHAnsi"/>
                      <w:sz w:val="18"/>
                      <w:szCs w:val="18"/>
                      <w:lang w:val="es-ES_tradnl"/>
                    </w:rPr>
                    <w:t>111,8-114,25 GHz</w:t>
                  </w:r>
                </w:p>
              </w:tc>
              <w:tc>
                <w:tcPr>
                  <w:tcW w:w="3919" w:type="dxa"/>
                </w:tcPr>
                <w:p w14:paraId="6B4D9E0E" w14:textId="4B175FC6"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lang w:val="es-ES_tradnl"/>
                    </w:rPr>
                    <w:t>Servicio fijo (SF), SM</w:t>
                  </w:r>
                </w:p>
              </w:tc>
            </w:tr>
            <w:tr w:rsidR="00926925" w:rsidRPr="008653C7" w14:paraId="3571CE33" w14:textId="77777777" w:rsidTr="00926925">
              <w:trPr>
                <w:trHeight w:val="194"/>
                <w:jc w:val="center"/>
              </w:trPr>
              <w:tc>
                <w:tcPr>
                  <w:tcW w:w="1704" w:type="dxa"/>
                  <w:vMerge w:val="restart"/>
                </w:tcPr>
                <w:p w14:paraId="1CA1CE7A" w14:textId="77777777"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rFonts w:asciiTheme="minorHAnsi" w:hAnsiTheme="minorHAnsi" w:cstheme="minorHAnsi"/>
                      <w:sz w:val="18"/>
                      <w:szCs w:val="18"/>
                      <w:lang w:val="es-ES_tradnl"/>
                    </w:rPr>
                    <w:t>164-167 GHz</w:t>
                  </w:r>
                </w:p>
              </w:tc>
              <w:tc>
                <w:tcPr>
                  <w:tcW w:w="1843" w:type="dxa"/>
                </w:tcPr>
                <w:p w14:paraId="067AE641" w14:textId="4EACD53C"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rFonts w:asciiTheme="minorHAnsi" w:hAnsiTheme="minorHAnsi" w:cstheme="minorHAnsi"/>
                      <w:sz w:val="18"/>
                      <w:szCs w:val="18"/>
                      <w:lang w:val="es-ES_tradnl"/>
                    </w:rPr>
                    <w:t>158,5-164 GHz</w:t>
                  </w:r>
                </w:p>
              </w:tc>
              <w:tc>
                <w:tcPr>
                  <w:tcW w:w="3919" w:type="dxa"/>
                </w:tcPr>
                <w:p w14:paraId="33E00D7A" w14:textId="61333B19"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lang w:val="es-ES_tradnl"/>
                    </w:rPr>
                    <w:t>SF, SFS (espacio-Tierra), SM, servicio móvil por satélite (SMS) (espacio-Tierra)</w:t>
                  </w:r>
                </w:p>
              </w:tc>
            </w:tr>
            <w:tr w:rsidR="00926925" w:rsidRPr="008653C7" w14:paraId="68642F55" w14:textId="77777777" w:rsidTr="00926925">
              <w:trPr>
                <w:trHeight w:val="194"/>
                <w:jc w:val="center"/>
              </w:trPr>
              <w:tc>
                <w:tcPr>
                  <w:tcW w:w="1704" w:type="dxa"/>
                  <w:vMerge/>
                </w:tcPr>
                <w:p w14:paraId="6A003BF0" w14:textId="77777777" w:rsidR="00926925" w:rsidRPr="003E6986" w:rsidRDefault="00926925" w:rsidP="00C642A5">
                  <w:pPr>
                    <w:pStyle w:val="Tabletext"/>
                    <w:spacing w:before="20" w:after="20"/>
                    <w:rPr>
                      <w:rFonts w:asciiTheme="minorHAnsi" w:hAnsiTheme="minorHAnsi" w:cstheme="minorHAnsi"/>
                      <w:sz w:val="18"/>
                      <w:szCs w:val="18"/>
                      <w:lang w:val="es-ES_tradnl"/>
                    </w:rPr>
                  </w:pPr>
                </w:p>
              </w:tc>
              <w:tc>
                <w:tcPr>
                  <w:tcW w:w="1843" w:type="dxa"/>
                </w:tcPr>
                <w:p w14:paraId="260855FB" w14:textId="01699D85"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rFonts w:asciiTheme="minorHAnsi" w:hAnsiTheme="minorHAnsi" w:cstheme="minorHAnsi"/>
                      <w:sz w:val="18"/>
                      <w:szCs w:val="18"/>
                      <w:lang w:val="es-ES_tradnl"/>
                    </w:rPr>
                    <w:t>167-174,5 GHz</w:t>
                  </w:r>
                </w:p>
              </w:tc>
              <w:tc>
                <w:tcPr>
                  <w:tcW w:w="3919" w:type="dxa"/>
                </w:tcPr>
                <w:p w14:paraId="28D75853" w14:textId="12BA55F0"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lang w:val="es-ES_tradnl"/>
                    </w:rPr>
                    <w:t>SF, SFS (espacio-Tierra), servicio entre satélites (SES), SM</w:t>
                  </w:r>
                </w:p>
              </w:tc>
            </w:tr>
            <w:tr w:rsidR="00926925" w:rsidRPr="008653C7" w14:paraId="4D09E62F" w14:textId="77777777" w:rsidTr="00926925">
              <w:trPr>
                <w:trHeight w:val="338"/>
                <w:jc w:val="center"/>
              </w:trPr>
              <w:tc>
                <w:tcPr>
                  <w:tcW w:w="1704" w:type="dxa"/>
                  <w:vMerge w:val="restart"/>
                </w:tcPr>
                <w:p w14:paraId="6678BF25" w14:textId="77777777"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rFonts w:asciiTheme="minorHAnsi" w:hAnsiTheme="minorHAnsi" w:cstheme="minorHAnsi"/>
                      <w:sz w:val="18"/>
                      <w:szCs w:val="18"/>
                      <w:lang w:val="es-ES_tradnl"/>
                    </w:rPr>
                    <w:t>200-209 GHz</w:t>
                  </w:r>
                </w:p>
              </w:tc>
              <w:tc>
                <w:tcPr>
                  <w:tcW w:w="1843" w:type="dxa"/>
                  <w:tcBorders>
                    <w:bottom w:val="single" w:sz="4" w:space="0" w:color="auto"/>
                  </w:tcBorders>
                </w:tcPr>
                <w:p w14:paraId="4149E487" w14:textId="07F819E1" w:rsidR="00926925" w:rsidRPr="003E6986" w:rsidRDefault="0027145A" w:rsidP="00C642A5">
                  <w:pPr>
                    <w:pStyle w:val="Tabletext"/>
                    <w:spacing w:before="20" w:after="20"/>
                    <w:rPr>
                      <w:rFonts w:asciiTheme="minorHAnsi" w:hAnsiTheme="minorHAnsi" w:cstheme="minorHAnsi"/>
                      <w:sz w:val="18"/>
                      <w:szCs w:val="18"/>
                      <w:lang w:val="es-ES_tradnl"/>
                    </w:rPr>
                  </w:pPr>
                  <w:r w:rsidRPr="003E6986">
                    <w:rPr>
                      <w:rFonts w:asciiTheme="minorHAnsi" w:hAnsiTheme="minorHAnsi" w:cstheme="minorHAnsi"/>
                      <w:sz w:val="18"/>
                      <w:szCs w:val="18"/>
                      <w:lang w:val="es-ES_tradnl"/>
                    </w:rPr>
                    <w:t>191,</w:t>
                  </w:r>
                  <w:r w:rsidR="00926925" w:rsidRPr="003E6986">
                    <w:rPr>
                      <w:rFonts w:asciiTheme="minorHAnsi" w:hAnsiTheme="minorHAnsi" w:cstheme="minorHAnsi"/>
                      <w:sz w:val="18"/>
                      <w:szCs w:val="18"/>
                      <w:lang w:val="es-ES_tradnl"/>
                    </w:rPr>
                    <w:t>8-200 GHz</w:t>
                  </w:r>
                </w:p>
              </w:tc>
              <w:tc>
                <w:tcPr>
                  <w:tcW w:w="3919" w:type="dxa"/>
                </w:tcPr>
                <w:p w14:paraId="4AD0F312" w14:textId="691D1C63"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lang w:val="es-ES_tradnl"/>
                    </w:rPr>
                    <w:t xml:space="preserve">SF, SES, SM, SMS, servicio de radionavegación (SRN), servicio de radionavegación por satélite (SRNS) </w:t>
                  </w:r>
                </w:p>
              </w:tc>
            </w:tr>
            <w:tr w:rsidR="00926925" w:rsidRPr="008653C7" w14:paraId="2DB91182" w14:textId="77777777" w:rsidTr="00926925">
              <w:trPr>
                <w:trHeight w:val="338"/>
                <w:jc w:val="center"/>
              </w:trPr>
              <w:tc>
                <w:tcPr>
                  <w:tcW w:w="1704" w:type="dxa"/>
                  <w:vMerge/>
                  <w:tcBorders>
                    <w:bottom w:val="single" w:sz="4" w:space="0" w:color="auto"/>
                  </w:tcBorders>
                </w:tcPr>
                <w:p w14:paraId="0FD08174" w14:textId="77777777" w:rsidR="00926925" w:rsidRPr="003E6986" w:rsidRDefault="00926925" w:rsidP="00C642A5">
                  <w:pPr>
                    <w:pStyle w:val="Tabletext"/>
                    <w:spacing w:before="20" w:after="20"/>
                    <w:rPr>
                      <w:rFonts w:asciiTheme="minorHAnsi" w:hAnsiTheme="minorHAnsi" w:cstheme="minorHAnsi"/>
                      <w:bCs/>
                      <w:sz w:val="18"/>
                      <w:szCs w:val="18"/>
                      <w:lang w:val="es-ES_tradnl"/>
                    </w:rPr>
                  </w:pPr>
                </w:p>
              </w:tc>
              <w:tc>
                <w:tcPr>
                  <w:tcW w:w="1843" w:type="dxa"/>
                  <w:tcBorders>
                    <w:bottom w:val="single" w:sz="4" w:space="0" w:color="auto"/>
                  </w:tcBorders>
                </w:tcPr>
                <w:p w14:paraId="4D02F397" w14:textId="77777777"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rFonts w:asciiTheme="minorHAnsi" w:hAnsiTheme="minorHAnsi" w:cstheme="minorHAnsi"/>
                      <w:sz w:val="18"/>
                      <w:szCs w:val="18"/>
                      <w:lang w:val="es-ES_tradnl"/>
                    </w:rPr>
                    <w:t>209-217 GHz</w:t>
                  </w:r>
                </w:p>
              </w:tc>
              <w:tc>
                <w:tcPr>
                  <w:tcW w:w="3919" w:type="dxa"/>
                  <w:tcBorders>
                    <w:bottom w:val="single" w:sz="4" w:space="0" w:color="auto"/>
                  </w:tcBorders>
                </w:tcPr>
                <w:p w14:paraId="0547C765" w14:textId="7E054E1A" w:rsidR="00926925" w:rsidRPr="003E6986" w:rsidRDefault="00926925" w:rsidP="00C642A5">
                  <w:pPr>
                    <w:pStyle w:val="Tabletext"/>
                    <w:spacing w:before="20" w:after="20"/>
                    <w:rPr>
                      <w:rFonts w:asciiTheme="minorHAnsi" w:hAnsiTheme="minorHAnsi" w:cstheme="minorHAnsi"/>
                      <w:sz w:val="18"/>
                      <w:szCs w:val="18"/>
                      <w:lang w:val="es-ES_tradnl"/>
                    </w:rPr>
                  </w:pPr>
                  <w:r w:rsidRPr="003E6986">
                    <w:rPr>
                      <w:lang w:val="es-ES_tradnl"/>
                    </w:rPr>
                    <w:t>SF, SFS (Tierra-espacio), SM</w:t>
                  </w:r>
                </w:p>
              </w:tc>
            </w:tr>
          </w:tbl>
          <w:p w14:paraId="25D1B208" w14:textId="77777777" w:rsidR="00926925" w:rsidRPr="003E6986" w:rsidRDefault="00926925" w:rsidP="0027145A">
            <w:pPr>
              <w:pStyle w:val="Tabletext"/>
              <w:tabs>
                <w:tab w:val="clear" w:pos="284"/>
                <w:tab w:val="left" w:pos="463"/>
              </w:tabs>
              <w:jc w:val="both"/>
              <w:rPr>
                <w:lang w:val="es-ES_tradnl" w:eastAsia="nl-NL"/>
              </w:rPr>
            </w:pPr>
            <w:r w:rsidRPr="003E6986">
              <w:rPr>
                <w:lang w:val="es-ES_tradnl" w:eastAsia="nl-NL"/>
              </w:rPr>
              <w:lastRenderedPageBreak/>
              <w:t>2</w:t>
            </w:r>
            <w:r w:rsidRPr="003E6986">
              <w:rPr>
                <w:lang w:val="es-ES_tradnl" w:eastAsia="nl-NL"/>
              </w:rPr>
              <w:tab/>
              <w:t xml:space="preserve">estudios de compatibilidad entre el SRA y los servicios por satélite activos en determinadas bandas de frecuencias adyacentes y próximas enumeradas en el Cuadro 2 siguiente, con miras a establecer los niveles umbral pertinentes para las emisiones no deseadas procedentes de cualquier estación espacial OSG y no OSG, y examinar y actualizar en consecuencia la Resolución </w:t>
            </w:r>
            <w:r w:rsidRPr="003E6986">
              <w:rPr>
                <w:b/>
                <w:lang w:val="es-ES_tradnl" w:eastAsia="nl-NL"/>
              </w:rPr>
              <w:t>739 (Rev.CMR-19)</w:t>
            </w:r>
            <w:r w:rsidRPr="003E6986">
              <w:rPr>
                <w:lang w:val="es-ES_tradnl" w:eastAsia="nl-NL"/>
              </w:rPr>
              <w:t>:</w:t>
            </w:r>
          </w:p>
          <w:p w14:paraId="52C452E6" w14:textId="2E0E055F" w:rsidR="000A67FE" w:rsidRPr="003E6986" w:rsidRDefault="000A67FE" w:rsidP="0027145A">
            <w:pPr>
              <w:pStyle w:val="TableNo"/>
              <w:keepNext w:val="0"/>
              <w:rPr>
                <w:rFonts w:asciiTheme="minorHAnsi" w:hAnsiTheme="minorHAnsi" w:cstheme="minorHAnsi"/>
                <w:lang w:val="es-ES_tradnl"/>
              </w:rPr>
            </w:pPr>
            <w:r w:rsidRPr="003E6986">
              <w:rPr>
                <w:rFonts w:asciiTheme="minorHAnsi" w:hAnsiTheme="minorHAnsi" w:cstheme="minorHAnsi"/>
                <w:lang w:val="es-ES_tradnl"/>
              </w:rPr>
              <w:t>Cuadro 2</w:t>
            </w:r>
          </w:p>
          <w:p w14:paraId="50AD34B8" w14:textId="35D8B9B2" w:rsidR="000A67FE" w:rsidRPr="003E6986" w:rsidRDefault="000A67FE" w:rsidP="0027145A">
            <w:pPr>
              <w:pStyle w:val="Tabletitle"/>
              <w:keepNext w:val="0"/>
              <w:keepLines w:val="0"/>
              <w:rPr>
                <w:rFonts w:asciiTheme="minorHAnsi" w:hAnsiTheme="minorHAnsi" w:cstheme="minorHAnsi"/>
                <w:lang w:val="es-ES_tradnl"/>
              </w:rPr>
            </w:pPr>
            <w:r w:rsidRPr="003E6986">
              <w:rPr>
                <w:rFonts w:asciiTheme="minorHAnsi" w:hAnsiTheme="minorHAnsi" w:cstheme="minorHAnsi"/>
                <w:lang w:val="es-ES_tradnl"/>
              </w:rPr>
              <w:t>Bandas de frecuencias del SRA que deben</w:t>
            </w:r>
            <w:r w:rsidR="0027145A" w:rsidRPr="003E6986">
              <w:rPr>
                <w:rFonts w:asciiTheme="minorHAnsi" w:hAnsiTheme="minorHAnsi" w:cstheme="minorHAnsi"/>
                <w:lang w:val="es-ES_tradnl"/>
              </w:rPr>
              <w:t xml:space="preserve"> estudiarse y servicios activos</w:t>
            </w:r>
            <w:r w:rsidR="0027145A" w:rsidRPr="003E6986">
              <w:rPr>
                <w:rFonts w:asciiTheme="minorHAnsi" w:hAnsiTheme="minorHAnsi" w:cstheme="minorHAnsi"/>
                <w:lang w:val="es-ES_tradnl"/>
              </w:rPr>
              <w:br/>
            </w:r>
            <w:r w:rsidRPr="003E6986">
              <w:rPr>
                <w:rFonts w:asciiTheme="minorHAnsi" w:hAnsiTheme="minorHAnsi" w:cstheme="minorHAnsi"/>
                <w:lang w:val="es-ES_tradnl"/>
              </w:rPr>
              <w:t>correspondientes que deben incluirse</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711"/>
              <w:gridCol w:w="3730"/>
            </w:tblGrid>
            <w:tr w:rsidR="000A67FE" w:rsidRPr="008653C7" w14:paraId="7B29AA06" w14:textId="77777777" w:rsidTr="0040471B">
              <w:trPr>
                <w:trHeight w:val="276"/>
                <w:jc w:val="center"/>
              </w:trPr>
              <w:tc>
                <w:tcPr>
                  <w:tcW w:w="1130" w:type="pct"/>
                </w:tcPr>
                <w:p w14:paraId="53A601A2" w14:textId="77777777" w:rsidR="000A67FE" w:rsidRPr="003E6986" w:rsidRDefault="000A67FE" w:rsidP="0027145A">
                  <w:pPr>
                    <w:pStyle w:val="Tablehead"/>
                    <w:keepNext w:val="0"/>
                    <w:rPr>
                      <w:sz w:val="18"/>
                      <w:szCs w:val="18"/>
                      <w:lang w:val="es-ES_tradnl"/>
                    </w:rPr>
                  </w:pPr>
                  <w:r w:rsidRPr="003E6986">
                    <w:rPr>
                      <w:sz w:val="18"/>
                      <w:szCs w:val="18"/>
                      <w:lang w:val="es-ES_tradnl"/>
                    </w:rPr>
                    <w:t xml:space="preserve">Banda de frecuencias </w:t>
                  </w:r>
                </w:p>
                <w:p w14:paraId="1FCC57A7" w14:textId="22997C58" w:rsidR="000A67FE" w:rsidRPr="003E6986" w:rsidRDefault="000A67FE" w:rsidP="0027145A">
                  <w:pPr>
                    <w:pStyle w:val="Tablehead"/>
                    <w:keepNext w:val="0"/>
                    <w:rPr>
                      <w:sz w:val="18"/>
                      <w:szCs w:val="18"/>
                      <w:lang w:val="es-ES_tradnl"/>
                    </w:rPr>
                  </w:pPr>
                  <w:r w:rsidRPr="003E6986">
                    <w:rPr>
                      <w:sz w:val="18"/>
                      <w:szCs w:val="18"/>
                      <w:lang w:val="es-ES_tradnl"/>
                    </w:rPr>
                    <w:t>de radioastronomía</w:t>
                  </w:r>
                </w:p>
              </w:tc>
              <w:tc>
                <w:tcPr>
                  <w:tcW w:w="1217" w:type="pct"/>
                </w:tcPr>
                <w:p w14:paraId="232C1156" w14:textId="77777777" w:rsidR="000A67FE" w:rsidRPr="003E6986" w:rsidRDefault="000A67FE" w:rsidP="0027145A">
                  <w:pPr>
                    <w:pStyle w:val="Tablehead"/>
                    <w:keepNext w:val="0"/>
                    <w:rPr>
                      <w:sz w:val="18"/>
                      <w:szCs w:val="18"/>
                      <w:lang w:val="es-ES_tradnl"/>
                    </w:rPr>
                  </w:pPr>
                  <w:r w:rsidRPr="003E6986">
                    <w:rPr>
                      <w:sz w:val="18"/>
                      <w:szCs w:val="18"/>
                      <w:lang w:val="es-ES_tradnl"/>
                    </w:rPr>
                    <w:t xml:space="preserve">Banda de frecuencias del servicio por </w:t>
                  </w:r>
                </w:p>
                <w:p w14:paraId="7D4B6F37" w14:textId="6CA1DE2A" w:rsidR="000A67FE" w:rsidRPr="003E6986" w:rsidRDefault="000A67FE" w:rsidP="0027145A">
                  <w:pPr>
                    <w:pStyle w:val="Tablehead"/>
                    <w:keepNext w:val="0"/>
                    <w:rPr>
                      <w:sz w:val="18"/>
                      <w:szCs w:val="18"/>
                      <w:lang w:val="es-ES_tradnl"/>
                    </w:rPr>
                  </w:pPr>
                  <w:r w:rsidRPr="003E6986">
                    <w:rPr>
                      <w:sz w:val="18"/>
                      <w:szCs w:val="18"/>
                      <w:lang w:val="es-ES_tradnl"/>
                    </w:rPr>
                    <w:t>satélite activo</w:t>
                  </w:r>
                </w:p>
              </w:tc>
              <w:tc>
                <w:tcPr>
                  <w:tcW w:w="2653" w:type="pct"/>
                </w:tcPr>
                <w:p w14:paraId="15BD3721" w14:textId="77777777" w:rsidR="000A67FE" w:rsidRPr="003E6986" w:rsidRDefault="000A67FE" w:rsidP="0027145A">
                  <w:pPr>
                    <w:pStyle w:val="Tablehead"/>
                    <w:keepNext w:val="0"/>
                    <w:rPr>
                      <w:sz w:val="18"/>
                      <w:szCs w:val="18"/>
                      <w:lang w:val="es-ES_tradnl"/>
                    </w:rPr>
                  </w:pPr>
                  <w:r w:rsidRPr="003E6986">
                    <w:rPr>
                      <w:sz w:val="18"/>
                      <w:szCs w:val="18"/>
                      <w:lang w:val="es-ES_tradnl"/>
                    </w:rPr>
                    <w:t xml:space="preserve">Servicio por satélite activo </w:t>
                  </w:r>
                </w:p>
                <w:p w14:paraId="51F6911B" w14:textId="16F8A39D" w:rsidR="000A67FE" w:rsidRPr="003E6986" w:rsidRDefault="000A67FE" w:rsidP="0027145A">
                  <w:pPr>
                    <w:pStyle w:val="Tablehead"/>
                    <w:keepNext w:val="0"/>
                    <w:rPr>
                      <w:sz w:val="18"/>
                      <w:szCs w:val="18"/>
                      <w:lang w:val="es-ES_tradnl"/>
                    </w:rPr>
                  </w:pPr>
                  <w:r w:rsidRPr="003E6986">
                    <w:rPr>
                      <w:sz w:val="18"/>
                      <w:szCs w:val="18"/>
                      <w:lang w:val="es-ES_tradnl"/>
                    </w:rPr>
                    <w:t>(espacio-Tierra)</w:t>
                  </w:r>
                </w:p>
              </w:tc>
            </w:tr>
            <w:tr w:rsidR="000A67FE" w:rsidRPr="008653C7" w14:paraId="0F992122" w14:textId="77777777" w:rsidTr="0040471B">
              <w:trPr>
                <w:trHeight w:val="276"/>
                <w:jc w:val="center"/>
              </w:trPr>
              <w:tc>
                <w:tcPr>
                  <w:tcW w:w="1130" w:type="pct"/>
                  <w:shd w:val="clear" w:color="auto" w:fill="auto"/>
                </w:tcPr>
                <w:p w14:paraId="086C93A1" w14:textId="77777777" w:rsidR="000A67FE" w:rsidRPr="003E6986" w:rsidRDefault="000A67FE" w:rsidP="0027145A">
                  <w:pPr>
                    <w:pStyle w:val="Tabletext"/>
                    <w:rPr>
                      <w:sz w:val="18"/>
                      <w:szCs w:val="18"/>
                      <w:lang w:val="es-ES_tradnl"/>
                    </w:rPr>
                  </w:pPr>
                  <w:r w:rsidRPr="003E6986">
                    <w:rPr>
                      <w:sz w:val="18"/>
                      <w:szCs w:val="18"/>
                      <w:lang w:val="es-ES_tradnl"/>
                    </w:rPr>
                    <w:t>76-81 GHz</w:t>
                  </w:r>
                </w:p>
              </w:tc>
              <w:tc>
                <w:tcPr>
                  <w:tcW w:w="1217" w:type="pct"/>
                  <w:shd w:val="clear" w:color="auto" w:fill="auto"/>
                </w:tcPr>
                <w:p w14:paraId="48684D3F" w14:textId="77777777" w:rsidR="000A67FE" w:rsidRPr="003E6986" w:rsidRDefault="000A67FE" w:rsidP="0027145A">
                  <w:pPr>
                    <w:pStyle w:val="Tabletext"/>
                    <w:rPr>
                      <w:sz w:val="18"/>
                      <w:szCs w:val="18"/>
                      <w:lang w:val="es-ES_tradnl"/>
                    </w:rPr>
                  </w:pPr>
                  <w:r w:rsidRPr="003E6986">
                    <w:rPr>
                      <w:sz w:val="18"/>
                      <w:szCs w:val="18"/>
                      <w:lang w:val="es-ES_tradnl"/>
                    </w:rPr>
                    <w:t>71-76 GHz</w:t>
                  </w:r>
                </w:p>
              </w:tc>
              <w:tc>
                <w:tcPr>
                  <w:tcW w:w="2653" w:type="pct"/>
                  <w:shd w:val="clear" w:color="auto" w:fill="auto"/>
                </w:tcPr>
                <w:p w14:paraId="646847D8" w14:textId="7DB390C2" w:rsidR="000A67FE" w:rsidRPr="003E6986" w:rsidRDefault="000A67FE" w:rsidP="0027145A">
                  <w:pPr>
                    <w:pStyle w:val="Tabletext"/>
                    <w:rPr>
                      <w:sz w:val="18"/>
                      <w:szCs w:val="18"/>
                      <w:lang w:val="es-ES_tradnl"/>
                    </w:rPr>
                  </w:pPr>
                  <w:r w:rsidRPr="003E6986">
                    <w:rPr>
                      <w:lang w:val="es-ES_tradnl"/>
                    </w:rPr>
                    <w:t>Servicio fijo por satélite (SFS), servicio móvil por satélite (SMS), servicio de radiodifusión por satélite (SRS)</w:t>
                  </w:r>
                </w:p>
              </w:tc>
            </w:tr>
            <w:tr w:rsidR="000A67FE" w:rsidRPr="008653C7" w14:paraId="3403AB8E" w14:textId="77777777" w:rsidTr="0040471B">
              <w:trPr>
                <w:trHeight w:val="276"/>
                <w:jc w:val="center"/>
              </w:trPr>
              <w:tc>
                <w:tcPr>
                  <w:tcW w:w="1130" w:type="pct"/>
                  <w:shd w:val="clear" w:color="auto" w:fill="auto"/>
                </w:tcPr>
                <w:p w14:paraId="0098CBE7" w14:textId="77777777" w:rsidR="000A67FE" w:rsidRPr="003E6986" w:rsidRDefault="000A67FE" w:rsidP="0027145A">
                  <w:pPr>
                    <w:pStyle w:val="Tabletext"/>
                    <w:rPr>
                      <w:sz w:val="18"/>
                      <w:szCs w:val="18"/>
                      <w:lang w:val="es-ES_tradnl"/>
                    </w:rPr>
                  </w:pPr>
                  <w:r w:rsidRPr="003E6986">
                    <w:rPr>
                      <w:sz w:val="18"/>
                      <w:szCs w:val="18"/>
                      <w:lang w:val="es-ES_tradnl"/>
                    </w:rPr>
                    <w:t>130-134 GHz</w:t>
                  </w:r>
                </w:p>
              </w:tc>
              <w:tc>
                <w:tcPr>
                  <w:tcW w:w="1217" w:type="pct"/>
                  <w:shd w:val="clear" w:color="auto" w:fill="auto"/>
                </w:tcPr>
                <w:p w14:paraId="00D31964" w14:textId="77777777" w:rsidR="000A67FE" w:rsidRPr="003E6986" w:rsidRDefault="000A67FE" w:rsidP="0027145A">
                  <w:pPr>
                    <w:pStyle w:val="Tabletext"/>
                    <w:rPr>
                      <w:sz w:val="18"/>
                      <w:szCs w:val="18"/>
                      <w:lang w:val="es-ES_tradnl"/>
                    </w:rPr>
                  </w:pPr>
                  <w:r w:rsidRPr="003E6986">
                    <w:rPr>
                      <w:sz w:val="18"/>
                      <w:szCs w:val="18"/>
                      <w:lang w:val="es-ES_tradnl"/>
                    </w:rPr>
                    <w:t>123-130 GHz</w:t>
                  </w:r>
                </w:p>
              </w:tc>
              <w:tc>
                <w:tcPr>
                  <w:tcW w:w="2653" w:type="pct"/>
                  <w:shd w:val="clear" w:color="auto" w:fill="auto"/>
                </w:tcPr>
                <w:p w14:paraId="3D81B4D9" w14:textId="68D26A56" w:rsidR="000A67FE" w:rsidRPr="003E6986" w:rsidRDefault="000A67FE" w:rsidP="0027145A">
                  <w:pPr>
                    <w:pStyle w:val="Tabletext"/>
                    <w:rPr>
                      <w:sz w:val="18"/>
                      <w:szCs w:val="18"/>
                      <w:lang w:val="es-ES_tradnl"/>
                    </w:rPr>
                  </w:pPr>
                  <w:r w:rsidRPr="003E6986">
                    <w:rPr>
                      <w:lang w:val="es-ES_tradnl"/>
                    </w:rPr>
                    <w:t>SFS, SMS, servicio de radionavegación por satélite (SRNS)</w:t>
                  </w:r>
                </w:p>
              </w:tc>
            </w:tr>
            <w:tr w:rsidR="000A67FE" w:rsidRPr="008653C7" w14:paraId="3687E1A3" w14:textId="77777777" w:rsidTr="0040471B">
              <w:trPr>
                <w:trHeight w:val="276"/>
                <w:jc w:val="center"/>
              </w:trPr>
              <w:tc>
                <w:tcPr>
                  <w:tcW w:w="1130" w:type="pct"/>
                  <w:shd w:val="clear" w:color="auto" w:fill="auto"/>
                </w:tcPr>
                <w:p w14:paraId="0BD93317" w14:textId="77777777" w:rsidR="000A67FE" w:rsidRPr="003E6986" w:rsidRDefault="000A67FE" w:rsidP="0027145A">
                  <w:pPr>
                    <w:pStyle w:val="Tabletext"/>
                    <w:rPr>
                      <w:sz w:val="18"/>
                      <w:szCs w:val="18"/>
                      <w:lang w:val="es-ES_tradnl"/>
                    </w:rPr>
                  </w:pPr>
                  <w:r w:rsidRPr="003E6986">
                    <w:rPr>
                      <w:sz w:val="18"/>
                      <w:szCs w:val="18"/>
                      <w:lang w:val="es-ES_tradnl"/>
                    </w:rPr>
                    <w:t>164-167 GHz</w:t>
                  </w:r>
                </w:p>
              </w:tc>
              <w:tc>
                <w:tcPr>
                  <w:tcW w:w="1217" w:type="pct"/>
                  <w:shd w:val="clear" w:color="auto" w:fill="auto"/>
                </w:tcPr>
                <w:p w14:paraId="2689BE4B" w14:textId="01896B46" w:rsidR="000A67FE" w:rsidRPr="003E6986" w:rsidRDefault="000A67FE" w:rsidP="0027145A">
                  <w:pPr>
                    <w:pStyle w:val="Tabletext"/>
                    <w:rPr>
                      <w:sz w:val="18"/>
                      <w:szCs w:val="18"/>
                      <w:lang w:val="es-ES_tradnl"/>
                    </w:rPr>
                  </w:pPr>
                  <w:r w:rsidRPr="003E6986">
                    <w:rPr>
                      <w:sz w:val="18"/>
                      <w:szCs w:val="18"/>
                      <w:lang w:val="es-ES_tradnl"/>
                    </w:rPr>
                    <w:t>167-174,5 GHz</w:t>
                  </w:r>
                </w:p>
              </w:tc>
              <w:tc>
                <w:tcPr>
                  <w:tcW w:w="2653" w:type="pct"/>
                  <w:shd w:val="clear" w:color="auto" w:fill="auto"/>
                </w:tcPr>
                <w:p w14:paraId="0D55FAEC" w14:textId="06529C3A" w:rsidR="000A67FE" w:rsidRPr="003E6986" w:rsidRDefault="000A67FE" w:rsidP="0027145A">
                  <w:pPr>
                    <w:pStyle w:val="Tabletext"/>
                    <w:rPr>
                      <w:sz w:val="18"/>
                      <w:szCs w:val="18"/>
                      <w:lang w:val="es-ES_tradnl"/>
                    </w:rPr>
                  </w:pPr>
                  <w:r w:rsidRPr="003E6986">
                    <w:rPr>
                      <w:lang w:val="es-ES_tradnl"/>
                    </w:rPr>
                    <w:t>SFS</w:t>
                  </w:r>
                </w:p>
              </w:tc>
            </w:tr>
            <w:tr w:rsidR="000A67FE" w:rsidRPr="008653C7" w14:paraId="583DDD09" w14:textId="77777777" w:rsidTr="0040471B">
              <w:trPr>
                <w:trHeight w:val="276"/>
                <w:jc w:val="center"/>
              </w:trPr>
              <w:tc>
                <w:tcPr>
                  <w:tcW w:w="1130" w:type="pct"/>
                  <w:shd w:val="clear" w:color="auto" w:fill="auto"/>
                </w:tcPr>
                <w:p w14:paraId="15E80302" w14:textId="613F4049" w:rsidR="000A67FE" w:rsidRPr="003E6986" w:rsidRDefault="000A67FE" w:rsidP="0027145A">
                  <w:pPr>
                    <w:pStyle w:val="Tabletext"/>
                    <w:rPr>
                      <w:sz w:val="18"/>
                      <w:szCs w:val="18"/>
                      <w:lang w:val="es-ES_tradnl"/>
                    </w:rPr>
                  </w:pPr>
                  <w:r w:rsidRPr="003E6986">
                    <w:rPr>
                      <w:sz w:val="18"/>
                      <w:szCs w:val="18"/>
                      <w:lang w:val="es-ES_tradnl"/>
                    </w:rPr>
                    <w:t>226-231,5 GHz</w:t>
                  </w:r>
                </w:p>
              </w:tc>
              <w:tc>
                <w:tcPr>
                  <w:tcW w:w="1217" w:type="pct"/>
                  <w:shd w:val="clear" w:color="auto" w:fill="auto"/>
                </w:tcPr>
                <w:p w14:paraId="00C82093" w14:textId="77777777" w:rsidR="000A67FE" w:rsidRPr="003E6986" w:rsidRDefault="000A67FE" w:rsidP="0027145A">
                  <w:pPr>
                    <w:pStyle w:val="Tabletext"/>
                    <w:rPr>
                      <w:sz w:val="18"/>
                      <w:szCs w:val="18"/>
                      <w:lang w:val="es-ES_tradnl"/>
                    </w:rPr>
                  </w:pPr>
                  <w:r w:rsidRPr="003E6986">
                    <w:rPr>
                      <w:sz w:val="18"/>
                      <w:szCs w:val="18"/>
                      <w:lang w:val="es-ES_tradnl"/>
                    </w:rPr>
                    <w:t>232-235 GHz</w:t>
                  </w:r>
                </w:p>
              </w:tc>
              <w:tc>
                <w:tcPr>
                  <w:tcW w:w="2653" w:type="pct"/>
                  <w:shd w:val="clear" w:color="auto" w:fill="auto"/>
                </w:tcPr>
                <w:p w14:paraId="18964766" w14:textId="79400014" w:rsidR="000A67FE" w:rsidRPr="003E6986" w:rsidRDefault="000A67FE" w:rsidP="0027145A">
                  <w:pPr>
                    <w:pStyle w:val="Tabletext"/>
                    <w:rPr>
                      <w:sz w:val="18"/>
                      <w:szCs w:val="18"/>
                      <w:lang w:val="es-ES_tradnl"/>
                    </w:rPr>
                  </w:pPr>
                  <w:r w:rsidRPr="003E6986">
                    <w:rPr>
                      <w:lang w:val="es-ES_tradnl"/>
                    </w:rPr>
                    <w:t>SFS</w:t>
                  </w:r>
                </w:p>
              </w:tc>
            </w:tr>
          </w:tbl>
          <w:p w14:paraId="58558476" w14:textId="77777777" w:rsidR="000A67FE" w:rsidRPr="003E6986" w:rsidRDefault="000A67FE" w:rsidP="0027145A">
            <w:pPr>
              <w:pStyle w:val="Tablefin"/>
              <w:rPr>
                <w:highlight w:val="yellow"/>
                <w:lang w:val="es-ES_tradnl"/>
              </w:rPr>
            </w:pPr>
            <w:r w:rsidRPr="003E6986">
              <w:rPr>
                <w:highlight w:val="yellow"/>
                <w:lang w:val="es-ES_tradnl"/>
              </w:rPr>
              <w:br w:type="page"/>
            </w:r>
          </w:p>
          <w:p w14:paraId="3C5D38E6" w14:textId="77777777" w:rsidR="000A67FE" w:rsidRPr="003E6986" w:rsidRDefault="000A67FE" w:rsidP="0027145A">
            <w:pPr>
              <w:pStyle w:val="Tabletext"/>
              <w:tabs>
                <w:tab w:val="clear" w:pos="284"/>
                <w:tab w:val="left" w:pos="463"/>
              </w:tabs>
              <w:jc w:val="both"/>
              <w:rPr>
                <w:lang w:val="es-ES_tradnl" w:eastAsia="nl-NL"/>
              </w:rPr>
            </w:pPr>
            <w:r w:rsidRPr="003E6986">
              <w:rPr>
                <w:lang w:val="es-ES_tradnl" w:eastAsia="nl-NL"/>
              </w:rPr>
              <w:t>…</w:t>
            </w:r>
          </w:p>
          <w:p w14:paraId="387A7C2E" w14:textId="77777777" w:rsidR="000A67FE" w:rsidRPr="003E6986" w:rsidRDefault="000A67FE" w:rsidP="0027145A">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2027</w:t>
            </w:r>
          </w:p>
          <w:p w14:paraId="4DFACB13" w14:textId="77777777" w:rsidR="000A67FE" w:rsidRPr="003E6986" w:rsidRDefault="000A67FE" w:rsidP="0027145A">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 xml:space="preserve">a determinar, basándose en los resultados de los estudios, las medidas reglamentarias necesarias en relación con la protección del SETS (pasivo) en las bandas de frecuencias enumeradas en el Cuadro 1 anterior contra las emisiones no deseadas de los servicios activos y actualizar en consecuencia la Resolución </w:t>
            </w:r>
            <w:r w:rsidRPr="003E6986">
              <w:rPr>
                <w:b/>
                <w:lang w:val="es-ES_tradnl" w:eastAsia="nl-NL"/>
              </w:rPr>
              <w:t>750 (Rev.CMR-19)</w:t>
            </w:r>
            <w:r w:rsidRPr="003E6986">
              <w:rPr>
                <w:lang w:val="es-ES_tradnl" w:eastAsia="nl-NL"/>
              </w:rPr>
              <w:t>;</w:t>
            </w:r>
          </w:p>
          <w:p w14:paraId="3F1FCEB8" w14:textId="77777777" w:rsidR="000A67FE" w:rsidRPr="003E6986" w:rsidRDefault="000A67FE" w:rsidP="0027145A">
            <w:pPr>
              <w:pStyle w:val="Tabletext"/>
              <w:tabs>
                <w:tab w:val="clear" w:pos="284"/>
                <w:tab w:val="left" w:pos="463"/>
              </w:tabs>
              <w:jc w:val="both"/>
              <w:rPr>
                <w:lang w:val="es-ES_tradnl" w:eastAsia="nl-NL"/>
              </w:rPr>
            </w:pPr>
            <w:r w:rsidRPr="003E6986">
              <w:rPr>
                <w:lang w:val="es-ES_tradnl" w:eastAsia="nl-NL"/>
              </w:rPr>
              <w:lastRenderedPageBreak/>
              <w:t>2</w:t>
            </w:r>
            <w:r w:rsidRPr="003E6986">
              <w:rPr>
                <w:lang w:val="es-ES_tradnl" w:eastAsia="nl-NL"/>
              </w:rPr>
              <w:tab/>
              <w:t xml:space="preserve">determinar, basándose en los resultados de los estudios, las medidas reglamentarias necesarias en relación con la protección de los SRA en las bandas de frecuencias enumeradas en el Cuadro 2 anterior y actualizar en consecuencia la Resolución </w:t>
            </w:r>
            <w:r w:rsidRPr="003E6986">
              <w:rPr>
                <w:b/>
                <w:lang w:val="es-ES_tradnl" w:eastAsia="nl-NL"/>
              </w:rPr>
              <w:t>739 (Rev.CMR-19)</w:t>
            </w:r>
            <w:r w:rsidRPr="003E6986">
              <w:rPr>
                <w:lang w:val="es-ES_tradnl" w:eastAsia="nl-NL"/>
              </w:rPr>
              <w:t>,</w:t>
            </w:r>
          </w:p>
          <w:p w14:paraId="133FF527" w14:textId="5DEC3D0C" w:rsidR="00EF3D59" w:rsidRPr="003E6986" w:rsidRDefault="00EF3D59" w:rsidP="0027145A">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encarga a la Secretaria General</w:t>
            </w:r>
          </w:p>
          <w:p w14:paraId="5A0EBCFD" w14:textId="17AC8A23" w:rsidR="00EF3D59" w:rsidRPr="003E6986" w:rsidRDefault="00EF3D59" w:rsidP="0027145A">
            <w:pPr>
              <w:pStyle w:val="Tabletext"/>
              <w:tabs>
                <w:tab w:val="clear" w:pos="284"/>
                <w:tab w:val="left" w:pos="463"/>
              </w:tabs>
              <w:jc w:val="both"/>
              <w:rPr>
                <w:lang w:val="es-ES_tradnl" w:eastAsia="nl-NL"/>
              </w:rPr>
            </w:pPr>
            <w:r w:rsidRPr="003E6986">
              <w:rPr>
                <w:lang w:val="es-ES_tradnl" w:eastAsia="nl-NL"/>
              </w:rPr>
              <w:t>que señale esta Resolución a la atención de las organizaciones internacionales y regionales pertinentes.</w:t>
            </w:r>
          </w:p>
        </w:tc>
        <w:tc>
          <w:tcPr>
            <w:tcW w:w="1406" w:type="dxa"/>
          </w:tcPr>
          <w:p w14:paraId="257A45E8" w14:textId="46561B09" w:rsidR="00EF3D59" w:rsidRPr="008653C7" w:rsidRDefault="0027145A" w:rsidP="0027145A">
            <w:pPr>
              <w:spacing w:before="40" w:after="40"/>
              <w:jc w:val="center"/>
              <w:rPr>
                <w:rFonts w:eastAsia="Calibri"/>
                <w:b/>
                <w:sz w:val="20"/>
                <w:lang w:val="fr-FR"/>
              </w:rPr>
            </w:pPr>
            <w:r w:rsidRPr="008653C7">
              <w:rPr>
                <w:rFonts w:eastAsia="Calibri"/>
                <w:b/>
                <w:sz w:val="20"/>
                <w:lang w:val="fr-FR"/>
              </w:rPr>
              <w:lastRenderedPageBreak/>
              <w:t xml:space="preserve">GT </w:t>
            </w:r>
            <w:proofErr w:type="spellStart"/>
            <w:r w:rsidR="00EF3D59" w:rsidRPr="008653C7">
              <w:rPr>
                <w:rFonts w:eastAsia="Calibri"/>
                <w:b/>
                <w:sz w:val="20"/>
                <w:lang w:val="fr-FR"/>
              </w:rPr>
              <w:t>3J</w:t>
            </w:r>
            <w:proofErr w:type="spellEnd"/>
            <w:r w:rsidR="00EF3D59" w:rsidRPr="003E6986">
              <w:rPr>
                <w:rStyle w:val="FootnoteReference"/>
                <w:rFonts w:eastAsia="Calibri"/>
                <w:b/>
                <w:lang w:val="es-ES_tradnl"/>
              </w:rPr>
              <w:footnoteReference w:customMarkFollows="1" w:id="16"/>
              <w:sym w:font="Symbol" w:char="F02A"/>
            </w:r>
          </w:p>
          <w:p w14:paraId="5ED8A9E0" w14:textId="567A2250" w:rsidR="00EF3D59" w:rsidRPr="008653C7" w:rsidRDefault="0027145A" w:rsidP="0027145A">
            <w:pPr>
              <w:spacing w:before="40" w:after="40"/>
              <w:jc w:val="center"/>
              <w:rPr>
                <w:rFonts w:eastAsia="Calibri"/>
                <w:b/>
                <w:sz w:val="20"/>
                <w:lang w:val="fr-FR"/>
              </w:rPr>
            </w:pPr>
            <w:r w:rsidRPr="008653C7">
              <w:rPr>
                <w:rFonts w:eastAsia="Calibri"/>
                <w:b/>
                <w:sz w:val="20"/>
                <w:lang w:val="fr-FR"/>
              </w:rPr>
              <w:t xml:space="preserve">GT </w:t>
            </w:r>
            <w:r w:rsidR="00EF3D59" w:rsidRPr="008653C7">
              <w:rPr>
                <w:rFonts w:eastAsia="Calibri"/>
                <w:b/>
                <w:sz w:val="20"/>
                <w:lang w:val="fr-FR"/>
              </w:rPr>
              <w:t>3M*</w:t>
            </w:r>
          </w:p>
          <w:p w14:paraId="38F9D2FD" w14:textId="44E1EC8B" w:rsidR="00EF3D59" w:rsidRPr="008653C7" w:rsidRDefault="0027145A" w:rsidP="0027145A">
            <w:pPr>
              <w:spacing w:before="40" w:after="40"/>
              <w:jc w:val="center"/>
              <w:rPr>
                <w:b/>
                <w:bCs/>
                <w:sz w:val="20"/>
                <w:lang w:val="fr-FR"/>
              </w:rPr>
            </w:pPr>
            <w:r w:rsidRPr="008653C7">
              <w:rPr>
                <w:rFonts w:eastAsia="Calibri"/>
                <w:b/>
                <w:sz w:val="20"/>
                <w:lang w:val="fr-FR"/>
              </w:rPr>
              <w:t>GT</w:t>
            </w:r>
            <w:r w:rsidR="00EF3D59" w:rsidRPr="008653C7">
              <w:rPr>
                <w:rFonts w:eastAsia="Calibri"/>
                <w:b/>
                <w:sz w:val="20"/>
                <w:lang w:val="fr-FR"/>
              </w:rPr>
              <w:t xml:space="preserve"> </w:t>
            </w:r>
            <w:proofErr w:type="spellStart"/>
            <w:r w:rsidR="00EF3D59" w:rsidRPr="008653C7">
              <w:rPr>
                <w:rFonts w:eastAsia="Calibri"/>
                <w:b/>
                <w:sz w:val="20"/>
                <w:lang w:val="fr-FR"/>
              </w:rPr>
              <w:t>4A</w:t>
            </w:r>
            <w:proofErr w:type="spellEnd"/>
          </w:p>
          <w:p w14:paraId="631FFADE" w14:textId="177474B0" w:rsidR="00EF3D59" w:rsidRPr="008653C7" w:rsidRDefault="0027145A" w:rsidP="0027145A">
            <w:pPr>
              <w:spacing w:before="40" w:after="40"/>
              <w:jc w:val="center"/>
              <w:rPr>
                <w:rFonts w:eastAsia="Calibri"/>
                <w:b/>
                <w:sz w:val="20"/>
                <w:lang w:val="fr-FR"/>
              </w:rPr>
            </w:pPr>
            <w:r w:rsidRPr="008653C7">
              <w:rPr>
                <w:rFonts w:eastAsia="Calibri"/>
                <w:b/>
                <w:sz w:val="20"/>
                <w:lang w:val="fr-FR"/>
              </w:rPr>
              <w:t xml:space="preserve">GT </w:t>
            </w:r>
            <w:proofErr w:type="spellStart"/>
            <w:r w:rsidR="00EF3D59" w:rsidRPr="008653C7">
              <w:rPr>
                <w:rFonts w:eastAsia="Calibri"/>
                <w:b/>
                <w:sz w:val="20"/>
                <w:lang w:val="fr-FR"/>
              </w:rPr>
              <w:t>4C</w:t>
            </w:r>
            <w:proofErr w:type="spellEnd"/>
          </w:p>
          <w:p w14:paraId="5CE7F103" w14:textId="35D76E90" w:rsidR="00EF3D59" w:rsidRPr="003E6986" w:rsidRDefault="00EF3D59" w:rsidP="0027145A">
            <w:pPr>
              <w:spacing w:before="40" w:after="40"/>
              <w:jc w:val="center"/>
              <w:rPr>
                <w:b/>
                <w:bCs/>
                <w:sz w:val="20"/>
                <w:lang w:val="es-ES_tradnl"/>
              </w:rPr>
            </w:pPr>
            <w:r w:rsidRPr="003E6986">
              <w:rPr>
                <w:rFonts w:eastAsia="Calibri"/>
                <w:b/>
                <w:sz w:val="20"/>
                <w:lang w:val="es-ES_tradnl"/>
              </w:rPr>
              <w:t>GT</w:t>
            </w:r>
            <w:r w:rsidR="0027145A" w:rsidRPr="003E6986">
              <w:rPr>
                <w:rFonts w:eastAsia="Calibri"/>
                <w:b/>
                <w:sz w:val="20"/>
                <w:lang w:val="es-ES_tradnl"/>
              </w:rPr>
              <w:t xml:space="preserve"> </w:t>
            </w:r>
            <w:proofErr w:type="spellStart"/>
            <w:r w:rsidRPr="003E6986">
              <w:rPr>
                <w:rFonts w:eastAsia="Calibri"/>
                <w:b/>
                <w:sz w:val="20"/>
                <w:lang w:val="es-ES_tradnl"/>
              </w:rPr>
              <w:t>5A</w:t>
            </w:r>
            <w:proofErr w:type="spellEnd"/>
          </w:p>
          <w:p w14:paraId="4915DC2D" w14:textId="421C0EDB" w:rsidR="00EF3D59" w:rsidRPr="003E6986" w:rsidRDefault="0027145A" w:rsidP="0027145A">
            <w:pPr>
              <w:spacing w:before="40" w:after="40"/>
              <w:jc w:val="center"/>
              <w:rPr>
                <w:rFonts w:eastAsia="Calibri"/>
                <w:b/>
                <w:sz w:val="20"/>
                <w:lang w:val="es-ES_tradnl"/>
              </w:rPr>
            </w:pPr>
            <w:r w:rsidRPr="003E6986">
              <w:rPr>
                <w:rFonts w:eastAsia="Calibri"/>
                <w:b/>
                <w:sz w:val="20"/>
                <w:lang w:val="es-ES_tradnl"/>
              </w:rPr>
              <w:t xml:space="preserve">GT </w:t>
            </w:r>
            <w:r w:rsidR="00EF3D59" w:rsidRPr="003E6986">
              <w:rPr>
                <w:rFonts w:eastAsia="Calibri"/>
                <w:b/>
                <w:sz w:val="20"/>
                <w:lang w:val="es-ES_tradnl"/>
              </w:rPr>
              <w:t>5B</w:t>
            </w:r>
          </w:p>
          <w:p w14:paraId="02750EC7" w14:textId="7332B03E" w:rsidR="004A7B85" w:rsidRPr="003E6986" w:rsidRDefault="0027145A" w:rsidP="0027145A">
            <w:pPr>
              <w:pStyle w:val="Tabletext"/>
              <w:tabs>
                <w:tab w:val="clear" w:pos="284"/>
                <w:tab w:val="left" w:pos="463"/>
              </w:tabs>
              <w:spacing w:line="480" w:lineRule="auto"/>
              <w:jc w:val="center"/>
              <w:rPr>
                <w:b/>
                <w:bCs/>
                <w:lang w:val="es-ES_tradnl" w:eastAsia="nl-NL"/>
              </w:rPr>
            </w:pPr>
            <w:r w:rsidRPr="003E6986">
              <w:rPr>
                <w:rFonts w:eastAsia="Calibri"/>
                <w:b/>
                <w:lang w:val="es-ES_tradnl"/>
              </w:rPr>
              <w:t xml:space="preserve">GT </w:t>
            </w:r>
            <w:r w:rsidR="00EF3D59" w:rsidRPr="003E6986">
              <w:rPr>
                <w:rFonts w:eastAsia="Calibri"/>
                <w:b/>
                <w:lang w:val="es-ES_tradnl"/>
              </w:rPr>
              <w:t>5C</w:t>
            </w:r>
          </w:p>
        </w:tc>
      </w:tr>
      <w:tr w:rsidR="004A7B85" w:rsidRPr="008653C7" w14:paraId="4083F2F3" w14:textId="77777777" w:rsidTr="003F05FF">
        <w:trPr>
          <w:gridAfter w:val="1"/>
          <w:wAfter w:w="27" w:type="dxa"/>
          <w:cantSplit/>
          <w:jc w:val="center"/>
        </w:trPr>
        <w:tc>
          <w:tcPr>
            <w:tcW w:w="14036" w:type="dxa"/>
            <w:gridSpan w:val="4"/>
          </w:tcPr>
          <w:p w14:paraId="27248EB8" w14:textId="4461673A" w:rsidR="004A7B85" w:rsidRPr="003E6986" w:rsidRDefault="000A67FE" w:rsidP="00BD2741">
            <w:pPr>
              <w:pStyle w:val="Tabletext"/>
              <w:keepNext/>
              <w:keepLines/>
              <w:tabs>
                <w:tab w:val="clear" w:pos="284"/>
                <w:tab w:val="left" w:pos="594"/>
              </w:tabs>
              <w:jc w:val="both"/>
              <w:rPr>
                <w:lang w:val="es-ES_tradnl" w:eastAsia="nl-NL"/>
              </w:rPr>
            </w:pPr>
            <w:r w:rsidRPr="003E6986">
              <w:rPr>
                <w:lang w:val="es-ES_tradnl" w:eastAsia="nl-NL"/>
              </w:rPr>
              <w:lastRenderedPageBreak/>
              <w:t>1.19</w:t>
            </w:r>
            <w:r w:rsidRPr="003E6986">
              <w:rPr>
                <w:lang w:val="es-ES_tradnl" w:eastAsia="nl-NL"/>
              </w:rPr>
              <w:tab/>
              <w:t xml:space="preserve">considerar la posibilidad de otorgar atribuciones a título primario en todas las Regiones al servicio de exploración de la Tierra por satélite (pasivo) en las bandas de frecuencias 4 200 4 400 MHz y 8 400-8 500 MHz, de conformidad con la Resolución </w:t>
            </w:r>
            <w:r w:rsidR="009B4CFB" w:rsidRPr="003E6986">
              <w:rPr>
                <w:b/>
                <w:lang w:val="es-ES_tradnl" w:eastAsia="nl-NL"/>
              </w:rPr>
              <w:t>674</w:t>
            </w:r>
            <w:r w:rsidRPr="003E6986">
              <w:rPr>
                <w:b/>
                <w:lang w:val="es-ES_tradnl" w:eastAsia="nl-NL"/>
              </w:rPr>
              <w:t xml:space="preserve"> (CMR-23)</w:t>
            </w:r>
            <w:r w:rsidRPr="003E6986">
              <w:rPr>
                <w:lang w:val="es-ES_tradnl" w:eastAsia="nl-NL"/>
              </w:rPr>
              <w:t>;</w:t>
            </w:r>
          </w:p>
        </w:tc>
      </w:tr>
      <w:tr w:rsidR="004A7B85" w:rsidRPr="003E6986" w14:paraId="6ADC1F4A" w14:textId="77777777" w:rsidTr="003F05FF">
        <w:trPr>
          <w:gridAfter w:val="1"/>
          <w:wAfter w:w="27" w:type="dxa"/>
          <w:cantSplit/>
          <w:jc w:val="center"/>
        </w:trPr>
        <w:tc>
          <w:tcPr>
            <w:tcW w:w="3304" w:type="dxa"/>
          </w:tcPr>
          <w:p w14:paraId="7D81209A" w14:textId="5362AC04" w:rsidR="000A67FE" w:rsidRPr="003E6986" w:rsidRDefault="000A67FE" w:rsidP="000A67FE">
            <w:pPr>
              <w:pStyle w:val="Tabletext"/>
              <w:tabs>
                <w:tab w:val="left" w:pos="463"/>
              </w:tabs>
              <w:rPr>
                <w:lang w:val="es-ES_tradnl" w:eastAsia="nl-NL"/>
              </w:rPr>
            </w:pPr>
            <w:r w:rsidRPr="003E6986">
              <w:rPr>
                <w:lang w:val="es-ES_tradnl" w:eastAsia="nl-NL"/>
              </w:rPr>
              <w:t xml:space="preserve">Resolución </w:t>
            </w:r>
            <w:r w:rsidR="009B4CFB" w:rsidRPr="003E6986">
              <w:rPr>
                <w:b/>
                <w:lang w:val="es-ES_tradnl" w:eastAsia="nl-NL"/>
              </w:rPr>
              <w:t>674</w:t>
            </w:r>
            <w:r w:rsidRPr="003E6986">
              <w:rPr>
                <w:b/>
                <w:lang w:val="es-ES_tradnl" w:eastAsia="nl-NL"/>
              </w:rPr>
              <w:t xml:space="preserve"> (</w:t>
            </w:r>
            <w:proofErr w:type="spellStart"/>
            <w:r w:rsidRPr="003E6986">
              <w:rPr>
                <w:b/>
                <w:lang w:val="es-ES_tradnl" w:eastAsia="nl-NL"/>
              </w:rPr>
              <w:t>CMR</w:t>
            </w:r>
            <w:proofErr w:type="spellEnd"/>
            <w:r w:rsidRPr="003E6986">
              <w:rPr>
                <w:b/>
                <w:lang w:val="es-ES_tradnl" w:eastAsia="nl-NL"/>
              </w:rPr>
              <w:t>-23)</w:t>
            </w:r>
          </w:p>
          <w:p w14:paraId="6943FE3C" w14:textId="346E3E93" w:rsidR="004A7B85" w:rsidRPr="003E6986" w:rsidRDefault="000A67FE" w:rsidP="00C642A5">
            <w:pPr>
              <w:pStyle w:val="Tabletext"/>
              <w:tabs>
                <w:tab w:val="clear" w:pos="284"/>
                <w:tab w:val="left" w:pos="463"/>
              </w:tabs>
              <w:rPr>
                <w:lang w:val="es-ES_tradnl" w:eastAsia="nl-NL"/>
              </w:rPr>
            </w:pPr>
            <w:r w:rsidRPr="003E6986">
              <w:rPr>
                <w:lang w:val="es-ES_tradnl" w:eastAsia="nl-NL"/>
              </w:rPr>
              <w:t>Estudios sobre posibles atribuciones al servicio de exploración de la Tierra por satélite (pasivo) en las bandas 4</w:t>
            </w:r>
            <w:r w:rsidR="00A923A9">
              <w:rPr>
                <w:lang w:val="es-ES_tradnl" w:eastAsia="nl-NL"/>
              </w:rPr>
              <w:t> </w:t>
            </w:r>
            <w:r w:rsidRPr="003E6986">
              <w:rPr>
                <w:lang w:val="es-ES_tradnl" w:eastAsia="nl-NL"/>
              </w:rPr>
              <w:t>200-4 400 MHz y 8 400-8 500 MHz</w:t>
            </w:r>
          </w:p>
        </w:tc>
        <w:tc>
          <w:tcPr>
            <w:tcW w:w="1517" w:type="dxa"/>
          </w:tcPr>
          <w:p w14:paraId="707D366F" w14:textId="671ECCD2" w:rsidR="004A7B85" w:rsidRPr="003E6986" w:rsidRDefault="00A92266" w:rsidP="006B10FF">
            <w:pPr>
              <w:pStyle w:val="Tabletext"/>
              <w:tabs>
                <w:tab w:val="clear" w:pos="284"/>
                <w:tab w:val="left" w:pos="463"/>
              </w:tabs>
              <w:jc w:val="center"/>
              <w:rPr>
                <w:b/>
                <w:bCs/>
                <w:lang w:val="es-ES_tradnl" w:eastAsia="nl-NL"/>
              </w:rPr>
            </w:pPr>
            <w:r w:rsidRPr="003E6986">
              <w:rPr>
                <w:b/>
                <w:bCs/>
                <w:lang w:val="es-ES_tradnl" w:eastAsia="nl-NL"/>
              </w:rPr>
              <w:t>GT</w:t>
            </w:r>
            <w:r w:rsidR="00105A37" w:rsidRPr="003E6986">
              <w:rPr>
                <w:b/>
                <w:bCs/>
                <w:lang w:val="es-ES_tradnl" w:eastAsia="nl-NL"/>
              </w:rPr>
              <w:t> 7C</w:t>
            </w:r>
          </w:p>
        </w:tc>
        <w:tc>
          <w:tcPr>
            <w:tcW w:w="7809" w:type="dxa"/>
          </w:tcPr>
          <w:p w14:paraId="76110735" w14:textId="77777777" w:rsidR="00105A37" w:rsidRPr="003E6986" w:rsidRDefault="00105A37" w:rsidP="00105A3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2027</w:t>
            </w:r>
          </w:p>
          <w:p w14:paraId="1C66DB3C" w14:textId="6A9B9C39" w:rsidR="004A7B85" w:rsidRPr="003E6986" w:rsidRDefault="00105A37" w:rsidP="00105A37">
            <w:pPr>
              <w:pStyle w:val="Tabletext"/>
              <w:tabs>
                <w:tab w:val="clear" w:pos="284"/>
                <w:tab w:val="left" w:pos="463"/>
              </w:tabs>
              <w:jc w:val="both"/>
              <w:rPr>
                <w:lang w:val="es-ES_tradnl" w:eastAsia="nl-NL"/>
              </w:rPr>
            </w:pPr>
            <w:r w:rsidRPr="003E6986">
              <w:rPr>
                <w:lang w:val="es-ES_tradnl" w:eastAsia="nl-NL"/>
              </w:rPr>
              <w:t>estudios de compartición y compatibilidad para determinar la posibilidad de otorgar una futura atribución al SETS (pasivo) en las bandas de frecuencia</w:t>
            </w:r>
            <w:r w:rsidR="0000132B" w:rsidRPr="003E6986">
              <w:rPr>
                <w:lang w:val="es-ES_tradnl" w:eastAsia="nl-NL"/>
              </w:rPr>
              <w:t>s 4 200 4 400 MHz y 8 400</w:t>
            </w:r>
            <w:r w:rsidR="0000132B" w:rsidRPr="003E6986">
              <w:rPr>
                <w:lang w:val="es-ES_tradnl" w:eastAsia="nl-NL"/>
              </w:rPr>
              <w:noBreakHyphen/>
              <w:t>8 500 </w:t>
            </w:r>
            <w:r w:rsidRPr="003E6986">
              <w:rPr>
                <w:lang w:val="es-ES_tradnl" w:eastAsia="nl-NL"/>
              </w:rPr>
              <w:t>MHz,</w:t>
            </w:r>
          </w:p>
          <w:p w14:paraId="30A5E6D1" w14:textId="77777777" w:rsidR="00105A37" w:rsidRPr="003E6986" w:rsidRDefault="00105A37" w:rsidP="00105A37">
            <w:pPr>
              <w:pStyle w:val="Tabletext"/>
              <w:tabs>
                <w:tab w:val="clear" w:pos="284"/>
                <w:tab w:val="left" w:pos="463"/>
              </w:tabs>
              <w:jc w:val="both"/>
              <w:rPr>
                <w:lang w:val="es-ES_tradnl" w:eastAsia="nl-NL"/>
              </w:rPr>
            </w:pPr>
            <w:r w:rsidRPr="003E6986">
              <w:rPr>
                <w:lang w:val="es-ES_tradnl" w:eastAsia="nl-NL"/>
              </w:rPr>
              <w:t>…</w:t>
            </w:r>
          </w:p>
          <w:p w14:paraId="552BEF5B" w14:textId="77777777" w:rsidR="00105A37" w:rsidRPr="003E6986" w:rsidRDefault="00105A37" w:rsidP="00105A3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2027</w:t>
            </w:r>
          </w:p>
          <w:p w14:paraId="25FA6B80" w14:textId="77777777" w:rsidR="00105A37" w:rsidRDefault="00105A37" w:rsidP="00105A37">
            <w:pPr>
              <w:pStyle w:val="Tabletext"/>
              <w:tabs>
                <w:tab w:val="clear" w:pos="284"/>
                <w:tab w:val="left" w:pos="463"/>
              </w:tabs>
              <w:jc w:val="both"/>
              <w:rPr>
                <w:lang w:val="es-ES_tradnl" w:eastAsia="nl-NL"/>
              </w:rPr>
            </w:pPr>
            <w:r w:rsidRPr="003E6986">
              <w:rPr>
                <w:lang w:val="es-ES_tradnl" w:eastAsia="nl-NL"/>
              </w:rPr>
              <w:t>a examinar los resultados de dichos estudios con miras a considerar la posibilidad de otorgar una nueva atribución a título primario en todas las Regiones al SETS (pasivo) en las bandas de frecuencias 4 200-4 400 MHz y 8 400-8 500 MHz sin protección contra los servicios existentes en dichas bandas de frecuencias y en las bandas adyacentes.</w:t>
            </w:r>
          </w:p>
          <w:p w14:paraId="3C61DF1C" w14:textId="77777777" w:rsidR="00C642A5" w:rsidRDefault="00C642A5" w:rsidP="00105A37">
            <w:pPr>
              <w:pStyle w:val="Tabletext"/>
              <w:tabs>
                <w:tab w:val="clear" w:pos="284"/>
                <w:tab w:val="left" w:pos="463"/>
              </w:tabs>
              <w:jc w:val="both"/>
              <w:rPr>
                <w:lang w:val="es-ES_tradnl" w:eastAsia="nl-NL"/>
              </w:rPr>
            </w:pPr>
          </w:p>
          <w:p w14:paraId="0148915F" w14:textId="77777777" w:rsidR="00C642A5" w:rsidRDefault="00C642A5" w:rsidP="00105A37">
            <w:pPr>
              <w:pStyle w:val="Tabletext"/>
              <w:tabs>
                <w:tab w:val="clear" w:pos="284"/>
                <w:tab w:val="left" w:pos="463"/>
              </w:tabs>
              <w:jc w:val="both"/>
              <w:rPr>
                <w:lang w:val="es-ES_tradnl" w:eastAsia="nl-NL"/>
              </w:rPr>
            </w:pPr>
          </w:p>
          <w:p w14:paraId="38F7D683" w14:textId="77777777" w:rsidR="00C642A5" w:rsidRDefault="00C642A5" w:rsidP="00105A37">
            <w:pPr>
              <w:pStyle w:val="Tabletext"/>
              <w:tabs>
                <w:tab w:val="clear" w:pos="284"/>
                <w:tab w:val="left" w:pos="463"/>
              </w:tabs>
              <w:jc w:val="both"/>
              <w:rPr>
                <w:lang w:val="es-ES_tradnl" w:eastAsia="nl-NL"/>
              </w:rPr>
            </w:pPr>
          </w:p>
          <w:p w14:paraId="265F1B86" w14:textId="77777777" w:rsidR="00C642A5" w:rsidRDefault="00C642A5" w:rsidP="00105A37">
            <w:pPr>
              <w:pStyle w:val="Tabletext"/>
              <w:tabs>
                <w:tab w:val="clear" w:pos="284"/>
                <w:tab w:val="left" w:pos="463"/>
              </w:tabs>
              <w:jc w:val="both"/>
              <w:rPr>
                <w:lang w:val="es-ES_tradnl" w:eastAsia="nl-NL"/>
              </w:rPr>
            </w:pPr>
          </w:p>
          <w:p w14:paraId="50BC85E6" w14:textId="77777777" w:rsidR="00C642A5" w:rsidRDefault="00C642A5" w:rsidP="00105A37">
            <w:pPr>
              <w:pStyle w:val="Tabletext"/>
              <w:tabs>
                <w:tab w:val="clear" w:pos="284"/>
                <w:tab w:val="left" w:pos="463"/>
              </w:tabs>
              <w:jc w:val="both"/>
              <w:rPr>
                <w:lang w:val="es-ES_tradnl" w:eastAsia="nl-NL"/>
              </w:rPr>
            </w:pPr>
          </w:p>
          <w:p w14:paraId="51E347B2" w14:textId="77777777" w:rsidR="00C642A5" w:rsidRDefault="00C642A5" w:rsidP="00105A37">
            <w:pPr>
              <w:pStyle w:val="Tabletext"/>
              <w:tabs>
                <w:tab w:val="clear" w:pos="284"/>
                <w:tab w:val="left" w:pos="463"/>
              </w:tabs>
              <w:jc w:val="both"/>
              <w:rPr>
                <w:lang w:val="es-ES_tradnl" w:eastAsia="nl-NL"/>
              </w:rPr>
            </w:pPr>
          </w:p>
          <w:p w14:paraId="657FDC12" w14:textId="77777777" w:rsidR="00C642A5" w:rsidRDefault="00C642A5" w:rsidP="00105A37">
            <w:pPr>
              <w:pStyle w:val="Tabletext"/>
              <w:tabs>
                <w:tab w:val="clear" w:pos="284"/>
                <w:tab w:val="left" w:pos="463"/>
              </w:tabs>
              <w:jc w:val="both"/>
              <w:rPr>
                <w:lang w:val="es-ES_tradnl" w:eastAsia="nl-NL"/>
              </w:rPr>
            </w:pPr>
          </w:p>
          <w:p w14:paraId="5850A3A0" w14:textId="118A5299" w:rsidR="00C642A5" w:rsidRPr="003E6986" w:rsidRDefault="00C642A5" w:rsidP="00105A37">
            <w:pPr>
              <w:pStyle w:val="Tabletext"/>
              <w:tabs>
                <w:tab w:val="clear" w:pos="284"/>
                <w:tab w:val="left" w:pos="463"/>
              </w:tabs>
              <w:jc w:val="both"/>
              <w:rPr>
                <w:lang w:val="es-ES_tradnl" w:eastAsia="nl-NL"/>
              </w:rPr>
            </w:pPr>
          </w:p>
        </w:tc>
        <w:tc>
          <w:tcPr>
            <w:tcW w:w="1406" w:type="dxa"/>
          </w:tcPr>
          <w:p w14:paraId="2B9D5C75" w14:textId="3C896EF1" w:rsidR="00446611" w:rsidRPr="008653C7" w:rsidRDefault="0000132B" w:rsidP="00446611">
            <w:pPr>
              <w:spacing w:before="40" w:after="40"/>
              <w:jc w:val="center"/>
              <w:rPr>
                <w:b/>
                <w:bCs/>
                <w:sz w:val="20"/>
                <w:lang w:val="fr-FR"/>
              </w:rPr>
            </w:pPr>
            <w:r w:rsidRPr="008653C7">
              <w:rPr>
                <w:b/>
                <w:bCs/>
                <w:sz w:val="20"/>
                <w:lang w:val="fr-FR"/>
              </w:rPr>
              <w:t xml:space="preserve">GT </w:t>
            </w:r>
            <w:r w:rsidR="00446611" w:rsidRPr="008653C7">
              <w:rPr>
                <w:b/>
                <w:bCs/>
                <w:sz w:val="20"/>
                <w:lang w:val="fr-FR"/>
              </w:rPr>
              <w:t>3M</w:t>
            </w:r>
          </w:p>
          <w:p w14:paraId="4EF0B3BE" w14:textId="7A36CC6E" w:rsidR="00446611" w:rsidRPr="008653C7" w:rsidRDefault="0000132B" w:rsidP="00446611">
            <w:pPr>
              <w:spacing w:before="40" w:after="40"/>
              <w:jc w:val="center"/>
              <w:rPr>
                <w:b/>
                <w:bCs/>
                <w:sz w:val="20"/>
                <w:lang w:val="fr-FR"/>
              </w:rPr>
            </w:pPr>
            <w:r w:rsidRPr="008653C7">
              <w:rPr>
                <w:b/>
                <w:bCs/>
                <w:sz w:val="20"/>
                <w:lang w:val="fr-FR"/>
              </w:rPr>
              <w:t xml:space="preserve">GT </w:t>
            </w:r>
            <w:proofErr w:type="spellStart"/>
            <w:r w:rsidR="00446611" w:rsidRPr="008653C7">
              <w:rPr>
                <w:b/>
                <w:bCs/>
                <w:sz w:val="20"/>
                <w:lang w:val="fr-FR"/>
              </w:rPr>
              <w:t>4A</w:t>
            </w:r>
            <w:proofErr w:type="spellEnd"/>
          </w:p>
          <w:p w14:paraId="032C658E" w14:textId="1657D2A1" w:rsidR="00446611" w:rsidRPr="008653C7" w:rsidRDefault="0000132B" w:rsidP="00446611">
            <w:pPr>
              <w:spacing w:before="40" w:after="40"/>
              <w:jc w:val="center"/>
              <w:rPr>
                <w:b/>
                <w:bCs/>
                <w:sz w:val="20"/>
                <w:lang w:val="fr-FR"/>
              </w:rPr>
            </w:pPr>
            <w:r w:rsidRPr="008653C7">
              <w:rPr>
                <w:b/>
                <w:bCs/>
                <w:sz w:val="20"/>
                <w:lang w:val="fr-FR"/>
              </w:rPr>
              <w:t xml:space="preserve">GT </w:t>
            </w:r>
            <w:proofErr w:type="spellStart"/>
            <w:r w:rsidR="00446611" w:rsidRPr="008653C7">
              <w:rPr>
                <w:b/>
                <w:bCs/>
                <w:sz w:val="20"/>
                <w:lang w:val="fr-FR"/>
              </w:rPr>
              <w:t>5A</w:t>
            </w:r>
            <w:proofErr w:type="spellEnd"/>
          </w:p>
          <w:p w14:paraId="5940B0C8" w14:textId="4267B6A8" w:rsidR="00446611" w:rsidRPr="008653C7" w:rsidRDefault="0000132B" w:rsidP="00446611">
            <w:pPr>
              <w:spacing w:before="40" w:after="40"/>
              <w:jc w:val="center"/>
              <w:rPr>
                <w:b/>
                <w:bCs/>
                <w:sz w:val="20"/>
                <w:lang w:val="fr-FR"/>
              </w:rPr>
            </w:pPr>
            <w:r w:rsidRPr="008653C7">
              <w:rPr>
                <w:b/>
                <w:bCs/>
                <w:sz w:val="20"/>
                <w:lang w:val="fr-FR"/>
              </w:rPr>
              <w:t xml:space="preserve">GT </w:t>
            </w:r>
            <w:proofErr w:type="spellStart"/>
            <w:r w:rsidR="00446611" w:rsidRPr="008653C7">
              <w:rPr>
                <w:b/>
                <w:bCs/>
                <w:sz w:val="20"/>
                <w:lang w:val="fr-FR"/>
              </w:rPr>
              <w:t>5B</w:t>
            </w:r>
            <w:proofErr w:type="spellEnd"/>
          </w:p>
          <w:p w14:paraId="21CACB57" w14:textId="767CCE4C" w:rsidR="00446611" w:rsidRPr="003E6986" w:rsidRDefault="0000132B" w:rsidP="00446611">
            <w:pPr>
              <w:spacing w:before="40" w:after="40"/>
              <w:jc w:val="center"/>
              <w:rPr>
                <w:b/>
                <w:bCs/>
                <w:sz w:val="20"/>
                <w:lang w:val="es-ES_tradnl"/>
              </w:rPr>
            </w:pPr>
            <w:r w:rsidRPr="003E6986">
              <w:rPr>
                <w:b/>
                <w:bCs/>
                <w:sz w:val="20"/>
                <w:lang w:val="es-ES_tradnl"/>
              </w:rPr>
              <w:t xml:space="preserve">GT </w:t>
            </w:r>
            <w:proofErr w:type="spellStart"/>
            <w:r w:rsidR="00446611" w:rsidRPr="003E6986">
              <w:rPr>
                <w:b/>
                <w:bCs/>
                <w:sz w:val="20"/>
                <w:lang w:val="es-ES_tradnl"/>
              </w:rPr>
              <w:t>5C</w:t>
            </w:r>
            <w:proofErr w:type="spellEnd"/>
          </w:p>
          <w:p w14:paraId="7BE79B8C" w14:textId="3A9D116D" w:rsidR="00446611" w:rsidRPr="003E6986" w:rsidRDefault="0000132B" w:rsidP="00446611">
            <w:pPr>
              <w:spacing w:before="40" w:after="40"/>
              <w:jc w:val="center"/>
              <w:rPr>
                <w:b/>
                <w:bCs/>
                <w:sz w:val="20"/>
                <w:highlight w:val="lightGray"/>
                <w:lang w:val="es-ES_tradnl"/>
              </w:rPr>
            </w:pPr>
            <w:r w:rsidRPr="003E6986">
              <w:rPr>
                <w:b/>
                <w:bCs/>
                <w:sz w:val="20"/>
                <w:lang w:val="es-ES_tradnl"/>
              </w:rPr>
              <w:t>GT</w:t>
            </w:r>
            <w:r w:rsidR="00446611" w:rsidRPr="003E6986">
              <w:rPr>
                <w:b/>
                <w:bCs/>
                <w:sz w:val="20"/>
                <w:lang w:val="es-ES_tradnl"/>
              </w:rPr>
              <w:t xml:space="preserve"> 5D</w:t>
            </w:r>
          </w:p>
          <w:p w14:paraId="28A20665" w14:textId="362FAE5A" w:rsidR="004A7B85" w:rsidRPr="003E6986" w:rsidRDefault="0000132B" w:rsidP="00446611">
            <w:pPr>
              <w:pStyle w:val="Tabletext"/>
              <w:tabs>
                <w:tab w:val="clear" w:pos="284"/>
                <w:tab w:val="left" w:pos="463"/>
              </w:tabs>
              <w:spacing w:line="480" w:lineRule="auto"/>
              <w:jc w:val="center"/>
              <w:rPr>
                <w:b/>
                <w:bCs/>
                <w:lang w:val="es-ES_tradnl" w:eastAsia="nl-NL"/>
              </w:rPr>
            </w:pPr>
            <w:r w:rsidRPr="003E6986">
              <w:rPr>
                <w:b/>
                <w:bCs/>
                <w:lang w:val="es-ES_tradnl"/>
              </w:rPr>
              <w:t xml:space="preserve">GT </w:t>
            </w:r>
            <w:r w:rsidR="00446611" w:rsidRPr="003E6986">
              <w:rPr>
                <w:b/>
                <w:bCs/>
                <w:lang w:val="es-ES_tradnl"/>
              </w:rPr>
              <w:t>7B</w:t>
            </w:r>
          </w:p>
        </w:tc>
      </w:tr>
      <w:tr w:rsidR="004A7B85" w:rsidRPr="008653C7" w14:paraId="0E4E4E0F" w14:textId="77777777" w:rsidTr="003F05FF">
        <w:trPr>
          <w:cantSplit/>
          <w:jc w:val="center"/>
        </w:trPr>
        <w:tc>
          <w:tcPr>
            <w:tcW w:w="14063" w:type="dxa"/>
            <w:gridSpan w:val="5"/>
          </w:tcPr>
          <w:p w14:paraId="19A9487B" w14:textId="05FACF29" w:rsidR="004A7B85" w:rsidRPr="003E6986" w:rsidRDefault="0040471B" w:rsidP="00BD2741">
            <w:pPr>
              <w:pStyle w:val="Tabletext"/>
              <w:keepNext/>
              <w:keepLines/>
              <w:tabs>
                <w:tab w:val="clear" w:pos="284"/>
                <w:tab w:val="left" w:pos="594"/>
              </w:tabs>
              <w:jc w:val="both"/>
              <w:rPr>
                <w:lang w:val="es-ES_tradnl" w:eastAsia="nl-NL"/>
              </w:rPr>
            </w:pPr>
            <w:r w:rsidRPr="003E6986">
              <w:rPr>
                <w:lang w:val="es-ES_tradnl" w:eastAsia="nl-NL"/>
              </w:rPr>
              <w:lastRenderedPageBreak/>
              <w:t>2</w:t>
            </w:r>
            <w:r w:rsidRPr="003E6986">
              <w:rPr>
                <w:lang w:val="es-ES_tradnl" w:eastAsia="nl-NL"/>
              </w:rPr>
              <w:tab/>
              <w:t xml:space="preserve">examinar las Recomendaciones del Sector de Radiocomunicaciones de la UIT incorporadas por referencia en el Reglamento de Radiocomunicaciones, comunicadas por la Asamblea de Radiocomunicaciones de acuerdo con la Resolución </w:t>
            </w:r>
            <w:r w:rsidRPr="003E6986">
              <w:rPr>
                <w:b/>
                <w:lang w:val="es-ES_tradnl" w:eastAsia="nl-NL"/>
              </w:rPr>
              <w:t>27 (Rev.CMR-19)</w:t>
            </w:r>
            <w:r w:rsidRPr="003E6986">
              <w:rPr>
                <w:lang w:val="es-ES_tradnl" w:eastAsia="nl-NL"/>
              </w:rPr>
              <w:t>, y decidir si se actualizan o no las referencias correspondientes en el Reglamento de Radiocomunicaciones, con arreglo a los principios contenidos en los resuelves de dicha Resolución;</w:t>
            </w:r>
          </w:p>
        </w:tc>
      </w:tr>
      <w:tr w:rsidR="004A7B85" w:rsidRPr="003E6986" w14:paraId="3168A9FA" w14:textId="77777777" w:rsidTr="003F05FF">
        <w:trPr>
          <w:jc w:val="center"/>
        </w:trPr>
        <w:tc>
          <w:tcPr>
            <w:tcW w:w="3304" w:type="dxa"/>
          </w:tcPr>
          <w:p w14:paraId="6D1551D7" w14:textId="2F77487E" w:rsidR="004A7B85" w:rsidRPr="003E6986" w:rsidRDefault="004A7B85" w:rsidP="000A398E">
            <w:pPr>
              <w:pStyle w:val="Tabletext"/>
              <w:tabs>
                <w:tab w:val="clear" w:pos="284"/>
                <w:tab w:val="left" w:pos="463"/>
              </w:tabs>
              <w:rPr>
                <w:b/>
                <w:lang w:val="es-ES_tradnl" w:eastAsia="nl-NL"/>
              </w:rPr>
            </w:pPr>
            <w:r w:rsidRPr="003E6986">
              <w:rPr>
                <w:lang w:val="es-ES_tradnl" w:eastAsia="nl-NL"/>
              </w:rPr>
              <w:t>Resolu</w:t>
            </w:r>
            <w:r w:rsidR="00AC0C80" w:rsidRPr="003E6986">
              <w:rPr>
                <w:lang w:val="es-ES_tradnl" w:eastAsia="nl-NL"/>
              </w:rPr>
              <w:t>ció</w:t>
            </w:r>
            <w:r w:rsidRPr="003E6986">
              <w:rPr>
                <w:lang w:val="es-ES_tradnl" w:eastAsia="nl-NL"/>
              </w:rPr>
              <w:t>n</w:t>
            </w:r>
            <w:r w:rsidRPr="003E6986">
              <w:rPr>
                <w:b/>
                <w:lang w:val="es-ES_tradnl" w:eastAsia="nl-NL"/>
              </w:rPr>
              <w:t> 27 (</w:t>
            </w:r>
            <w:proofErr w:type="spellStart"/>
            <w:r w:rsidRPr="003E6986">
              <w:rPr>
                <w:b/>
                <w:lang w:val="es-ES_tradnl" w:eastAsia="nl-NL"/>
              </w:rPr>
              <w:t>Rev</w:t>
            </w:r>
            <w:r w:rsidR="000A398E" w:rsidRPr="003E6986">
              <w:rPr>
                <w:b/>
                <w:lang w:val="es-ES_tradnl" w:eastAsia="nl-NL"/>
              </w:rPr>
              <w:t>.</w:t>
            </w:r>
            <w:r w:rsidR="00AC0C80" w:rsidRPr="003E6986">
              <w:rPr>
                <w:b/>
                <w:bCs/>
                <w:lang w:val="es-ES_tradnl" w:eastAsia="nl-NL"/>
              </w:rPr>
              <w:t>CMR</w:t>
            </w:r>
            <w:proofErr w:type="spellEnd"/>
            <w:r w:rsidRPr="003E6986">
              <w:rPr>
                <w:b/>
                <w:lang w:val="es-ES_tradnl" w:eastAsia="nl-NL"/>
              </w:rPr>
              <w:noBreakHyphen/>
              <w:t>19)</w:t>
            </w:r>
          </w:p>
          <w:p w14:paraId="65F18E61" w14:textId="654FAFDC" w:rsidR="004A7B85" w:rsidRPr="003E6986" w:rsidRDefault="00AC0C80" w:rsidP="00C642A5">
            <w:pPr>
              <w:pStyle w:val="Tabletext"/>
              <w:tabs>
                <w:tab w:val="clear" w:pos="284"/>
                <w:tab w:val="left" w:pos="594"/>
              </w:tabs>
              <w:rPr>
                <w:lang w:val="es-ES_tradnl" w:eastAsia="nl-NL"/>
              </w:rPr>
            </w:pPr>
            <w:bookmarkStart w:id="16" w:name="_Toc320536458"/>
            <w:bookmarkStart w:id="17" w:name="_Toc328141234"/>
            <w:bookmarkStart w:id="18" w:name="_Toc319401740"/>
            <w:bookmarkStart w:id="19" w:name="_Toc327364292"/>
            <w:bookmarkStart w:id="20" w:name="_Toc450048579"/>
            <w:r w:rsidRPr="003E6986">
              <w:rPr>
                <w:lang w:val="es-ES_tradnl" w:eastAsia="nl-NL"/>
              </w:rPr>
              <w:t>Empleo de la incorporación por referencia</w:t>
            </w:r>
            <w:r w:rsidR="000A398E" w:rsidRPr="003E6986">
              <w:rPr>
                <w:lang w:val="es-ES_tradnl" w:eastAsia="nl-NL"/>
              </w:rPr>
              <w:t xml:space="preserve"> </w:t>
            </w:r>
            <w:r w:rsidRPr="003E6986">
              <w:rPr>
                <w:lang w:val="es-ES_tradnl" w:eastAsia="nl-NL"/>
              </w:rPr>
              <w:t>en el Reglamento de Radiocomunicaciones</w:t>
            </w:r>
            <w:bookmarkEnd w:id="16"/>
            <w:bookmarkEnd w:id="17"/>
            <w:bookmarkEnd w:id="18"/>
            <w:bookmarkEnd w:id="19"/>
            <w:bookmarkEnd w:id="20"/>
          </w:p>
        </w:tc>
        <w:tc>
          <w:tcPr>
            <w:tcW w:w="1517" w:type="dxa"/>
          </w:tcPr>
          <w:p w14:paraId="7EF00104" w14:textId="4185E17C" w:rsidR="004A7B85" w:rsidRPr="003E6986" w:rsidRDefault="00E2199B" w:rsidP="006B10FF">
            <w:pPr>
              <w:pStyle w:val="Tabletext"/>
              <w:tabs>
                <w:tab w:val="clear" w:pos="284"/>
                <w:tab w:val="left" w:pos="463"/>
              </w:tabs>
              <w:jc w:val="center"/>
              <w:rPr>
                <w:b/>
                <w:bCs/>
                <w:lang w:val="es-ES_tradnl" w:eastAsia="nl-NL"/>
              </w:rPr>
            </w:pPr>
            <w:r w:rsidRPr="003E6986">
              <w:rPr>
                <w:b/>
                <w:bCs/>
                <w:lang w:val="es-ES_tradnl" w:eastAsia="nl-NL"/>
              </w:rPr>
              <w:t>RPC</w:t>
            </w:r>
            <w:r w:rsidR="0040471B" w:rsidRPr="003E6986">
              <w:rPr>
                <w:b/>
                <w:bCs/>
                <w:lang w:val="es-ES_tradnl" w:eastAsia="nl-NL"/>
              </w:rPr>
              <w:t>27</w:t>
            </w:r>
            <w:r w:rsidRPr="003E6986">
              <w:rPr>
                <w:b/>
                <w:bCs/>
                <w:lang w:val="es-ES_tradnl" w:eastAsia="nl-NL"/>
              </w:rPr>
              <w:noBreakHyphen/>
              <w:t>2</w:t>
            </w:r>
          </w:p>
        </w:tc>
        <w:tc>
          <w:tcPr>
            <w:tcW w:w="7809" w:type="dxa"/>
          </w:tcPr>
          <w:p w14:paraId="0E36B9FE" w14:textId="2ED95ED5" w:rsidR="004A7B85" w:rsidRPr="003E6986" w:rsidRDefault="00B65796" w:rsidP="00BD2741">
            <w:pPr>
              <w:pStyle w:val="Tabletext"/>
              <w:keepNext/>
              <w:keepLines/>
              <w:tabs>
                <w:tab w:val="clear" w:pos="284"/>
                <w:tab w:val="left" w:pos="463"/>
              </w:tabs>
              <w:ind w:left="454"/>
              <w:jc w:val="both"/>
              <w:rPr>
                <w:rFonts w:eastAsia="???"/>
                <w:i/>
                <w:iCs/>
                <w:lang w:val="es-ES_tradnl" w:eastAsia="nl-NL"/>
              </w:rPr>
            </w:pPr>
            <w:r w:rsidRPr="003E6986">
              <w:rPr>
                <w:rFonts w:eastAsia="???"/>
                <w:i/>
                <w:iCs/>
                <w:lang w:val="es-ES_tradnl" w:eastAsia="nl-NL"/>
              </w:rPr>
              <w:t>resuelve</w:t>
            </w:r>
          </w:p>
          <w:p w14:paraId="022FC7BD" w14:textId="77777777" w:rsidR="00B65796" w:rsidRPr="003E6986" w:rsidRDefault="00B65796" w:rsidP="00460ED5">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r>
            <w:proofErr w:type="gramStart"/>
            <w:r w:rsidRPr="003E6986">
              <w:rPr>
                <w:lang w:val="es-ES_tradnl" w:eastAsia="nl-NL"/>
              </w:rPr>
              <w:t>que</w:t>
            </w:r>
            <w:proofErr w:type="gramEnd"/>
            <w:r w:rsidRPr="003E6986">
              <w:rPr>
                <w:lang w:val="es-ES_tradnl" w:eastAsia="nl-NL"/>
              </w:rPr>
              <w:t xml:space="preserve"> a efectos del Reglamento de Radiocomunicaciones, el término «incorporación por referencia» se aplicará sólo a las referencias destinadas a ser obligatorias;</w:t>
            </w:r>
          </w:p>
          <w:p w14:paraId="7E0E5960" w14:textId="77777777" w:rsidR="00B65796" w:rsidRPr="003E6986" w:rsidRDefault="00B65796" w:rsidP="00460ED5">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que el texto incorporado por referencia tendrá la misma categoría de tratado que el propio Reglamento de Radiocomunicaciones;</w:t>
            </w:r>
          </w:p>
          <w:p w14:paraId="0787AF2B" w14:textId="77777777" w:rsidR="00B65796" w:rsidRPr="003E6986" w:rsidRDefault="00B65796" w:rsidP="00BD2741">
            <w:pPr>
              <w:pStyle w:val="Tabletext"/>
              <w:keepNext/>
              <w:keepLines/>
              <w:tabs>
                <w:tab w:val="clear" w:pos="284"/>
                <w:tab w:val="left" w:pos="463"/>
              </w:tabs>
              <w:jc w:val="both"/>
              <w:rPr>
                <w:lang w:val="es-ES_tradnl" w:eastAsia="nl-NL"/>
              </w:rPr>
            </w:pPr>
            <w:r w:rsidRPr="003E6986">
              <w:rPr>
                <w:lang w:val="es-ES_tradnl" w:eastAsia="nl-NL"/>
              </w:rPr>
              <w:t>3</w:t>
            </w:r>
            <w:r w:rsidRPr="003E6986">
              <w:rPr>
                <w:lang w:val="es-ES_tradnl" w:eastAsia="nl-NL"/>
              </w:rPr>
              <w:tab/>
              <w:t>que la referencia deberá ser explícita, especificando la parte concreta del texto (si procede) y su número de versión o publicación;</w:t>
            </w:r>
          </w:p>
          <w:p w14:paraId="7B57AF67"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4</w:t>
            </w:r>
            <w:r w:rsidRPr="003E6986">
              <w:rPr>
                <w:lang w:val="es-ES_tradnl" w:eastAsia="nl-NL"/>
              </w:rPr>
              <w:tab/>
              <w:t xml:space="preserve">que, cuando se incluya una referencia obligatoria a una Recomendación UIT-R, o a partes de </w:t>
            </w:r>
            <w:proofErr w:type="gramStart"/>
            <w:r w:rsidRPr="003E6986">
              <w:rPr>
                <w:lang w:val="es-ES_tradnl" w:eastAsia="nl-NL"/>
              </w:rPr>
              <w:t>la misma</w:t>
            </w:r>
            <w:proofErr w:type="gramEnd"/>
            <w:r w:rsidRPr="003E6986">
              <w:rPr>
                <w:lang w:val="es-ES_tradnl" w:eastAsia="nl-NL"/>
              </w:rPr>
              <w:t xml:space="preserve">, en el </w:t>
            </w:r>
            <w:r w:rsidRPr="003E6986">
              <w:rPr>
                <w:i/>
                <w:iCs/>
                <w:lang w:val="es-ES_tradnl" w:eastAsia="nl-NL"/>
              </w:rPr>
              <w:t xml:space="preserve">resuelve </w:t>
            </w:r>
            <w:r w:rsidRPr="003E6986">
              <w:rPr>
                <w:lang w:val="es-ES_tradnl" w:eastAsia="nl-NL"/>
              </w:rPr>
              <w:t>de una Resolución de la CMR, que a su vez se cita con una formulación de obligatoriedad (por ejemplo, el verbo en futuro) en una disposición o nota del Reglamento de Radiocomunicaciones, dicha Recomendación UIT-R, o partes de la misma, se considerarán también incorporadas por referencia;</w:t>
            </w:r>
          </w:p>
          <w:p w14:paraId="6DF0F7C1"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5</w:t>
            </w:r>
            <w:r w:rsidRPr="003E6986">
              <w:rPr>
                <w:lang w:val="es-ES_tradnl" w:eastAsia="nl-NL"/>
              </w:rPr>
              <w:tab/>
              <w:t>que no se considerarán para su incorporación por referencia aquellos textos de naturaleza no obligatoria o que hagan referencia a otros textos de naturaleza no obligatoria;</w:t>
            </w:r>
          </w:p>
          <w:p w14:paraId="505D9256"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6</w:t>
            </w:r>
            <w:r w:rsidRPr="003E6986">
              <w:rPr>
                <w:lang w:val="es-ES_tradnl" w:eastAsia="nl-NL"/>
              </w:rPr>
              <w:tab/>
              <w:t>que cuando se considere la introducción de nuevos casos de incorporación por referencia, dicha incorporación se restringirá al mínimo y se efectuará aplicando los siguientes criterios:</w:t>
            </w:r>
          </w:p>
          <w:p w14:paraId="30C3C463"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6.1</w:t>
            </w:r>
            <w:r w:rsidRPr="003E6986">
              <w:rPr>
                <w:lang w:val="es-ES_tradnl" w:eastAsia="nl-NL"/>
              </w:rPr>
              <w:tab/>
              <w:t>sólo podrán considerarse los textos que sean pertinentes respecto de un punto específico del orden del día de la CMR;</w:t>
            </w:r>
          </w:p>
          <w:p w14:paraId="6151C6F4"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6.2</w:t>
            </w:r>
            <w:r w:rsidRPr="003E6986">
              <w:rPr>
                <w:lang w:val="es-ES_tradnl" w:eastAsia="nl-NL"/>
              </w:rPr>
              <w:tab/>
              <w:t>cuando los textos pertinentes sean breves, el material al que remite la referencia se incluirá en el texto del Reglamento de Radiocomunicaciones, en lugar de incorporarlo por referencia;</w:t>
            </w:r>
          </w:p>
          <w:p w14:paraId="194A794D"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6.3</w:t>
            </w:r>
            <w:r w:rsidRPr="003E6986">
              <w:rPr>
                <w:lang w:val="es-ES_tradnl" w:eastAsia="nl-NL"/>
              </w:rPr>
              <w:tab/>
              <w:t>las directrices recogidas en el Anexo 1 a la presente Resolución se aplicarán a fin de velar por que se emplee el método de referencia correcto para el fin previsto;</w:t>
            </w:r>
          </w:p>
          <w:p w14:paraId="591C3FB6"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7</w:t>
            </w:r>
            <w:r w:rsidRPr="003E6986">
              <w:rPr>
                <w:lang w:val="es-ES_tradnl" w:eastAsia="nl-NL"/>
              </w:rPr>
              <w:tab/>
              <w:t xml:space="preserve">que el texto que se ha de incorporar por referencia deberá someterse a la aprobación de una CMR competente y se aplicará el procedimiento descrito en el Anexo 2 a la presente Resolución para aprobar la incorporación por referencia de Recomendaciones UIT-R o partes de </w:t>
            </w:r>
            <w:proofErr w:type="gramStart"/>
            <w:r w:rsidRPr="003E6986">
              <w:rPr>
                <w:lang w:val="es-ES_tradnl" w:eastAsia="nl-NL"/>
              </w:rPr>
              <w:t>las mismas</w:t>
            </w:r>
            <w:proofErr w:type="gramEnd"/>
            <w:r w:rsidRPr="003E6986">
              <w:rPr>
                <w:lang w:val="es-ES_tradnl" w:eastAsia="nl-NL"/>
              </w:rPr>
              <w:t>;</w:t>
            </w:r>
          </w:p>
          <w:p w14:paraId="2BC5008F"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lastRenderedPageBreak/>
              <w:t>8</w:t>
            </w:r>
            <w:r w:rsidRPr="003E6986">
              <w:rPr>
                <w:lang w:val="es-ES_tradnl" w:eastAsia="nl-NL"/>
              </w:rPr>
              <w:tab/>
              <w:t>que las referencias existentes a Recomendaciones UIT-R se revisarán para aclarar si la referencia es o no obligatoria, de conformidad con el Anexo 1 a la presente Resolución;</w:t>
            </w:r>
          </w:p>
          <w:p w14:paraId="3FB346D1" w14:textId="38A105A6"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9</w:t>
            </w:r>
            <w:r w:rsidRPr="003E6986">
              <w:rPr>
                <w:lang w:val="es-ES_tradnl" w:eastAsia="nl-NL"/>
              </w:rPr>
              <w:tab/>
              <w:t xml:space="preserve">que las Recomendaciones UIT-R, o partes de </w:t>
            </w:r>
            <w:proofErr w:type="gramStart"/>
            <w:r w:rsidRPr="003E6986">
              <w:rPr>
                <w:lang w:val="es-ES_tradnl" w:eastAsia="nl-NL"/>
              </w:rPr>
              <w:t>las mismas</w:t>
            </w:r>
            <w:proofErr w:type="gramEnd"/>
            <w:r w:rsidRPr="003E6986">
              <w:rPr>
                <w:lang w:val="es-ES_tradnl" w:eastAsia="nl-NL"/>
              </w:rPr>
              <w:t>, incorporadas por referencia al final de cada CMR, y una lista de referencias recíprocas de las disposiciones reglamentarias, incluidas las notas y Resoluciones, que incorporan por referencia tales Recomendaciones UIT</w:t>
            </w:r>
            <w:r w:rsidR="0014314B" w:rsidRPr="003E6986">
              <w:rPr>
                <w:lang w:val="es-ES_tradnl" w:eastAsia="nl-NL"/>
              </w:rPr>
              <w:noBreakHyphen/>
            </w:r>
            <w:r w:rsidRPr="003E6986">
              <w:rPr>
                <w:lang w:val="es-ES_tradnl" w:eastAsia="nl-NL"/>
              </w:rPr>
              <w:t>R, se agruparán y publicarán en un volumen del Reglamento de Radiocomunicaciones (véase el Anexo 2 a la presente Resolución);</w:t>
            </w:r>
          </w:p>
          <w:p w14:paraId="5BB083BC" w14:textId="77777777" w:rsidR="00B65796" w:rsidRPr="003E6986" w:rsidRDefault="00B65796" w:rsidP="00BD2741">
            <w:pPr>
              <w:pStyle w:val="Tabletext"/>
              <w:tabs>
                <w:tab w:val="clear" w:pos="284"/>
                <w:tab w:val="left" w:pos="463"/>
              </w:tabs>
              <w:jc w:val="both"/>
              <w:rPr>
                <w:i/>
                <w:iCs/>
                <w:lang w:val="es-ES_tradnl" w:eastAsia="nl-NL"/>
              </w:rPr>
            </w:pPr>
            <w:r w:rsidRPr="003E6986">
              <w:rPr>
                <w:lang w:val="es-ES_tradnl" w:eastAsia="nl-NL"/>
              </w:rPr>
              <w:t>10</w:t>
            </w:r>
            <w:r w:rsidRPr="003E6986">
              <w:rPr>
                <w:lang w:val="es-ES_tradnl" w:eastAsia="nl-NL"/>
              </w:rPr>
              <w:tab/>
              <w:t xml:space="preserve">que, si entre dos CMR se actualiza un texto incorporado por referencia (por ejemplo, una Recomendación UIT-R), la referencia que aparece en el Reglamento de Radiocomunicaciones continuará aplicándose a la versión anterior incorporada por referencia hasta que una CMR competente acuerde incorporar la nueva versión; el mecanismo para considerar una medida de esta naturaleza figura en el </w:t>
            </w:r>
            <w:r w:rsidRPr="003E6986">
              <w:rPr>
                <w:i/>
                <w:iCs/>
                <w:lang w:val="es-ES_tradnl" w:eastAsia="nl-NL"/>
              </w:rPr>
              <w:t>resuelve además</w:t>
            </w:r>
            <w:r w:rsidRPr="003E6986">
              <w:rPr>
                <w:lang w:val="es-ES_tradnl" w:eastAsia="nl-NL"/>
              </w:rPr>
              <w:t xml:space="preserve"> de la presente Resolución,</w:t>
            </w:r>
          </w:p>
          <w:p w14:paraId="1DBAABE6" w14:textId="77777777" w:rsidR="00B65796" w:rsidRPr="003E6986" w:rsidRDefault="00B65796" w:rsidP="00BD2741">
            <w:pPr>
              <w:pStyle w:val="Tabletext"/>
              <w:tabs>
                <w:tab w:val="clear" w:pos="284"/>
                <w:tab w:val="left" w:pos="463"/>
              </w:tabs>
              <w:ind w:left="454"/>
              <w:jc w:val="both"/>
              <w:rPr>
                <w:rFonts w:eastAsia="???"/>
                <w:i/>
                <w:iCs/>
                <w:lang w:val="es-ES_tradnl" w:eastAsia="nl-NL"/>
              </w:rPr>
            </w:pPr>
            <w:proofErr w:type="gramStart"/>
            <w:r w:rsidRPr="003E6986">
              <w:rPr>
                <w:rFonts w:eastAsia="???"/>
                <w:i/>
                <w:iCs/>
                <w:lang w:val="es-ES_tradnl" w:eastAsia="nl-NL"/>
              </w:rPr>
              <w:t>resuelve</w:t>
            </w:r>
            <w:proofErr w:type="gramEnd"/>
            <w:r w:rsidRPr="003E6986">
              <w:rPr>
                <w:rFonts w:eastAsia="???"/>
                <w:i/>
                <w:iCs/>
                <w:lang w:val="es-ES_tradnl" w:eastAsia="nl-NL"/>
              </w:rPr>
              <w:t xml:space="preserve"> además</w:t>
            </w:r>
          </w:p>
          <w:p w14:paraId="1D615FE9"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que cada Asamblea de Radiocomunicaciones comunique a la próxima CMR la lista de Recomendaciones UIT</w:t>
            </w:r>
            <w:r w:rsidRPr="003E6986">
              <w:rPr>
                <w:lang w:val="es-ES_tradnl" w:eastAsia="nl-NL"/>
              </w:rPr>
              <w:noBreakHyphen/>
              <w:t>R que contengan texto incorporado por referencia al Reglamento de Radiocomunicaciones que hayan sido revisadas y aprobadas durante el periodo de estudios transcurrido;</w:t>
            </w:r>
          </w:p>
          <w:p w14:paraId="3BA940D1"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que, sobre esta base, se invite a la CMR a examinar estas Recomendaciones UIT</w:t>
            </w:r>
            <w:r w:rsidRPr="003E6986">
              <w:rPr>
                <w:lang w:val="es-ES_tradnl" w:eastAsia="nl-NL"/>
              </w:rPr>
              <w:noBreakHyphen/>
              <w:t>R revisadas y decida si desea actualizar o no las correspondientes referencias en el Reglamento de Radiocomunicaciones;</w:t>
            </w:r>
          </w:p>
          <w:p w14:paraId="67285D3A"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3</w:t>
            </w:r>
            <w:r w:rsidRPr="003E6986">
              <w:rPr>
                <w:lang w:val="es-ES_tradnl" w:eastAsia="nl-NL"/>
              </w:rPr>
              <w:tab/>
              <w:t>que, si la CMR decide no actualizar las referencias correspondientes, la versión referenciada vigente se mantenga en el Reglamento de Radiocomunicaciones;</w:t>
            </w:r>
          </w:p>
          <w:p w14:paraId="128D68F8"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4</w:t>
            </w:r>
            <w:r w:rsidRPr="003E6986">
              <w:rPr>
                <w:lang w:val="es-ES_tradnl" w:eastAsia="nl-NL"/>
              </w:rPr>
              <w:tab/>
              <w:t>invitar a las CMR futuras a incluir un punto permanente relativo al examen de Recomendaciones UIT</w:t>
            </w:r>
            <w:r w:rsidRPr="003E6986">
              <w:rPr>
                <w:lang w:val="es-ES_tradnl" w:eastAsia="nl-NL"/>
              </w:rPr>
              <w:noBreakHyphen/>
              <w:t xml:space="preserve">R revisadas conforme a los </w:t>
            </w:r>
            <w:r w:rsidRPr="003E6986">
              <w:rPr>
                <w:i/>
                <w:lang w:val="es-ES_tradnl" w:eastAsia="nl-NL"/>
              </w:rPr>
              <w:t>resuelve además</w:t>
            </w:r>
            <w:r w:rsidRPr="003E6986">
              <w:rPr>
                <w:lang w:val="es-ES_tradnl" w:eastAsia="nl-NL"/>
              </w:rPr>
              <w:t> 1 y 2 de la presente Resolución,</w:t>
            </w:r>
          </w:p>
          <w:p w14:paraId="56009EFA" w14:textId="77777777" w:rsidR="00B65796" w:rsidRPr="003E6986" w:rsidRDefault="00B65796" w:rsidP="00BD2741">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encarga al Director de la Oficina de Radiocomunicaciones</w:t>
            </w:r>
          </w:p>
          <w:p w14:paraId="70DFAF17"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que señale esta Resolución a la atención de la Asamblea de Radiocomunicaciones y de las Comisiones de Estudio del UIT-R;</w:t>
            </w:r>
          </w:p>
          <w:p w14:paraId="504CF021"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que identifique las disposiciones y notas del Reglamento de Radiocomunicaciones que contengan referencias a Recomendaciones UIT-R, y someta sugerencias sobre su posible tratamiento a la segunda sesión de la Reunión Preparatoria de la Conferencia (RPC) para su examen e inclusión en el Informe de la RPC;</w:t>
            </w:r>
          </w:p>
          <w:p w14:paraId="32A4F5AF"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lastRenderedPageBreak/>
              <w:t>3</w:t>
            </w:r>
            <w:r w:rsidRPr="003E6986">
              <w:rPr>
                <w:lang w:val="es-ES_tradnl" w:eastAsia="nl-NL"/>
              </w:rPr>
              <w:tab/>
              <w:t>que identifique las disposiciones y notas del Reglamento de Radiocomunicaciones que hacen referencia a Resoluciones de la CMR que a su vez contienen referencias a Recomendaciones UIT-R, y someta sugerencias sobre su posible tratamiento a la segunda sesión de la RPC para su examen e inclusión en el Informe de la RPC;</w:t>
            </w:r>
          </w:p>
          <w:p w14:paraId="7D72104A"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4</w:t>
            </w:r>
            <w:r w:rsidRPr="003E6986">
              <w:rPr>
                <w:lang w:val="es-ES_tradnl" w:eastAsia="nl-NL"/>
              </w:rPr>
              <w:tab/>
              <w:t>que proporcione a la segunda reunión de la RPC una lista, para su inclusión en el Informe de la RPC, de las Recomendaciones UIT</w:t>
            </w:r>
            <w:r w:rsidRPr="003E6986">
              <w:rPr>
                <w:lang w:val="es-ES_tradnl" w:eastAsia="nl-NL"/>
              </w:rPr>
              <w:noBreakHyphen/>
              <w:t>R que contengan textos incorporados por referencia que hayan sido revisados o aprobados desde la CMR anterior, o que puedan ser revisados a tiempo para la próxima CMR,</w:t>
            </w:r>
          </w:p>
          <w:p w14:paraId="1BE7DF4C" w14:textId="77777777" w:rsidR="00B65796" w:rsidRPr="003E6986" w:rsidRDefault="00B65796" w:rsidP="00BD2741">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las administraciones</w:t>
            </w:r>
          </w:p>
          <w:p w14:paraId="296E1631"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a presentar, teniendo en cuenta el Informe de la RPC, propuestas a futuras conferencias para aclarar el carácter de las referencias cuando persistan ambigüedades en relación con el carácter obligatorio o no de las mismas, con el fin de modificar aquellas referencias:</w:t>
            </w:r>
          </w:p>
          <w:p w14:paraId="7F561663" w14:textId="77777777" w:rsidR="00B65796" w:rsidRPr="003E6986" w:rsidRDefault="00B65796" w:rsidP="00BD2741">
            <w:pPr>
              <w:pStyle w:val="Tabletext"/>
              <w:tabs>
                <w:tab w:val="clear" w:pos="284"/>
                <w:tab w:val="left" w:pos="463"/>
              </w:tabs>
              <w:ind w:left="463" w:hanging="463"/>
              <w:jc w:val="both"/>
              <w:rPr>
                <w:lang w:val="es-ES_tradnl" w:eastAsia="nl-NL"/>
              </w:rPr>
            </w:pPr>
            <w:r w:rsidRPr="003E6986">
              <w:rPr>
                <w:lang w:val="es-ES_tradnl" w:eastAsia="nl-NL"/>
              </w:rPr>
              <w:t>i)</w:t>
            </w:r>
            <w:r w:rsidRPr="003E6986">
              <w:rPr>
                <w:lang w:val="es-ES_tradnl" w:eastAsia="nl-NL"/>
              </w:rPr>
              <w:tab/>
              <w:t>que parezcan ser de carácter obligatorio, identificando tales referencias como incorporadas por referencia empleando una fórmula clara de remisión de conformidad con el Anexo 1;</w:t>
            </w:r>
          </w:p>
          <w:p w14:paraId="24A5C3D6" w14:textId="77777777" w:rsidR="00B65796" w:rsidRPr="003E6986" w:rsidRDefault="00B65796" w:rsidP="00BD2741">
            <w:pPr>
              <w:pStyle w:val="Tabletext"/>
              <w:tabs>
                <w:tab w:val="clear" w:pos="284"/>
                <w:tab w:val="left" w:pos="463"/>
              </w:tabs>
              <w:ind w:left="463" w:hanging="463"/>
              <w:jc w:val="both"/>
              <w:rPr>
                <w:lang w:val="es-ES_tradnl" w:eastAsia="nl-NL"/>
              </w:rPr>
            </w:pPr>
            <w:r w:rsidRPr="003E6986">
              <w:rPr>
                <w:lang w:val="es-ES_tradnl" w:eastAsia="nl-NL"/>
              </w:rPr>
              <w:t>ii)</w:t>
            </w:r>
            <w:r w:rsidRPr="003E6986">
              <w:rPr>
                <w:lang w:val="es-ES_tradnl" w:eastAsia="nl-NL"/>
              </w:rPr>
              <w:tab/>
              <w:t>que no tengan carácter obligatorio, remitiendo a «la versión más reciente» de las Recomendaciones;</w:t>
            </w:r>
          </w:p>
          <w:p w14:paraId="0656A391" w14:textId="77777777" w:rsidR="00B65796" w:rsidRPr="003E6986" w:rsidRDefault="00B65796" w:rsidP="00BD2741">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a participar activamente en el trabajo de las Comisiones de Estudio de Radiocomunicaciones y de la Asamblea de Radiocomunicaciones relacionado con la revisión de las Recomendaciones consideradas como referencias obligatorias en las disposiciones del Reglamento de Radiocomunicaciones;</w:t>
            </w:r>
          </w:p>
          <w:p w14:paraId="7C10FB26" w14:textId="77777777" w:rsidR="004A7B85" w:rsidRDefault="00B65796" w:rsidP="00BD2741">
            <w:pPr>
              <w:pStyle w:val="Tabletext"/>
              <w:tabs>
                <w:tab w:val="clear" w:pos="284"/>
                <w:tab w:val="left" w:pos="463"/>
              </w:tabs>
              <w:jc w:val="both"/>
              <w:rPr>
                <w:lang w:val="es-ES_tradnl" w:eastAsia="nl-NL"/>
              </w:rPr>
            </w:pPr>
            <w:r w:rsidRPr="003E6986">
              <w:rPr>
                <w:lang w:val="es-ES_tradnl" w:eastAsia="nl-NL"/>
              </w:rPr>
              <w:t>3</w:t>
            </w:r>
            <w:r w:rsidRPr="003E6986">
              <w:rPr>
                <w:lang w:val="es-ES_tradnl" w:eastAsia="nl-NL"/>
              </w:rPr>
              <w:tab/>
              <w:t>a examinar las revisiones indicadas de las Recomendaciones UIT</w:t>
            </w:r>
            <w:r w:rsidRPr="003E6986">
              <w:rPr>
                <w:lang w:val="es-ES_tradnl" w:eastAsia="nl-NL"/>
              </w:rPr>
              <w:noBreakHyphen/>
              <w:t>R que contengan texto incorporado por referencia y a preparar propuestas sobre la posible actualización de las referencias pertinentes en el Reglamento de Radiocomunicaciones.</w:t>
            </w:r>
          </w:p>
          <w:p w14:paraId="6F638CEA" w14:textId="77777777" w:rsidR="00C642A5" w:rsidRDefault="00C642A5" w:rsidP="00BD2741">
            <w:pPr>
              <w:pStyle w:val="Tabletext"/>
              <w:tabs>
                <w:tab w:val="clear" w:pos="284"/>
                <w:tab w:val="left" w:pos="463"/>
              </w:tabs>
              <w:jc w:val="both"/>
              <w:rPr>
                <w:lang w:val="es-ES_tradnl" w:eastAsia="nl-NL"/>
              </w:rPr>
            </w:pPr>
          </w:p>
          <w:p w14:paraId="01A50FB0" w14:textId="77777777" w:rsidR="00C642A5" w:rsidRDefault="00C642A5" w:rsidP="00BD2741">
            <w:pPr>
              <w:pStyle w:val="Tabletext"/>
              <w:tabs>
                <w:tab w:val="clear" w:pos="284"/>
                <w:tab w:val="left" w:pos="463"/>
              </w:tabs>
              <w:jc w:val="both"/>
              <w:rPr>
                <w:lang w:val="es-ES_tradnl" w:eastAsia="nl-NL"/>
              </w:rPr>
            </w:pPr>
          </w:p>
          <w:p w14:paraId="1B09167D" w14:textId="77777777" w:rsidR="00C642A5" w:rsidRDefault="00C642A5" w:rsidP="00BD2741">
            <w:pPr>
              <w:pStyle w:val="Tabletext"/>
              <w:tabs>
                <w:tab w:val="clear" w:pos="284"/>
                <w:tab w:val="left" w:pos="463"/>
              </w:tabs>
              <w:jc w:val="both"/>
              <w:rPr>
                <w:lang w:val="es-ES_tradnl" w:eastAsia="nl-NL"/>
              </w:rPr>
            </w:pPr>
          </w:p>
          <w:p w14:paraId="7A2FB7FB" w14:textId="77777777" w:rsidR="00C642A5" w:rsidRDefault="00C642A5" w:rsidP="00BD2741">
            <w:pPr>
              <w:pStyle w:val="Tabletext"/>
              <w:tabs>
                <w:tab w:val="clear" w:pos="284"/>
                <w:tab w:val="left" w:pos="463"/>
              </w:tabs>
              <w:jc w:val="both"/>
              <w:rPr>
                <w:lang w:val="es-ES_tradnl" w:eastAsia="nl-NL"/>
              </w:rPr>
            </w:pPr>
          </w:p>
          <w:p w14:paraId="32B1BBE3" w14:textId="77777777" w:rsidR="00C642A5" w:rsidRDefault="00C642A5" w:rsidP="00BD2741">
            <w:pPr>
              <w:pStyle w:val="Tabletext"/>
              <w:tabs>
                <w:tab w:val="clear" w:pos="284"/>
                <w:tab w:val="left" w:pos="463"/>
              </w:tabs>
              <w:jc w:val="both"/>
              <w:rPr>
                <w:lang w:val="es-ES_tradnl" w:eastAsia="nl-NL"/>
              </w:rPr>
            </w:pPr>
          </w:p>
          <w:p w14:paraId="78F32369" w14:textId="77777777" w:rsidR="00C642A5" w:rsidRDefault="00C642A5" w:rsidP="00BD2741">
            <w:pPr>
              <w:pStyle w:val="Tabletext"/>
              <w:tabs>
                <w:tab w:val="clear" w:pos="284"/>
                <w:tab w:val="left" w:pos="463"/>
              </w:tabs>
              <w:jc w:val="both"/>
              <w:rPr>
                <w:lang w:val="es-ES_tradnl" w:eastAsia="nl-NL"/>
              </w:rPr>
            </w:pPr>
          </w:p>
          <w:p w14:paraId="4D04D0F1" w14:textId="77777777" w:rsidR="00C642A5" w:rsidRDefault="00C642A5" w:rsidP="00BD2741">
            <w:pPr>
              <w:pStyle w:val="Tabletext"/>
              <w:tabs>
                <w:tab w:val="clear" w:pos="284"/>
                <w:tab w:val="left" w:pos="463"/>
              </w:tabs>
              <w:jc w:val="both"/>
              <w:rPr>
                <w:lang w:val="es-ES_tradnl" w:eastAsia="nl-NL"/>
              </w:rPr>
            </w:pPr>
          </w:p>
          <w:p w14:paraId="4E5D0929" w14:textId="789D5A2A" w:rsidR="00C642A5" w:rsidRPr="003E6986" w:rsidRDefault="00C642A5" w:rsidP="00BD2741">
            <w:pPr>
              <w:pStyle w:val="Tabletext"/>
              <w:tabs>
                <w:tab w:val="clear" w:pos="284"/>
                <w:tab w:val="left" w:pos="463"/>
              </w:tabs>
              <w:jc w:val="both"/>
              <w:rPr>
                <w:lang w:val="es-ES_tradnl" w:eastAsia="nl-NL"/>
              </w:rPr>
            </w:pPr>
          </w:p>
        </w:tc>
        <w:tc>
          <w:tcPr>
            <w:tcW w:w="1433" w:type="dxa"/>
            <w:gridSpan w:val="2"/>
          </w:tcPr>
          <w:p w14:paraId="62354A1A" w14:textId="77777777" w:rsidR="004A7B85" w:rsidRPr="003E6986" w:rsidRDefault="004A7B85" w:rsidP="006B10FF">
            <w:pPr>
              <w:pStyle w:val="Tabletext"/>
              <w:tabs>
                <w:tab w:val="clear" w:pos="284"/>
                <w:tab w:val="left" w:pos="463"/>
              </w:tabs>
              <w:jc w:val="center"/>
              <w:rPr>
                <w:lang w:val="es-ES_tradnl" w:eastAsia="nl-NL"/>
              </w:rPr>
            </w:pPr>
            <w:r w:rsidRPr="003E6986">
              <w:rPr>
                <w:lang w:val="es-ES_tradnl" w:eastAsia="nl-NL"/>
              </w:rPr>
              <w:lastRenderedPageBreak/>
              <w:t>–</w:t>
            </w:r>
          </w:p>
        </w:tc>
      </w:tr>
      <w:tr w:rsidR="004A7B85" w:rsidRPr="008653C7" w14:paraId="64F8C18B" w14:textId="77777777" w:rsidTr="003F05FF">
        <w:trPr>
          <w:cantSplit/>
          <w:jc w:val="center"/>
        </w:trPr>
        <w:tc>
          <w:tcPr>
            <w:tcW w:w="14063" w:type="dxa"/>
            <w:gridSpan w:val="5"/>
          </w:tcPr>
          <w:p w14:paraId="1A6D0F83" w14:textId="6C84AD3D" w:rsidR="004A7B85" w:rsidRPr="003E6986" w:rsidRDefault="002D1CF7" w:rsidP="00BD2741">
            <w:pPr>
              <w:pStyle w:val="Tabletext"/>
              <w:tabs>
                <w:tab w:val="clear" w:pos="284"/>
                <w:tab w:val="left" w:pos="594"/>
              </w:tabs>
              <w:jc w:val="both"/>
              <w:rPr>
                <w:lang w:val="es-ES_tradnl" w:eastAsia="nl-NL"/>
              </w:rPr>
            </w:pPr>
            <w:r w:rsidRPr="003E6986">
              <w:rPr>
                <w:lang w:val="es-ES_tradnl" w:eastAsia="nl-NL"/>
              </w:rPr>
              <w:lastRenderedPageBreak/>
              <w:t>3</w:t>
            </w:r>
            <w:r w:rsidRPr="003E6986">
              <w:rPr>
                <w:lang w:val="es-ES_tradnl" w:eastAsia="nl-NL"/>
              </w:rPr>
              <w:tab/>
              <w:t>examinar los cambios y las modificaciones que se hayan de realizar en el Reglamento de Radiocomunicaciones como consecuencia de las decisiones de la Conferencia;</w:t>
            </w:r>
          </w:p>
        </w:tc>
      </w:tr>
      <w:tr w:rsidR="004A7B85" w:rsidRPr="008653C7" w14:paraId="689F32BB" w14:textId="77777777" w:rsidTr="00C642A5">
        <w:trPr>
          <w:jc w:val="center"/>
        </w:trPr>
        <w:tc>
          <w:tcPr>
            <w:tcW w:w="14063" w:type="dxa"/>
            <w:gridSpan w:val="5"/>
          </w:tcPr>
          <w:p w14:paraId="3625F11A" w14:textId="529EA466" w:rsidR="004A7B85" w:rsidRPr="003E6986" w:rsidRDefault="002D1CF7" w:rsidP="00BD2741">
            <w:pPr>
              <w:pStyle w:val="Tabletext"/>
              <w:tabs>
                <w:tab w:val="clear" w:pos="284"/>
                <w:tab w:val="left" w:pos="594"/>
              </w:tabs>
              <w:jc w:val="both"/>
              <w:rPr>
                <w:lang w:val="es-ES_tradnl" w:eastAsia="nl-NL"/>
              </w:rPr>
            </w:pPr>
            <w:r w:rsidRPr="003E6986">
              <w:rPr>
                <w:lang w:val="es-ES_tradnl" w:eastAsia="nl-NL"/>
              </w:rPr>
              <w:t>4</w:t>
            </w:r>
            <w:r w:rsidRPr="003E6986">
              <w:rPr>
                <w:lang w:val="es-ES_tradnl" w:eastAsia="nl-NL"/>
              </w:rPr>
              <w:tab/>
              <w:t xml:space="preserve">considerar, de conformidad con la Resolución </w:t>
            </w:r>
            <w:r w:rsidRPr="003E6986">
              <w:rPr>
                <w:b/>
                <w:lang w:val="es-ES_tradnl" w:eastAsia="nl-NL"/>
              </w:rPr>
              <w:t>95 (Rev.CMR-19)</w:t>
            </w:r>
            <w:r w:rsidRPr="003E6986">
              <w:rPr>
                <w:lang w:val="es-ES_tradnl" w:eastAsia="nl-NL"/>
              </w:rPr>
              <w:t>, las Resoluciones y Recomendaciones de las Conferencias anteriores para su posible revisión, sustitución o supresión;</w:t>
            </w:r>
          </w:p>
        </w:tc>
      </w:tr>
      <w:tr w:rsidR="004A7B85" w:rsidRPr="003E6986" w14:paraId="6685D553" w14:textId="77777777" w:rsidTr="003F05FF">
        <w:trPr>
          <w:jc w:val="center"/>
        </w:trPr>
        <w:tc>
          <w:tcPr>
            <w:tcW w:w="3304" w:type="dxa"/>
          </w:tcPr>
          <w:p w14:paraId="3E6A2A4B" w14:textId="7F17219D" w:rsidR="004A7B85" w:rsidRPr="003E6986" w:rsidRDefault="004A7B85" w:rsidP="000A398E">
            <w:pPr>
              <w:pStyle w:val="Tabletext"/>
              <w:tabs>
                <w:tab w:val="clear" w:pos="284"/>
                <w:tab w:val="left" w:pos="463"/>
              </w:tabs>
              <w:rPr>
                <w:b/>
                <w:lang w:val="es-ES_tradnl" w:eastAsia="nl-NL"/>
              </w:rPr>
            </w:pPr>
            <w:r w:rsidRPr="003E6986">
              <w:rPr>
                <w:lang w:val="es-ES_tradnl" w:eastAsia="nl-NL"/>
              </w:rPr>
              <w:t>Resolu</w:t>
            </w:r>
            <w:r w:rsidR="00B65796" w:rsidRPr="003E6986">
              <w:rPr>
                <w:lang w:val="es-ES_tradnl" w:eastAsia="nl-NL"/>
              </w:rPr>
              <w:t>ció</w:t>
            </w:r>
            <w:r w:rsidRPr="003E6986">
              <w:rPr>
                <w:lang w:val="es-ES_tradnl" w:eastAsia="nl-NL"/>
              </w:rPr>
              <w:t>n</w:t>
            </w:r>
            <w:r w:rsidRPr="003E6986">
              <w:rPr>
                <w:b/>
                <w:lang w:val="es-ES_tradnl" w:eastAsia="nl-NL"/>
              </w:rPr>
              <w:t> 95 (</w:t>
            </w:r>
            <w:proofErr w:type="spellStart"/>
            <w:r w:rsidRPr="003E6986">
              <w:rPr>
                <w:b/>
                <w:lang w:val="es-ES_tradnl" w:eastAsia="nl-NL"/>
              </w:rPr>
              <w:t>Rev.</w:t>
            </w:r>
            <w:r w:rsidR="00B65796" w:rsidRPr="003E6986">
              <w:rPr>
                <w:b/>
                <w:bCs/>
                <w:lang w:val="es-ES_tradnl" w:eastAsia="nl-NL"/>
              </w:rPr>
              <w:t>CMR</w:t>
            </w:r>
            <w:proofErr w:type="spellEnd"/>
            <w:r w:rsidRPr="003E6986">
              <w:rPr>
                <w:b/>
                <w:lang w:val="es-ES_tradnl" w:eastAsia="nl-NL"/>
              </w:rPr>
              <w:noBreakHyphen/>
              <w:t>19)</w:t>
            </w:r>
          </w:p>
          <w:p w14:paraId="09E54A7A" w14:textId="72B6E2BD" w:rsidR="004A7B85" w:rsidRPr="003E6986" w:rsidRDefault="00B65796" w:rsidP="00C642A5">
            <w:pPr>
              <w:pStyle w:val="Tabletext"/>
              <w:tabs>
                <w:tab w:val="clear" w:pos="284"/>
                <w:tab w:val="left" w:pos="463"/>
              </w:tabs>
              <w:rPr>
                <w:bCs/>
                <w:lang w:val="es-ES_tradnl" w:eastAsia="nl-NL"/>
              </w:rPr>
            </w:pPr>
            <w:bookmarkStart w:id="21" w:name="_Toc328141274"/>
            <w:r w:rsidRPr="003E6986">
              <w:rPr>
                <w:bCs/>
                <w:lang w:val="es-ES_tradnl" w:eastAsia="nl-NL"/>
              </w:rPr>
              <w:t>Examen general de las Resoluciones y Recomendaciones de las conferencias</w:t>
            </w:r>
            <w:r w:rsidRPr="003E6986">
              <w:rPr>
                <w:bCs/>
                <w:lang w:val="es-ES_tradnl" w:eastAsia="nl-NL"/>
              </w:rPr>
              <w:br/>
              <w:t>administrativas mundiales de radiocomunicaciones y conferencias</w:t>
            </w:r>
            <w:r w:rsidRPr="003E6986">
              <w:rPr>
                <w:bCs/>
                <w:lang w:val="es-ES_tradnl" w:eastAsia="nl-NL"/>
              </w:rPr>
              <w:br/>
              <w:t>mundiales de radiocomunicaciones</w:t>
            </w:r>
            <w:bookmarkEnd w:id="21"/>
          </w:p>
        </w:tc>
        <w:tc>
          <w:tcPr>
            <w:tcW w:w="1517" w:type="dxa"/>
          </w:tcPr>
          <w:p w14:paraId="3C66EBE2" w14:textId="0FDF3FAE" w:rsidR="004A7B85" w:rsidRPr="003E6986" w:rsidRDefault="00AA3DC8" w:rsidP="006B10FF">
            <w:pPr>
              <w:pStyle w:val="Tabletext"/>
              <w:tabs>
                <w:tab w:val="clear" w:pos="284"/>
                <w:tab w:val="left" w:pos="463"/>
              </w:tabs>
              <w:jc w:val="center"/>
              <w:rPr>
                <w:b/>
                <w:bCs/>
                <w:lang w:val="es-ES_tradnl" w:eastAsia="nl-NL"/>
              </w:rPr>
            </w:pPr>
            <w:r w:rsidRPr="003E6986">
              <w:rPr>
                <w:b/>
                <w:bCs/>
                <w:lang w:val="es-ES_tradnl" w:eastAsia="nl-NL"/>
              </w:rPr>
              <w:t>RPC</w:t>
            </w:r>
            <w:r w:rsidR="00460ED5" w:rsidRPr="003E6986">
              <w:rPr>
                <w:b/>
                <w:bCs/>
                <w:lang w:val="es-ES_tradnl" w:eastAsia="nl-NL"/>
              </w:rPr>
              <w:t>27</w:t>
            </w:r>
            <w:r w:rsidR="004A7B85" w:rsidRPr="003E6986">
              <w:rPr>
                <w:b/>
                <w:bCs/>
                <w:lang w:val="es-ES_tradnl" w:eastAsia="nl-NL"/>
              </w:rPr>
              <w:noBreakHyphen/>
              <w:t>2</w:t>
            </w:r>
          </w:p>
        </w:tc>
        <w:tc>
          <w:tcPr>
            <w:tcW w:w="7809" w:type="dxa"/>
          </w:tcPr>
          <w:p w14:paraId="2742117E" w14:textId="5506BA0A" w:rsidR="004A7B85" w:rsidRPr="003E6986" w:rsidRDefault="00B65796" w:rsidP="00BD2741">
            <w:pPr>
              <w:pStyle w:val="Tabletext"/>
              <w:keepNext/>
              <w:keepLines/>
              <w:tabs>
                <w:tab w:val="clear" w:pos="284"/>
                <w:tab w:val="left" w:pos="463"/>
              </w:tabs>
              <w:ind w:left="454"/>
              <w:jc w:val="both"/>
              <w:rPr>
                <w:rFonts w:eastAsia="???"/>
                <w:i/>
                <w:iCs/>
                <w:lang w:val="es-ES_tradnl" w:eastAsia="nl-NL"/>
              </w:rPr>
            </w:pPr>
            <w:r w:rsidRPr="003E6986">
              <w:rPr>
                <w:rFonts w:eastAsia="???"/>
                <w:i/>
                <w:iCs/>
                <w:lang w:val="es-ES_tradnl" w:eastAsia="nl-NL"/>
              </w:rPr>
              <w:t>resuelve</w:t>
            </w:r>
          </w:p>
          <w:p w14:paraId="350AEB7F" w14:textId="77777777" w:rsidR="00B65796" w:rsidRPr="003E6986" w:rsidRDefault="00B65796" w:rsidP="00BD2741">
            <w:pPr>
              <w:pStyle w:val="Tabletext"/>
              <w:keepNext/>
              <w:keepLines/>
              <w:tabs>
                <w:tab w:val="clear" w:pos="284"/>
                <w:tab w:val="left" w:pos="463"/>
              </w:tabs>
              <w:jc w:val="both"/>
              <w:rPr>
                <w:lang w:val="es-ES_tradnl" w:eastAsia="ja-JP"/>
              </w:rPr>
            </w:pPr>
            <w:r w:rsidRPr="003E6986">
              <w:rPr>
                <w:lang w:val="es-ES_tradnl" w:eastAsia="nl-NL"/>
              </w:rPr>
              <w:t>que</w:t>
            </w:r>
            <w:r w:rsidRPr="003E6986">
              <w:rPr>
                <w:lang w:val="es-ES_tradnl" w:eastAsia="ja-JP"/>
              </w:rPr>
              <w:t xml:space="preserve"> los órdenes del día recomendados para las futuras conferencias mundiales de telecomunicaciones incluyan un punto permanente para examinar las Resoluciones y Recomendaciones de conferencias precedentes sin relación con ningún otro punto del orden del día de la Conferencia con objeto de:</w:t>
            </w:r>
          </w:p>
          <w:p w14:paraId="7EF92A1E" w14:textId="77777777" w:rsidR="00B65796" w:rsidRPr="003E6986" w:rsidRDefault="00B65796" w:rsidP="00BD2741">
            <w:pPr>
              <w:pStyle w:val="Tabletext"/>
              <w:tabs>
                <w:tab w:val="clear" w:pos="284"/>
                <w:tab w:val="left" w:pos="463"/>
              </w:tabs>
              <w:ind w:left="463" w:hanging="463"/>
              <w:jc w:val="both"/>
              <w:rPr>
                <w:lang w:val="es-ES_tradnl" w:eastAsia="ja-JP"/>
              </w:rPr>
            </w:pPr>
            <w:r w:rsidRPr="003E6986">
              <w:rPr>
                <w:lang w:val="es-ES_tradnl" w:eastAsia="ja-JP"/>
              </w:rPr>
              <w:t>–</w:t>
            </w:r>
            <w:r w:rsidRPr="003E6986">
              <w:rPr>
                <w:lang w:val="es-ES_tradnl" w:eastAsia="ja-JP"/>
              </w:rPr>
              <w:tab/>
              <w:t>derogar las Resoluciones y Recomendaciones que ya han cumplido su función o ya no son necesarias;</w:t>
            </w:r>
          </w:p>
          <w:p w14:paraId="37D1CFF0" w14:textId="77777777" w:rsidR="00B65796" w:rsidRPr="003E6986" w:rsidRDefault="00B65796" w:rsidP="00BD2741">
            <w:pPr>
              <w:pStyle w:val="Tabletext"/>
              <w:tabs>
                <w:tab w:val="clear" w:pos="284"/>
                <w:tab w:val="left" w:pos="463"/>
              </w:tabs>
              <w:ind w:left="463" w:hanging="463"/>
              <w:jc w:val="both"/>
              <w:rPr>
                <w:lang w:val="es-ES_tradnl" w:eastAsia="ja-JP"/>
              </w:rPr>
            </w:pPr>
            <w:r w:rsidRPr="003E6986">
              <w:rPr>
                <w:lang w:val="es-ES_tradnl" w:eastAsia="ja-JP"/>
              </w:rPr>
              <w:t>–</w:t>
            </w:r>
            <w:r w:rsidRPr="003E6986">
              <w:rPr>
                <w:lang w:val="es-ES_tradnl" w:eastAsia="ja-JP"/>
              </w:rPr>
              <w:tab/>
              <w:t>evaluar la necesidad de mantener las Resoluciones y Recomendaciones, o partes de ellas, que requieren estudios del UIT-R sobre los que no se haya experimentado progreso alguno durante los dos últimos periodos entre conferencias;</w:t>
            </w:r>
          </w:p>
          <w:p w14:paraId="0722FA97" w14:textId="77777777" w:rsidR="00B65796" w:rsidRPr="003E6986" w:rsidRDefault="00B65796" w:rsidP="00BD2741">
            <w:pPr>
              <w:pStyle w:val="Tabletext"/>
              <w:tabs>
                <w:tab w:val="clear" w:pos="284"/>
                <w:tab w:val="left" w:pos="463"/>
              </w:tabs>
              <w:ind w:left="463" w:hanging="463"/>
              <w:jc w:val="both"/>
              <w:rPr>
                <w:lang w:val="es-ES_tradnl" w:eastAsia="ja-JP"/>
              </w:rPr>
            </w:pPr>
            <w:r w:rsidRPr="003E6986">
              <w:rPr>
                <w:lang w:val="es-ES_tradnl" w:eastAsia="ja-JP"/>
              </w:rPr>
              <w:t>–</w:t>
            </w:r>
            <w:r w:rsidRPr="003E6986">
              <w:rPr>
                <w:lang w:val="es-ES_tradnl" w:eastAsia="ja-JP"/>
              </w:rPr>
              <w:tab/>
              <w:t>actualizar y modificar las Resoluciones y Recomendaciones, o partes de ellas, que se hayan quedado obsoletas, y corregir omisiones evidentes, incoherencias, ambigüedades o errores de redacción, y efectuar la consiguiente armonización,</w:t>
            </w:r>
          </w:p>
          <w:p w14:paraId="63F42282" w14:textId="77777777" w:rsidR="00B65796" w:rsidRPr="003E6986" w:rsidRDefault="00B65796" w:rsidP="00BD2741">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las futuras conferencias mundiales de radiocomunicaciones competentes</w:t>
            </w:r>
          </w:p>
          <w:p w14:paraId="27DCC326" w14:textId="77777777" w:rsidR="00B65796" w:rsidRPr="003E6986" w:rsidRDefault="00B65796" w:rsidP="00BD2741">
            <w:pPr>
              <w:pStyle w:val="Tabletext"/>
              <w:tabs>
                <w:tab w:val="clear" w:pos="284"/>
                <w:tab w:val="left" w:pos="463"/>
              </w:tabs>
              <w:jc w:val="both"/>
              <w:rPr>
                <w:lang w:val="es-ES_tradnl" w:eastAsia="ja-JP"/>
              </w:rPr>
            </w:pPr>
            <w:r w:rsidRPr="003E6986">
              <w:rPr>
                <w:lang w:val="es-ES_tradnl" w:eastAsia="ja-JP"/>
              </w:rPr>
              <w:t>1</w:t>
            </w:r>
            <w:r w:rsidRPr="003E6986">
              <w:rPr>
                <w:lang w:val="es-ES_tradnl" w:eastAsia="ja-JP"/>
              </w:rPr>
              <w:tab/>
              <w:t xml:space="preserve">a que examinen las Resoluciones y Recomendaciones de Conferencias precedentes relativas a puntos del orden del día de la Conferencia, distintos del punto permanente mencionado en el </w:t>
            </w:r>
            <w:r w:rsidRPr="003E6986">
              <w:rPr>
                <w:i/>
                <w:iCs/>
                <w:lang w:val="es-ES_tradnl" w:eastAsia="ja-JP"/>
              </w:rPr>
              <w:t>resuelve</w:t>
            </w:r>
            <w:r w:rsidRPr="003E6986">
              <w:rPr>
                <w:lang w:val="es-ES_tradnl" w:eastAsia="ja-JP"/>
              </w:rPr>
              <w:t>, en el marco de los puntos del orden del día específicos con objeto de considerar su posible revisión, sustitución o derogación y a que tomen las medidas correspondientes;</w:t>
            </w:r>
          </w:p>
          <w:p w14:paraId="5B374E30" w14:textId="77777777" w:rsidR="00B65796" w:rsidRPr="003E6986" w:rsidRDefault="00B65796" w:rsidP="00BD2741">
            <w:pPr>
              <w:pStyle w:val="Tabletext"/>
              <w:tabs>
                <w:tab w:val="clear" w:pos="284"/>
                <w:tab w:val="left" w:pos="463"/>
              </w:tabs>
              <w:jc w:val="both"/>
              <w:rPr>
                <w:lang w:val="es-ES_tradnl" w:eastAsia="ja-JP"/>
              </w:rPr>
            </w:pPr>
            <w:r w:rsidRPr="003E6986">
              <w:rPr>
                <w:lang w:val="es-ES_tradnl" w:eastAsia="ja-JP"/>
              </w:rPr>
              <w:t>2</w:t>
            </w:r>
            <w:r w:rsidRPr="003E6986">
              <w:rPr>
                <w:lang w:val="es-ES_tradnl" w:eastAsia="ja-JP"/>
              </w:rPr>
              <w:tab/>
              <w:t xml:space="preserve">a que determinen, al principio de la Conferencia, qué comisión de </w:t>
            </w:r>
            <w:proofErr w:type="gramStart"/>
            <w:r w:rsidRPr="003E6986">
              <w:rPr>
                <w:lang w:val="es-ES_tradnl" w:eastAsia="ja-JP"/>
              </w:rPr>
              <w:t>la misma</w:t>
            </w:r>
            <w:proofErr w:type="gramEnd"/>
            <w:r w:rsidRPr="003E6986">
              <w:rPr>
                <w:lang w:val="es-ES_tradnl" w:eastAsia="ja-JP"/>
              </w:rPr>
              <w:t xml:space="preserve"> tiene la responsabilidad fundamental de examinar cada una de las Resoluciones y Recomendaciones de las conferencias anteriores,</w:t>
            </w:r>
          </w:p>
          <w:p w14:paraId="73BF68EB" w14:textId="77777777" w:rsidR="00B65796" w:rsidRPr="003E6986" w:rsidRDefault="00B65796" w:rsidP="00323644">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encarga al Director de la Oficina de Radiocomunicaciones</w:t>
            </w:r>
          </w:p>
          <w:p w14:paraId="1128E547" w14:textId="77777777" w:rsidR="00B65796" w:rsidRPr="003E6986" w:rsidRDefault="00B65796" w:rsidP="00323644">
            <w:pPr>
              <w:pStyle w:val="Tabletext"/>
              <w:tabs>
                <w:tab w:val="clear" w:pos="284"/>
                <w:tab w:val="left" w:pos="463"/>
              </w:tabs>
              <w:jc w:val="both"/>
              <w:rPr>
                <w:lang w:val="es-ES_tradnl" w:eastAsia="ja-JP"/>
              </w:rPr>
            </w:pPr>
            <w:r w:rsidRPr="003E6986">
              <w:rPr>
                <w:lang w:val="es-ES_tradnl" w:eastAsia="ja-JP"/>
              </w:rPr>
              <w:t>1</w:t>
            </w:r>
            <w:r w:rsidRPr="003E6986">
              <w:rPr>
                <w:lang w:val="es-ES_tradnl" w:eastAsia="ja-JP"/>
              </w:rPr>
              <w:tab/>
              <w:t xml:space="preserve">que lleve a cabo un examen general de las Resoluciones y Recomendaciones de las conferencias precedentes y, previa consulta con el Grupo Asesor de Radiocomunicaciones y con los Presidentes y Vicepresidentes de las Comisiones de Estudio de Radiocomunicaciones, presente un Informe a la segunda Reunión Preparatoria de la Conferencia (RPC) en lo que concierne al </w:t>
            </w:r>
            <w:r w:rsidRPr="003E6986">
              <w:rPr>
                <w:i/>
                <w:iCs/>
                <w:lang w:val="es-ES_tradnl" w:eastAsia="ja-JP"/>
              </w:rPr>
              <w:t>resuelve</w:t>
            </w:r>
            <w:r w:rsidRPr="003E6986">
              <w:rPr>
                <w:lang w:val="es-ES_tradnl" w:eastAsia="ja-JP"/>
              </w:rPr>
              <w:t xml:space="preserve"> y al </w:t>
            </w:r>
            <w:r w:rsidRPr="003E6986">
              <w:rPr>
                <w:i/>
                <w:iCs/>
                <w:lang w:val="es-ES_tradnl" w:eastAsia="ja-JP"/>
              </w:rPr>
              <w:t xml:space="preserve">invita a las futuras conferencias mundiales de radiocomunicaciones </w:t>
            </w:r>
            <w:r w:rsidRPr="003E6986">
              <w:rPr>
                <w:i/>
                <w:iCs/>
                <w:lang w:val="es-ES_tradnl" w:eastAsia="ja-JP"/>
              </w:rPr>
              <w:lastRenderedPageBreak/>
              <w:t>competentes</w:t>
            </w:r>
            <w:r w:rsidRPr="003E6986">
              <w:rPr>
                <w:lang w:val="es-ES_tradnl" w:eastAsia="ja-JP"/>
              </w:rPr>
              <w:t> 1, que incluya una indicación de los posibles puntos del orden del día relacionados;</w:t>
            </w:r>
          </w:p>
          <w:p w14:paraId="68F08977" w14:textId="77777777" w:rsidR="00B65796" w:rsidRPr="003E6986" w:rsidRDefault="00B65796" w:rsidP="00323644">
            <w:pPr>
              <w:pStyle w:val="Tabletext"/>
              <w:tabs>
                <w:tab w:val="clear" w:pos="284"/>
                <w:tab w:val="left" w:pos="463"/>
              </w:tabs>
              <w:jc w:val="both"/>
              <w:rPr>
                <w:lang w:val="es-ES_tradnl" w:eastAsia="ja-JP"/>
              </w:rPr>
            </w:pPr>
            <w:r w:rsidRPr="003E6986">
              <w:rPr>
                <w:lang w:val="es-ES_tradnl" w:eastAsia="ja-JP"/>
              </w:rPr>
              <w:t>2</w:t>
            </w:r>
            <w:r w:rsidRPr="003E6986">
              <w:rPr>
                <w:lang w:val="es-ES_tradnl" w:eastAsia="ja-JP"/>
              </w:rPr>
              <w:tab/>
              <w:t>que incluya en el citado Informe, en colaboración con los Presidentes de las Comisiones de Estudio de Radiocomunicaciones, los Informes de situación de los estudios realizados por el UIT</w:t>
            </w:r>
            <w:r w:rsidRPr="003E6986">
              <w:rPr>
                <w:lang w:val="es-ES_tradnl" w:eastAsia="ja-JP"/>
              </w:rPr>
              <w:noBreakHyphen/>
              <w:t>R sobre los asuntos solicitados en las Resoluciones y Recomendaciones de conferencias anteriores, pero que no figuran en el orden del día de las dos próximas conferencias,</w:t>
            </w:r>
          </w:p>
          <w:p w14:paraId="6ED68EAB" w14:textId="77777777" w:rsidR="00B65796" w:rsidRPr="003E6986" w:rsidRDefault="00B65796" w:rsidP="00323644">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las administraciones</w:t>
            </w:r>
          </w:p>
          <w:p w14:paraId="382C1A4D" w14:textId="77777777" w:rsidR="00B65796" w:rsidRPr="003E6986" w:rsidRDefault="00B65796" w:rsidP="00323644">
            <w:pPr>
              <w:pStyle w:val="Tabletext"/>
              <w:tabs>
                <w:tab w:val="clear" w:pos="284"/>
                <w:tab w:val="left" w:pos="463"/>
              </w:tabs>
              <w:jc w:val="both"/>
              <w:rPr>
                <w:lang w:val="es-ES_tradnl" w:eastAsia="ja-JP"/>
              </w:rPr>
            </w:pPr>
            <w:r w:rsidRPr="003E6986">
              <w:rPr>
                <w:lang w:val="es-ES_tradnl" w:eastAsia="ja-JP"/>
              </w:rPr>
              <w:t xml:space="preserve">a </w:t>
            </w:r>
            <w:r w:rsidRPr="003E6986">
              <w:rPr>
                <w:lang w:val="es-ES_tradnl" w:eastAsia="nl-NL"/>
              </w:rPr>
              <w:t>presentar</w:t>
            </w:r>
            <w:r w:rsidRPr="003E6986">
              <w:rPr>
                <w:lang w:val="es-ES_tradnl" w:eastAsia="ja-JP"/>
              </w:rPr>
              <w:t xml:space="preserve"> contribuciones sobre la aplicación de la presente Resolución a la segunda sesión de la RPC y a la Conferencia,</w:t>
            </w:r>
          </w:p>
          <w:p w14:paraId="0EF9D045" w14:textId="77777777" w:rsidR="00B65796" w:rsidRPr="003E6986" w:rsidRDefault="00B65796" w:rsidP="00BD2741">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Reunión Preparatoria de la Conferencia</w:t>
            </w:r>
          </w:p>
          <w:p w14:paraId="46DEA32A" w14:textId="7DCC1924" w:rsidR="004A7B85" w:rsidRPr="003E6986" w:rsidRDefault="00B65796" w:rsidP="00BD2741">
            <w:pPr>
              <w:pStyle w:val="Tabletext"/>
              <w:tabs>
                <w:tab w:val="clear" w:pos="284"/>
                <w:tab w:val="left" w:pos="463"/>
              </w:tabs>
              <w:jc w:val="both"/>
              <w:rPr>
                <w:lang w:val="es-ES_tradnl" w:eastAsia="ja-JP"/>
              </w:rPr>
            </w:pPr>
            <w:r w:rsidRPr="003E6986">
              <w:rPr>
                <w:lang w:val="es-ES_tradnl" w:eastAsia="ja-JP"/>
              </w:rPr>
              <w:t>a que incluya en su Informe el resultado del examen general de las Resoluciones y Recomendaciones de conferencias precedentes, sobre la base de las contribuciones presentadas por las administraciones a la segunda reunión de la RPC y teniendo en cuenta el citado Informe del Director, a fin de facilitar el seguimiento por parte de la Conferencia.</w:t>
            </w:r>
          </w:p>
        </w:tc>
        <w:tc>
          <w:tcPr>
            <w:tcW w:w="1433" w:type="dxa"/>
            <w:gridSpan w:val="2"/>
          </w:tcPr>
          <w:p w14:paraId="66264DDC" w14:textId="77777777" w:rsidR="004A7B85" w:rsidRPr="003E6986" w:rsidRDefault="004A7B85" w:rsidP="000A398E">
            <w:pPr>
              <w:pStyle w:val="Tabletext"/>
              <w:tabs>
                <w:tab w:val="clear" w:pos="284"/>
                <w:tab w:val="left" w:pos="463"/>
              </w:tabs>
              <w:jc w:val="center"/>
              <w:rPr>
                <w:lang w:val="es-ES_tradnl" w:eastAsia="nl-NL"/>
              </w:rPr>
            </w:pPr>
            <w:r w:rsidRPr="00A923A9">
              <w:rPr>
                <w:lang w:val="es-ES_tradnl" w:eastAsia="nl-NL"/>
              </w:rPr>
              <w:lastRenderedPageBreak/>
              <w:t>–</w:t>
            </w:r>
          </w:p>
        </w:tc>
      </w:tr>
      <w:tr w:rsidR="004A7B85" w:rsidRPr="008653C7" w14:paraId="6ED8098F" w14:textId="77777777" w:rsidTr="003F05FF">
        <w:trPr>
          <w:cantSplit/>
          <w:jc w:val="center"/>
        </w:trPr>
        <w:tc>
          <w:tcPr>
            <w:tcW w:w="14063" w:type="dxa"/>
            <w:gridSpan w:val="5"/>
          </w:tcPr>
          <w:p w14:paraId="3755BA47" w14:textId="7088BFF8" w:rsidR="004A7B85" w:rsidRPr="003E6986" w:rsidRDefault="004A7B85" w:rsidP="00BD2741">
            <w:pPr>
              <w:pStyle w:val="Tabletext"/>
              <w:tabs>
                <w:tab w:val="clear" w:pos="284"/>
                <w:tab w:val="left" w:pos="594"/>
              </w:tabs>
              <w:jc w:val="both"/>
              <w:rPr>
                <w:lang w:val="es-ES_tradnl" w:eastAsia="nl-NL"/>
              </w:rPr>
            </w:pPr>
            <w:r w:rsidRPr="003E6986">
              <w:rPr>
                <w:lang w:val="es-ES_tradnl" w:eastAsia="nl-NL"/>
              </w:rPr>
              <w:t>5</w:t>
            </w:r>
            <w:r w:rsidRPr="003E6986">
              <w:rPr>
                <w:lang w:val="es-ES_tradnl" w:eastAsia="nl-NL"/>
              </w:rPr>
              <w:tab/>
            </w:r>
            <w:r w:rsidR="00D02C16" w:rsidRPr="003E6986">
              <w:rPr>
                <w:lang w:val="es-ES_tradnl" w:eastAsia="nl-NL"/>
              </w:rPr>
              <w:t>examinar el Informe de la Asamblea de Radiocomunicaciones presentado con arreglo a los números 135 y 136 del Convenio, y tomar las medidas adecuadas al respecto;</w:t>
            </w:r>
          </w:p>
        </w:tc>
      </w:tr>
      <w:tr w:rsidR="004A7B85" w:rsidRPr="008653C7" w14:paraId="5099EC00" w14:textId="77777777" w:rsidTr="003F05FF">
        <w:trPr>
          <w:cantSplit/>
          <w:jc w:val="center"/>
        </w:trPr>
        <w:tc>
          <w:tcPr>
            <w:tcW w:w="14063" w:type="dxa"/>
            <w:gridSpan w:val="5"/>
          </w:tcPr>
          <w:p w14:paraId="70F3B5FF" w14:textId="5F73315E" w:rsidR="004A7B85" w:rsidRPr="003E6986" w:rsidRDefault="004A7B85" w:rsidP="00BD2741">
            <w:pPr>
              <w:pStyle w:val="Tabletext"/>
              <w:tabs>
                <w:tab w:val="clear" w:pos="284"/>
                <w:tab w:val="left" w:pos="594"/>
              </w:tabs>
              <w:jc w:val="both"/>
              <w:rPr>
                <w:lang w:val="es-ES_tradnl" w:eastAsia="nl-NL"/>
              </w:rPr>
            </w:pPr>
            <w:r w:rsidRPr="003E6986">
              <w:rPr>
                <w:lang w:val="es-ES_tradnl" w:eastAsia="nl-NL"/>
              </w:rPr>
              <w:t>6</w:t>
            </w:r>
            <w:r w:rsidRPr="003E6986">
              <w:rPr>
                <w:lang w:val="es-ES_tradnl" w:eastAsia="nl-NL"/>
              </w:rPr>
              <w:tab/>
            </w:r>
            <w:r w:rsidR="00D02C16" w:rsidRPr="003E6986">
              <w:rPr>
                <w:lang w:val="es-ES_tradnl" w:eastAsia="nl-NL"/>
              </w:rPr>
              <w:t>identificar los temas que exigen medidas urgentes de las Comisiones de Estudio de Radiocomunicaciones para la preparación de la próxima Conferencia Mundial de Radiocomunicaciones;</w:t>
            </w:r>
          </w:p>
        </w:tc>
      </w:tr>
      <w:tr w:rsidR="004A7B85" w:rsidRPr="008653C7" w14:paraId="57A864D4" w14:textId="77777777" w:rsidTr="003F05FF">
        <w:trPr>
          <w:cantSplit/>
          <w:jc w:val="center"/>
        </w:trPr>
        <w:tc>
          <w:tcPr>
            <w:tcW w:w="14063" w:type="dxa"/>
            <w:gridSpan w:val="5"/>
          </w:tcPr>
          <w:p w14:paraId="3BFF9949" w14:textId="2BC1138C" w:rsidR="004A7B85" w:rsidRPr="003E6986" w:rsidRDefault="004A7B85" w:rsidP="00BD2741">
            <w:pPr>
              <w:pStyle w:val="Tabletext"/>
              <w:tabs>
                <w:tab w:val="clear" w:pos="284"/>
                <w:tab w:val="left" w:pos="594"/>
              </w:tabs>
              <w:jc w:val="both"/>
              <w:rPr>
                <w:lang w:val="es-ES_tradnl" w:eastAsia="nl-NL"/>
              </w:rPr>
            </w:pPr>
            <w:r w:rsidRPr="003E6986">
              <w:rPr>
                <w:lang w:val="es-ES_tradnl" w:eastAsia="nl-NL"/>
              </w:rPr>
              <w:t>7</w:t>
            </w:r>
            <w:r w:rsidRPr="003E6986">
              <w:rPr>
                <w:lang w:val="es-ES_tradnl" w:eastAsia="nl-NL"/>
              </w:rPr>
              <w:tab/>
            </w:r>
            <w:r w:rsidR="00D02C16" w:rsidRPr="003E6986">
              <w:rPr>
                <w:lang w:val="es-ES_tradnl" w:eastAsia="nl-NL"/>
              </w:rPr>
              <w:t xml:space="preserve">considerar posibles modificaciones para responder a lo dispuesto en la Resolución 86 (Rev. Marrakech, 2002) de la Conferencia de Plenipotenciarios: «Procedimientos de publicación anticipada, de coordinación, de notificación y de inscripción de asignaciones de frecuencias de redes de satélite» de conformidad con la Resolución </w:t>
            </w:r>
            <w:r w:rsidR="00D02C16" w:rsidRPr="003E6986">
              <w:rPr>
                <w:b/>
                <w:bCs/>
                <w:lang w:val="es-ES_tradnl" w:eastAsia="nl-NL"/>
              </w:rPr>
              <w:t>86 (Rev.CMR-07)</w:t>
            </w:r>
            <w:r w:rsidR="00D02C16" w:rsidRPr="003E6986">
              <w:rPr>
                <w:lang w:val="es-ES_tradnl" w:eastAsia="nl-NL"/>
              </w:rPr>
              <w:t>, para facilitar el uso racional, eficiente y económico de las radiofrecuencias y órbitas asociadas, incluida la órbita de los satélites geoestacionarios;</w:t>
            </w:r>
          </w:p>
        </w:tc>
      </w:tr>
      <w:tr w:rsidR="004A7B85" w:rsidRPr="003E6986" w14:paraId="5DD97520" w14:textId="77777777" w:rsidTr="003F05FF">
        <w:trPr>
          <w:jc w:val="center"/>
        </w:trPr>
        <w:tc>
          <w:tcPr>
            <w:tcW w:w="3304" w:type="dxa"/>
          </w:tcPr>
          <w:p w14:paraId="7230F4A6" w14:textId="3D4A870E" w:rsidR="004A7B85" w:rsidRPr="003E6986" w:rsidRDefault="004A7B85" w:rsidP="000A398E">
            <w:pPr>
              <w:pStyle w:val="Tabletext"/>
              <w:tabs>
                <w:tab w:val="clear" w:pos="284"/>
                <w:tab w:val="left" w:pos="463"/>
              </w:tabs>
              <w:rPr>
                <w:b/>
                <w:lang w:val="es-ES_tradnl" w:eastAsia="nl-NL"/>
              </w:rPr>
            </w:pPr>
            <w:r w:rsidRPr="003E6986">
              <w:rPr>
                <w:lang w:val="es-ES_tradnl" w:eastAsia="ja-JP"/>
              </w:rPr>
              <w:t>Resolu</w:t>
            </w:r>
            <w:r w:rsidR="00FD39FB" w:rsidRPr="003E6986">
              <w:rPr>
                <w:lang w:val="es-ES_tradnl" w:eastAsia="ja-JP"/>
              </w:rPr>
              <w:t>ció</w:t>
            </w:r>
            <w:r w:rsidRPr="003E6986">
              <w:rPr>
                <w:lang w:val="es-ES_tradnl" w:eastAsia="ja-JP"/>
              </w:rPr>
              <w:t>n</w:t>
            </w:r>
            <w:r w:rsidRPr="003E6986">
              <w:rPr>
                <w:b/>
                <w:lang w:val="es-ES_tradnl" w:eastAsia="nl-NL"/>
              </w:rPr>
              <w:t> 86 (</w:t>
            </w:r>
            <w:proofErr w:type="spellStart"/>
            <w:r w:rsidRPr="003E6986">
              <w:rPr>
                <w:b/>
                <w:lang w:val="es-ES_tradnl" w:eastAsia="nl-NL"/>
              </w:rPr>
              <w:t>Rev.</w:t>
            </w:r>
            <w:r w:rsidR="00AA3DC8" w:rsidRPr="003E6986">
              <w:rPr>
                <w:b/>
                <w:lang w:val="es-ES_tradnl" w:eastAsia="nl-NL"/>
              </w:rPr>
              <w:t>CMR</w:t>
            </w:r>
            <w:proofErr w:type="spellEnd"/>
            <w:r w:rsidRPr="003E6986">
              <w:rPr>
                <w:b/>
                <w:lang w:val="es-ES_tradnl" w:eastAsia="nl-NL"/>
              </w:rPr>
              <w:noBreakHyphen/>
              <w:t>07)</w:t>
            </w:r>
          </w:p>
          <w:p w14:paraId="5B268A20" w14:textId="3CA6B59E" w:rsidR="004A7B85" w:rsidRPr="003E6986" w:rsidRDefault="00DD275E" w:rsidP="006D5A70">
            <w:pPr>
              <w:pStyle w:val="Tabletext"/>
              <w:tabs>
                <w:tab w:val="clear" w:pos="284"/>
                <w:tab w:val="left" w:pos="463"/>
              </w:tabs>
              <w:rPr>
                <w:color w:val="000000"/>
                <w:lang w:val="es-ES_tradnl" w:eastAsia="nl-NL"/>
              </w:rPr>
            </w:pPr>
            <w:bookmarkStart w:id="22" w:name="_Toc328141272"/>
            <w:r w:rsidRPr="003E6986">
              <w:rPr>
                <w:lang w:val="es-ES_tradnl" w:eastAsia="ja-JP"/>
              </w:rPr>
              <w:t>Aplicación</w:t>
            </w:r>
            <w:r w:rsidRPr="003E6986">
              <w:rPr>
                <w:color w:val="000000"/>
                <w:lang w:val="es-ES_tradnl" w:eastAsia="nl-NL"/>
              </w:rPr>
              <w:t xml:space="preserve"> de la Resolución 86 (Rev.</w:t>
            </w:r>
            <w:r w:rsidR="00E2199B" w:rsidRPr="003E6986">
              <w:rPr>
                <w:color w:val="000000"/>
                <w:lang w:val="es-ES_tradnl" w:eastAsia="nl-NL"/>
              </w:rPr>
              <w:t> </w:t>
            </w:r>
            <w:r w:rsidRPr="003E6986">
              <w:rPr>
                <w:color w:val="000000"/>
                <w:lang w:val="es-ES_tradnl" w:eastAsia="nl-NL"/>
              </w:rPr>
              <w:t>Marrakech, 2002)</w:t>
            </w:r>
            <w:r w:rsidR="00E2199B" w:rsidRPr="003E6986">
              <w:rPr>
                <w:color w:val="000000"/>
                <w:lang w:val="es-ES_tradnl" w:eastAsia="nl-NL"/>
              </w:rPr>
              <w:t xml:space="preserve"> </w:t>
            </w:r>
            <w:r w:rsidRPr="003E6986">
              <w:rPr>
                <w:color w:val="000000"/>
                <w:lang w:val="es-ES_tradnl" w:eastAsia="nl-NL"/>
              </w:rPr>
              <w:t>de la Conferencia de Plenipotenciarios</w:t>
            </w:r>
            <w:bookmarkEnd w:id="22"/>
          </w:p>
        </w:tc>
        <w:tc>
          <w:tcPr>
            <w:tcW w:w="1517" w:type="dxa"/>
          </w:tcPr>
          <w:p w14:paraId="708DD759" w14:textId="32032260" w:rsidR="004A7B85" w:rsidRPr="003E6986" w:rsidRDefault="00A92266" w:rsidP="006B10FF">
            <w:pPr>
              <w:pStyle w:val="Tabletext"/>
              <w:tabs>
                <w:tab w:val="clear" w:pos="284"/>
                <w:tab w:val="left" w:pos="463"/>
              </w:tabs>
              <w:jc w:val="center"/>
              <w:rPr>
                <w:b/>
                <w:bCs/>
                <w:lang w:val="es-ES_tradnl" w:eastAsia="nl-NL"/>
              </w:rPr>
            </w:pPr>
            <w:r w:rsidRPr="003E6986">
              <w:rPr>
                <w:b/>
                <w:bCs/>
                <w:lang w:val="es-ES_tradnl" w:eastAsia="nl-NL"/>
              </w:rPr>
              <w:t>GT</w:t>
            </w:r>
            <w:r w:rsidR="004A7B85" w:rsidRPr="003E6986">
              <w:rPr>
                <w:b/>
                <w:bCs/>
                <w:lang w:val="es-ES_tradnl" w:eastAsia="nl-NL"/>
              </w:rPr>
              <w:t> 4A</w:t>
            </w:r>
          </w:p>
        </w:tc>
        <w:tc>
          <w:tcPr>
            <w:tcW w:w="7809" w:type="dxa"/>
          </w:tcPr>
          <w:p w14:paraId="0C8B567D" w14:textId="493FE3FD" w:rsidR="004A7B85" w:rsidRPr="003E6986" w:rsidRDefault="00DD275E" w:rsidP="00BD2741">
            <w:pPr>
              <w:pStyle w:val="Tabletext"/>
              <w:tabs>
                <w:tab w:val="clear" w:pos="284"/>
                <w:tab w:val="left" w:pos="463"/>
              </w:tabs>
              <w:ind w:left="454"/>
              <w:jc w:val="both"/>
              <w:rPr>
                <w:rFonts w:eastAsia="???"/>
                <w:i/>
                <w:iCs/>
                <w:lang w:val="es-ES_tradnl" w:eastAsia="nl-NL"/>
              </w:rPr>
            </w:pPr>
            <w:bookmarkStart w:id="23" w:name="_Hlk26784544"/>
            <w:r w:rsidRPr="003E6986">
              <w:rPr>
                <w:rFonts w:eastAsia="???"/>
                <w:i/>
                <w:iCs/>
                <w:lang w:val="es-ES_tradnl" w:eastAsia="nl-NL"/>
              </w:rPr>
              <w:t>resuelve invitar a las futuras Conferencias Mundiales de Radiocomunicaciones</w:t>
            </w:r>
          </w:p>
          <w:p w14:paraId="3E96A91A" w14:textId="77777777" w:rsidR="00DD275E" w:rsidRPr="003E6986" w:rsidRDefault="00DD275E" w:rsidP="00BD2741">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a examinar cualquier propuesta que analice las deficiencias y mejoras de los procedimientos de publicación anticipada, coordinación, notificación e inscripción del Reglamento de Radiocomunicaciones para las asignaciones de frecuencias a los servicios espaciales que o bien hayan sido identificados por la Junta e incluidos en las Reglas de Procedimiento, o bien hayan sido identificados por las administraciones o por la Oficina de Radiocomunicaciones, según proceda;</w:t>
            </w:r>
          </w:p>
          <w:p w14:paraId="34E21A2C" w14:textId="77777777" w:rsidR="00DD275E" w:rsidRPr="003E6986" w:rsidRDefault="00DD275E" w:rsidP="00BD2741">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a velar por que esos procedimientos y los correspondientes Apéndices del Reglamento de Radiocomunicaciones reflejen en la medida de lo posible las tecnologías más recientes,</w:t>
            </w:r>
          </w:p>
          <w:p w14:paraId="08667128" w14:textId="77777777" w:rsidR="006D5A70" w:rsidRDefault="006D5A70" w:rsidP="00BD2741">
            <w:pPr>
              <w:pStyle w:val="Tabletext"/>
              <w:tabs>
                <w:tab w:val="clear" w:pos="284"/>
                <w:tab w:val="left" w:pos="463"/>
              </w:tabs>
              <w:ind w:left="454"/>
              <w:jc w:val="both"/>
              <w:rPr>
                <w:rFonts w:eastAsia="???"/>
                <w:i/>
                <w:iCs/>
                <w:lang w:val="es-ES_tradnl" w:eastAsia="nl-NL"/>
              </w:rPr>
            </w:pPr>
          </w:p>
          <w:p w14:paraId="6112C7A6" w14:textId="142C73E2" w:rsidR="00DD275E" w:rsidRPr="003E6986" w:rsidRDefault="00DD275E" w:rsidP="00BD2741">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lastRenderedPageBreak/>
              <w:t>invita a las administraciones</w:t>
            </w:r>
          </w:p>
          <w:p w14:paraId="74430ABE" w14:textId="267995C5" w:rsidR="004A7B85" w:rsidRPr="003E6986" w:rsidRDefault="00DD275E" w:rsidP="00BD2741">
            <w:pPr>
              <w:pStyle w:val="Tabletext"/>
              <w:tabs>
                <w:tab w:val="clear" w:pos="284"/>
                <w:tab w:val="left" w:pos="463"/>
              </w:tabs>
              <w:jc w:val="both"/>
              <w:rPr>
                <w:spacing w:val="-4"/>
                <w:lang w:val="es-ES_tradnl" w:eastAsia="nl-NL"/>
              </w:rPr>
            </w:pPr>
            <w:r w:rsidRPr="003E6986">
              <w:rPr>
                <w:lang w:val="es-ES_tradnl" w:eastAsia="nl-NL"/>
              </w:rPr>
              <w:t xml:space="preserve">a que, en el marco de sus preparativos para la PP-10, estudien las medidas que procede </w:t>
            </w:r>
            <w:r w:rsidRPr="003E6986">
              <w:rPr>
                <w:lang w:val="es-ES_tradnl" w:eastAsia="ja-JP"/>
              </w:rPr>
              <w:t>adoptar</w:t>
            </w:r>
            <w:r w:rsidRPr="003E6986">
              <w:rPr>
                <w:lang w:val="es-ES_tradnl" w:eastAsia="nl-NL"/>
              </w:rPr>
              <w:t xml:space="preserve"> en rela</w:t>
            </w:r>
            <w:r w:rsidR="005F523E" w:rsidRPr="003E6986">
              <w:rPr>
                <w:lang w:val="es-ES_tradnl" w:eastAsia="nl-NL"/>
              </w:rPr>
              <w:t>ción con la Resolución 86 (Rev. Marrakech, </w:t>
            </w:r>
            <w:r w:rsidRPr="003E6986">
              <w:rPr>
                <w:lang w:val="es-ES_tradnl" w:eastAsia="nl-NL"/>
              </w:rPr>
              <w:t>2002) de la Conferencia de Plenipotenciarios.</w:t>
            </w:r>
            <w:bookmarkEnd w:id="23"/>
          </w:p>
        </w:tc>
        <w:tc>
          <w:tcPr>
            <w:tcW w:w="1433" w:type="dxa"/>
            <w:gridSpan w:val="2"/>
          </w:tcPr>
          <w:p w14:paraId="4B00195A" w14:textId="77777777" w:rsidR="004A7B85" w:rsidRPr="003E6986" w:rsidRDefault="004A7B85" w:rsidP="000A398E">
            <w:pPr>
              <w:pStyle w:val="Tabletext"/>
              <w:tabs>
                <w:tab w:val="clear" w:pos="284"/>
                <w:tab w:val="left" w:pos="463"/>
              </w:tabs>
              <w:jc w:val="center"/>
              <w:rPr>
                <w:lang w:val="es-ES_tradnl" w:eastAsia="nl-NL"/>
              </w:rPr>
            </w:pPr>
            <w:r w:rsidRPr="003E6986">
              <w:rPr>
                <w:lang w:val="es-ES_tradnl" w:eastAsia="nl-NL"/>
              </w:rPr>
              <w:lastRenderedPageBreak/>
              <w:t>–</w:t>
            </w:r>
          </w:p>
        </w:tc>
      </w:tr>
      <w:tr w:rsidR="004A7B85" w:rsidRPr="008653C7" w14:paraId="3B82774E" w14:textId="77777777" w:rsidTr="004B4C74">
        <w:trPr>
          <w:cantSplit/>
          <w:jc w:val="center"/>
        </w:trPr>
        <w:tc>
          <w:tcPr>
            <w:tcW w:w="14063" w:type="dxa"/>
            <w:gridSpan w:val="5"/>
          </w:tcPr>
          <w:p w14:paraId="155A1273" w14:textId="37A63C82" w:rsidR="004A7B85" w:rsidRPr="003E6986" w:rsidRDefault="004A7B85" w:rsidP="00BD2741">
            <w:pPr>
              <w:pStyle w:val="Tabletext"/>
              <w:tabs>
                <w:tab w:val="clear" w:pos="284"/>
                <w:tab w:val="left" w:pos="594"/>
              </w:tabs>
              <w:jc w:val="both"/>
              <w:rPr>
                <w:lang w:val="es-ES_tradnl" w:eastAsia="nl-NL"/>
              </w:rPr>
            </w:pPr>
            <w:r w:rsidRPr="003E6986">
              <w:rPr>
                <w:lang w:val="es-ES_tradnl" w:eastAsia="nl-NL"/>
              </w:rPr>
              <w:t>8</w:t>
            </w:r>
            <w:r w:rsidRPr="003E6986">
              <w:rPr>
                <w:lang w:val="es-ES_tradnl" w:eastAsia="nl-NL"/>
              </w:rPr>
              <w:tab/>
            </w:r>
            <w:r w:rsidR="00D02C16" w:rsidRPr="003E6986">
              <w:rPr>
                <w:lang w:val="es-ES_tradnl" w:eastAsia="nl-NL"/>
              </w:rPr>
              <w:t xml:space="preserve">examinar las peticiones de las administraciones de suprimir las notas de sus países o de que se suprima el nombre de sus países de las notas, cuando ya no sea necesario, teniendo en cuenta la Resolución </w:t>
            </w:r>
            <w:r w:rsidR="00D02C16" w:rsidRPr="003E6986">
              <w:rPr>
                <w:b/>
                <w:bCs/>
                <w:lang w:val="es-ES_tradnl" w:eastAsia="nl-NL"/>
              </w:rPr>
              <w:t>26 (Rev.CMR-19)</w:t>
            </w:r>
            <w:r w:rsidR="00D02C16" w:rsidRPr="003E6986">
              <w:rPr>
                <w:lang w:val="es-ES_tradnl" w:eastAsia="nl-NL"/>
              </w:rPr>
              <w:t>, y adoptar las medidas oportunas al respecto;</w:t>
            </w:r>
          </w:p>
        </w:tc>
      </w:tr>
      <w:tr w:rsidR="004A7B85" w:rsidRPr="003E6986" w14:paraId="631FF2BD" w14:textId="77777777" w:rsidTr="004B4C74">
        <w:trPr>
          <w:jc w:val="center"/>
        </w:trPr>
        <w:tc>
          <w:tcPr>
            <w:tcW w:w="3304" w:type="dxa"/>
          </w:tcPr>
          <w:p w14:paraId="1727C7A7" w14:textId="211EC2C4" w:rsidR="004A7B85" w:rsidRPr="003E6986" w:rsidRDefault="004A7B85" w:rsidP="00E71DEC">
            <w:pPr>
              <w:pStyle w:val="Tabletext"/>
              <w:tabs>
                <w:tab w:val="clear" w:pos="284"/>
                <w:tab w:val="left" w:pos="463"/>
              </w:tabs>
              <w:rPr>
                <w:b/>
                <w:lang w:val="es-ES_tradnl" w:eastAsia="nl-NL"/>
              </w:rPr>
            </w:pPr>
            <w:r w:rsidRPr="003E6986">
              <w:rPr>
                <w:lang w:val="es-ES_tradnl" w:eastAsia="nl-NL"/>
              </w:rPr>
              <w:t>Resolu</w:t>
            </w:r>
            <w:r w:rsidR="00FD39FB" w:rsidRPr="003E6986">
              <w:rPr>
                <w:lang w:val="es-ES_tradnl" w:eastAsia="nl-NL"/>
              </w:rPr>
              <w:t>ció</w:t>
            </w:r>
            <w:r w:rsidRPr="003E6986">
              <w:rPr>
                <w:lang w:val="es-ES_tradnl" w:eastAsia="nl-NL"/>
              </w:rPr>
              <w:t>n</w:t>
            </w:r>
            <w:r w:rsidRPr="003E6986">
              <w:rPr>
                <w:b/>
                <w:lang w:val="es-ES_tradnl" w:eastAsia="nl-NL"/>
              </w:rPr>
              <w:t> 26 (</w:t>
            </w:r>
            <w:proofErr w:type="spellStart"/>
            <w:r w:rsidRPr="003E6986">
              <w:rPr>
                <w:b/>
                <w:lang w:val="es-ES_tradnl" w:eastAsia="nl-NL"/>
              </w:rPr>
              <w:t>Rev.</w:t>
            </w:r>
            <w:r w:rsidR="00D02C16" w:rsidRPr="003E6986">
              <w:rPr>
                <w:b/>
                <w:lang w:val="es-ES_tradnl" w:eastAsia="nl-NL"/>
              </w:rPr>
              <w:t>CM</w:t>
            </w:r>
            <w:r w:rsidRPr="003E6986">
              <w:rPr>
                <w:b/>
                <w:lang w:val="es-ES_tradnl" w:eastAsia="nl-NL"/>
              </w:rPr>
              <w:t>R</w:t>
            </w:r>
            <w:proofErr w:type="spellEnd"/>
            <w:r w:rsidRPr="003E6986">
              <w:rPr>
                <w:b/>
                <w:lang w:val="es-ES_tradnl" w:eastAsia="nl-NL"/>
              </w:rPr>
              <w:noBreakHyphen/>
              <w:t>19)</w:t>
            </w:r>
          </w:p>
          <w:p w14:paraId="6C22FCC0" w14:textId="49CC411C" w:rsidR="004A7B85" w:rsidRPr="003E6986" w:rsidRDefault="00472816" w:rsidP="006D5A70">
            <w:pPr>
              <w:pStyle w:val="Tabletext"/>
              <w:tabs>
                <w:tab w:val="clear" w:pos="284"/>
                <w:tab w:val="left" w:pos="463"/>
              </w:tabs>
              <w:rPr>
                <w:lang w:val="es-ES_tradnl" w:eastAsia="nl-NL"/>
              </w:rPr>
            </w:pPr>
            <w:bookmarkStart w:id="24" w:name="_Toc328141232"/>
            <w:bookmarkStart w:id="25" w:name="_Toc327364290"/>
            <w:bookmarkStart w:id="26" w:name="_Toc450048577"/>
            <w:r w:rsidRPr="003E6986">
              <w:rPr>
                <w:lang w:val="es-ES_tradnl" w:eastAsia="nl-NL"/>
              </w:rPr>
              <w:t>Notas del Cuadro de atribución de bandas de frecuencias en el Artículo </w:t>
            </w:r>
            <w:r w:rsidRPr="006D5A70">
              <w:rPr>
                <w:b/>
                <w:bCs/>
                <w:lang w:val="es-ES_tradnl" w:eastAsia="nl-NL"/>
              </w:rPr>
              <w:t>5</w:t>
            </w:r>
            <w:r w:rsidR="00E71DEC" w:rsidRPr="003E6986">
              <w:rPr>
                <w:lang w:val="es-ES_tradnl" w:eastAsia="nl-NL"/>
              </w:rPr>
              <w:t xml:space="preserve"> </w:t>
            </w:r>
            <w:r w:rsidRPr="003E6986">
              <w:rPr>
                <w:lang w:val="es-ES_tradnl" w:eastAsia="nl-NL"/>
              </w:rPr>
              <w:t>del Reglamento de Radiocomunicaciones</w:t>
            </w:r>
            <w:bookmarkEnd w:id="24"/>
            <w:bookmarkEnd w:id="25"/>
            <w:bookmarkEnd w:id="26"/>
          </w:p>
        </w:tc>
        <w:tc>
          <w:tcPr>
            <w:tcW w:w="1517" w:type="dxa"/>
          </w:tcPr>
          <w:p w14:paraId="15473C9A" w14:textId="30E67CE6" w:rsidR="004A7B85" w:rsidRPr="003E6986" w:rsidRDefault="008974BA" w:rsidP="00C068E7">
            <w:pPr>
              <w:pStyle w:val="Tabletext"/>
              <w:tabs>
                <w:tab w:val="clear" w:pos="284"/>
                <w:tab w:val="left" w:pos="463"/>
              </w:tabs>
              <w:jc w:val="center"/>
              <w:rPr>
                <w:b/>
                <w:bCs/>
                <w:lang w:val="es-ES_tradnl" w:eastAsia="nl-NL"/>
              </w:rPr>
            </w:pPr>
            <w:r w:rsidRPr="003E6986">
              <w:rPr>
                <w:b/>
                <w:bCs/>
                <w:lang w:val="es-ES_tradnl" w:eastAsia="nl-NL"/>
              </w:rPr>
              <w:t xml:space="preserve">CPM27-2 </w:t>
            </w:r>
            <w:r w:rsidR="00C068E7" w:rsidRPr="003E6986">
              <w:rPr>
                <w:b/>
                <w:bCs/>
                <w:lang w:val="es-ES_tradnl" w:eastAsia="nl-NL"/>
              </w:rPr>
              <w:t>a título informativo únicamente</w:t>
            </w:r>
          </w:p>
        </w:tc>
        <w:tc>
          <w:tcPr>
            <w:tcW w:w="7809" w:type="dxa"/>
          </w:tcPr>
          <w:p w14:paraId="68EC9451" w14:textId="1BBBCEF2" w:rsidR="004A7B85" w:rsidRPr="003E6986" w:rsidRDefault="00472816" w:rsidP="00BD2741">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w:t>
            </w:r>
          </w:p>
          <w:p w14:paraId="50265C61" w14:textId="698A821D" w:rsidR="00472816" w:rsidRPr="003E6986" w:rsidRDefault="00472816" w:rsidP="00BD2741">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que, siempre que sea posible, las notas al Cuadro de atribución de bandas de frecuencias se limiten a modificar, restringir o cambiar de alguna otra manera las atribuciones pertinentes, y no traten de la explotación de estaciones, las asignaciones de frecuencia</w:t>
            </w:r>
            <w:r w:rsidR="00A96272" w:rsidRPr="003E6986">
              <w:rPr>
                <w:lang w:val="es-ES_tradnl" w:eastAsia="nl-NL"/>
              </w:rPr>
              <w:t>s</w:t>
            </w:r>
            <w:r w:rsidRPr="003E6986">
              <w:rPr>
                <w:lang w:val="es-ES_tradnl" w:eastAsia="nl-NL"/>
              </w:rPr>
              <w:t xml:space="preserve"> u otros asuntos;</w:t>
            </w:r>
          </w:p>
          <w:p w14:paraId="6AB2E27B" w14:textId="77777777" w:rsidR="00472816" w:rsidRPr="003E6986" w:rsidRDefault="00472816" w:rsidP="00BD2741">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que el Cuadro de atribución de bandas de frecuencias incluya únicamente aquellas notas que tengan repercusiones internacionales para la utilización del espectro de frecuencias radioeléctricas;</w:t>
            </w:r>
          </w:p>
          <w:p w14:paraId="6BA78271" w14:textId="77777777" w:rsidR="00472816" w:rsidRPr="003E6986" w:rsidRDefault="00472816" w:rsidP="00BD2741">
            <w:pPr>
              <w:pStyle w:val="Tabletext"/>
              <w:tabs>
                <w:tab w:val="clear" w:pos="284"/>
                <w:tab w:val="left" w:pos="463"/>
              </w:tabs>
              <w:jc w:val="both"/>
              <w:rPr>
                <w:lang w:val="es-ES_tradnl" w:eastAsia="nl-NL"/>
              </w:rPr>
            </w:pPr>
            <w:r w:rsidRPr="003E6986">
              <w:rPr>
                <w:lang w:val="es-ES_tradnl" w:eastAsia="nl-NL"/>
              </w:rPr>
              <w:t>3</w:t>
            </w:r>
            <w:r w:rsidRPr="003E6986">
              <w:rPr>
                <w:lang w:val="es-ES_tradnl" w:eastAsia="nl-NL"/>
              </w:rPr>
              <w:tab/>
              <w:t>que sólo se adopten nuevas notas al Cuadro de atribución de bandas de frecuencias para:</w:t>
            </w:r>
          </w:p>
          <w:p w14:paraId="14440943" w14:textId="77777777" w:rsidR="00472816" w:rsidRPr="003E6986" w:rsidRDefault="00472816" w:rsidP="00BD2741">
            <w:pPr>
              <w:pStyle w:val="Tabletext"/>
              <w:tabs>
                <w:tab w:val="clear" w:pos="284"/>
                <w:tab w:val="left" w:pos="463"/>
              </w:tabs>
              <w:jc w:val="both"/>
              <w:rPr>
                <w:lang w:val="es-ES_tradnl" w:eastAsia="nl-NL"/>
              </w:rPr>
            </w:pPr>
            <w:r w:rsidRPr="003E6986">
              <w:rPr>
                <w:i/>
                <w:iCs/>
                <w:lang w:val="es-ES_tradnl" w:eastAsia="nl-NL"/>
              </w:rPr>
              <w:t>a)</w:t>
            </w:r>
            <w:r w:rsidRPr="003E6986">
              <w:rPr>
                <w:lang w:val="es-ES_tradnl" w:eastAsia="nl-NL"/>
              </w:rPr>
              <w:tab/>
              <w:t>dar flexibilidad al Cuadro de atribución de bandas de frecuencias;</w:t>
            </w:r>
          </w:p>
          <w:p w14:paraId="11240B83" w14:textId="57DC3B37" w:rsidR="00472816" w:rsidRPr="003E6986" w:rsidRDefault="00472816" w:rsidP="00BD2741">
            <w:pPr>
              <w:pStyle w:val="Tabletext"/>
              <w:tabs>
                <w:tab w:val="clear" w:pos="284"/>
                <w:tab w:val="left" w:pos="463"/>
              </w:tabs>
              <w:ind w:left="463" w:hanging="463"/>
              <w:jc w:val="both"/>
              <w:rPr>
                <w:lang w:val="es-ES_tradnl" w:eastAsia="nl-NL"/>
              </w:rPr>
            </w:pPr>
            <w:r w:rsidRPr="003E6986">
              <w:rPr>
                <w:i/>
                <w:iCs/>
                <w:lang w:val="es-ES_tradnl" w:eastAsia="nl-NL"/>
              </w:rPr>
              <w:t>b)</w:t>
            </w:r>
            <w:r w:rsidRPr="003E6986">
              <w:rPr>
                <w:lang w:val="es-ES_tradnl" w:eastAsia="nl-NL"/>
              </w:rPr>
              <w:tab/>
              <w:t>proteger las atribuciones pertinentes que figuran en el Cuadro de atribución de bandas de frecuencias y en otras notas, conforme a lo dispuesto en la Sección II del Artículo </w:t>
            </w:r>
            <w:r w:rsidRPr="003E6986">
              <w:rPr>
                <w:b/>
                <w:lang w:val="es-ES_tradnl" w:eastAsia="nl-NL"/>
              </w:rPr>
              <w:t>5</w:t>
            </w:r>
            <w:r w:rsidRPr="003E6986">
              <w:rPr>
                <w:lang w:val="es-ES_tradnl" w:eastAsia="nl-NL"/>
              </w:rPr>
              <w:t>;</w:t>
            </w:r>
          </w:p>
          <w:p w14:paraId="2EDA4E99" w14:textId="77777777" w:rsidR="00472816" w:rsidRPr="003E6986" w:rsidRDefault="00472816" w:rsidP="00BD2741">
            <w:pPr>
              <w:pStyle w:val="Tabletext"/>
              <w:tabs>
                <w:tab w:val="clear" w:pos="284"/>
                <w:tab w:val="left" w:pos="463"/>
              </w:tabs>
              <w:ind w:left="463" w:hanging="463"/>
              <w:jc w:val="both"/>
              <w:rPr>
                <w:lang w:val="es-ES_tradnl" w:eastAsia="nl-NL"/>
              </w:rPr>
            </w:pPr>
            <w:r w:rsidRPr="003E6986">
              <w:rPr>
                <w:i/>
                <w:iCs/>
                <w:lang w:val="es-ES_tradnl" w:eastAsia="nl-NL"/>
              </w:rPr>
              <w:t>c)</w:t>
            </w:r>
            <w:r w:rsidRPr="003E6986">
              <w:rPr>
                <w:lang w:val="es-ES_tradnl" w:eastAsia="nl-NL"/>
              </w:rPr>
              <w:tab/>
              <w:t>introducir restricciones transitorias o permanentes en un nuevo servicio con objeto de lograr la compatibilidad; o</w:t>
            </w:r>
          </w:p>
          <w:p w14:paraId="08060B4B" w14:textId="77777777" w:rsidR="00472816" w:rsidRPr="003E6986" w:rsidRDefault="00472816" w:rsidP="00BD2741">
            <w:pPr>
              <w:pStyle w:val="Tabletext"/>
              <w:tabs>
                <w:tab w:val="clear" w:pos="284"/>
                <w:tab w:val="left" w:pos="463"/>
              </w:tabs>
              <w:ind w:left="463" w:hanging="463"/>
              <w:jc w:val="both"/>
              <w:rPr>
                <w:lang w:val="es-ES_tradnl" w:eastAsia="nl-NL"/>
              </w:rPr>
            </w:pPr>
            <w:r w:rsidRPr="003E6986">
              <w:rPr>
                <w:i/>
                <w:iCs/>
                <w:lang w:val="es-ES_tradnl" w:eastAsia="nl-NL"/>
              </w:rPr>
              <w:t>d)</w:t>
            </w:r>
            <w:r w:rsidRPr="003E6986">
              <w:rPr>
                <w:lang w:val="es-ES_tradnl" w:eastAsia="nl-NL"/>
              </w:rPr>
              <w:tab/>
              <w:t>satisfacer las necesidades específicas de un país o zona, cuando no sea posible atender esas necesidades de otro modo dentro del Cuadro de atribución de bandas de frecuencias;</w:t>
            </w:r>
          </w:p>
          <w:p w14:paraId="6AEBE933" w14:textId="77777777" w:rsidR="00472816" w:rsidRPr="003E6986" w:rsidRDefault="00472816" w:rsidP="00BD2741">
            <w:pPr>
              <w:pStyle w:val="Tabletext"/>
              <w:tabs>
                <w:tab w:val="clear" w:pos="284"/>
                <w:tab w:val="left" w:pos="463"/>
              </w:tabs>
              <w:jc w:val="both"/>
              <w:rPr>
                <w:lang w:val="es-ES_tradnl" w:eastAsia="nl-NL"/>
              </w:rPr>
            </w:pPr>
            <w:r w:rsidRPr="003E6986">
              <w:rPr>
                <w:lang w:val="es-ES_tradnl" w:eastAsia="nl-NL"/>
              </w:rPr>
              <w:t>4</w:t>
            </w:r>
            <w:r w:rsidRPr="003E6986">
              <w:rPr>
                <w:lang w:val="es-ES_tradnl" w:eastAsia="nl-NL"/>
              </w:rPr>
              <w:tab/>
              <w:t>que las notas cuya finalidad sea común tengan el mismo formato y, siempre que sea posible, se agrupen en una sola nota, con las correspondientes referencias a las bandas de frecuencias pertinentes,</w:t>
            </w:r>
          </w:p>
          <w:p w14:paraId="775E4921" w14:textId="77777777" w:rsidR="00472816" w:rsidRPr="003E6986" w:rsidRDefault="00472816" w:rsidP="00BD2741">
            <w:pPr>
              <w:pStyle w:val="Tabletext"/>
              <w:tabs>
                <w:tab w:val="clear" w:pos="284"/>
                <w:tab w:val="left" w:pos="463"/>
              </w:tabs>
              <w:ind w:left="454"/>
              <w:jc w:val="both"/>
              <w:rPr>
                <w:rFonts w:eastAsia="???"/>
                <w:i/>
                <w:iCs/>
                <w:lang w:val="es-ES_tradnl" w:eastAsia="nl-NL"/>
              </w:rPr>
            </w:pPr>
            <w:proofErr w:type="gramStart"/>
            <w:r w:rsidRPr="003E6986">
              <w:rPr>
                <w:rFonts w:eastAsia="???"/>
                <w:i/>
                <w:iCs/>
                <w:lang w:val="es-ES_tradnl" w:eastAsia="nl-NL"/>
              </w:rPr>
              <w:t>resuelve</w:t>
            </w:r>
            <w:proofErr w:type="gramEnd"/>
            <w:r w:rsidRPr="003E6986">
              <w:rPr>
                <w:rFonts w:eastAsia="???"/>
                <w:i/>
                <w:iCs/>
                <w:lang w:val="es-ES_tradnl" w:eastAsia="nl-NL"/>
              </w:rPr>
              <w:t xml:space="preserve"> además</w:t>
            </w:r>
          </w:p>
          <w:p w14:paraId="77285DB6" w14:textId="77777777" w:rsidR="00472816" w:rsidRPr="003E6986" w:rsidRDefault="00472816" w:rsidP="00BD2741">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que la adición de una nueva nota o la modificación de una nota existente sólo sea examinada por una CMR:</w:t>
            </w:r>
          </w:p>
          <w:p w14:paraId="62A01084" w14:textId="77777777" w:rsidR="00472816" w:rsidRPr="003E6986" w:rsidRDefault="00472816" w:rsidP="00BD2741">
            <w:pPr>
              <w:pStyle w:val="Tabletext"/>
              <w:tabs>
                <w:tab w:val="clear" w:pos="284"/>
                <w:tab w:val="left" w:pos="463"/>
              </w:tabs>
              <w:ind w:left="463" w:hanging="463"/>
              <w:jc w:val="both"/>
              <w:rPr>
                <w:lang w:val="es-ES_tradnl" w:eastAsia="nl-NL"/>
              </w:rPr>
            </w:pPr>
            <w:r w:rsidRPr="003E6986">
              <w:rPr>
                <w:i/>
                <w:iCs/>
                <w:lang w:val="es-ES_tradnl" w:eastAsia="nl-NL"/>
              </w:rPr>
              <w:t>a)</w:t>
            </w:r>
            <w:r w:rsidRPr="003E6986">
              <w:rPr>
                <w:lang w:val="es-ES_tradnl" w:eastAsia="nl-NL"/>
              </w:rPr>
              <w:tab/>
              <w:t>cuando en el orden del día de dicha CMR figure explícitamente la banda de frecuencias a la que se refiere la propuesta de adición o modificación de la nota; o</w:t>
            </w:r>
          </w:p>
          <w:p w14:paraId="31A68C78" w14:textId="77777777" w:rsidR="00472816" w:rsidRPr="003E6986" w:rsidRDefault="00472816" w:rsidP="00BD2741">
            <w:pPr>
              <w:pStyle w:val="Tabletext"/>
              <w:tabs>
                <w:tab w:val="clear" w:pos="284"/>
                <w:tab w:val="left" w:pos="463"/>
              </w:tabs>
              <w:ind w:left="463" w:hanging="463"/>
              <w:jc w:val="both"/>
              <w:rPr>
                <w:lang w:val="es-ES_tradnl" w:eastAsia="nl-NL"/>
              </w:rPr>
            </w:pPr>
            <w:r w:rsidRPr="003E6986">
              <w:rPr>
                <w:i/>
                <w:iCs/>
                <w:lang w:val="es-ES_tradnl" w:eastAsia="nl-NL"/>
              </w:rPr>
              <w:lastRenderedPageBreak/>
              <w:t>b)</w:t>
            </w:r>
            <w:r w:rsidRPr="003E6986">
              <w:rPr>
                <w:lang w:val="es-ES_tradnl" w:eastAsia="nl-NL"/>
              </w:rPr>
              <w:tab/>
              <w:t>cuando, durante la CMR, se consideren las bandas de frecuencias a las que se refieren las adiciones o modificaciones deseadas de la nota y la CMR decida introducir cambios en esas bandas; o</w:t>
            </w:r>
          </w:p>
          <w:p w14:paraId="5D679C60" w14:textId="77777777" w:rsidR="00472816" w:rsidRPr="003E6986" w:rsidRDefault="00472816" w:rsidP="00BD2741">
            <w:pPr>
              <w:pStyle w:val="Tabletext"/>
              <w:tabs>
                <w:tab w:val="clear" w:pos="284"/>
                <w:tab w:val="left" w:pos="463"/>
              </w:tabs>
              <w:ind w:left="463" w:hanging="463"/>
              <w:jc w:val="both"/>
              <w:rPr>
                <w:lang w:val="es-ES_tradnl" w:eastAsia="nl-NL"/>
              </w:rPr>
            </w:pPr>
            <w:r w:rsidRPr="003E6986">
              <w:rPr>
                <w:i/>
                <w:iCs/>
                <w:lang w:val="es-ES_tradnl" w:eastAsia="nl-NL"/>
              </w:rPr>
              <w:t>c)</w:t>
            </w:r>
            <w:r w:rsidRPr="003E6986">
              <w:rPr>
                <w:lang w:val="es-ES_tradnl" w:eastAsia="nl-NL"/>
              </w:rPr>
              <w:tab/>
              <w:t>cuando la adición o modificación figure específicamente en el orden del día de la CMR como resultado del examen de las propuestas presentadas por la administración o las administraciones interesadas;</w:t>
            </w:r>
          </w:p>
          <w:p w14:paraId="6AE70556" w14:textId="6C87F0BC" w:rsidR="00472816" w:rsidRPr="003E6986" w:rsidRDefault="00472816" w:rsidP="00BD2741">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que se incluya un punto permanente en los órdenes del día recomendados de las futuras conferencias mundiales de radiocomunicaciones que permita examinar propuestas de las administraciones relativas a la supresión de notas referentes a países o de nombres de países en las notas, cuando ya no sean necesarios</w:t>
            </w:r>
            <w:r w:rsidR="006742B0" w:rsidRPr="003E6986">
              <w:rPr>
                <w:rStyle w:val="FootnoteReference"/>
                <w:sz w:val="14"/>
                <w:lang w:val="es-ES_tradnl" w:eastAsia="nl-NL"/>
              </w:rPr>
              <w:footnoteReference w:customMarkFollows="1" w:id="17"/>
              <w:t>1</w:t>
            </w:r>
            <w:r w:rsidRPr="003E6986">
              <w:rPr>
                <w:lang w:val="es-ES_tradnl" w:eastAsia="nl-NL"/>
              </w:rPr>
              <w:t>;</w:t>
            </w:r>
          </w:p>
          <w:p w14:paraId="3BC494C0" w14:textId="13BFE757" w:rsidR="00472816" w:rsidRPr="003E6986" w:rsidRDefault="00472816" w:rsidP="00BD2741">
            <w:pPr>
              <w:pStyle w:val="Tabletext"/>
              <w:tabs>
                <w:tab w:val="clear" w:pos="284"/>
                <w:tab w:val="left" w:pos="463"/>
              </w:tabs>
              <w:jc w:val="both"/>
              <w:rPr>
                <w:lang w:val="es-ES_tradnl" w:eastAsia="nl-NL"/>
              </w:rPr>
            </w:pPr>
            <w:r w:rsidRPr="003E6986">
              <w:rPr>
                <w:lang w:val="es-ES_tradnl" w:eastAsia="nl-NL"/>
              </w:rPr>
              <w:t>3</w:t>
            </w:r>
            <w:r w:rsidRPr="003E6986">
              <w:rPr>
                <w:lang w:val="es-ES_tradnl" w:eastAsia="nl-NL"/>
              </w:rPr>
              <w:tab/>
            </w:r>
            <w:r w:rsidR="00C068E7" w:rsidRPr="003E6986">
              <w:rPr>
                <w:lang w:val="es-ES_tradnl"/>
              </w:rPr>
              <w:t xml:space="preserve">que, en los casos no abarcados por los </w:t>
            </w:r>
            <w:r w:rsidR="00C068E7" w:rsidRPr="003E6986">
              <w:rPr>
                <w:i/>
                <w:iCs/>
                <w:lang w:val="es-ES_tradnl"/>
              </w:rPr>
              <w:t>resuelve además</w:t>
            </w:r>
            <w:r w:rsidR="00C068E7" w:rsidRPr="003E6986">
              <w:rPr>
                <w:i/>
                <w:lang w:val="es-ES_tradnl"/>
              </w:rPr>
              <w:t> </w:t>
            </w:r>
            <w:r w:rsidR="00C068E7" w:rsidRPr="003E6986">
              <w:rPr>
                <w:lang w:val="es-ES_tradnl"/>
              </w:rPr>
              <w:t>1 y 2, la CMR podrá examinar, con carácter excepcional, propuestas relativas a nuevas notas o modificación de notas existentes siempre que tales propuestas se refieran a la rectificación de omisiones, incoherencias, ambigüedades o errores obvios, y que se hayan sometido a la UIT con arreglo a lo estipulado en el número 40 del Reglamento General de las conferencias, asambleas y reuniones de la Unión,</w:t>
            </w:r>
          </w:p>
          <w:p w14:paraId="7F8B61CA" w14:textId="77777777" w:rsidR="00472816" w:rsidRPr="003E6986" w:rsidRDefault="00472816" w:rsidP="00BD2741">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insta a las administraciones</w:t>
            </w:r>
          </w:p>
          <w:p w14:paraId="21336CA2" w14:textId="77777777" w:rsidR="00472816" w:rsidRPr="003E6986" w:rsidRDefault="00472816" w:rsidP="00BD2741">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a que revisen las notas periódicamente y propongan la supresión de notas referentes a su país o del nombre de su país en una nota, según corresponda;</w:t>
            </w:r>
          </w:p>
          <w:p w14:paraId="11A760BC" w14:textId="77777777" w:rsidR="004A7B85" w:rsidRPr="003E6986" w:rsidRDefault="00472816" w:rsidP="00BD2741">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 xml:space="preserve">a que tengan en cuenta los </w:t>
            </w:r>
            <w:r w:rsidRPr="003E6986">
              <w:rPr>
                <w:i/>
                <w:lang w:val="es-ES_tradnl" w:eastAsia="nl-NL"/>
              </w:rPr>
              <w:t>resuelve además</w:t>
            </w:r>
            <w:r w:rsidRPr="003E6986">
              <w:rPr>
                <w:lang w:val="es-ES_tradnl" w:eastAsia="nl-NL"/>
              </w:rPr>
              <w:t xml:space="preserve"> al efectuar propuestas a las conferencias mundiales de radiocomunicaciones en relación con las notas o los nombres de países en las notas.</w:t>
            </w:r>
          </w:p>
          <w:p w14:paraId="347E3DCF" w14:textId="77777777" w:rsidR="008974BA" w:rsidRPr="003E6986" w:rsidRDefault="008974BA" w:rsidP="008974BA">
            <w:pPr>
              <w:pStyle w:val="Tabletext"/>
              <w:tabs>
                <w:tab w:val="clear" w:pos="284"/>
                <w:tab w:val="left" w:pos="463"/>
              </w:tabs>
              <w:jc w:val="both"/>
              <w:rPr>
                <w:lang w:val="es-ES_tradnl" w:eastAsia="nl-NL"/>
              </w:rPr>
            </w:pPr>
            <w:r w:rsidRPr="003E6986">
              <w:rPr>
                <w:lang w:val="es-ES_tradnl" w:eastAsia="nl-NL"/>
              </w:rPr>
              <w:t>3</w:t>
            </w:r>
            <w:r w:rsidRPr="003E6986">
              <w:rPr>
                <w:lang w:val="es-ES_tradnl" w:eastAsia="nl-NL"/>
              </w:rPr>
              <w:tab/>
              <w:t xml:space="preserve">a que presenten sus propuestas a la CMR en relación con los casos considerados en el </w:t>
            </w:r>
            <w:r w:rsidRPr="003E6986">
              <w:rPr>
                <w:i/>
                <w:lang w:val="es-ES_tradnl" w:eastAsia="nl-NL"/>
              </w:rPr>
              <w:t>resuelve además</w:t>
            </w:r>
            <w:r w:rsidRPr="003E6986">
              <w:rPr>
                <w:lang w:val="es-ES_tradnl" w:eastAsia="nl-NL"/>
              </w:rPr>
              <w:t xml:space="preserve"> 1, en el marco de los puntos pertinentes del orden del día de la Conferencia, según corresponda (véase la sección B del Anexo 1 a la presente Resolución);</w:t>
            </w:r>
          </w:p>
          <w:p w14:paraId="33ED9309" w14:textId="6A1608A3" w:rsidR="008974BA" w:rsidRPr="003E6986" w:rsidRDefault="008974BA" w:rsidP="008974BA">
            <w:pPr>
              <w:pStyle w:val="Tabletext"/>
              <w:tabs>
                <w:tab w:val="clear" w:pos="284"/>
                <w:tab w:val="left" w:pos="463"/>
              </w:tabs>
              <w:jc w:val="both"/>
              <w:rPr>
                <w:lang w:val="es-ES_tradnl" w:eastAsia="nl-NL"/>
              </w:rPr>
            </w:pPr>
            <w:r w:rsidRPr="003E6986">
              <w:rPr>
                <w:lang w:val="es-ES_tradnl" w:eastAsia="nl-NL"/>
              </w:rPr>
              <w:t>4</w:t>
            </w:r>
            <w:r w:rsidRPr="003E6986">
              <w:rPr>
                <w:lang w:val="es-ES_tradnl" w:eastAsia="nl-NL"/>
              </w:rPr>
              <w:tab/>
              <w:t xml:space="preserve">a que presenten sus propuestas en el marco del punto permanente del orden del día de la CMR, descrito en el </w:t>
            </w:r>
            <w:r w:rsidRPr="003E6986">
              <w:rPr>
                <w:i/>
                <w:lang w:val="es-ES_tradnl" w:eastAsia="nl-NL"/>
              </w:rPr>
              <w:t>resuelve además</w:t>
            </w:r>
            <w:r w:rsidRPr="003E6986">
              <w:rPr>
                <w:lang w:val="es-ES_tradnl" w:eastAsia="nl-NL"/>
              </w:rPr>
              <w:t xml:space="preserve"> 2, a la segunda sesión de la Reunión Preparatoria de la Conferencia a título exclusivamente informativo, si disponen de ellas, a fin de posibilitar el debate con las administraciones afectadas.</w:t>
            </w:r>
          </w:p>
        </w:tc>
        <w:tc>
          <w:tcPr>
            <w:tcW w:w="1433" w:type="dxa"/>
            <w:gridSpan w:val="2"/>
          </w:tcPr>
          <w:p w14:paraId="3C2E9BE8" w14:textId="77777777" w:rsidR="004A7B85" w:rsidRPr="003E6986" w:rsidRDefault="004A7B85" w:rsidP="00E71DEC">
            <w:pPr>
              <w:pStyle w:val="Tabletext"/>
              <w:tabs>
                <w:tab w:val="clear" w:pos="284"/>
                <w:tab w:val="left" w:pos="463"/>
              </w:tabs>
              <w:jc w:val="center"/>
              <w:rPr>
                <w:lang w:val="es-ES_tradnl" w:eastAsia="nl-NL"/>
              </w:rPr>
            </w:pPr>
            <w:r w:rsidRPr="003E6986">
              <w:rPr>
                <w:lang w:val="es-ES_tradnl" w:eastAsia="nl-NL"/>
              </w:rPr>
              <w:lastRenderedPageBreak/>
              <w:t>–</w:t>
            </w:r>
          </w:p>
        </w:tc>
      </w:tr>
      <w:tr w:rsidR="004A7B85" w:rsidRPr="008653C7" w14:paraId="12F5946B" w14:textId="77777777" w:rsidTr="004B4C74">
        <w:trPr>
          <w:cantSplit/>
          <w:jc w:val="center"/>
        </w:trPr>
        <w:tc>
          <w:tcPr>
            <w:tcW w:w="14063" w:type="dxa"/>
            <w:gridSpan w:val="5"/>
          </w:tcPr>
          <w:p w14:paraId="334573F0" w14:textId="77777777" w:rsidR="007E1658" w:rsidRPr="003E6986" w:rsidRDefault="007E1658" w:rsidP="007E1658">
            <w:pPr>
              <w:pStyle w:val="Tabletext"/>
              <w:tabs>
                <w:tab w:val="clear" w:pos="284"/>
                <w:tab w:val="left" w:pos="594"/>
              </w:tabs>
              <w:jc w:val="both"/>
              <w:rPr>
                <w:lang w:val="es-ES_tradnl" w:eastAsia="nl-NL"/>
              </w:rPr>
            </w:pPr>
            <w:r w:rsidRPr="003E6986">
              <w:rPr>
                <w:lang w:val="es-ES_tradnl" w:eastAsia="nl-NL"/>
              </w:rPr>
              <w:lastRenderedPageBreak/>
              <w:t>9</w:t>
            </w:r>
            <w:r w:rsidRPr="003E6986">
              <w:rPr>
                <w:lang w:val="es-ES_tradnl" w:eastAsia="nl-NL"/>
              </w:rPr>
              <w:tab/>
              <w:t>examinar y aprobar el Informe del Director de la Oficina de Radiocomunicaciones, de conformidad con el Artículo 7 del Convenio de la UIT:</w:t>
            </w:r>
          </w:p>
          <w:p w14:paraId="0FB7A304" w14:textId="773961E2" w:rsidR="007E1658" w:rsidRPr="003E6986" w:rsidRDefault="007E1658" w:rsidP="007E1658">
            <w:pPr>
              <w:pStyle w:val="Tabletext"/>
              <w:tabs>
                <w:tab w:val="clear" w:pos="284"/>
                <w:tab w:val="left" w:pos="594"/>
              </w:tabs>
              <w:jc w:val="both"/>
              <w:rPr>
                <w:lang w:val="es-ES_tradnl" w:eastAsia="nl-NL"/>
              </w:rPr>
            </w:pPr>
            <w:r w:rsidRPr="003E6986">
              <w:rPr>
                <w:lang w:val="es-ES_tradnl" w:eastAsia="nl-NL"/>
              </w:rPr>
              <w:t>9.1</w:t>
            </w:r>
            <w:r w:rsidRPr="003E6986">
              <w:rPr>
                <w:lang w:val="es-ES_tradnl" w:eastAsia="nl-NL"/>
              </w:rPr>
              <w:tab/>
              <w:t>sobre las actividades del Sector de Radiocomunicaciones desde la CMR</w:t>
            </w:r>
            <w:r w:rsidR="00C068E7" w:rsidRPr="003E6986">
              <w:rPr>
                <w:lang w:val="es-ES_tradnl" w:eastAsia="nl-NL"/>
              </w:rPr>
              <w:t>-</w:t>
            </w:r>
            <w:r w:rsidRPr="003E6986">
              <w:rPr>
                <w:lang w:val="es-ES_tradnl" w:eastAsia="nl-NL"/>
              </w:rPr>
              <w:t>23</w:t>
            </w:r>
            <w:r w:rsidR="00C068E7" w:rsidRPr="003E6986">
              <w:rPr>
                <w:rFonts w:ascii="Times New Roman" w:hAnsi="Times New Roman" w:cs="Times New Roman"/>
                <w:position w:val="6"/>
                <w:sz w:val="14"/>
                <w:szCs w:val="20"/>
                <w:lang w:val="es-ES_tradnl"/>
              </w:rPr>
              <w:footnoteReference w:customMarkFollows="1" w:id="18"/>
              <w:t>1</w:t>
            </w:r>
            <w:r w:rsidRPr="003E6986">
              <w:rPr>
                <w:lang w:val="es-ES_tradnl" w:eastAsia="nl-NL"/>
              </w:rPr>
              <w:t>;</w:t>
            </w:r>
          </w:p>
        </w:tc>
      </w:tr>
      <w:tr w:rsidR="004A7B85" w:rsidRPr="003E6986" w14:paraId="6D4BF8BE" w14:textId="77777777" w:rsidTr="00121789">
        <w:trPr>
          <w:cantSplit/>
          <w:jc w:val="center"/>
        </w:trPr>
        <w:tc>
          <w:tcPr>
            <w:tcW w:w="3304" w:type="dxa"/>
            <w:shd w:val="clear" w:color="auto" w:fill="auto"/>
          </w:tcPr>
          <w:p w14:paraId="1B2103FB" w14:textId="4D28458D" w:rsidR="004A7B85" w:rsidRPr="003E6986" w:rsidRDefault="00855045" w:rsidP="00E71DEC">
            <w:pPr>
              <w:pStyle w:val="Tabletext"/>
              <w:tabs>
                <w:tab w:val="clear" w:pos="284"/>
                <w:tab w:val="left" w:pos="463"/>
              </w:tabs>
              <w:rPr>
                <w:lang w:val="es-ES_tradnl" w:eastAsia="nl-NL"/>
              </w:rPr>
            </w:pPr>
            <w:r w:rsidRPr="003E6986">
              <w:rPr>
                <w:lang w:val="es-ES_tradnl"/>
              </w:rPr>
              <w:t>–</w:t>
            </w:r>
          </w:p>
        </w:tc>
        <w:tc>
          <w:tcPr>
            <w:tcW w:w="1517" w:type="dxa"/>
          </w:tcPr>
          <w:p w14:paraId="5CA279CA" w14:textId="4A90ED22" w:rsidR="004A7B85" w:rsidRPr="003E6986" w:rsidRDefault="00121789" w:rsidP="004A7B85">
            <w:pPr>
              <w:tabs>
                <w:tab w:val="clear" w:pos="794"/>
                <w:tab w:val="clear" w:pos="1191"/>
                <w:tab w:val="clear" w:pos="1588"/>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sz w:val="20"/>
                <w:lang w:val="es-ES_tradnl" w:eastAsia="nl-NL"/>
              </w:rPr>
            </w:pPr>
            <w:r w:rsidRPr="003E6986">
              <w:rPr>
                <w:lang w:val="es-ES_tradnl"/>
              </w:rPr>
              <w:t>–</w:t>
            </w:r>
          </w:p>
        </w:tc>
        <w:tc>
          <w:tcPr>
            <w:tcW w:w="7809" w:type="dxa"/>
            <w:vAlign w:val="center"/>
          </w:tcPr>
          <w:p w14:paraId="325F47D3" w14:textId="02103CA4" w:rsidR="004A7B85" w:rsidRPr="003E6986" w:rsidRDefault="00855045" w:rsidP="00121789">
            <w:pPr>
              <w:tabs>
                <w:tab w:val="clear" w:pos="794"/>
                <w:tab w:val="clear" w:pos="1191"/>
                <w:tab w:val="clear" w:pos="1588"/>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rPr>
                <w:lang w:val="es-ES_tradnl" w:eastAsia="nl-NL"/>
              </w:rPr>
            </w:pPr>
            <w:r w:rsidRPr="003E6986">
              <w:rPr>
                <w:lang w:val="es-ES_tradnl"/>
              </w:rPr>
              <w:t>–</w:t>
            </w:r>
          </w:p>
        </w:tc>
        <w:tc>
          <w:tcPr>
            <w:tcW w:w="1433" w:type="dxa"/>
            <w:gridSpan w:val="2"/>
          </w:tcPr>
          <w:p w14:paraId="0C5328AC" w14:textId="5A0B8B0E" w:rsidR="004A7B85" w:rsidRPr="003E6986" w:rsidRDefault="00855045" w:rsidP="004A7B85">
            <w:pPr>
              <w:tabs>
                <w:tab w:val="clear" w:pos="794"/>
                <w:tab w:val="clear" w:pos="1191"/>
                <w:tab w:val="clear" w:pos="1588"/>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sz w:val="20"/>
                <w:lang w:val="es-ES_tradnl" w:eastAsia="nl-NL"/>
              </w:rPr>
            </w:pPr>
            <w:r w:rsidRPr="003E6986">
              <w:rPr>
                <w:lang w:val="es-ES_tradnl"/>
              </w:rPr>
              <w:t>–</w:t>
            </w:r>
          </w:p>
        </w:tc>
      </w:tr>
      <w:tr w:rsidR="004A7B85" w:rsidRPr="008653C7" w14:paraId="19F375E4" w14:textId="77777777" w:rsidTr="004B4C74">
        <w:trPr>
          <w:cantSplit/>
          <w:jc w:val="center"/>
        </w:trPr>
        <w:tc>
          <w:tcPr>
            <w:tcW w:w="14063" w:type="dxa"/>
            <w:gridSpan w:val="5"/>
          </w:tcPr>
          <w:p w14:paraId="7F84851C" w14:textId="2AD86328" w:rsidR="004A7B85" w:rsidRPr="003E6986" w:rsidRDefault="004A7B85" w:rsidP="00121789">
            <w:pPr>
              <w:pStyle w:val="Tabletext"/>
              <w:keepNext/>
              <w:keepLines/>
              <w:tabs>
                <w:tab w:val="clear" w:pos="284"/>
                <w:tab w:val="left" w:pos="594"/>
              </w:tabs>
              <w:rPr>
                <w:bCs/>
                <w:lang w:val="es-ES_tradnl" w:eastAsia="nl-NL"/>
              </w:rPr>
            </w:pPr>
            <w:r w:rsidRPr="003E6986">
              <w:rPr>
                <w:bCs/>
                <w:lang w:val="es-ES_tradnl" w:eastAsia="nl-NL"/>
              </w:rPr>
              <w:t>9.2</w:t>
            </w:r>
            <w:r w:rsidRPr="003E6986">
              <w:rPr>
                <w:bCs/>
                <w:lang w:val="es-ES_tradnl" w:eastAsia="nl-NL"/>
              </w:rPr>
              <w:tab/>
            </w:r>
            <w:r w:rsidR="00A66ACE" w:rsidRPr="003E6986">
              <w:rPr>
                <w:bCs/>
                <w:lang w:val="es-ES_tradnl" w:eastAsia="nl-NL"/>
              </w:rPr>
              <w:t>sobre las dificultades o incoherencias observadas en la aplicación del Reglamento de Radiocomunicaciones</w:t>
            </w:r>
            <w:r w:rsidR="00C068E7" w:rsidRPr="003E6986">
              <w:rPr>
                <w:vertAlign w:val="superscript"/>
                <w:lang w:val="es-ES_tradnl"/>
              </w:rPr>
              <w:footnoteReference w:customMarkFollows="1" w:id="19"/>
              <w:t>2</w:t>
            </w:r>
            <w:r w:rsidR="00A66ACE" w:rsidRPr="003E6986">
              <w:rPr>
                <w:bCs/>
                <w:lang w:val="es-ES_tradnl" w:eastAsia="nl-NL"/>
              </w:rPr>
              <w:t>, y</w:t>
            </w:r>
          </w:p>
        </w:tc>
      </w:tr>
      <w:tr w:rsidR="004A7B85" w:rsidRPr="003E6986" w14:paraId="0240E118" w14:textId="77777777" w:rsidTr="004B4C74">
        <w:trPr>
          <w:cantSplit/>
          <w:jc w:val="center"/>
        </w:trPr>
        <w:tc>
          <w:tcPr>
            <w:tcW w:w="3304" w:type="dxa"/>
          </w:tcPr>
          <w:p w14:paraId="2BFE62E7" w14:textId="77777777" w:rsidR="004A7B85" w:rsidRPr="003E6986" w:rsidRDefault="004A7B85" w:rsidP="00C10E36">
            <w:pPr>
              <w:keepNext/>
              <w:keepLines/>
              <w:tabs>
                <w:tab w:val="clear" w:pos="794"/>
                <w:tab w:val="clear" w:pos="1191"/>
                <w:tab w:val="clear" w:pos="1588"/>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rPr>
                <w:sz w:val="20"/>
                <w:lang w:val="es-ES_tradnl" w:eastAsia="nl-NL"/>
              </w:rPr>
            </w:pPr>
            <w:r w:rsidRPr="003E6986">
              <w:rPr>
                <w:sz w:val="20"/>
                <w:lang w:val="es-ES_tradnl" w:eastAsia="nl-NL"/>
              </w:rPr>
              <w:t>–</w:t>
            </w:r>
          </w:p>
        </w:tc>
        <w:tc>
          <w:tcPr>
            <w:tcW w:w="1517" w:type="dxa"/>
          </w:tcPr>
          <w:p w14:paraId="5924FECD" w14:textId="77777777" w:rsidR="004A7B85" w:rsidRPr="003E6986" w:rsidRDefault="004A7B85" w:rsidP="00BD2741">
            <w:pPr>
              <w:tabs>
                <w:tab w:val="clear" w:pos="794"/>
                <w:tab w:val="clear" w:pos="1191"/>
                <w:tab w:val="clear" w:pos="1588"/>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sz w:val="20"/>
                <w:lang w:val="es-ES_tradnl" w:eastAsia="nl-NL"/>
              </w:rPr>
            </w:pPr>
            <w:r w:rsidRPr="003E6986">
              <w:rPr>
                <w:sz w:val="20"/>
                <w:lang w:val="es-ES_tradnl" w:eastAsia="nl-NL"/>
              </w:rPr>
              <w:t>–</w:t>
            </w:r>
          </w:p>
        </w:tc>
        <w:tc>
          <w:tcPr>
            <w:tcW w:w="7809" w:type="dxa"/>
          </w:tcPr>
          <w:p w14:paraId="7B4FD1DD" w14:textId="77777777" w:rsidR="004A7B85" w:rsidRPr="003E6986" w:rsidRDefault="004A7B85" w:rsidP="004A7B85">
            <w:pPr>
              <w:tabs>
                <w:tab w:val="clear" w:pos="794"/>
                <w:tab w:val="clear" w:pos="1191"/>
                <w:tab w:val="clear" w:pos="1588"/>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rPr>
                <w:sz w:val="20"/>
                <w:lang w:val="es-ES_tradnl" w:eastAsia="nl-NL"/>
              </w:rPr>
            </w:pPr>
            <w:r w:rsidRPr="003E6986">
              <w:rPr>
                <w:sz w:val="20"/>
                <w:lang w:val="es-ES_tradnl" w:eastAsia="nl-NL"/>
              </w:rPr>
              <w:t>–</w:t>
            </w:r>
          </w:p>
        </w:tc>
        <w:tc>
          <w:tcPr>
            <w:tcW w:w="1433" w:type="dxa"/>
            <w:gridSpan w:val="2"/>
          </w:tcPr>
          <w:p w14:paraId="403311DB" w14:textId="77777777" w:rsidR="004A7B85" w:rsidRPr="003E6986" w:rsidRDefault="004A7B85" w:rsidP="00BD2741">
            <w:pPr>
              <w:tabs>
                <w:tab w:val="clear" w:pos="794"/>
                <w:tab w:val="clear" w:pos="1191"/>
                <w:tab w:val="clear" w:pos="1588"/>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sz w:val="20"/>
                <w:lang w:val="es-ES_tradnl" w:eastAsia="nl-NL"/>
              </w:rPr>
            </w:pPr>
            <w:r w:rsidRPr="003E6986">
              <w:rPr>
                <w:sz w:val="20"/>
                <w:lang w:val="es-ES_tradnl" w:eastAsia="nl-NL"/>
              </w:rPr>
              <w:t>–</w:t>
            </w:r>
          </w:p>
        </w:tc>
      </w:tr>
      <w:tr w:rsidR="004A7B85" w:rsidRPr="008653C7" w14:paraId="6483BE47" w14:textId="77777777" w:rsidTr="004B4C74">
        <w:trPr>
          <w:cantSplit/>
          <w:jc w:val="center"/>
        </w:trPr>
        <w:tc>
          <w:tcPr>
            <w:tcW w:w="14063" w:type="dxa"/>
            <w:gridSpan w:val="5"/>
          </w:tcPr>
          <w:p w14:paraId="0E0803BA" w14:textId="1C76B49E" w:rsidR="004A7B85" w:rsidRPr="003E6986" w:rsidRDefault="004A7B85" w:rsidP="00E56659">
            <w:pPr>
              <w:pStyle w:val="Tabletext"/>
              <w:keepNext/>
              <w:tabs>
                <w:tab w:val="clear" w:pos="284"/>
                <w:tab w:val="left" w:pos="594"/>
              </w:tabs>
              <w:rPr>
                <w:bCs/>
                <w:lang w:val="es-ES_tradnl" w:eastAsia="nl-NL"/>
              </w:rPr>
            </w:pPr>
            <w:r w:rsidRPr="003E6986">
              <w:rPr>
                <w:bCs/>
                <w:lang w:val="es-ES_tradnl" w:eastAsia="nl-NL"/>
              </w:rPr>
              <w:t>9.3</w:t>
            </w:r>
            <w:r w:rsidRPr="003E6986">
              <w:rPr>
                <w:bCs/>
                <w:lang w:val="es-ES_tradnl" w:eastAsia="nl-NL"/>
              </w:rPr>
              <w:tab/>
            </w:r>
            <w:r w:rsidR="00A66ACE" w:rsidRPr="003E6986">
              <w:rPr>
                <w:bCs/>
                <w:lang w:val="es-ES_tradnl" w:eastAsia="nl-NL"/>
              </w:rPr>
              <w:t xml:space="preserve">sobre acciones en respuesta a la Resolución </w:t>
            </w:r>
            <w:r w:rsidR="00A66ACE" w:rsidRPr="003E6986">
              <w:rPr>
                <w:b/>
                <w:lang w:val="es-ES_tradnl" w:eastAsia="nl-NL"/>
              </w:rPr>
              <w:t>80 (Rev.CMR-07)</w:t>
            </w:r>
            <w:r w:rsidR="00A66ACE" w:rsidRPr="003E6986">
              <w:rPr>
                <w:bCs/>
                <w:lang w:val="es-ES_tradnl" w:eastAsia="nl-NL"/>
              </w:rPr>
              <w:t>;</w:t>
            </w:r>
          </w:p>
        </w:tc>
      </w:tr>
      <w:tr w:rsidR="004A7B85" w:rsidRPr="003E6986" w14:paraId="53AFDEBA" w14:textId="77777777" w:rsidTr="004B4C74">
        <w:trPr>
          <w:cantSplit/>
          <w:jc w:val="center"/>
        </w:trPr>
        <w:tc>
          <w:tcPr>
            <w:tcW w:w="3304" w:type="dxa"/>
          </w:tcPr>
          <w:p w14:paraId="2D27941E" w14:textId="7040550D" w:rsidR="004A7B85" w:rsidRPr="003E6986" w:rsidRDefault="00537CF6" w:rsidP="00537CF6">
            <w:pPr>
              <w:pStyle w:val="Tabletext"/>
              <w:tabs>
                <w:tab w:val="clear" w:pos="284"/>
                <w:tab w:val="left" w:pos="463"/>
              </w:tabs>
              <w:rPr>
                <w:b/>
                <w:lang w:val="es-ES_tradnl" w:eastAsia="nl-NL"/>
              </w:rPr>
            </w:pPr>
            <w:r w:rsidRPr="003E6986">
              <w:rPr>
                <w:lang w:val="es-ES_tradnl" w:eastAsia="nl-NL"/>
              </w:rPr>
              <w:t>Resolución</w:t>
            </w:r>
            <w:r w:rsidR="004A7B85" w:rsidRPr="003E6986">
              <w:rPr>
                <w:b/>
                <w:lang w:val="es-ES_tradnl" w:eastAsia="nl-NL"/>
              </w:rPr>
              <w:t> 80 (</w:t>
            </w:r>
            <w:proofErr w:type="spellStart"/>
            <w:r w:rsidR="004A7B85" w:rsidRPr="003E6986">
              <w:rPr>
                <w:b/>
                <w:lang w:val="es-ES_tradnl" w:eastAsia="nl-NL"/>
              </w:rPr>
              <w:t>Rev.</w:t>
            </w:r>
            <w:r w:rsidR="00FD39FB" w:rsidRPr="003E6986">
              <w:rPr>
                <w:b/>
                <w:lang w:val="es-ES_tradnl" w:eastAsia="nl-NL"/>
              </w:rPr>
              <w:t>CMR</w:t>
            </w:r>
            <w:proofErr w:type="spellEnd"/>
            <w:r w:rsidR="004A7B85" w:rsidRPr="003E6986">
              <w:rPr>
                <w:b/>
                <w:lang w:val="es-ES_tradnl" w:eastAsia="nl-NL"/>
              </w:rPr>
              <w:noBreakHyphen/>
              <w:t>07)</w:t>
            </w:r>
          </w:p>
          <w:p w14:paraId="626A1312" w14:textId="330A85A4" w:rsidR="004A7B85" w:rsidRPr="003E6986" w:rsidRDefault="003419ED" w:rsidP="006D5A70">
            <w:pPr>
              <w:pStyle w:val="Tabletext"/>
              <w:tabs>
                <w:tab w:val="clear" w:pos="284"/>
                <w:tab w:val="left" w:pos="463"/>
              </w:tabs>
              <w:rPr>
                <w:color w:val="000000"/>
                <w:lang w:val="es-ES_tradnl" w:eastAsia="nl-NL"/>
              </w:rPr>
            </w:pPr>
            <w:bookmarkStart w:id="27" w:name="_Toc328141266"/>
            <w:r w:rsidRPr="003E6986">
              <w:rPr>
                <w:color w:val="000000"/>
                <w:lang w:val="es-ES_tradnl" w:eastAsia="nl-NL"/>
              </w:rPr>
              <w:t xml:space="preserve">Diligencia debida en la aplicación de los </w:t>
            </w:r>
            <w:r w:rsidRPr="003E6986">
              <w:rPr>
                <w:lang w:val="es-ES_tradnl" w:eastAsia="nl-NL"/>
              </w:rPr>
              <w:t>principios</w:t>
            </w:r>
            <w:r w:rsidR="00537CF6" w:rsidRPr="003E6986">
              <w:rPr>
                <w:lang w:val="es-ES_tradnl" w:eastAsia="nl-NL"/>
              </w:rPr>
              <w:t xml:space="preserve"> </w:t>
            </w:r>
            <w:r w:rsidRPr="003E6986">
              <w:rPr>
                <w:color w:val="000000"/>
                <w:lang w:val="es-ES_tradnl" w:eastAsia="nl-NL"/>
              </w:rPr>
              <w:t>recogidos en la Constitución</w:t>
            </w:r>
            <w:bookmarkEnd w:id="27"/>
          </w:p>
        </w:tc>
        <w:tc>
          <w:tcPr>
            <w:tcW w:w="1517" w:type="dxa"/>
          </w:tcPr>
          <w:p w14:paraId="1A6A8105" w14:textId="77777777" w:rsidR="004A7B85" w:rsidRPr="003E6986" w:rsidRDefault="004A7B85" w:rsidP="00537CF6">
            <w:pPr>
              <w:pStyle w:val="Tabletext"/>
              <w:tabs>
                <w:tab w:val="clear" w:pos="284"/>
                <w:tab w:val="left" w:pos="463"/>
              </w:tabs>
              <w:jc w:val="center"/>
              <w:rPr>
                <w:lang w:val="es-ES_tradnl" w:eastAsia="nl-NL"/>
              </w:rPr>
            </w:pPr>
            <w:r w:rsidRPr="003E6986">
              <w:rPr>
                <w:lang w:val="es-ES_tradnl" w:eastAsia="nl-NL"/>
              </w:rPr>
              <w:t>–</w:t>
            </w:r>
          </w:p>
        </w:tc>
        <w:tc>
          <w:tcPr>
            <w:tcW w:w="7809" w:type="dxa"/>
          </w:tcPr>
          <w:p w14:paraId="02E44A60" w14:textId="78C54E70" w:rsidR="004A7B85" w:rsidRPr="003E6986" w:rsidRDefault="003419ED" w:rsidP="004A2293">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w:t>
            </w:r>
          </w:p>
          <w:p w14:paraId="2A48ADFB" w14:textId="77777777" w:rsidR="003419ED" w:rsidRPr="003E6986" w:rsidRDefault="003419ED" w:rsidP="004A2293">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encargar al Sector de Radiocomunicaciones, de conformidad con el número 1 del Artículo 12 de la Constitución, que realice estudios sobre los procedimientos que permitan ponderar y analizar la aplicación de los principios básicos contenidos en el Artículo 44 de la Constitución;</w:t>
            </w:r>
          </w:p>
          <w:p w14:paraId="41473E0A" w14:textId="77777777" w:rsidR="003419ED" w:rsidRPr="003E6986" w:rsidRDefault="003419ED" w:rsidP="004A2293">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encargar a la Junta del Reglamento de Radiocomunicaciones que considere y examine posibles proyectos de Recomendaciones y proyectos de disposiciones que vinculen los procedimientos formales de notificación, coordinación y registro con los principios contenidos en el Artículo 44 de la Constitución y el número </w:t>
            </w:r>
            <w:r w:rsidRPr="003E6986">
              <w:rPr>
                <w:b/>
                <w:lang w:val="es-ES_tradnl" w:eastAsia="nl-NL"/>
              </w:rPr>
              <w:t>0.3</w:t>
            </w:r>
            <w:r w:rsidRPr="003E6986">
              <w:rPr>
                <w:lang w:val="es-ES_tradnl" w:eastAsia="nl-NL"/>
              </w:rPr>
              <w:t xml:space="preserve"> del Preámbulo del Reglamento de Radiocomunicaciones y que presente un informe a cada futura Conferencia Mundial de Radiocomunicaciones en relación con la presente Resolución;</w:t>
            </w:r>
          </w:p>
          <w:p w14:paraId="1AC12FA9" w14:textId="2157C80A" w:rsidR="004A7B85" w:rsidRPr="003E6986" w:rsidRDefault="003419ED" w:rsidP="004A2293">
            <w:pPr>
              <w:pStyle w:val="Tabletext"/>
              <w:tabs>
                <w:tab w:val="clear" w:pos="284"/>
                <w:tab w:val="left" w:pos="463"/>
              </w:tabs>
              <w:jc w:val="both"/>
              <w:rPr>
                <w:lang w:val="es-ES_tradnl" w:eastAsia="nl-NL"/>
              </w:rPr>
            </w:pPr>
            <w:r w:rsidRPr="003E6986">
              <w:rPr>
                <w:lang w:val="es-ES_tradnl" w:eastAsia="nl-NL"/>
              </w:rPr>
              <w:t>3</w:t>
            </w:r>
            <w:r w:rsidRPr="003E6986">
              <w:rPr>
                <w:lang w:val="es-ES_tradnl" w:eastAsia="nl-NL"/>
              </w:rPr>
              <w:tab/>
              <w:t>encargar al Director de la Oficina de Radiocomunicaciones que presente a las futuras Conferencias Mundiales de Radiocomunicaciones un informe detallado sobre los progresos obtenidos en cuanto al cumplimiento de esta Resolución,</w:t>
            </w:r>
          </w:p>
        </w:tc>
        <w:tc>
          <w:tcPr>
            <w:tcW w:w="1433" w:type="dxa"/>
            <w:gridSpan w:val="2"/>
          </w:tcPr>
          <w:p w14:paraId="004E3765" w14:textId="10FE7C9A" w:rsidR="004A7B85" w:rsidRPr="003E6986" w:rsidRDefault="00A92266" w:rsidP="006B10FF">
            <w:pPr>
              <w:pStyle w:val="Tabletext"/>
              <w:tabs>
                <w:tab w:val="clear" w:pos="284"/>
                <w:tab w:val="left" w:pos="463"/>
              </w:tabs>
              <w:jc w:val="center"/>
              <w:rPr>
                <w:b/>
                <w:bCs/>
                <w:lang w:val="es-ES_tradnl" w:eastAsia="nl-NL"/>
              </w:rPr>
            </w:pPr>
            <w:r w:rsidRPr="003E6986">
              <w:rPr>
                <w:b/>
                <w:bCs/>
                <w:lang w:val="es-ES_tradnl" w:eastAsia="nl-NL"/>
              </w:rPr>
              <w:t>GT</w:t>
            </w:r>
            <w:r w:rsidR="004A7B85" w:rsidRPr="003E6986">
              <w:rPr>
                <w:b/>
                <w:bCs/>
                <w:lang w:val="es-ES_tradnl" w:eastAsia="nl-NL"/>
              </w:rPr>
              <w:t> 4A</w:t>
            </w:r>
          </w:p>
        </w:tc>
      </w:tr>
      <w:tr w:rsidR="004A7B85" w:rsidRPr="008653C7" w14:paraId="15938550" w14:textId="77777777" w:rsidTr="004B4C74">
        <w:trPr>
          <w:cantSplit/>
          <w:jc w:val="center"/>
        </w:trPr>
        <w:tc>
          <w:tcPr>
            <w:tcW w:w="14063" w:type="dxa"/>
            <w:gridSpan w:val="5"/>
          </w:tcPr>
          <w:p w14:paraId="362A733C" w14:textId="4872F077" w:rsidR="004A7B85" w:rsidRPr="003E6986" w:rsidRDefault="004A7B85" w:rsidP="004A2293">
            <w:pPr>
              <w:pStyle w:val="Tabletext"/>
              <w:keepNext/>
              <w:tabs>
                <w:tab w:val="clear" w:pos="284"/>
                <w:tab w:val="left" w:pos="594"/>
              </w:tabs>
              <w:jc w:val="both"/>
              <w:rPr>
                <w:bCs/>
                <w:lang w:val="es-ES_tradnl" w:eastAsia="nl-NL"/>
              </w:rPr>
            </w:pPr>
            <w:r w:rsidRPr="003E6986">
              <w:rPr>
                <w:bCs/>
                <w:lang w:val="es-ES_tradnl" w:eastAsia="nl-NL"/>
              </w:rPr>
              <w:lastRenderedPageBreak/>
              <w:t>10</w:t>
            </w:r>
            <w:r w:rsidRPr="003E6986">
              <w:rPr>
                <w:bCs/>
                <w:lang w:val="es-ES_tradnl" w:eastAsia="nl-NL"/>
              </w:rPr>
              <w:tab/>
            </w:r>
            <w:r w:rsidR="00A66ACE" w:rsidRPr="003E6986">
              <w:rPr>
                <w:bCs/>
                <w:lang w:val="es-ES_tradnl" w:eastAsia="nl-NL"/>
              </w:rPr>
              <w:t xml:space="preserve">recomendar al Consejo los puntos que debe contener el orden del día de la próxima CMR y los temas a incluir en el orden del día preliminar de futuras conferencias, de conformidad con el Artículo 7 del Convenio y la Resolución </w:t>
            </w:r>
            <w:r w:rsidR="00A66ACE" w:rsidRPr="003E6986">
              <w:rPr>
                <w:b/>
                <w:lang w:val="es-ES_tradnl" w:eastAsia="nl-NL"/>
              </w:rPr>
              <w:t>804 (Rev.CMR-19)</w:t>
            </w:r>
            <w:r w:rsidR="00C10E36" w:rsidRPr="003E6986">
              <w:rPr>
                <w:bCs/>
                <w:lang w:val="es-ES_tradnl" w:eastAsia="nl-NL"/>
              </w:rPr>
              <w:t>;</w:t>
            </w:r>
          </w:p>
        </w:tc>
      </w:tr>
      <w:tr w:rsidR="004A7B85" w:rsidRPr="003E6986" w14:paraId="679D1345" w14:textId="77777777" w:rsidTr="004B4C74">
        <w:trPr>
          <w:cantSplit/>
          <w:jc w:val="center"/>
        </w:trPr>
        <w:tc>
          <w:tcPr>
            <w:tcW w:w="3304" w:type="dxa"/>
          </w:tcPr>
          <w:p w14:paraId="576E1099" w14:textId="0A439F90" w:rsidR="004A7B85" w:rsidRPr="003E6986" w:rsidRDefault="004A7B85" w:rsidP="00537CF6">
            <w:pPr>
              <w:pStyle w:val="Tabletext"/>
              <w:tabs>
                <w:tab w:val="clear" w:pos="284"/>
                <w:tab w:val="left" w:pos="463"/>
              </w:tabs>
              <w:rPr>
                <w:lang w:val="es-ES_tradnl" w:eastAsia="nl-NL"/>
              </w:rPr>
            </w:pPr>
            <w:r w:rsidRPr="003E6986">
              <w:rPr>
                <w:lang w:val="es-ES_tradnl" w:eastAsia="nl-NL"/>
              </w:rPr>
              <w:t>Resolu</w:t>
            </w:r>
            <w:r w:rsidR="00A7694B" w:rsidRPr="003E6986">
              <w:rPr>
                <w:lang w:val="es-ES_tradnl" w:eastAsia="nl-NL"/>
              </w:rPr>
              <w:t>ció</w:t>
            </w:r>
            <w:r w:rsidRPr="003E6986">
              <w:rPr>
                <w:lang w:val="es-ES_tradnl" w:eastAsia="nl-NL"/>
              </w:rPr>
              <w:t>n </w:t>
            </w:r>
            <w:r w:rsidRPr="003E6986">
              <w:rPr>
                <w:b/>
                <w:bCs/>
                <w:lang w:val="es-ES_tradnl" w:eastAsia="nl-NL"/>
              </w:rPr>
              <w:t>804 (</w:t>
            </w:r>
            <w:proofErr w:type="spellStart"/>
            <w:r w:rsidRPr="003E6986">
              <w:rPr>
                <w:b/>
                <w:bCs/>
                <w:lang w:val="es-ES_tradnl" w:eastAsia="nl-NL"/>
              </w:rPr>
              <w:t>Rev.</w:t>
            </w:r>
            <w:r w:rsidR="00FD39FB" w:rsidRPr="003E6986">
              <w:rPr>
                <w:b/>
                <w:bCs/>
                <w:lang w:val="es-ES_tradnl" w:eastAsia="nl-NL"/>
              </w:rPr>
              <w:t>CMR</w:t>
            </w:r>
            <w:proofErr w:type="spellEnd"/>
            <w:r w:rsidR="009F336E" w:rsidRPr="003E6986">
              <w:rPr>
                <w:b/>
                <w:bCs/>
                <w:lang w:val="es-ES_tradnl" w:eastAsia="nl-NL"/>
              </w:rPr>
              <w:noBreakHyphen/>
              <w:t>23</w:t>
            </w:r>
            <w:r w:rsidRPr="003E6986">
              <w:rPr>
                <w:b/>
                <w:bCs/>
                <w:lang w:val="es-ES_tradnl" w:eastAsia="nl-NL"/>
              </w:rPr>
              <w:t>)</w:t>
            </w:r>
          </w:p>
          <w:p w14:paraId="347FA2D0" w14:textId="2C74DF5C" w:rsidR="004A7B85" w:rsidRPr="003E6986" w:rsidRDefault="00A7694B" w:rsidP="006D5A70">
            <w:pPr>
              <w:pStyle w:val="Tabletext"/>
              <w:tabs>
                <w:tab w:val="clear" w:pos="284"/>
                <w:tab w:val="left" w:pos="463"/>
              </w:tabs>
              <w:rPr>
                <w:sz w:val="22"/>
                <w:lang w:val="es-ES_tradnl" w:eastAsia="nl-NL"/>
              </w:rPr>
            </w:pPr>
            <w:bookmarkStart w:id="28" w:name="_Toc320536606"/>
            <w:bookmarkStart w:id="29" w:name="_Toc328141491"/>
            <w:bookmarkStart w:id="30" w:name="_Toc319401920"/>
            <w:bookmarkStart w:id="31" w:name="_Toc327364583"/>
            <w:bookmarkStart w:id="32" w:name="_Toc450048853"/>
            <w:r w:rsidRPr="003E6986">
              <w:rPr>
                <w:lang w:val="es-ES_tradnl" w:eastAsia="nl-NL"/>
              </w:rPr>
              <w:t>Principios para establecer el orden del día de las Conferencias Mundiales de Radiocomunicaciones</w:t>
            </w:r>
            <w:bookmarkEnd w:id="28"/>
            <w:bookmarkEnd w:id="29"/>
            <w:bookmarkEnd w:id="30"/>
            <w:bookmarkEnd w:id="31"/>
            <w:bookmarkEnd w:id="32"/>
          </w:p>
        </w:tc>
        <w:tc>
          <w:tcPr>
            <w:tcW w:w="1517" w:type="dxa"/>
          </w:tcPr>
          <w:p w14:paraId="1F95C840" w14:textId="241055ED" w:rsidR="004A7B85" w:rsidRPr="003E6986" w:rsidRDefault="009F336E" w:rsidP="00C068E7">
            <w:pPr>
              <w:pStyle w:val="Tabletext"/>
              <w:tabs>
                <w:tab w:val="clear" w:pos="284"/>
                <w:tab w:val="left" w:pos="463"/>
              </w:tabs>
              <w:jc w:val="center"/>
              <w:rPr>
                <w:b/>
                <w:bCs/>
                <w:lang w:val="es-ES_tradnl" w:eastAsia="nl-NL"/>
              </w:rPr>
            </w:pPr>
            <w:r w:rsidRPr="003E6986">
              <w:rPr>
                <w:b/>
                <w:bCs/>
                <w:lang w:val="es-ES_tradnl" w:eastAsia="nl-NL"/>
              </w:rPr>
              <w:t xml:space="preserve">CPM27-2 </w:t>
            </w:r>
            <w:r w:rsidR="00C068E7" w:rsidRPr="003E6986">
              <w:rPr>
                <w:b/>
                <w:bCs/>
                <w:lang w:val="es-ES_tradnl" w:eastAsia="nl-NL"/>
              </w:rPr>
              <w:t>a título informativo únicamente</w:t>
            </w:r>
          </w:p>
        </w:tc>
        <w:tc>
          <w:tcPr>
            <w:tcW w:w="7809" w:type="dxa"/>
          </w:tcPr>
          <w:p w14:paraId="50300C0D" w14:textId="7D3D4E0B" w:rsidR="004A7B85" w:rsidRPr="003E6986" w:rsidRDefault="00A7694B" w:rsidP="004A2293">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w:t>
            </w:r>
          </w:p>
          <w:p w14:paraId="7AB69B8A" w14:textId="77777777" w:rsidR="009F336E" w:rsidRPr="003E6986" w:rsidRDefault="009F336E" w:rsidP="009F336E">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que el orden del día recomendado para las futuras CMR incluya un punto permanente sobre el orden del día preliminar de las CMR posteriores;</w:t>
            </w:r>
          </w:p>
          <w:p w14:paraId="4A7A0773" w14:textId="77777777" w:rsidR="009F336E" w:rsidRPr="003E6986" w:rsidRDefault="009F336E" w:rsidP="009F336E">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que se tengan en cuenta las pautas indicas en la presente Resolución en la preparación de los puntos del orden del día de futuras CMR y en las decisiones que se tomen al respecto;</w:t>
            </w:r>
          </w:p>
          <w:p w14:paraId="467CAC9B" w14:textId="77777777" w:rsidR="009F336E" w:rsidRPr="003E6986" w:rsidRDefault="009F336E" w:rsidP="009F336E">
            <w:pPr>
              <w:pStyle w:val="Tabletext"/>
              <w:tabs>
                <w:tab w:val="clear" w:pos="284"/>
                <w:tab w:val="left" w:pos="463"/>
              </w:tabs>
              <w:jc w:val="both"/>
              <w:rPr>
                <w:lang w:val="es-ES_tradnl" w:eastAsia="nl-NL"/>
              </w:rPr>
            </w:pPr>
            <w:r w:rsidRPr="003E6986">
              <w:rPr>
                <w:lang w:val="es-ES_tradnl" w:eastAsia="nl-NL"/>
              </w:rPr>
              <w:t>3</w:t>
            </w:r>
            <w:r w:rsidRPr="003E6986">
              <w:rPr>
                <w:lang w:val="es-ES_tradnl" w:eastAsia="nl-NL"/>
              </w:rPr>
              <w:tab/>
              <w:t>que se tomen en consideración los principios del Anexo 1 a la presente Resolución al elaborar los órdenes del día de futuras CMR;</w:t>
            </w:r>
          </w:p>
          <w:p w14:paraId="37F68A61" w14:textId="77777777" w:rsidR="009F336E" w:rsidRPr="003E6986" w:rsidRDefault="009F336E" w:rsidP="009F336E">
            <w:pPr>
              <w:pStyle w:val="Tabletext"/>
              <w:tabs>
                <w:tab w:val="clear" w:pos="284"/>
                <w:tab w:val="left" w:pos="463"/>
              </w:tabs>
              <w:jc w:val="both"/>
              <w:rPr>
                <w:lang w:val="es-ES_tradnl" w:eastAsia="nl-NL"/>
              </w:rPr>
            </w:pPr>
            <w:r w:rsidRPr="003E6986">
              <w:rPr>
                <w:lang w:val="es-ES_tradnl" w:eastAsia="nl-NL"/>
              </w:rPr>
              <w:t>4</w:t>
            </w:r>
            <w:r w:rsidRPr="003E6986">
              <w:rPr>
                <w:lang w:val="es-ES_tradnl" w:eastAsia="nl-NL"/>
              </w:rPr>
              <w:tab/>
              <w:t>que se utilicen las orientaciones que figuran en el Anexo 2 a la presente Resolución para elaborar los puntos del orden del día de futuras CMR y sus resoluciones de base;</w:t>
            </w:r>
          </w:p>
          <w:p w14:paraId="71E83043" w14:textId="77777777" w:rsidR="009F336E" w:rsidRPr="003E6986" w:rsidRDefault="009F336E" w:rsidP="009F336E">
            <w:pPr>
              <w:pStyle w:val="Tabletext"/>
              <w:tabs>
                <w:tab w:val="clear" w:pos="284"/>
                <w:tab w:val="left" w:pos="463"/>
              </w:tabs>
              <w:jc w:val="both"/>
              <w:rPr>
                <w:lang w:val="es-ES_tradnl" w:eastAsia="nl-NL"/>
              </w:rPr>
            </w:pPr>
            <w:r w:rsidRPr="003E6986">
              <w:rPr>
                <w:lang w:val="es-ES_tradnl" w:eastAsia="nl-NL"/>
              </w:rPr>
              <w:t>5</w:t>
            </w:r>
            <w:r w:rsidRPr="003E6986">
              <w:rPr>
                <w:lang w:val="es-ES_tradnl" w:eastAsia="nl-NL"/>
              </w:rPr>
              <w:tab/>
              <w:t xml:space="preserve">instar a las administraciones y a los organismos de telecomunicación regionales a que presenten, en la medida de lo posible, información sobre los puntos/temas que podrían incluirse en el orden del día de futuras CMR en el marco del punto permanente del orden del día de la CMR mencionado en el </w:t>
            </w:r>
            <w:r w:rsidRPr="006D5A70">
              <w:rPr>
                <w:i/>
                <w:iCs/>
                <w:lang w:val="es-ES_tradnl" w:eastAsia="nl-NL"/>
              </w:rPr>
              <w:t>resuelve</w:t>
            </w:r>
            <w:r w:rsidRPr="003E6986">
              <w:rPr>
                <w:lang w:val="es-ES_tradnl" w:eastAsia="nl-NL"/>
              </w:rPr>
              <w:t xml:space="preserve"> 1 a la segunda sesión de la RPC,</w:t>
            </w:r>
          </w:p>
          <w:p w14:paraId="34C86FB8" w14:textId="5D0329D7" w:rsidR="00A7694B" w:rsidRPr="003E6986" w:rsidRDefault="009F336E" w:rsidP="009F336E">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w:t>
            </w:r>
            <w:r w:rsidR="00A7694B" w:rsidRPr="003E6986">
              <w:rPr>
                <w:rFonts w:eastAsia="???"/>
                <w:i/>
                <w:iCs/>
                <w:lang w:val="es-ES_tradnl" w:eastAsia="nl-NL"/>
              </w:rPr>
              <w:t xml:space="preserve"> a las administraciones</w:t>
            </w:r>
          </w:p>
          <w:p w14:paraId="502068FD" w14:textId="77777777" w:rsidR="009F336E" w:rsidRPr="003E6986" w:rsidRDefault="009F336E" w:rsidP="009F336E">
            <w:pPr>
              <w:pStyle w:val="Tabletext"/>
              <w:tabs>
                <w:tab w:val="clear" w:pos="284"/>
                <w:tab w:val="left" w:pos="463"/>
              </w:tabs>
              <w:jc w:val="both"/>
              <w:rPr>
                <w:lang w:val="es-ES_tradnl" w:eastAsia="nl-NL"/>
              </w:rPr>
            </w:pPr>
            <w:r w:rsidRPr="003E6986">
              <w:rPr>
                <w:lang w:val="es-ES_tradnl" w:eastAsia="nl-NL"/>
              </w:rPr>
              <w:t>1</w:t>
            </w:r>
            <w:r w:rsidRPr="003E6986">
              <w:rPr>
                <w:lang w:val="es-ES_tradnl" w:eastAsia="nl-NL"/>
              </w:rPr>
              <w:tab/>
              <w:t>a utilizar las pautas que figuran en el Anexo 2 a la presente Resolución para elaborar los puntos del orden del día de futuras CMR y sus resoluciones de base;</w:t>
            </w:r>
          </w:p>
          <w:p w14:paraId="63CF94C0" w14:textId="77777777" w:rsidR="004A7B85" w:rsidRPr="003E6986" w:rsidRDefault="009F336E" w:rsidP="009F336E">
            <w:pPr>
              <w:pStyle w:val="Tabletext"/>
              <w:tabs>
                <w:tab w:val="clear" w:pos="284"/>
                <w:tab w:val="left" w:pos="463"/>
              </w:tabs>
              <w:jc w:val="both"/>
              <w:rPr>
                <w:lang w:val="es-ES_tradnl" w:eastAsia="nl-NL"/>
              </w:rPr>
            </w:pPr>
            <w:r w:rsidRPr="003E6986">
              <w:rPr>
                <w:lang w:val="es-ES_tradnl" w:eastAsia="nl-NL"/>
              </w:rPr>
              <w:t>2</w:t>
            </w:r>
            <w:r w:rsidRPr="003E6986">
              <w:rPr>
                <w:lang w:val="es-ES_tradnl" w:eastAsia="nl-NL"/>
              </w:rPr>
              <w:tab/>
              <w:t>a utilizar el modelo del Anexo 3 a la presente Resolución para proponer puntos para el orden del día de futuras CMR,</w:t>
            </w:r>
          </w:p>
          <w:p w14:paraId="5290F40D" w14:textId="77777777" w:rsidR="009F336E" w:rsidRPr="003E6986" w:rsidRDefault="009F336E" w:rsidP="009F336E">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además a las administraciones</w:t>
            </w:r>
          </w:p>
          <w:p w14:paraId="1DEF706A" w14:textId="77777777" w:rsidR="009F336E" w:rsidRPr="003E6986" w:rsidRDefault="009F336E" w:rsidP="009F336E">
            <w:pPr>
              <w:pStyle w:val="Tabletext"/>
              <w:tabs>
                <w:tab w:val="left" w:pos="463"/>
              </w:tabs>
              <w:rPr>
                <w:lang w:val="es-ES_tradnl" w:eastAsia="nl-NL"/>
              </w:rPr>
            </w:pPr>
            <w:r w:rsidRPr="003E6986">
              <w:rPr>
                <w:lang w:val="es-ES_tradnl" w:eastAsia="nl-NL"/>
              </w:rPr>
              <w:t>a participar en las actividades regionales de preparación del orden del día de futuras CMR,</w:t>
            </w:r>
          </w:p>
          <w:p w14:paraId="05B8563F" w14:textId="77777777" w:rsidR="009F336E" w:rsidRPr="003E6986" w:rsidRDefault="009F336E" w:rsidP="009F336E">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Oficina de Radiocomunicaciones</w:t>
            </w:r>
          </w:p>
          <w:p w14:paraId="49C3707D" w14:textId="0BD16A29" w:rsidR="009F336E" w:rsidRPr="003E6986" w:rsidRDefault="009F336E" w:rsidP="009F336E">
            <w:pPr>
              <w:pStyle w:val="Tabletext"/>
              <w:tabs>
                <w:tab w:val="clear" w:pos="284"/>
                <w:tab w:val="left" w:pos="463"/>
              </w:tabs>
              <w:jc w:val="both"/>
              <w:rPr>
                <w:lang w:val="es-ES_tradnl" w:eastAsia="nl-NL"/>
              </w:rPr>
            </w:pPr>
            <w:r w:rsidRPr="003E6986">
              <w:rPr>
                <w:lang w:val="es-ES_tradnl" w:eastAsia="nl-NL"/>
              </w:rPr>
              <w:t>a examinar y proporcionar información, en la medida de lo posible, cuando sea consultada por las administraciones sobre la elaboración de los puntos del orden del día de las futuras CMR, tratando de mantener la coherencia con las disposiciones pertinentes del Reglamento de Radiocomunicaciones y las prácticas de la Oficina.</w:t>
            </w:r>
          </w:p>
        </w:tc>
        <w:tc>
          <w:tcPr>
            <w:tcW w:w="1433" w:type="dxa"/>
            <w:gridSpan w:val="2"/>
          </w:tcPr>
          <w:p w14:paraId="69BF3690" w14:textId="292905AD" w:rsidR="004A7B85" w:rsidRPr="003E6986" w:rsidRDefault="00AC0ECF" w:rsidP="00537CF6">
            <w:pPr>
              <w:pStyle w:val="Tabletext"/>
              <w:tabs>
                <w:tab w:val="clear" w:pos="284"/>
                <w:tab w:val="left" w:pos="463"/>
              </w:tabs>
              <w:jc w:val="center"/>
              <w:rPr>
                <w:lang w:val="es-ES_tradnl" w:eastAsia="nl-NL"/>
              </w:rPr>
            </w:pPr>
            <w:r w:rsidRPr="003E6986">
              <w:rPr>
                <w:lang w:val="es-ES_tradnl"/>
              </w:rPr>
              <w:t>–</w:t>
            </w:r>
          </w:p>
        </w:tc>
      </w:tr>
      <w:bookmarkEnd w:id="15"/>
    </w:tbl>
    <w:p w14:paraId="35692E99" w14:textId="509265FE" w:rsidR="007A7DF3" w:rsidRPr="003E6986" w:rsidRDefault="007A7DF3" w:rsidP="00031E64">
      <w:pPr>
        <w:rPr>
          <w:rFonts w:asciiTheme="minorHAnsi" w:hAnsiTheme="minorHAnsi" w:cstheme="minorHAnsi"/>
          <w:szCs w:val="24"/>
          <w:lang w:val="es-ES_tradnl"/>
        </w:rPr>
        <w:sectPr w:rsidR="007A7DF3" w:rsidRPr="003E6986" w:rsidSect="004A7B85">
          <w:headerReference w:type="even" r:id="rId37"/>
          <w:headerReference w:type="default" r:id="rId38"/>
          <w:footerReference w:type="even" r:id="rId39"/>
          <w:headerReference w:type="first" r:id="rId40"/>
          <w:footerReference w:type="first" r:id="rId41"/>
          <w:footnotePr>
            <w:numFmt w:val="chicago"/>
          </w:footnotePr>
          <w:pgSz w:w="16834" w:h="11907" w:orient="landscape" w:code="9"/>
          <w:pgMar w:top="1134" w:right="1134" w:bottom="1134" w:left="993" w:header="567" w:footer="397" w:gutter="0"/>
          <w:cols w:space="720"/>
          <w:titlePg/>
          <w:docGrid w:linePitch="326"/>
        </w:sectPr>
      </w:pPr>
    </w:p>
    <w:p w14:paraId="50725ADB" w14:textId="77777777" w:rsidR="00C15E0F" w:rsidRPr="003E6986" w:rsidRDefault="00C15E0F" w:rsidP="00C15E0F">
      <w:pPr>
        <w:pStyle w:val="AnnexNo"/>
        <w:rPr>
          <w:rFonts w:asciiTheme="minorHAnsi" w:hAnsiTheme="minorHAnsi" w:cstheme="minorHAnsi"/>
          <w:lang w:val="es-ES_tradnl"/>
        </w:rPr>
      </w:pPr>
      <w:r w:rsidRPr="003E6986">
        <w:rPr>
          <w:rFonts w:asciiTheme="minorHAnsi" w:hAnsiTheme="minorHAnsi" w:cstheme="minorHAnsi"/>
          <w:lang w:val="es-ES_tradnl"/>
        </w:rPr>
        <w:lastRenderedPageBreak/>
        <w:t>ANEXO 8</w:t>
      </w:r>
      <w:r w:rsidRPr="003E6986">
        <w:rPr>
          <w:rFonts w:asciiTheme="minorHAnsi" w:hAnsiTheme="minorHAnsi" w:cstheme="minorHAnsi"/>
          <w:lang w:val="es-ES_tradnl"/>
        </w:rPr>
        <w:footnoteReference w:customMarkFollows="1" w:id="20"/>
        <w:t>**</w:t>
      </w:r>
    </w:p>
    <w:p w14:paraId="4E146AE2" w14:textId="77777777" w:rsidR="00C15E0F" w:rsidRPr="003E6986" w:rsidRDefault="00C15E0F" w:rsidP="00C15E0F">
      <w:pPr>
        <w:pStyle w:val="Annextitle0"/>
        <w:rPr>
          <w:rFonts w:asciiTheme="minorHAnsi" w:hAnsiTheme="minorHAnsi" w:cstheme="minorHAnsi"/>
          <w:lang w:val="es-ES_tradnl"/>
        </w:rPr>
      </w:pPr>
      <w:r w:rsidRPr="003E6986">
        <w:rPr>
          <w:rFonts w:asciiTheme="minorHAnsi" w:hAnsiTheme="minorHAnsi" w:cstheme="minorHAnsi"/>
          <w:lang w:val="es-ES_tradnl"/>
        </w:rPr>
        <w:t>Atribución de los trabajos preparatorios del UIT-R para la CMR</w:t>
      </w:r>
      <w:r w:rsidRPr="003E6986">
        <w:rPr>
          <w:rFonts w:asciiTheme="minorHAnsi" w:hAnsiTheme="minorHAnsi" w:cstheme="minorHAnsi"/>
          <w:lang w:val="es-ES_tradnl"/>
        </w:rPr>
        <w:noBreakHyphen/>
        <w:t>31</w:t>
      </w:r>
    </w:p>
    <w:p w14:paraId="00554C74" w14:textId="73BBD423" w:rsidR="00C15E0F" w:rsidRPr="003E6986" w:rsidRDefault="00C15E0F" w:rsidP="00C15E0F">
      <w:pPr>
        <w:spacing w:line="240" w:lineRule="auto"/>
        <w:rPr>
          <w:szCs w:val="24"/>
          <w:lang w:val="es-ES_tradnl"/>
        </w:rPr>
      </w:pPr>
      <w:r w:rsidRPr="003E6986">
        <w:rPr>
          <w:lang w:val="es-ES_tradnl"/>
        </w:rPr>
        <w:t>El Cuadro que figura a continuación presenta la atribución de los trabajos preparatorios del UIT-R para los puntos del orden del día preliminar de la CMR-31, que se proponen en la Resolución </w:t>
      </w:r>
      <w:r w:rsidRPr="003E6986">
        <w:rPr>
          <w:b/>
          <w:bCs/>
          <w:lang w:val="es-ES_tradnl"/>
        </w:rPr>
        <w:t>814</w:t>
      </w:r>
      <w:r w:rsidR="00CF4A59" w:rsidRPr="003E6986">
        <w:rPr>
          <w:b/>
          <w:bCs/>
          <w:lang w:val="es-ES_tradnl"/>
        </w:rPr>
        <w:t xml:space="preserve"> </w:t>
      </w:r>
      <w:r w:rsidRPr="003E6986">
        <w:rPr>
          <w:b/>
          <w:bCs/>
          <w:lang w:val="es-ES_tradnl"/>
        </w:rPr>
        <w:t>(CMR</w:t>
      </w:r>
      <w:r w:rsidRPr="003E6986">
        <w:rPr>
          <w:b/>
          <w:bCs/>
          <w:szCs w:val="24"/>
          <w:lang w:val="es-ES_tradnl"/>
        </w:rPr>
        <w:t>-23)</w:t>
      </w:r>
      <w:r w:rsidRPr="003E6986">
        <w:rPr>
          <w:szCs w:val="24"/>
          <w:lang w:val="es-ES_tradnl"/>
        </w:rPr>
        <w:t xml:space="preserve">. </w:t>
      </w:r>
      <w:r w:rsidRPr="003E6986">
        <w:rPr>
          <w:lang w:val="es-ES_tradnl"/>
        </w:rPr>
        <w:t>Incluye anotaciones para la identificación de los «grupos responsables» y los «grupos contribuyentes»* del UIT-R para los puntos del orden del día de la CMR</w:t>
      </w:r>
      <w:r w:rsidRPr="003E6986">
        <w:rPr>
          <w:lang w:val="es-ES_tradnl"/>
        </w:rPr>
        <w:noBreakHyphen/>
        <w:t>31.</w:t>
      </w:r>
    </w:p>
    <w:p w14:paraId="6362A447" w14:textId="77777777" w:rsidR="00C15E0F" w:rsidRPr="00A923A9" w:rsidRDefault="00C15E0F" w:rsidP="00A923A9">
      <w:pPr>
        <w:pStyle w:val="Note"/>
        <w:rPr>
          <w:sz w:val="20"/>
          <w:szCs w:val="18"/>
          <w:lang w:val="es-ES_tradnl"/>
        </w:rPr>
      </w:pPr>
      <w:r w:rsidRPr="00A923A9">
        <w:rPr>
          <w:sz w:val="20"/>
          <w:szCs w:val="18"/>
          <w:lang w:val="es-ES_tradnl"/>
        </w:rPr>
        <w:t xml:space="preserve">NOTA 1 – Los Grupos de Trabajo del UIT-R indicados en el siguiente Cuadro se han identificado partiendo de la estructura de </w:t>
      </w:r>
      <w:r w:rsidRPr="00A923A9">
        <w:rPr>
          <w:sz w:val="20"/>
          <w:szCs w:val="18"/>
        </w:rPr>
        <w:t>las</w:t>
      </w:r>
      <w:r w:rsidRPr="00A923A9">
        <w:rPr>
          <w:sz w:val="20"/>
          <w:szCs w:val="18"/>
          <w:lang w:val="es-ES_tradnl"/>
        </w:rPr>
        <w:t xml:space="preserve"> Comisiones de Estudio contenida en el Documento </w:t>
      </w:r>
      <w:hyperlink r:id="rId42" w:history="1">
        <w:proofErr w:type="spellStart"/>
        <w:r w:rsidRPr="00A923A9">
          <w:rPr>
            <w:rStyle w:val="Hyperlink"/>
            <w:rFonts w:asciiTheme="minorHAnsi" w:hAnsiTheme="minorHAnsi"/>
            <w:sz w:val="20"/>
            <w:szCs w:val="20"/>
            <w:lang w:val="es-ES_tradnl"/>
          </w:rPr>
          <w:t>CPM27</w:t>
        </w:r>
        <w:proofErr w:type="spellEnd"/>
        <w:r w:rsidRPr="00A923A9">
          <w:rPr>
            <w:rStyle w:val="Hyperlink"/>
            <w:rFonts w:asciiTheme="minorHAnsi" w:hAnsiTheme="minorHAnsi"/>
            <w:sz w:val="20"/>
            <w:szCs w:val="20"/>
            <w:lang w:val="es-ES_tradnl"/>
          </w:rPr>
          <w:t>-1/1</w:t>
        </w:r>
      </w:hyperlink>
      <w:r w:rsidRPr="00A923A9">
        <w:rPr>
          <w:sz w:val="20"/>
          <w:szCs w:val="20"/>
          <w:lang w:val="es-ES_tradnl"/>
        </w:rPr>
        <w:t>.</w:t>
      </w:r>
    </w:p>
    <w:p w14:paraId="5A452317" w14:textId="77777777" w:rsidR="00C15E0F" w:rsidRPr="003E6986" w:rsidRDefault="00C15E0F" w:rsidP="00A923A9">
      <w:pPr>
        <w:pStyle w:val="Note"/>
        <w:rPr>
          <w:lang w:val="es-ES_tradnl"/>
        </w:rPr>
      </w:pPr>
      <w:r w:rsidRPr="00A923A9">
        <w:rPr>
          <w:sz w:val="20"/>
          <w:szCs w:val="18"/>
          <w:lang w:val="es-ES_tradnl"/>
        </w:rPr>
        <w:t>NOTA 2 – Habida cuenta del carácter provisional del orden del día de la CMR-31, no se ha identificado ningún grupo contribuyente, excepto el encargado del punto 2.14.</w:t>
      </w:r>
    </w:p>
    <w:p w14:paraId="296015C7" w14:textId="77777777" w:rsidR="00C15E0F" w:rsidRPr="003E6986" w:rsidRDefault="00C15E0F" w:rsidP="00C15E0F">
      <w:pPr>
        <w:rPr>
          <w:lang w:val="es-ES_tradnl"/>
        </w:rPr>
        <w:sectPr w:rsidR="00C15E0F" w:rsidRPr="003E6986" w:rsidSect="00C15E0F">
          <w:headerReference w:type="default" r:id="rId43"/>
          <w:footerReference w:type="even" r:id="rId44"/>
          <w:footerReference w:type="default" r:id="rId45"/>
          <w:headerReference w:type="first" r:id="rId46"/>
          <w:footerReference w:type="first" r:id="rId47"/>
          <w:pgSz w:w="11907" w:h="16834" w:code="9"/>
          <w:pgMar w:top="1134" w:right="1134" w:bottom="993" w:left="1134" w:header="567" w:footer="397" w:gutter="0"/>
          <w:cols w:space="720"/>
          <w:titlePg/>
          <w:docGrid w:linePitch="326"/>
        </w:sectPr>
      </w:pPr>
    </w:p>
    <w:tbl>
      <w:tblPr>
        <w:tblpPr w:leftFromText="180" w:rightFromText="180" w:vertAnchor="text" w:tblpXSpec="center" w:tblpY="1"/>
        <w:tblOverlap w:val="never"/>
        <w:tblW w:w="14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564"/>
        <w:gridCol w:w="8048"/>
        <w:gridCol w:w="1449"/>
        <w:gridCol w:w="10"/>
      </w:tblGrid>
      <w:tr w:rsidR="00C15E0F" w:rsidRPr="008653C7" w14:paraId="65178E04" w14:textId="77777777" w:rsidTr="00C15E0F">
        <w:trPr>
          <w:gridAfter w:val="1"/>
          <w:wAfter w:w="10" w:type="dxa"/>
          <w:tblHeader/>
        </w:trPr>
        <w:tc>
          <w:tcPr>
            <w:tcW w:w="14464" w:type="dxa"/>
            <w:gridSpan w:val="4"/>
            <w:tcBorders>
              <w:top w:val="nil"/>
              <w:left w:val="nil"/>
              <w:right w:val="nil"/>
            </w:tcBorders>
          </w:tcPr>
          <w:p w14:paraId="663046C3" w14:textId="77777777" w:rsidR="00C15E0F" w:rsidRPr="003E6986" w:rsidRDefault="00C15E0F" w:rsidP="00C15E0F">
            <w:pPr>
              <w:pStyle w:val="Tablehead"/>
              <w:rPr>
                <w:color w:val="000000" w:themeColor="text1"/>
                <w:sz w:val="22"/>
                <w:lang w:val="es-ES_tradnl"/>
              </w:rPr>
            </w:pPr>
            <w:r w:rsidRPr="003E6986">
              <w:rPr>
                <w:color w:val="000000" w:themeColor="text1"/>
                <w:lang w:val="es-ES_tradnl"/>
              </w:rPr>
              <w:lastRenderedPageBreak/>
              <w:t>Atribución de los trabajos preparatorios del UIT-R para la CMR-31</w:t>
            </w:r>
          </w:p>
        </w:tc>
      </w:tr>
      <w:tr w:rsidR="00C15E0F" w:rsidRPr="003E6986" w14:paraId="31FC6370" w14:textId="77777777" w:rsidTr="00C15E0F">
        <w:trPr>
          <w:gridAfter w:val="1"/>
          <w:wAfter w:w="10" w:type="dxa"/>
          <w:tblHeader/>
        </w:trPr>
        <w:tc>
          <w:tcPr>
            <w:tcW w:w="3405" w:type="dxa"/>
            <w:vAlign w:val="center"/>
          </w:tcPr>
          <w:p w14:paraId="53B00DDD" w14:textId="77777777" w:rsidR="00C15E0F" w:rsidRPr="003E6986" w:rsidRDefault="00C15E0F" w:rsidP="00C15E0F">
            <w:pPr>
              <w:pStyle w:val="Tablehead"/>
              <w:rPr>
                <w:color w:val="000000" w:themeColor="text1"/>
                <w:lang w:val="es-ES_tradnl"/>
              </w:rPr>
            </w:pPr>
            <w:r w:rsidRPr="003E6986">
              <w:rPr>
                <w:color w:val="000000" w:themeColor="text1"/>
                <w:lang w:val="es-ES_tradnl"/>
              </w:rPr>
              <w:t>Tema</w:t>
            </w:r>
          </w:p>
        </w:tc>
        <w:tc>
          <w:tcPr>
            <w:tcW w:w="1563" w:type="dxa"/>
            <w:vAlign w:val="center"/>
          </w:tcPr>
          <w:p w14:paraId="2410AC08" w14:textId="77777777" w:rsidR="00C15E0F" w:rsidRPr="003E6986" w:rsidRDefault="00C15E0F" w:rsidP="00C15E0F">
            <w:pPr>
              <w:pStyle w:val="Tablehead"/>
              <w:rPr>
                <w:color w:val="000000" w:themeColor="text1"/>
                <w:lang w:val="es-ES_tradnl"/>
              </w:rPr>
            </w:pPr>
            <w:r w:rsidRPr="003E6986">
              <w:rPr>
                <w:color w:val="000000" w:themeColor="text1"/>
                <w:lang w:val="es-ES_tradnl"/>
              </w:rPr>
              <w:t>Grupo responsable</w:t>
            </w:r>
          </w:p>
        </w:tc>
        <w:tc>
          <w:tcPr>
            <w:tcW w:w="8047" w:type="dxa"/>
            <w:vAlign w:val="center"/>
          </w:tcPr>
          <w:p w14:paraId="2EA47318" w14:textId="77777777" w:rsidR="00C15E0F" w:rsidRPr="003E6986" w:rsidRDefault="00C15E0F" w:rsidP="00C15E0F">
            <w:pPr>
              <w:pStyle w:val="Tablehead"/>
              <w:rPr>
                <w:color w:val="000000" w:themeColor="text1"/>
                <w:lang w:val="es-ES_tradnl"/>
              </w:rPr>
            </w:pPr>
            <w:r w:rsidRPr="003E6986">
              <w:rPr>
                <w:color w:val="000000" w:themeColor="text1"/>
                <w:lang w:val="es-ES_tradnl"/>
              </w:rPr>
              <w:t>Cometido del Grupo</w:t>
            </w:r>
          </w:p>
        </w:tc>
        <w:tc>
          <w:tcPr>
            <w:tcW w:w="1449" w:type="dxa"/>
            <w:vAlign w:val="center"/>
          </w:tcPr>
          <w:p w14:paraId="75E01E6E" w14:textId="77777777" w:rsidR="00C15E0F" w:rsidRPr="003E6986" w:rsidRDefault="00C15E0F" w:rsidP="00C15E0F">
            <w:pPr>
              <w:pStyle w:val="Tablehead"/>
              <w:rPr>
                <w:color w:val="000000" w:themeColor="text1"/>
                <w:lang w:val="es-ES_tradnl"/>
              </w:rPr>
            </w:pPr>
            <w:r w:rsidRPr="003E6986">
              <w:rPr>
                <w:color w:val="000000" w:themeColor="text1"/>
                <w:lang w:val="es-ES_tradnl"/>
              </w:rPr>
              <w:t>Grupo contribuyente</w:t>
            </w:r>
          </w:p>
        </w:tc>
      </w:tr>
      <w:tr w:rsidR="00C15E0F" w:rsidRPr="008653C7" w14:paraId="4B79A9FE" w14:textId="77777777" w:rsidTr="00C15E0F">
        <w:tc>
          <w:tcPr>
            <w:tcW w:w="14469" w:type="dxa"/>
            <w:gridSpan w:val="5"/>
            <w:vAlign w:val="center"/>
          </w:tcPr>
          <w:p w14:paraId="3A7F94BB" w14:textId="77777777" w:rsidR="00C15E0F" w:rsidRPr="003E6986" w:rsidRDefault="00C15E0F" w:rsidP="00C15E0F">
            <w:pPr>
              <w:pStyle w:val="Tabletext"/>
              <w:tabs>
                <w:tab w:val="clear" w:pos="284"/>
                <w:tab w:val="left" w:pos="594"/>
              </w:tabs>
              <w:jc w:val="both"/>
              <w:rPr>
                <w:lang w:val="es-ES_tradnl" w:eastAsia="nl-NL"/>
              </w:rPr>
            </w:pPr>
            <w:r w:rsidRPr="003E6986">
              <w:rPr>
                <w:lang w:val="es-ES_tradnl" w:eastAsia="nl-NL"/>
              </w:rPr>
              <w:t>1</w:t>
            </w:r>
            <w:r w:rsidRPr="003E6986">
              <w:rPr>
                <w:lang w:val="es-ES_tradnl" w:eastAsia="nl-NL"/>
              </w:rPr>
              <w:tab/>
            </w:r>
            <w:r w:rsidRPr="003E6986">
              <w:rPr>
                <w:rFonts w:asciiTheme="minorHAnsi" w:hAnsiTheme="minorHAnsi" w:cstheme="minorHAnsi"/>
                <w:szCs w:val="20"/>
                <w:lang w:val="es-ES_tradnl"/>
              </w:rPr>
              <w:t>tomar las medidas adecuadas con respecto a los temas urgentes que solicitó específicamente la CMR-27</w:t>
            </w:r>
          </w:p>
        </w:tc>
      </w:tr>
      <w:tr w:rsidR="00C15E0F" w:rsidRPr="008653C7" w14:paraId="35CDA643" w14:textId="77777777" w:rsidTr="00C15E0F">
        <w:tc>
          <w:tcPr>
            <w:tcW w:w="14469" w:type="dxa"/>
            <w:gridSpan w:val="5"/>
          </w:tcPr>
          <w:p w14:paraId="157B49DF" w14:textId="77777777" w:rsidR="00C15E0F" w:rsidRPr="003E6986" w:rsidRDefault="00C15E0F" w:rsidP="00C15E0F">
            <w:pPr>
              <w:pStyle w:val="Tabletext"/>
              <w:tabs>
                <w:tab w:val="clear" w:pos="284"/>
                <w:tab w:val="left" w:pos="594"/>
              </w:tabs>
              <w:jc w:val="both"/>
              <w:rPr>
                <w:lang w:val="es-ES_tradnl" w:eastAsia="nl-NL"/>
              </w:rPr>
            </w:pPr>
            <w:r w:rsidRPr="003E6986">
              <w:rPr>
                <w:lang w:val="es-ES_tradnl" w:eastAsia="nl-NL"/>
              </w:rPr>
              <w:t>2</w:t>
            </w:r>
            <w:r w:rsidRPr="003E6986">
              <w:rPr>
                <w:lang w:val="es-ES_tradnl" w:eastAsia="nl-NL"/>
              </w:rPr>
              <w:tab/>
            </w:r>
            <w:r w:rsidRPr="003E6986">
              <w:rPr>
                <w:rFonts w:asciiTheme="minorHAnsi" w:hAnsiTheme="minorHAnsi" w:cstheme="minorHAnsi"/>
                <w:szCs w:val="20"/>
                <w:lang w:val="es-ES_tradnl" w:eastAsia="zh-CN"/>
              </w:rPr>
              <w:t>basándose en las propuestas de las administraciones y en el Informe de la Reunión Preparatoria de la Conferencia, y teniendo en cuenta los resultados de la CMR-27, considerar y tomar las medidas adecuadas con respecto a los temas siguientes</w:t>
            </w:r>
          </w:p>
        </w:tc>
      </w:tr>
      <w:tr w:rsidR="00C15E0F" w:rsidRPr="008653C7" w14:paraId="416D80F9" w14:textId="77777777" w:rsidTr="00C15E0F">
        <w:tc>
          <w:tcPr>
            <w:tcW w:w="14469" w:type="dxa"/>
            <w:gridSpan w:val="5"/>
          </w:tcPr>
          <w:p w14:paraId="2D701F4C" w14:textId="77777777" w:rsidR="00C15E0F" w:rsidRPr="003E6986" w:rsidRDefault="00C15E0F" w:rsidP="00C15E0F">
            <w:pPr>
              <w:pStyle w:val="Tabletext"/>
              <w:tabs>
                <w:tab w:val="clear" w:pos="284"/>
                <w:tab w:val="left" w:pos="594"/>
              </w:tabs>
              <w:jc w:val="both"/>
              <w:rPr>
                <w:lang w:val="es-ES_tradnl" w:eastAsia="nl-NL"/>
              </w:rPr>
            </w:pPr>
            <w:r w:rsidRPr="003E6986">
              <w:rPr>
                <w:rFonts w:asciiTheme="minorHAnsi" w:hAnsiTheme="minorHAnsi" w:cstheme="minorHAnsi"/>
                <w:szCs w:val="20"/>
                <w:lang w:val="es-ES_tradnl"/>
              </w:rPr>
              <w:t>2.1</w:t>
            </w:r>
            <w:r w:rsidRPr="003E6986">
              <w:rPr>
                <w:lang w:val="es-ES_tradnl" w:eastAsia="nl-NL"/>
              </w:rPr>
              <w:tab/>
            </w:r>
            <w:r w:rsidRPr="003E6986">
              <w:rPr>
                <w:rFonts w:asciiTheme="minorHAnsi" w:hAnsiTheme="minorHAnsi" w:cstheme="minorHAnsi"/>
                <w:szCs w:val="20"/>
                <w:lang w:val="es-ES_tradnl"/>
              </w:rPr>
              <w:t>considerar la posibilidad de efectuar nuevas atribuciones a los servicios fijo, móvil, de radiolocalización, de aficionados, de aficionados por satélite, de radioastronomía, de exploración de la Tierra por satélite (pasivo y activo) y de investigación espacial (pasiva) en la gama de frecuencias 275-325 GHz en el Cuadro de atribución de bandas de frecuencias del Reglamento de Radiocomunicaciones, con la consiguiente actualización de los números </w:t>
            </w:r>
            <w:r w:rsidRPr="003E6986">
              <w:rPr>
                <w:rFonts w:asciiTheme="minorHAnsi" w:hAnsiTheme="minorHAnsi" w:cstheme="minorHAnsi"/>
                <w:b/>
                <w:bCs/>
                <w:szCs w:val="20"/>
                <w:lang w:val="es-ES_tradnl"/>
              </w:rPr>
              <w:t>5.149</w:t>
            </w:r>
            <w:r w:rsidRPr="003E6986">
              <w:rPr>
                <w:rFonts w:asciiTheme="minorHAnsi" w:hAnsiTheme="minorHAnsi" w:cstheme="minorHAnsi"/>
                <w:szCs w:val="20"/>
                <w:lang w:val="es-ES_tradnl"/>
              </w:rPr>
              <w:t xml:space="preserve">, </w:t>
            </w:r>
            <w:r w:rsidRPr="003E6986">
              <w:rPr>
                <w:rFonts w:asciiTheme="minorHAnsi" w:hAnsiTheme="minorHAnsi" w:cstheme="minorHAnsi"/>
                <w:b/>
                <w:bCs/>
                <w:szCs w:val="20"/>
                <w:lang w:val="es-ES_tradnl"/>
              </w:rPr>
              <w:t>5.340</w:t>
            </w:r>
            <w:r w:rsidRPr="003E6986">
              <w:rPr>
                <w:rFonts w:asciiTheme="minorHAnsi" w:hAnsiTheme="minorHAnsi" w:cstheme="minorHAnsi"/>
                <w:szCs w:val="20"/>
                <w:lang w:val="es-ES_tradnl"/>
              </w:rPr>
              <w:t xml:space="preserve">, </w:t>
            </w:r>
            <w:r w:rsidRPr="003E6986">
              <w:rPr>
                <w:rFonts w:asciiTheme="minorHAnsi" w:hAnsiTheme="minorHAnsi" w:cstheme="minorHAnsi"/>
                <w:b/>
                <w:bCs/>
                <w:szCs w:val="20"/>
                <w:lang w:val="es-ES_tradnl"/>
              </w:rPr>
              <w:t>5.564A</w:t>
            </w:r>
            <w:r w:rsidRPr="003E6986">
              <w:rPr>
                <w:rFonts w:asciiTheme="minorHAnsi" w:hAnsiTheme="minorHAnsi" w:cstheme="minorHAnsi"/>
                <w:szCs w:val="20"/>
                <w:lang w:val="es-ES_tradnl"/>
              </w:rPr>
              <w:t xml:space="preserve"> y </w:t>
            </w:r>
            <w:r w:rsidRPr="003E6986">
              <w:rPr>
                <w:rFonts w:asciiTheme="minorHAnsi" w:hAnsiTheme="minorHAnsi" w:cstheme="minorHAnsi"/>
                <w:b/>
                <w:bCs/>
                <w:szCs w:val="20"/>
                <w:lang w:val="es-ES_tradnl"/>
              </w:rPr>
              <w:t>5.565</w:t>
            </w:r>
            <w:r w:rsidRPr="003E6986">
              <w:rPr>
                <w:rFonts w:asciiTheme="minorHAnsi" w:hAnsiTheme="minorHAnsi" w:cstheme="minorHAnsi"/>
                <w:szCs w:val="20"/>
                <w:lang w:val="es-ES_tradnl"/>
              </w:rPr>
              <w:t xml:space="preserve">, de conformidad con la Resolución </w:t>
            </w:r>
            <w:r w:rsidRPr="003E6986">
              <w:rPr>
                <w:rFonts w:asciiTheme="minorHAnsi" w:hAnsiTheme="minorHAnsi" w:cstheme="minorHAnsi"/>
                <w:b/>
                <w:bCs/>
                <w:szCs w:val="20"/>
                <w:lang w:val="es-ES_tradnl"/>
              </w:rPr>
              <w:t>721 (CMR-23)</w:t>
            </w:r>
            <w:r w:rsidRPr="003E6986">
              <w:rPr>
                <w:rFonts w:asciiTheme="minorHAnsi" w:hAnsiTheme="minorHAnsi" w:cstheme="minorHAnsi"/>
                <w:szCs w:val="20"/>
                <w:lang w:val="es-ES_tradnl"/>
              </w:rPr>
              <w:t>;</w:t>
            </w:r>
          </w:p>
        </w:tc>
      </w:tr>
      <w:tr w:rsidR="00C15E0F" w:rsidRPr="003E6986" w14:paraId="68D4B631" w14:textId="77777777" w:rsidTr="00C15E0F">
        <w:tc>
          <w:tcPr>
            <w:tcW w:w="3405" w:type="dxa"/>
          </w:tcPr>
          <w:p w14:paraId="20F9AC8C" w14:textId="77777777" w:rsidR="00C15E0F" w:rsidRPr="003E6986" w:rsidRDefault="00C15E0F" w:rsidP="00C15E0F">
            <w:pPr>
              <w:pStyle w:val="TableText0"/>
              <w:rPr>
                <w:rFonts w:asciiTheme="minorHAnsi" w:hAnsiTheme="minorHAnsi" w:cstheme="minorHAnsi"/>
                <w:b/>
                <w:bCs/>
                <w:sz w:val="20"/>
                <w:lang w:val="es-ES_tradnl"/>
              </w:rPr>
            </w:pPr>
            <w:r w:rsidRPr="003E6986">
              <w:rPr>
                <w:rFonts w:asciiTheme="minorHAnsi" w:hAnsiTheme="minorHAnsi" w:cstheme="minorHAnsi"/>
                <w:sz w:val="20"/>
                <w:lang w:val="es-ES_tradnl"/>
              </w:rPr>
              <w:t>Resolución</w:t>
            </w:r>
            <w:r w:rsidRPr="003E6986">
              <w:rPr>
                <w:rFonts w:asciiTheme="minorHAnsi" w:hAnsiTheme="minorHAnsi" w:cstheme="minorHAnsi"/>
                <w:b/>
                <w:bCs/>
                <w:sz w:val="20"/>
                <w:lang w:val="es-ES_tradnl"/>
              </w:rPr>
              <w:t xml:space="preserve"> 721 (</w:t>
            </w:r>
            <w:proofErr w:type="spellStart"/>
            <w:r w:rsidRPr="003E6986">
              <w:rPr>
                <w:rFonts w:asciiTheme="minorHAnsi" w:hAnsiTheme="minorHAnsi" w:cstheme="minorHAnsi"/>
                <w:b/>
                <w:bCs/>
                <w:sz w:val="20"/>
                <w:lang w:val="es-ES_tradnl"/>
              </w:rPr>
              <w:t>CMR</w:t>
            </w:r>
            <w:proofErr w:type="spellEnd"/>
            <w:r w:rsidRPr="003E6986">
              <w:rPr>
                <w:rFonts w:asciiTheme="minorHAnsi" w:hAnsiTheme="minorHAnsi" w:cstheme="minorHAnsi"/>
                <w:b/>
                <w:bCs/>
                <w:sz w:val="20"/>
                <w:lang w:val="es-ES_tradnl"/>
              </w:rPr>
              <w:t>-23)</w:t>
            </w:r>
          </w:p>
          <w:p w14:paraId="255D3367" w14:textId="77777777" w:rsidR="00C15E0F" w:rsidRPr="003E6986" w:rsidRDefault="00C15E0F" w:rsidP="00C15E0F">
            <w:pPr>
              <w:pStyle w:val="Tabletext"/>
              <w:tabs>
                <w:tab w:val="clear" w:pos="284"/>
                <w:tab w:val="left" w:pos="463"/>
              </w:tabs>
              <w:rPr>
                <w:lang w:val="es-ES_tradnl" w:eastAsia="nl-NL"/>
              </w:rPr>
            </w:pPr>
            <w:r w:rsidRPr="003E6986">
              <w:rPr>
                <w:rFonts w:asciiTheme="minorHAnsi" w:hAnsiTheme="minorHAnsi" w:cstheme="minorHAnsi"/>
                <w:szCs w:val="20"/>
                <w:lang w:val="es-ES_tradnl"/>
              </w:rPr>
              <w:t xml:space="preserve">Estudios sobre posibles nuevas atribuciones a los servicios fijo, móvil, de radiolocalización, de aficionados, de aficionados por satélite, de radioastronomía, de exploración de la Tierra por satélite (pasivo y activo) y de investigación espacial (pasivo) </w:t>
            </w:r>
            <w:r w:rsidRPr="003E6986">
              <w:rPr>
                <w:rFonts w:asciiTheme="minorHAnsi" w:hAnsiTheme="minorHAnsi" w:cstheme="minorHAnsi"/>
                <w:bCs/>
                <w:szCs w:val="20"/>
                <w:lang w:val="es-ES_tradnl"/>
              </w:rPr>
              <w:t xml:space="preserve">en la gama de frecuencias 275-325 GHz con la consiguiente actualización de los números </w:t>
            </w:r>
            <w:r w:rsidRPr="003E6986">
              <w:rPr>
                <w:rFonts w:asciiTheme="minorHAnsi" w:hAnsiTheme="minorHAnsi" w:cstheme="minorHAnsi"/>
                <w:b/>
                <w:bCs/>
                <w:szCs w:val="20"/>
                <w:lang w:val="es-ES_tradnl"/>
              </w:rPr>
              <w:t xml:space="preserve">5.149, 5.340, 5.564A </w:t>
            </w:r>
            <w:r w:rsidRPr="003E6986">
              <w:rPr>
                <w:rFonts w:asciiTheme="minorHAnsi" w:hAnsiTheme="minorHAnsi" w:cstheme="minorHAnsi"/>
                <w:szCs w:val="20"/>
                <w:lang w:val="es-ES_tradnl"/>
              </w:rPr>
              <w:t>y</w:t>
            </w:r>
            <w:r w:rsidRPr="003E6986">
              <w:rPr>
                <w:rFonts w:asciiTheme="minorHAnsi" w:hAnsiTheme="minorHAnsi" w:cstheme="minorHAnsi"/>
                <w:b/>
                <w:bCs/>
                <w:szCs w:val="20"/>
                <w:lang w:val="es-ES_tradnl"/>
              </w:rPr>
              <w:t xml:space="preserve"> 5.565</w:t>
            </w:r>
          </w:p>
        </w:tc>
        <w:tc>
          <w:tcPr>
            <w:tcW w:w="1564" w:type="dxa"/>
          </w:tcPr>
          <w:p w14:paraId="0389C745" w14:textId="77777777" w:rsidR="00C15E0F" w:rsidRPr="003E6986" w:rsidRDefault="00C15E0F" w:rsidP="00C15E0F">
            <w:pPr>
              <w:tabs>
                <w:tab w:val="clear" w:pos="794"/>
                <w:tab w:val="clear" w:pos="1191"/>
                <w:tab w:val="clear" w:pos="1588"/>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lang w:val="es-ES_tradnl" w:eastAsia="nl-NL"/>
              </w:rPr>
            </w:pPr>
            <w:r w:rsidRPr="003E6986">
              <w:rPr>
                <w:rFonts w:asciiTheme="minorHAnsi" w:hAnsiTheme="minorHAnsi" w:cstheme="minorHAnsi"/>
                <w:b/>
                <w:bCs/>
                <w:sz w:val="20"/>
                <w:szCs w:val="20"/>
                <w:lang w:val="es-ES_tradnl"/>
              </w:rPr>
              <w:t>GT 1A</w:t>
            </w:r>
          </w:p>
        </w:tc>
        <w:tc>
          <w:tcPr>
            <w:tcW w:w="8050" w:type="dxa"/>
          </w:tcPr>
          <w:p w14:paraId="57AE552B"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2031</w:t>
            </w:r>
          </w:p>
          <w:p w14:paraId="560627D0" w14:textId="6A065FDE" w:rsidR="00C15E0F" w:rsidRPr="003E6986" w:rsidRDefault="00C15E0F" w:rsidP="003B11B7">
            <w:pPr>
              <w:pStyle w:val="Tabletext"/>
              <w:tabs>
                <w:tab w:val="clear" w:pos="284"/>
                <w:tab w:val="left" w:pos="463"/>
              </w:tabs>
              <w:jc w:val="both"/>
              <w:rPr>
                <w:rFonts w:asciiTheme="minorHAnsi" w:eastAsiaTheme="minorEastAsia" w:hAnsiTheme="minorHAnsi" w:cstheme="minorHAnsi"/>
                <w:lang w:val="es-ES_tradnl" w:eastAsia="ja-JP"/>
              </w:rPr>
            </w:pPr>
            <w:r w:rsidRPr="003E6986">
              <w:rPr>
                <w:rFonts w:asciiTheme="minorHAnsi" w:eastAsiaTheme="minorEastAsia" w:hAnsiTheme="minorHAnsi" w:cstheme="minorHAnsi"/>
                <w:lang w:val="es-ES_tradnl" w:eastAsia="ja-JP"/>
              </w:rPr>
              <w:t>1</w:t>
            </w:r>
            <w:r w:rsidRPr="003E6986">
              <w:rPr>
                <w:rFonts w:asciiTheme="minorHAnsi" w:eastAsiaTheme="minorEastAsia" w:hAnsiTheme="minorHAnsi" w:cstheme="minorHAnsi"/>
                <w:lang w:val="es-ES_tradnl" w:eastAsia="ja-JP"/>
              </w:rPr>
              <w:tab/>
            </w:r>
            <w:r w:rsidRPr="003E6986">
              <w:rPr>
                <w:lang w:val="es-ES_tradnl" w:eastAsia="nl-NL"/>
              </w:rPr>
              <w:t>estudios</w:t>
            </w:r>
            <w:r w:rsidRPr="003E6986">
              <w:rPr>
                <w:rFonts w:asciiTheme="minorHAnsi" w:eastAsiaTheme="minorEastAsia" w:hAnsiTheme="minorHAnsi" w:cstheme="minorHAnsi"/>
                <w:lang w:val="es-ES_tradnl" w:eastAsia="ja-JP"/>
              </w:rPr>
              <w:t xml:space="preserve"> sobre las necesidades de espectro para los servicios fijo, móvil, de radiolocalización, de aficionados, de aficionados por satélite, de radioastronomía, del SETS (pasivo y activo) y del servicio de investigación espacial (pasivo</w:t>
            </w:r>
            <w:r w:rsidR="00FD58BD" w:rsidRPr="003E6986">
              <w:rPr>
                <w:rFonts w:asciiTheme="minorHAnsi" w:eastAsiaTheme="minorEastAsia" w:hAnsiTheme="minorHAnsi" w:cstheme="minorHAnsi"/>
                <w:lang w:val="es-ES_tradnl" w:eastAsia="ja-JP"/>
              </w:rPr>
              <w:t>) en la gama de frecuencias 275</w:t>
            </w:r>
            <w:r w:rsidR="00FD58BD" w:rsidRPr="003E6986">
              <w:rPr>
                <w:rFonts w:asciiTheme="minorHAnsi" w:eastAsiaTheme="minorEastAsia" w:hAnsiTheme="minorHAnsi" w:cstheme="minorHAnsi"/>
                <w:lang w:val="es-ES_tradnl" w:eastAsia="ja-JP"/>
              </w:rPr>
              <w:noBreakHyphen/>
            </w:r>
            <w:r w:rsidRPr="003E6986">
              <w:rPr>
                <w:rFonts w:asciiTheme="minorHAnsi" w:eastAsiaTheme="minorEastAsia" w:hAnsiTheme="minorHAnsi" w:cstheme="minorHAnsi"/>
                <w:lang w:val="es-ES_tradnl" w:eastAsia="ja-JP"/>
              </w:rPr>
              <w:t xml:space="preserve">325 GHz; </w:t>
            </w:r>
          </w:p>
          <w:p w14:paraId="4532448F" w14:textId="358E71EA" w:rsidR="00C15E0F" w:rsidRPr="003E6986" w:rsidRDefault="00C15E0F" w:rsidP="003B11B7">
            <w:pPr>
              <w:pStyle w:val="Tabletext"/>
              <w:tabs>
                <w:tab w:val="clear" w:pos="284"/>
                <w:tab w:val="left" w:pos="463"/>
              </w:tabs>
              <w:jc w:val="both"/>
              <w:rPr>
                <w:rFonts w:asciiTheme="minorHAnsi" w:eastAsiaTheme="minorEastAsia" w:hAnsiTheme="minorHAnsi" w:cstheme="minorHAnsi"/>
                <w:i/>
                <w:iCs/>
                <w:lang w:val="es-ES_tradnl" w:eastAsia="ja-JP"/>
              </w:rPr>
            </w:pPr>
            <w:r w:rsidRPr="003E6986">
              <w:rPr>
                <w:rFonts w:asciiTheme="minorHAnsi" w:eastAsiaTheme="minorEastAsia" w:hAnsiTheme="minorHAnsi" w:cstheme="minorHAnsi"/>
                <w:lang w:val="es-ES_tradnl" w:eastAsia="ja-JP"/>
              </w:rPr>
              <w:t>2</w:t>
            </w:r>
            <w:r w:rsidRPr="003E6986">
              <w:rPr>
                <w:rFonts w:asciiTheme="minorHAnsi" w:eastAsiaTheme="minorEastAsia" w:hAnsiTheme="minorHAnsi" w:cstheme="minorHAnsi"/>
                <w:lang w:val="es-ES_tradnl" w:eastAsia="ja-JP"/>
              </w:rPr>
              <w:tab/>
            </w:r>
            <w:r w:rsidRPr="003E6986">
              <w:rPr>
                <w:lang w:val="es-ES_tradnl" w:eastAsia="nl-NL"/>
              </w:rPr>
              <w:t>estudios</w:t>
            </w:r>
            <w:r w:rsidRPr="003E6986">
              <w:rPr>
                <w:rFonts w:asciiTheme="minorHAnsi" w:eastAsiaTheme="minorEastAsia" w:hAnsiTheme="minorHAnsi" w:cstheme="minorHAnsi"/>
                <w:lang w:val="es-ES_tradnl" w:eastAsia="ja-JP"/>
              </w:rPr>
              <w:t xml:space="preserve"> de compartición y compatibilidad entre los servicios mencionados en el </w:t>
            </w:r>
            <w:r w:rsidRPr="003E6986">
              <w:rPr>
                <w:rFonts w:asciiTheme="minorHAnsi" w:eastAsiaTheme="minorEastAsia" w:hAnsiTheme="minorHAnsi" w:cstheme="minorHAnsi"/>
                <w:i/>
                <w:iCs/>
                <w:lang w:val="es-ES_tradnl" w:eastAsia="ja-JP"/>
              </w:rPr>
              <w:t xml:space="preserve">resuelve invitar al Sector de Radiocomunicaciones de la UIT a finalizar a tiempo para la Conferencia Mundial </w:t>
            </w:r>
            <w:r w:rsidR="00FD58BD" w:rsidRPr="003E6986">
              <w:rPr>
                <w:rFonts w:asciiTheme="minorHAnsi" w:eastAsiaTheme="minorEastAsia" w:hAnsiTheme="minorHAnsi" w:cstheme="minorHAnsi"/>
                <w:i/>
                <w:iCs/>
                <w:lang w:val="es-ES_tradnl" w:eastAsia="ja-JP"/>
              </w:rPr>
              <w:t>de Radiocomunicaciones de 2031;</w:t>
            </w:r>
          </w:p>
          <w:p w14:paraId="347CEE4D" w14:textId="77777777" w:rsidR="00C15E0F" w:rsidRPr="003E6986" w:rsidRDefault="00C15E0F" w:rsidP="003B11B7">
            <w:pPr>
              <w:pStyle w:val="Tabletext"/>
              <w:tabs>
                <w:tab w:val="clear" w:pos="284"/>
                <w:tab w:val="left" w:pos="463"/>
              </w:tabs>
              <w:jc w:val="both"/>
              <w:rPr>
                <w:rFonts w:asciiTheme="minorHAnsi" w:eastAsiaTheme="minorEastAsia" w:hAnsiTheme="minorHAnsi" w:cstheme="minorHAnsi"/>
                <w:lang w:val="es-ES_tradnl" w:eastAsia="ja-JP"/>
              </w:rPr>
            </w:pPr>
            <w:r w:rsidRPr="003E6986">
              <w:rPr>
                <w:rFonts w:asciiTheme="minorHAnsi" w:eastAsiaTheme="minorEastAsia" w:hAnsiTheme="minorHAnsi" w:cstheme="minorHAnsi"/>
                <w:lang w:val="es-ES_tradnl" w:eastAsia="ja-JP"/>
              </w:rPr>
              <w:t>3</w:t>
            </w:r>
            <w:r w:rsidRPr="003E6986">
              <w:rPr>
                <w:rFonts w:asciiTheme="minorHAnsi" w:eastAsiaTheme="minorEastAsia" w:hAnsiTheme="minorHAnsi" w:cstheme="minorHAnsi"/>
                <w:lang w:val="es-ES_tradnl" w:eastAsia="ja-JP"/>
              </w:rPr>
              <w:tab/>
            </w:r>
            <w:r w:rsidRPr="003E6986">
              <w:rPr>
                <w:lang w:val="es-ES_tradnl" w:eastAsia="nl-NL"/>
              </w:rPr>
              <w:t>estudios</w:t>
            </w:r>
            <w:r w:rsidRPr="003E6986">
              <w:rPr>
                <w:rFonts w:asciiTheme="minorHAnsi" w:eastAsiaTheme="minorEastAsia" w:hAnsiTheme="minorHAnsi" w:cstheme="minorHAnsi"/>
                <w:lang w:val="es-ES_tradnl" w:eastAsia="ja-JP"/>
              </w:rPr>
              <w:t xml:space="preserve"> sobre las posibles nuevas atribuciones a los servicios mencionados en el </w:t>
            </w:r>
            <w:r w:rsidRPr="003E6986">
              <w:rPr>
                <w:rFonts w:asciiTheme="minorHAnsi" w:eastAsiaTheme="minorEastAsia" w:hAnsiTheme="minorHAnsi" w:cstheme="minorHAnsi"/>
                <w:i/>
                <w:iCs/>
                <w:lang w:val="es-ES_tradnl" w:eastAsia="ja-JP"/>
              </w:rPr>
              <w:t xml:space="preserve">resuelve invitar al Sector de Radiocomunicaciones de la UIT a finalizar a tiempo para la Conferencia Mundial de Radiocomunicaciones de 2031 </w:t>
            </w:r>
            <w:r w:rsidRPr="003E6986">
              <w:rPr>
                <w:rFonts w:asciiTheme="minorHAnsi" w:eastAsiaTheme="minorEastAsia" w:hAnsiTheme="minorHAnsi" w:cstheme="minorHAnsi"/>
                <w:lang w:val="es-ES_tradnl" w:eastAsia="ja-JP"/>
              </w:rPr>
              <w:t xml:space="preserve">1, garantizando a su vez la protección de los servicios pasivos en la gama de frecuencias 275-325 GHz y en las bandas de frecuencias adyacentes, teniendo en cuenta las bandas de frecuencias identificadas en los números </w:t>
            </w:r>
            <w:r w:rsidRPr="003E6986">
              <w:rPr>
                <w:rFonts w:asciiTheme="minorHAnsi" w:eastAsiaTheme="minorEastAsia" w:hAnsiTheme="minorHAnsi" w:cstheme="minorHAnsi"/>
                <w:b/>
                <w:bCs/>
                <w:lang w:val="es-ES_tradnl" w:eastAsia="ja-JP"/>
              </w:rPr>
              <w:t>5.564A</w:t>
            </w:r>
            <w:r w:rsidRPr="003E6986">
              <w:rPr>
                <w:rFonts w:asciiTheme="minorHAnsi" w:eastAsiaTheme="minorEastAsia" w:hAnsiTheme="minorHAnsi" w:cstheme="minorHAnsi"/>
                <w:lang w:val="es-ES_tradnl" w:eastAsia="ja-JP"/>
              </w:rPr>
              <w:t xml:space="preserve"> y </w:t>
            </w:r>
            <w:r w:rsidRPr="003E6986">
              <w:rPr>
                <w:rFonts w:asciiTheme="minorHAnsi" w:eastAsiaTheme="minorEastAsia" w:hAnsiTheme="minorHAnsi" w:cstheme="minorHAnsi"/>
                <w:b/>
                <w:bCs/>
                <w:lang w:val="es-ES_tradnl" w:eastAsia="ja-JP"/>
              </w:rPr>
              <w:t>5.565</w:t>
            </w:r>
            <w:r w:rsidRPr="003E6986">
              <w:rPr>
                <w:rFonts w:asciiTheme="minorHAnsi" w:eastAsiaTheme="minorEastAsia" w:hAnsiTheme="minorHAnsi" w:cstheme="minorHAnsi"/>
                <w:lang w:val="es-ES_tradnl" w:eastAsia="ja-JP"/>
              </w:rPr>
              <w:t xml:space="preserve">, y los resultados de los estudios, con arreglo al </w:t>
            </w:r>
            <w:r w:rsidRPr="003E6986">
              <w:rPr>
                <w:rFonts w:asciiTheme="minorHAnsi" w:eastAsiaTheme="minorEastAsia" w:hAnsiTheme="minorHAnsi" w:cstheme="minorHAnsi"/>
                <w:i/>
                <w:iCs/>
                <w:lang w:val="es-ES_tradnl" w:eastAsia="ja-JP"/>
              </w:rPr>
              <w:t xml:space="preserve">resuelve invitar al Sector de Radiocomunicaciones de la UIT a finalizar a tiempo para la Conferencia Mundial de Radiocomunicaciones de 2031 </w:t>
            </w:r>
            <w:r w:rsidRPr="003E6986">
              <w:rPr>
                <w:rFonts w:asciiTheme="minorHAnsi" w:eastAsiaTheme="minorEastAsia" w:hAnsiTheme="minorHAnsi" w:cstheme="minorHAnsi"/>
                <w:lang w:val="es-ES_tradnl" w:eastAsia="ja-JP"/>
              </w:rPr>
              <w:t xml:space="preserve">1 y 2, </w:t>
            </w:r>
          </w:p>
          <w:p w14:paraId="37CEDD56"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2031</w:t>
            </w:r>
          </w:p>
          <w:p w14:paraId="6A69632C" w14:textId="77777777" w:rsidR="00C15E0F" w:rsidRPr="003E6986" w:rsidRDefault="00C15E0F" w:rsidP="00C15E0F">
            <w:pPr>
              <w:pStyle w:val="Tabletext"/>
              <w:tabs>
                <w:tab w:val="clear" w:pos="284"/>
                <w:tab w:val="left" w:pos="463"/>
              </w:tabs>
              <w:jc w:val="both"/>
              <w:rPr>
                <w:rFonts w:asciiTheme="minorHAnsi" w:hAnsiTheme="minorHAnsi" w:cstheme="minorHAnsi"/>
                <w:szCs w:val="20"/>
                <w:lang w:val="es-ES_tradnl" w:eastAsia="ja-JP"/>
              </w:rPr>
            </w:pPr>
            <w:r w:rsidRPr="003E6986">
              <w:rPr>
                <w:rFonts w:asciiTheme="minorHAnsi" w:hAnsiTheme="minorHAnsi" w:cstheme="minorHAnsi"/>
                <w:szCs w:val="20"/>
                <w:lang w:val="es-ES_tradnl"/>
              </w:rPr>
              <w:t xml:space="preserve">a </w:t>
            </w:r>
            <w:r w:rsidRPr="003E6986">
              <w:rPr>
                <w:lang w:val="es-ES_tradnl" w:eastAsia="nl-NL"/>
              </w:rPr>
              <w:t>considerar</w:t>
            </w:r>
            <w:r w:rsidRPr="003E6986">
              <w:rPr>
                <w:rFonts w:asciiTheme="minorHAnsi" w:hAnsiTheme="minorHAnsi" w:cstheme="minorHAnsi"/>
                <w:szCs w:val="20"/>
                <w:lang w:val="es-ES_tradnl"/>
              </w:rPr>
              <w:t xml:space="preserve">, basándose en los resultados de los estudios, posibles nuevas atribuciones en la gama de frecuencias 275-325 GHz para los servicios de radiocomunicaciones mencionados en el </w:t>
            </w:r>
            <w:r w:rsidRPr="003E6986">
              <w:rPr>
                <w:rFonts w:asciiTheme="minorHAnsi" w:hAnsiTheme="minorHAnsi" w:cstheme="minorHAnsi"/>
                <w:i/>
                <w:iCs/>
                <w:szCs w:val="20"/>
                <w:lang w:val="es-ES_tradnl"/>
              </w:rPr>
              <w:t xml:space="preserve">resuelve invitar al Sector de Radiocomunicaciones de la UIT a finalizar a tiempo para la Conferencia Mundial de Radiocomunicaciones de 2031 1 </w:t>
            </w:r>
            <w:r w:rsidRPr="003E6986">
              <w:rPr>
                <w:rFonts w:asciiTheme="minorHAnsi" w:hAnsiTheme="minorHAnsi" w:cstheme="minorHAnsi"/>
                <w:szCs w:val="20"/>
                <w:lang w:val="es-ES_tradnl"/>
              </w:rPr>
              <w:t xml:space="preserve">y actualizar los números </w:t>
            </w:r>
            <w:r w:rsidRPr="003E6986">
              <w:rPr>
                <w:rFonts w:asciiTheme="minorHAnsi" w:hAnsiTheme="minorHAnsi" w:cstheme="minorHAnsi"/>
                <w:b/>
                <w:bCs/>
                <w:szCs w:val="20"/>
                <w:lang w:val="es-ES_tradnl" w:eastAsia="ja-JP"/>
              </w:rPr>
              <w:t xml:space="preserve">5.149, 5.340, 5.564A </w:t>
            </w:r>
            <w:r w:rsidRPr="003E6986">
              <w:rPr>
                <w:rFonts w:asciiTheme="minorHAnsi" w:hAnsiTheme="minorHAnsi" w:cstheme="minorHAnsi"/>
                <w:szCs w:val="20"/>
                <w:lang w:val="es-ES_tradnl" w:eastAsia="ja-JP"/>
              </w:rPr>
              <w:t>y</w:t>
            </w:r>
            <w:r w:rsidRPr="003E6986">
              <w:rPr>
                <w:rFonts w:asciiTheme="minorHAnsi" w:hAnsiTheme="minorHAnsi" w:cstheme="minorHAnsi"/>
                <w:b/>
                <w:bCs/>
                <w:szCs w:val="20"/>
                <w:lang w:val="es-ES_tradnl" w:eastAsia="ja-JP"/>
              </w:rPr>
              <w:t xml:space="preserve"> 5.565</w:t>
            </w:r>
            <w:r w:rsidRPr="003E6986">
              <w:rPr>
                <w:rFonts w:asciiTheme="minorHAnsi" w:hAnsiTheme="minorHAnsi" w:cstheme="minorHAnsi"/>
                <w:szCs w:val="20"/>
                <w:lang w:val="es-ES_tradnl" w:eastAsia="ja-JP"/>
              </w:rPr>
              <w:t>, según proceda,</w:t>
            </w:r>
          </w:p>
          <w:p w14:paraId="160DEC29" w14:textId="04B57317" w:rsidR="00FD58BD" w:rsidRPr="003E6986" w:rsidRDefault="00FD58BD" w:rsidP="00C15E0F">
            <w:pPr>
              <w:pStyle w:val="Tabletext"/>
              <w:tabs>
                <w:tab w:val="clear" w:pos="284"/>
                <w:tab w:val="left" w:pos="463"/>
              </w:tabs>
              <w:jc w:val="both"/>
              <w:rPr>
                <w:rFonts w:eastAsia="???"/>
                <w:iCs/>
                <w:lang w:val="es-ES_tradnl" w:eastAsia="nl-NL"/>
              </w:rPr>
            </w:pPr>
            <w:r w:rsidRPr="003E6986">
              <w:rPr>
                <w:rFonts w:asciiTheme="minorHAnsi" w:hAnsiTheme="minorHAnsi" w:cstheme="minorHAnsi"/>
                <w:szCs w:val="20"/>
                <w:lang w:val="es-ES_tradnl" w:eastAsia="ja-JP"/>
              </w:rPr>
              <w:t>…</w:t>
            </w:r>
          </w:p>
        </w:tc>
        <w:tc>
          <w:tcPr>
            <w:tcW w:w="1450" w:type="dxa"/>
            <w:gridSpan w:val="2"/>
          </w:tcPr>
          <w:p w14:paraId="2F29920D" w14:textId="77777777" w:rsidR="00C15E0F" w:rsidRPr="003E6986" w:rsidRDefault="00C15E0F" w:rsidP="00C15E0F">
            <w:pPr>
              <w:pStyle w:val="Tabletext"/>
              <w:tabs>
                <w:tab w:val="clear" w:pos="284"/>
                <w:tab w:val="left" w:pos="463"/>
              </w:tabs>
              <w:spacing w:line="480" w:lineRule="auto"/>
              <w:jc w:val="center"/>
              <w:rPr>
                <w:b/>
                <w:bCs/>
                <w:lang w:val="es-ES_tradnl" w:eastAsia="nl-NL"/>
              </w:rPr>
            </w:pPr>
            <w:r w:rsidRPr="003E6986">
              <w:rPr>
                <w:rFonts w:asciiTheme="minorHAnsi" w:hAnsiTheme="minorHAnsi" w:cstheme="minorHAnsi"/>
                <w:b/>
                <w:szCs w:val="20"/>
                <w:lang w:val="es-ES_tradnl"/>
              </w:rPr>
              <w:t>–</w:t>
            </w:r>
          </w:p>
        </w:tc>
      </w:tr>
    </w:tbl>
    <w:tbl>
      <w:tblPr>
        <w:tblW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1358"/>
        <w:gridCol w:w="8290"/>
        <w:gridCol w:w="1536"/>
      </w:tblGrid>
      <w:tr w:rsidR="00C15E0F" w:rsidRPr="008653C7" w14:paraId="15F6A32C" w14:textId="77777777" w:rsidTr="006D5A70">
        <w:trPr>
          <w:tblHeader/>
        </w:trPr>
        <w:tc>
          <w:tcPr>
            <w:tcW w:w="14464" w:type="dxa"/>
            <w:gridSpan w:val="4"/>
            <w:tcBorders>
              <w:top w:val="nil"/>
              <w:left w:val="nil"/>
              <w:bottom w:val="single" w:sz="4" w:space="0" w:color="auto"/>
              <w:right w:val="nil"/>
            </w:tcBorders>
          </w:tcPr>
          <w:p w14:paraId="435E5BDA" w14:textId="77777777" w:rsidR="00C15E0F" w:rsidRPr="003E6986" w:rsidRDefault="00C15E0F" w:rsidP="00C15E0F">
            <w:pPr>
              <w:pStyle w:val="Tablehead"/>
              <w:rPr>
                <w:rFonts w:asciiTheme="minorHAnsi" w:hAnsiTheme="minorHAnsi" w:cstheme="minorHAnsi"/>
                <w:lang w:val="es-ES_tradnl"/>
              </w:rPr>
            </w:pPr>
            <w:r w:rsidRPr="003E6986">
              <w:rPr>
                <w:color w:val="000000" w:themeColor="text1"/>
                <w:lang w:val="es-ES_tradnl"/>
              </w:rPr>
              <w:lastRenderedPageBreak/>
              <w:t>Atribución de los trabajos preparatorios del UIT-R para la CMR-31</w:t>
            </w:r>
          </w:p>
        </w:tc>
      </w:tr>
      <w:tr w:rsidR="00C15E0F" w:rsidRPr="003E6986" w14:paraId="4F286883" w14:textId="77777777" w:rsidTr="006D5A70">
        <w:trPr>
          <w:tblHeader/>
        </w:trPr>
        <w:tc>
          <w:tcPr>
            <w:tcW w:w="3280" w:type="dxa"/>
            <w:tcBorders>
              <w:top w:val="single" w:sz="4" w:space="0" w:color="auto"/>
            </w:tcBorders>
          </w:tcPr>
          <w:p w14:paraId="31DE94D2" w14:textId="77777777" w:rsidR="00C15E0F" w:rsidRPr="003E6986" w:rsidRDefault="00C15E0F" w:rsidP="00C15E0F">
            <w:pPr>
              <w:pStyle w:val="Tablehead"/>
              <w:rPr>
                <w:color w:val="000000" w:themeColor="text1"/>
                <w:lang w:val="es-ES_tradnl"/>
              </w:rPr>
            </w:pPr>
            <w:r w:rsidRPr="003E6986">
              <w:rPr>
                <w:color w:val="000000" w:themeColor="text1"/>
                <w:lang w:val="es-ES_tradnl"/>
              </w:rPr>
              <w:t>Tema</w:t>
            </w:r>
          </w:p>
        </w:tc>
        <w:tc>
          <w:tcPr>
            <w:tcW w:w="1358" w:type="dxa"/>
            <w:tcBorders>
              <w:top w:val="single" w:sz="4" w:space="0" w:color="auto"/>
            </w:tcBorders>
          </w:tcPr>
          <w:p w14:paraId="42FFFADB" w14:textId="77777777" w:rsidR="00C15E0F" w:rsidRPr="003E6986" w:rsidRDefault="00C15E0F" w:rsidP="00C15E0F">
            <w:pPr>
              <w:pStyle w:val="Tablehead"/>
              <w:rPr>
                <w:color w:val="000000" w:themeColor="text1"/>
                <w:lang w:val="es-ES_tradnl"/>
              </w:rPr>
            </w:pPr>
            <w:r w:rsidRPr="003E6986">
              <w:rPr>
                <w:color w:val="000000" w:themeColor="text1"/>
                <w:lang w:val="es-ES_tradnl"/>
              </w:rPr>
              <w:t>Grupo responsable</w:t>
            </w:r>
          </w:p>
        </w:tc>
        <w:tc>
          <w:tcPr>
            <w:tcW w:w="8290" w:type="dxa"/>
            <w:tcBorders>
              <w:top w:val="single" w:sz="4" w:space="0" w:color="auto"/>
            </w:tcBorders>
          </w:tcPr>
          <w:p w14:paraId="714770BB" w14:textId="77777777" w:rsidR="00C15E0F" w:rsidRPr="003E6986" w:rsidRDefault="00C15E0F" w:rsidP="00C15E0F">
            <w:pPr>
              <w:pStyle w:val="Tablehead"/>
              <w:rPr>
                <w:color w:val="000000" w:themeColor="text1"/>
                <w:lang w:val="es-ES_tradnl"/>
              </w:rPr>
            </w:pPr>
            <w:r w:rsidRPr="003E6986">
              <w:rPr>
                <w:color w:val="000000" w:themeColor="text1"/>
                <w:lang w:val="es-ES_tradnl"/>
              </w:rPr>
              <w:t>Cometido del Grupo</w:t>
            </w:r>
          </w:p>
        </w:tc>
        <w:tc>
          <w:tcPr>
            <w:tcW w:w="1536" w:type="dxa"/>
            <w:tcBorders>
              <w:top w:val="single" w:sz="4" w:space="0" w:color="auto"/>
            </w:tcBorders>
          </w:tcPr>
          <w:p w14:paraId="5CBCB995" w14:textId="77777777" w:rsidR="00C15E0F" w:rsidRPr="003E6986" w:rsidRDefault="00C15E0F" w:rsidP="00C15E0F">
            <w:pPr>
              <w:pStyle w:val="Tablehead"/>
              <w:rPr>
                <w:color w:val="000000" w:themeColor="text1"/>
                <w:lang w:val="es-ES_tradnl"/>
              </w:rPr>
            </w:pPr>
            <w:r w:rsidRPr="003E6986">
              <w:rPr>
                <w:color w:val="000000" w:themeColor="text1"/>
                <w:lang w:val="es-ES_tradnl"/>
              </w:rPr>
              <w:t>Grupo contribuyente</w:t>
            </w:r>
          </w:p>
        </w:tc>
      </w:tr>
      <w:tr w:rsidR="00C15E0F" w:rsidRPr="008653C7" w14:paraId="5CFDF580" w14:textId="77777777" w:rsidTr="006D5A70">
        <w:tc>
          <w:tcPr>
            <w:tcW w:w="14464" w:type="dxa"/>
            <w:gridSpan w:val="4"/>
          </w:tcPr>
          <w:p w14:paraId="5C3E4C32" w14:textId="77777777" w:rsidR="00C15E0F" w:rsidRPr="003E6986" w:rsidRDefault="00C15E0F" w:rsidP="00FD58BD">
            <w:pPr>
              <w:pStyle w:val="Tabletext"/>
              <w:tabs>
                <w:tab w:val="clear" w:pos="284"/>
                <w:tab w:val="left" w:pos="594"/>
              </w:tabs>
              <w:jc w:val="both"/>
              <w:rPr>
                <w:color w:val="000000" w:themeColor="text1"/>
                <w:lang w:val="es-ES_tradnl"/>
              </w:rPr>
            </w:pPr>
            <w:r w:rsidRPr="003E6986">
              <w:rPr>
                <w:rFonts w:asciiTheme="minorHAnsi" w:hAnsiTheme="minorHAnsi" w:cstheme="minorHAnsi"/>
                <w:lang w:val="es-ES_tradnl"/>
              </w:rPr>
              <w:t>2.2</w:t>
            </w:r>
            <w:r w:rsidRPr="003E6986">
              <w:rPr>
                <w:rFonts w:asciiTheme="minorHAnsi" w:hAnsiTheme="minorHAnsi" w:cstheme="minorHAnsi"/>
                <w:lang w:val="es-ES_tradnl"/>
              </w:rPr>
              <w:tab/>
              <w:t xml:space="preserve">[considerar la posibilidad de asignar [bandas de frecuencias] para la transmisión inalámbrica de potencia [mediante haces y sin haces] a fin de evitar la interferencia perjudicial causada por la transmisión inalámbrica de potencia a los servicios de radiocomunicaciones, de conformidad con la Resolución </w:t>
            </w:r>
            <w:r w:rsidRPr="003E6986">
              <w:rPr>
                <w:rFonts w:asciiTheme="minorHAnsi" w:hAnsiTheme="minorHAnsi" w:cstheme="minorHAnsi"/>
                <w:b/>
                <w:bCs/>
                <w:lang w:val="es-ES_tradnl"/>
              </w:rPr>
              <w:t>910 (CMR-23)</w:t>
            </w:r>
            <w:r w:rsidRPr="003E6986">
              <w:rPr>
                <w:rFonts w:asciiTheme="minorHAnsi" w:hAnsiTheme="minorHAnsi" w:cstheme="minorHAnsi"/>
                <w:lang w:val="es-ES_tradnl"/>
              </w:rPr>
              <w:t>];</w:t>
            </w:r>
          </w:p>
        </w:tc>
      </w:tr>
      <w:tr w:rsidR="00C15E0F" w:rsidRPr="003E6986" w14:paraId="352134FF" w14:textId="77777777" w:rsidTr="006D5A70">
        <w:tc>
          <w:tcPr>
            <w:tcW w:w="3280" w:type="dxa"/>
          </w:tcPr>
          <w:p w14:paraId="15C01974"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Resolución</w:t>
            </w:r>
            <w:r w:rsidRPr="003E6986">
              <w:rPr>
                <w:rFonts w:asciiTheme="minorHAnsi" w:hAnsiTheme="minorHAnsi" w:cstheme="minorHAnsi"/>
                <w:b/>
                <w:bCs/>
                <w:sz w:val="20"/>
                <w:lang w:val="es-ES_tradnl"/>
              </w:rPr>
              <w:t xml:space="preserve"> 910 (</w:t>
            </w:r>
            <w:proofErr w:type="spellStart"/>
            <w:r w:rsidRPr="003E6986">
              <w:rPr>
                <w:rFonts w:asciiTheme="minorHAnsi" w:hAnsiTheme="minorHAnsi" w:cstheme="minorHAnsi"/>
                <w:b/>
                <w:bCs/>
                <w:sz w:val="20"/>
                <w:lang w:val="es-ES_tradnl"/>
              </w:rPr>
              <w:t>CMR</w:t>
            </w:r>
            <w:proofErr w:type="spellEnd"/>
            <w:r w:rsidRPr="003E6986">
              <w:rPr>
                <w:rFonts w:asciiTheme="minorHAnsi" w:hAnsiTheme="minorHAnsi" w:cstheme="minorHAnsi"/>
                <w:b/>
                <w:bCs/>
                <w:sz w:val="20"/>
                <w:lang w:val="es-ES_tradnl"/>
              </w:rPr>
              <w:t>-23)</w:t>
            </w:r>
          </w:p>
          <w:p w14:paraId="059D247A"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[Estudios sobre la posibilidad de asignar [bandas de frecuencias] para la transmisión inalámbrica de potencia (TIP) [mediante haces y sin haces] a fin de evitar que la TIP cause interferencia perjudicial causada a los servicios de radiocomunicaciones]</w:t>
            </w:r>
            <w:r w:rsidRPr="003E6986">
              <w:rPr>
                <w:rStyle w:val="FootnoteReference"/>
                <w:rFonts w:asciiTheme="minorHAnsi" w:hAnsiTheme="minorHAnsi" w:cstheme="minorHAnsi"/>
                <w:sz w:val="20"/>
                <w:lang w:val="es-ES_tradnl"/>
              </w:rPr>
              <w:footnoteReference w:customMarkFollows="1" w:id="21"/>
              <w:t>1</w:t>
            </w:r>
          </w:p>
        </w:tc>
        <w:tc>
          <w:tcPr>
            <w:tcW w:w="1358" w:type="dxa"/>
          </w:tcPr>
          <w:p w14:paraId="788D0BAC" w14:textId="77777777" w:rsidR="00C15E0F" w:rsidRPr="003E6986" w:rsidRDefault="00C15E0F" w:rsidP="00FD58BD">
            <w:pPr>
              <w:pStyle w:val="TableText0"/>
              <w:jc w:val="center"/>
              <w:rPr>
                <w:rFonts w:asciiTheme="minorHAnsi" w:hAnsiTheme="minorHAnsi" w:cstheme="minorHAnsi"/>
                <w:sz w:val="20"/>
                <w:lang w:val="es-ES_tradnl"/>
              </w:rPr>
            </w:pPr>
            <w:r w:rsidRPr="003E6986">
              <w:rPr>
                <w:rFonts w:asciiTheme="minorHAnsi" w:hAnsiTheme="minorHAnsi" w:cstheme="minorHAnsi"/>
                <w:b/>
                <w:bCs/>
                <w:sz w:val="20"/>
                <w:lang w:val="es-ES_tradnl"/>
              </w:rPr>
              <w:t>GT 1A</w:t>
            </w:r>
          </w:p>
        </w:tc>
        <w:tc>
          <w:tcPr>
            <w:tcW w:w="8290" w:type="dxa"/>
          </w:tcPr>
          <w:p w14:paraId="5605BDE5"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2031</w:t>
            </w:r>
          </w:p>
          <w:p w14:paraId="3552D023" w14:textId="77777777" w:rsidR="00C15E0F" w:rsidRPr="003E6986" w:rsidRDefault="00C15E0F" w:rsidP="003B11B7">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eastAsia="ja-JP"/>
              </w:rPr>
              <w:t>1</w:t>
            </w:r>
            <w:r w:rsidRPr="003E6986">
              <w:rPr>
                <w:rFonts w:asciiTheme="minorHAnsi" w:hAnsiTheme="minorHAnsi" w:cstheme="minorHAnsi"/>
                <w:lang w:val="es-ES_tradnl" w:eastAsia="ja-JP"/>
              </w:rPr>
              <w:tab/>
            </w:r>
            <w:r w:rsidRPr="003E6986">
              <w:rPr>
                <w:lang w:val="es-ES_tradnl" w:eastAsia="nl-NL"/>
              </w:rPr>
              <w:t>estudios</w:t>
            </w:r>
            <w:r w:rsidRPr="003E6986">
              <w:rPr>
                <w:rFonts w:asciiTheme="minorHAnsi" w:hAnsiTheme="minorHAnsi" w:cstheme="minorHAnsi"/>
                <w:lang w:val="es-ES_tradnl" w:eastAsia="ja-JP"/>
              </w:rPr>
              <w:t xml:space="preserve"> sobre las características técnicas, operativas y los posibles efectos, teniendo en cuenta los resultados de los estudios ya disponibles, a fin de estudiar qué gamas de frecuencias son adecuadas para conseguir el funcionamiento armonizado de la TIP</w:t>
            </w:r>
            <w:r w:rsidRPr="003E6986">
              <w:rPr>
                <w:rFonts w:asciiTheme="minorHAnsi" w:hAnsiTheme="minorHAnsi" w:cstheme="minorHAnsi"/>
                <w:lang w:val="es-ES_tradnl"/>
              </w:rPr>
              <w:t>;</w:t>
            </w:r>
          </w:p>
          <w:p w14:paraId="45078F4E" w14:textId="77777777" w:rsidR="00C15E0F" w:rsidRPr="003E6986" w:rsidRDefault="00C15E0F" w:rsidP="003B11B7">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2</w:t>
            </w:r>
            <w:r w:rsidRPr="003E6986">
              <w:rPr>
                <w:rFonts w:asciiTheme="minorHAnsi" w:hAnsiTheme="minorHAnsi" w:cstheme="minorHAnsi"/>
                <w:lang w:val="es-ES_tradnl"/>
              </w:rPr>
              <w:tab/>
            </w:r>
            <w:r w:rsidRPr="003E6986">
              <w:rPr>
                <w:lang w:val="es-ES_tradnl" w:eastAsia="nl-NL"/>
              </w:rPr>
              <w:t>estudios</w:t>
            </w:r>
            <w:r w:rsidRPr="003E6986">
              <w:rPr>
                <w:rFonts w:asciiTheme="minorHAnsi" w:hAnsiTheme="minorHAnsi" w:cstheme="minorHAnsi"/>
                <w:lang w:val="es-ES_tradnl"/>
              </w:rPr>
              <w:t xml:space="preserve"> sobre los asuntos relacionados con el espectro necesarios para garantizar la protección de los servicios de radiocomunicaciones y del servicio de radioastronomía a los que están atribuidas las bandas de frecuencias a título primario y secundario, así como los servicios en las bandas adyacentes, y los servicios afectados por los armónicos,</w:t>
            </w:r>
          </w:p>
          <w:p w14:paraId="4E116CD7"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w:t>
            </w:r>
          </w:p>
          <w:p w14:paraId="0D895537"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2031</w:t>
            </w:r>
          </w:p>
          <w:p w14:paraId="6896E20A" w14:textId="08A52CF0" w:rsidR="006D5A70" w:rsidRPr="003E6986" w:rsidRDefault="00C15E0F" w:rsidP="003B11B7">
            <w:pPr>
              <w:pStyle w:val="Tabletext"/>
              <w:tabs>
                <w:tab w:val="clear" w:pos="284"/>
                <w:tab w:val="left" w:pos="463"/>
              </w:tabs>
              <w:jc w:val="both"/>
              <w:rPr>
                <w:rFonts w:asciiTheme="minorHAnsi" w:hAnsiTheme="minorHAnsi" w:cstheme="minorHAnsi"/>
                <w:lang w:val="es-ES_tradnl" w:eastAsia="ja-JP"/>
              </w:rPr>
            </w:pPr>
            <w:r w:rsidRPr="003E6986">
              <w:rPr>
                <w:rFonts w:asciiTheme="minorHAnsi" w:hAnsiTheme="minorHAnsi" w:cstheme="minorHAnsi"/>
                <w:lang w:val="es-ES_tradnl" w:eastAsia="ja-JP"/>
              </w:rPr>
              <w:t xml:space="preserve">a </w:t>
            </w:r>
            <w:r w:rsidRPr="003E6986">
              <w:rPr>
                <w:lang w:val="es-ES_tradnl" w:eastAsia="nl-NL"/>
              </w:rPr>
              <w:t>considerar</w:t>
            </w:r>
            <w:r w:rsidRPr="003E6986">
              <w:rPr>
                <w:rFonts w:asciiTheme="minorHAnsi" w:hAnsiTheme="minorHAnsi" w:cstheme="minorHAnsi"/>
                <w:lang w:val="es-ES_tradnl" w:eastAsia="ja-JP"/>
              </w:rPr>
              <w:t>, sobre la base de los estudios del UIT-R, posibles bandas de frecuencias para la TIP teniendo en cuenta que la TIP no debe causar interferencia perjudicial a los servicios de radiocomunicaciones.</w:t>
            </w:r>
          </w:p>
        </w:tc>
        <w:tc>
          <w:tcPr>
            <w:tcW w:w="1536" w:type="dxa"/>
          </w:tcPr>
          <w:p w14:paraId="7F6A8946" w14:textId="77777777" w:rsidR="00C15E0F" w:rsidRPr="003E6986" w:rsidRDefault="00C15E0F" w:rsidP="00FD58BD">
            <w:pPr>
              <w:pStyle w:val="TableText0"/>
              <w:jc w:val="center"/>
              <w:rPr>
                <w:rFonts w:asciiTheme="minorHAnsi" w:hAnsiTheme="minorHAnsi" w:cstheme="minorHAnsi"/>
                <w:b/>
                <w:bCs/>
                <w:sz w:val="20"/>
                <w:lang w:val="es-ES_tradnl"/>
              </w:rPr>
            </w:pPr>
            <w:r w:rsidRPr="003E6986">
              <w:rPr>
                <w:rFonts w:asciiTheme="minorHAnsi" w:hAnsiTheme="minorHAnsi" w:cstheme="minorHAnsi"/>
                <w:b/>
                <w:sz w:val="20"/>
                <w:lang w:val="es-ES_tradnl"/>
              </w:rPr>
              <w:t>–</w:t>
            </w:r>
          </w:p>
        </w:tc>
      </w:tr>
    </w:tbl>
    <w:p w14:paraId="41E1DE92" w14:textId="77777777" w:rsidR="006D5A70" w:rsidRDefault="006D5A70">
      <w:r>
        <w:br w:type="page"/>
      </w:r>
    </w:p>
    <w:tbl>
      <w:tblPr>
        <w:tblpPr w:leftFromText="180" w:rightFromText="180" w:vertAnchor="text" w:tblpY="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8222"/>
        <w:gridCol w:w="1559"/>
      </w:tblGrid>
      <w:tr w:rsidR="006D5A70" w:rsidRPr="008653C7" w14:paraId="1107E098" w14:textId="77777777" w:rsidTr="006D5A70">
        <w:trPr>
          <w:tblHeader/>
        </w:trPr>
        <w:tc>
          <w:tcPr>
            <w:tcW w:w="14459" w:type="dxa"/>
            <w:gridSpan w:val="4"/>
            <w:tcBorders>
              <w:top w:val="nil"/>
              <w:left w:val="nil"/>
              <w:right w:val="nil"/>
            </w:tcBorders>
          </w:tcPr>
          <w:p w14:paraId="3FCC05D0" w14:textId="77777777" w:rsidR="006D5A70" w:rsidRPr="003E6986" w:rsidRDefault="006D5A70" w:rsidP="006D5A70">
            <w:pPr>
              <w:pStyle w:val="Tablehead"/>
              <w:rPr>
                <w:color w:val="000000" w:themeColor="text1"/>
                <w:sz w:val="22"/>
                <w:lang w:val="es-ES_tradnl"/>
              </w:rPr>
            </w:pPr>
            <w:r w:rsidRPr="003E6986">
              <w:rPr>
                <w:color w:val="000000" w:themeColor="text1"/>
                <w:lang w:val="es-ES_tradnl"/>
              </w:rPr>
              <w:lastRenderedPageBreak/>
              <w:t xml:space="preserve">Atribución de los trabajos preparatorios del UIT-R para la </w:t>
            </w:r>
            <w:proofErr w:type="spellStart"/>
            <w:r w:rsidRPr="003E6986">
              <w:rPr>
                <w:color w:val="000000" w:themeColor="text1"/>
                <w:lang w:val="es-ES_tradnl"/>
              </w:rPr>
              <w:t>CMR</w:t>
            </w:r>
            <w:proofErr w:type="spellEnd"/>
            <w:r w:rsidRPr="003E6986">
              <w:rPr>
                <w:color w:val="000000" w:themeColor="text1"/>
                <w:lang w:val="es-ES_tradnl"/>
              </w:rPr>
              <w:t>-31</w:t>
            </w:r>
          </w:p>
        </w:tc>
      </w:tr>
      <w:tr w:rsidR="006D5A70" w:rsidRPr="003E6986" w14:paraId="28AD0B87" w14:textId="77777777" w:rsidTr="006D5A70">
        <w:trPr>
          <w:tblHeader/>
        </w:trPr>
        <w:tc>
          <w:tcPr>
            <w:tcW w:w="3261" w:type="dxa"/>
            <w:vAlign w:val="center"/>
          </w:tcPr>
          <w:p w14:paraId="763FED80" w14:textId="77777777" w:rsidR="006D5A70" w:rsidRPr="003E6986" w:rsidRDefault="006D5A70" w:rsidP="006D5A70">
            <w:pPr>
              <w:pStyle w:val="Tablehead"/>
              <w:rPr>
                <w:color w:val="000000" w:themeColor="text1"/>
                <w:lang w:val="es-ES_tradnl"/>
              </w:rPr>
            </w:pPr>
            <w:r w:rsidRPr="003E6986">
              <w:rPr>
                <w:color w:val="000000" w:themeColor="text1"/>
                <w:lang w:val="es-ES_tradnl"/>
              </w:rPr>
              <w:t>Tema</w:t>
            </w:r>
          </w:p>
        </w:tc>
        <w:tc>
          <w:tcPr>
            <w:tcW w:w="1417" w:type="dxa"/>
            <w:vAlign w:val="center"/>
          </w:tcPr>
          <w:p w14:paraId="0D872FE1" w14:textId="77777777" w:rsidR="006D5A70" w:rsidRPr="003E6986" w:rsidRDefault="006D5A70" w:rsidP="006D5A70">
            <w:pPr>
              <w:pStyle w:val="Tablehead"/>
              <w:rPr>
                <w:color w:val="000000" w:themeColor="text1"/>
                <w:lang w:val="es-ES_tradnl"/>
              </w:rPr>
            </w:pPr>
            <w:r w:rsidRPr="003E6986">
              <w:rPr>
                <w:color w:val="000000" w:themeColor="text1"/>
                <w:lang w:val="es-ES_tradnl"/>
              </w:rPr>
              <w:t>Grupo responsable</w:t>
            </w:r>
          </w:p>
        </w:tc>
        <w:tc>
          <w:tcPr>
            <w:tcW w:w="8222" w:type="dxa"/>
            <w:vAlign w:val="center"/>
          </w:tcPr>
          <w:p w14:paraId="16447F44" w14:textId="77777777" w:rsidR="006D5A70" w:rsidRPr="003E6986" w:rsidRDefault="006D5A70" w:rsidP="006D5A70">
            <w:pPr>
              <w:pStyle w:val="Tablehead"/>
              <w:rPr>
                <w:color w:val="000000" w:themeColor="text1"/>
                <w:lang w:val="es-ES_tradnl"/>
              </w:rPr>
            </w:pPr>
            <w:r w:rsidRPr="003E6986">
              <w:rPr>
                <w:color w:val="000000" w:themeColor="text1"/>
                <w:lang w:val="es-ES_tradnl"/>
              </w:rPr>
              <w:t>Cometido del Grupo</w:t>
            </w:r>
          </w:p>
        </w:tc>
        <w:tc>
          <w:tcPr>
            <w:tcW w:w="1559" w:type="dxa"/>
            <w:vAlign w:val="center"/>
          </w:tcPr>
          <w:p w14:paraId="5CD313D7" w14:textId="77777777" w:rsidR="006D5A70" w:rsidRPr="003E6986" w:rsidRDefault="006D5A70" w:rsidP="006D5A70">
            <w:pPr>
              <w:pStyle w:val="Tablehead"/>
              <w:rPr>
                <w:color w:val="000000" w:themeColor="text1"/>
                <w:lang w:val="es-ES_tradnl"/>
              </w:rPr>
            </w:pPr>
            <w:r w:rsidRPr="003E6986">
              <w:rPr>
                <w:color w:val="000000" w:themeColor="text1"/>
                <w:lang w:val="es-ES_tradnl"/>
              </w:rPr>
              <w:t>Grupo contribuyente</w:t>
            </w:r>
          </w:p>
        </w:tc>
      </w:tr>
    </w:tbl>
    <w:tbl>
      <w:tblPr>
        <w:tblW w:w="14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1358"/>
        <w:gridCol w:w="8290"/>
        <w:gridCol w:w="1536"/>
      </w:tblGrid>
      <w:tr w:rsidR="00C15E0F" w:rsidRPr="008653C7" w14:paraId="15F50FD8" w14:textId="77777777" w:rsidTr="006D5A70">
        <w:tc>
          <w:tcPr>
            <w:tcW w:w="14464" w:type="dxa"/>
            <w:gridSpan w:val="4"/>
          </w:tcPr>
          <w:p w14:paraId="55FAEA22" w14:textId="7B8F41F2" w:rsidR="00C15E0F" w:rsidRPr="003E6986" w:rsidRDefault="00FD58BD" w:rsidP="00FD58BD">
            <w:pPr>
              <w:pStyle w:val="Tabletext"/>
              <w:tabs>
                <w:tab w:val="clear" w:pos="284"/>
                <w:tab w:val="left" w:pos="594"/>
              </w:tabs>
              <w:jc w:val="both"/>
              <w:rPr>
                <w:rFonts w:asciiTheme="minorHAnsi" w:hAnsiTheme="minorHAnsi" w:cstheme="minorHAnsi"/>
                <w:highlight w:val="yellow"/>
                <w:lang w:val="es-ES_tradnl"/>
              </w:rPr>
            </w:pPr>
            <w:r w:rsidRPr="003E6986">
              <w:rPr>
                <w:rFonts w:asciiTheme="minorHAnsi" w:hAnsiTheme="minorHAnsi" w:cstheme="minorHAnsi"/>
                <w:lang w:val="es-ES_tradnl"/>
              </w:rPr>
              <w:t>2.3</w:t>
            </w:r>
            <w:r w:rsidRPr="003E6986">
              <w:rPr>
                <w:rFonts w:asciiTheme="minorHAnsi" w:hAnsiTheme="minorHAnsi" w:cstheme="minorHAnsi"/>
                <w:lang w:val="es-ES_tradnl"/>
              </w:rPr>
              <w:tab/>
            </w:r>
            <w:r w:rsidRPr="003E6986">
              <w:rPr>
                <w:rFonts w:asciiTheme="minorHAnsi" w:hAnsiTheme="minorHAnsi" w:cstheme="minorHAnsi"/>
                <w:lang w:val="es-ES_tradnl"/>
              </w:rPr>
              <w:tab/>
            </w:r>
            <w:r w:rsidR="00C15E0F" w:rsidRPr="003E6986">
              <w:rPr>
                <w:rFonts w:asciiTheme="minorHAnsi" w:hAnsiTheme="minorHAnsi" w:cstheme="minorHAnsi"/>
                <w:lang w:val="es-ES_tradnl"/>
              </w:rPr>
              <w:t xml:space="preserve">considerar la utilización de estaciones terrenas en movimiento aeronáuticas y marítimas que se comunican con estaciones espaciales no geoestacionarias del servicio fijo por satélite (Tierra-espacio) en la banda de frecuencias12,75-13,25 GHz, de conformidad con la Resolución </w:t>
            </w:r>
            <w:r w:rsidR="00C15E0F" w:rsidRPr="003E6986">
              <w:rPr>
                <w:rFonts w:asciiTheme="minorHAnsi" w:hAnsiTheme="minorHAnsi" w:cstheme="minorHAnsi"/>
                <w:b/>
                <w:bCs/>
                <w:lang w:val="es-ES_tradnl"/>
              </w:rPr>
              <w:t>133 (CMR-23)</w:t>
            </w:r>
            <w:r w:rsidR="00C15E0F" w:rsidRPr="003E6986">
              <w:rPr>
                <w:rFonts w:asciiTheme="minorHAnsi" w:hAnsiTheme="minorHAnsi" w:cstheme="minorHAnsi"/>
                <w:lang w:val="es-ES_tradnl"/>
              </w:rPr>
              <w:t>;</w:t>
            </w:r>
          </w:p>
        </w:tc>
      </w:tr>
      <w:tr w:rsidR="00C15E0F" w:rsidRPr="003E6986" w14:paraId="444168EC" w14:textId="77777777" w:rsidTr="006D5A70">
        <w:tc>
          <w:tcPr>
            <w:tcW w:w="3280" w:type="dxa"/>
          </w:tcPr>
          <w:p w14:paraId="756D7DC0" w14:textId="77777777" w:rsidR="00C15E0F" w:rsidRPr="003E6986" w:rsidRDefault="00C15E0F" w:rsidP="00C15E0F">
            <w:pPr>
              <w:pStyle w:val="TableText0"/>
              <w:rPr>
                <w:rFonts w:asciiTheme="minorHAnsi" w:hAnsiTheme="minorHAnsi" w:cstheme="minorHAnsi"/>
                <w:b/>
                <w:bCs/>
                <w:sz w:val="20"/>
                <w:lang w:val="es-ES_tradnl"/>
              </w:rPr>
            </w:pPr>
            <w:r w:rsidRPr="003E6986">
              <w:rPr>
                <w:rFonts w:asciiTheme="minorHAnsi" w:hAnsiTheme="minorHAnsi" w:cstheme="minorHAnsi"/>
                <w:sz w:val="20"/>
                <w:lang w:val="es-ES_tradnl"/>
              </w:rPr>
              <w:t>Resolución</w:t>
            </w:r>
            <w:r w:rsidRPr="003E6986">
              <w:rPr>
                <w:rFonts w:asciiTheme="minorHAnsi" w:hAnsiTheme="minorHAnsi" w:cstheme="minorHAnsi"/>
                <w:b/>
                <w:bCs/>
                <w:sz w:val="20"/>
                <w:lang w:val="es-ES_tradnl"/>
              </w:rPr>
              <w:t xml:space="preserve"> 133 (</w:t>
            </w:r>
            <w:proofErr w:type="spellStart"/>
            <w:r w:rsidRPr="003E6986">
              <w:rPr>
                <w:rFonts w:asciiTheme="minorHAnsi" w:hAnsiTheme="minorHAnsi" w:cstheme="minorHAnsi"/>
                <w:b/>
                <w:bCs/>
                <w:sz w:val="20"/>
                <w:lang w:val="es-ES_tradnl"/>
              </w:rPr>
              <w:t>CMR</w:t>
            </w:r>
            <w:proofErr w:type="spellEnd"/>
            <w:r w:rsidRPr="003E6986">
              <w:rPr>
                <w:rFonts w:asciiTheme="minorHAnsi" w:hAnsiTheme="minorHAnsi" w:cstheme="minorHAnsi"/>
                <w:b/>
                <w:bCs/>
                <w:sz w:val="20"/>
                <w:lang w:val="es-ES_tradnl"/>
              </w:rPr>
              <w:t>-23)</w:t>
            </w:r>
          </w:p>
          <w:p w14:paraId="047E1601" w14:textId="3733BAE9"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bCs/>
                <w:sz w:val="20"/>
                <w:lang w:val="es-ES_tradnl"/>
              </w:rPr>
              <w:t>Estudios sobre la posible utilización de la banda de frecuencias 12,75-13,25 GHz para estaciones terrenas en movimiento a bordo de aeronaves y barcos que se comunican con estaciones espaciales no geoestacionarias del servicio fijo por satélite (Tierra-espacio)</w:t>
            </w:r>
          </w:p>
        </w:tc>
        <w:tc>
          <w:tcPr>
            <w:tcW w:w="1358" w:type="dxa"/>
          </w:tcPr>
          <w:p w14:paraId="741EE386" w14:textId="77777777" w:rsidR="00C15E0F" w:rsidRPr="003E6986" w:rsidRDefault="00C15E0F" w:rsidP="00FD58BD">
            <w:pPr>
              <w:pStyle w:val="TableText0"/>
              <w:jc w:val="center"/>
              <w:rPr>
                <w:rFonts w:asciiTheme="minorHAnsi" w:hAnsiTheme="minorHAnsi" w:cstheme="minorHAnsi"/>
                <w:sz w:val="20"/>
                <w:lang w:val="es-ES_tradnl"/>
              </w:rPr>
            </w:pPr>
            <w:r w:rsidRPr="003E6986">
              <w:rPr>
                <w:rFonts w:asciiTheme="minorHAnsi" w:hAnsiTheme="minorHAnsi" w:cstheme="minorHAnsi"/>
                <w:b/>
                <w:bCs/>
                <w:sz w:val="20"/>
                <w:lang w:val="es-ES_tradnl"/>
              </w:rPr>
              <w:t>GT 4A</w:t>
            </w:r>
          </w:p>
        </w:tc>
        <w:tc>
          <w:tcPr>
            <w:tcW w:w="8290" w:type="dxa"/>
          </w:tcPr>
          <w:p w14:paraId="600B909A" w14:textId="77777777" w:rsidR="00C15E0F" w:rsidRPr="003E6986" w:rsidRDefault="00C15E0F" w:rsidP="003B11B7">
            <w:pPr>
              <w:pStyle w:val="Tabletext"/>
              <w:tabs>
                <w:tab w:val="clear" w:pos="284"/>
                <w:tab w:val="left" w:pos="463"/>
              </w:tabs>
              <w:ind w:left="454"/>
              <w:jc w:val="both"/>
              <w:rPr>
                <w:rFonts w:eastAsia="???"/>
                <w:i/>
                <w:iCs/>
                <w:lang w:val="es-ES_tradnl" w:eastAsia="nl-NL"/>
              </w:rPr>
            </w:pPr>
            <w:bookmarkStart w:id="33" w:name="_Hlk156227057"/>
            <w:r w:rsidRPr="003E6986">
              <w:rPr>
                <w:rFonts w:eastAsia="???"/>
                <w:i/>
                <w:iCs/>
                <w:lang w:val="es-ES_tradnl" w:eastAsia="nl-NL"/>
              </w:rPr>
              <w:t>resuelve invitar al Sector de Radiocomunicaciones de la UIT a finalizar a tiempo para la Conferencia Mundial de Radiocomunicaciones 2031</w:t>
            </w:r>
          </w:p>
          <w:p w14:paraId="36B746C7" w14:textId="77777777" w:rsidR="00C15E0F" w:rsidRPr="003E6986" w:rsidRDefault="00C15E0F" w:rsidP="003B11B7">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1</w:t>
            </w:r>
            <w:r w:rsidRPr="003E6986">
              <w:rPr>
                <w:rFonts w:asciiTheme="minorHAnsi" w:hAnsiTheme="minorHAnsi" w:cstheme="minorHAnsi"/>
                <w:lang w:val="es-ES_tradnl"/>
              </w:rPr>
              <w:tab/>
              <w:t>estudios sobre las características técnicas y operativas de las ETEM-A y ETEM-M que tienen previsto comunicarse con estaciones espaciales no OSG del SFS en la banda de frecuencias 12,75-13,25 GHz (Tierra-espacio);</w:t>
            </w:r>
          </w:p>
          <w:p w14:paraId="30230A2C" w14:textId="77777777" w:rsidR="00C15E0F" w:rsidRPr="003E6986" w:rsidRDefault="00C15E0F" w:rsidP="003B11B7">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2</w:t>
            </w:r>
            <w:r w:rsidRPr="003E6986">
              <w:rPr>
                <w:rFonts w:asciiTheme="minorHAnsi" w:hAnsiTheme="minorHAnsi" w:cstheme="minorHAnsi"/>
                <w:lang w:val="es-ES_tradnl"/>
              </w:rPr>
              <w:tab/>
            </w:r>
            <w:r w:rsidRPr="003E6986">
              <w:rPr>
                <w:lang w:val="es-ES_tradnl" w:eastAsia="nl-NL"/>
              </w:rPr>
              <w:t>estudios</w:t>
            </w:r>
            <w:r w:rsidRPr="003E6986">
              <w:rPr>
                <w:rFonts w:asciiTheme="minorHAnsi" w:hAnsiTheme="minorHAnsi" w:cstheme="minorHAnsi"/>
                <w:lang w:val="es-ES_tradnl"/>
              </w:rPr>
              <w:t xml:space="preserve"> sobre la compartición y compatibilidad entre las ETEM-A y ETEM-M que se comunican con estaciones espaciales no OSG del SFS y las estaciones actuales y previstas de los servicios existentes con atribuciones en la banda de frecuencias 12,75-13,25 GHz, para garantizar que las ETEM no reclamarán más protección ni causarán más interferencia que las estaciones terrenas típicas existentes;</w:t>
            </w:r>
          </w:p>
          <w:p w14:paraId="4B4A1792"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3</w:t>
            </w:r>
            <w:r w:rsidRPr="003E6986">
              <w:rPr>
                <w:rFonts w:asciiTheme="minorHAnsi" w:hAnsiTheme="minorHAnsi" w:cstheme="minorHAnsi"/>
                <w:lang w:val="es-ES_tradnl"/>
              </w:rPr>
              <w:tab/>
              <w:t xml:space="preserve">la determinación de las condiciones técnicas y las disposiciones reglamentarias para el funcionamiento de las ETEM-A y ETEM-M que se comunican con estaciones espaciales no OSG del SFS que funcionan en las bandas de frecuencias 12,75-13,25 GHz (Tierra-espacio), teniendo en cuenta los resultados de los estudios esbozados en los </w:t>
            </w:r>
            <w:r w:rsidRPr="003E6986">
              <w:rPr>
                <w:rFonts w:asciiTheme="minorHAnsi" w:hAnsiTheme="minorHAnsi" w:cstheme="minorHAnsi"/>
                <w:i/>
                <w:iCs/>
                <w:lang w:val="es-ES_tradnl"/>
              </w:rPr>
              <w:t>resuelve invitar al Sector de Radiocomunicaciones de la UIT</w:t>
            </w:r>
            <w:r w:rsidRPr="003E6986">
              <w:rPr>
                <w:rFonts w:asciiTheme="minorHAnsi" w:hAnsiTheme="minorHAnsi" w:cstheme="minorHAnsi"/>
                <w:lang w:val="es-ES_tradnl"/>
              </w:rPr>
              <w:t xml:space="preserve"> </w:t>
            </w:r>
            <w:r w:rsidRPr="003E6986">
              <w:rPr>
                <w:rFonts w:asciiTheme="minorHAnsi" w:hAnsiTheme="minorHAnsi" w:cstheme="minorHAnsi"/>
                <w:i/>
                <w:iCs/>
                <w:lang w:val="es-ES_tradnl"/>
              </w:rPr>
              <w:t>a finalizar a tiempo para la Conferencia Mundial de Radiocomunicaciones de 2031</w:t>
            </w:r>
            <w:r w:rsidRPr="003E6986">
              <w:rPr>
                <w:rFonts w:asciiTheme="minorHAnsi" w:hAnsiTheme="minorHAnsi" w:cstheme="minorHAnsi"/>
                <w:lang w:val="es-ES_tradnl"/>
              </w:rPr>
              <w:t xml:space="preserve"> 1 y 2, garantizando al mismo tiempo la protección de los servicios establecidos;</w:t>
            </w:r>
          </w:p>
          <w:p w14:paraId="747710DB"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4</w:t>
            </w:r>
            <w:r w:rsidRPr="003E6986">
              <w:rPr>
                <w:rFonts w:asciiTheme="minorHAnsi" w:hAnsiTheme="minorHAnsi" w:cstheme="minorHAnsi"/>
                <w:lang w:val="es-ES_tradnl"/>
              </w:rPr>
              <w:tab/>
              <w:t xml:space="preserve">estudios sobre la compartición y la compatibilidad de las comunicaciones entre estaciones espaciales no OSG del SFS y ETEM con respecto al SETS (pasivo) con atribuciones en la banda de frecuencias adyacente mencionada en el </w:t>
            </w:r>
            <w:r w:rsidRPr="003E6986">
              <w:rPr>
                <w:rFonts w:asciiTheme="minorHAnsi" w:hAnsiTheme="minorHAnsi" w:cstheme="minorHAnsi"/>
                <w:i/>
                <w:iCs/>
                <w:lang w:val="es-ES_tradnl"/>
              </w:rPr>
              <w:t>reconociendo f)</w:t>
            </w:r>
            <w:r w:rsidRPr="003E6986">
              <w:rPr>
                <w:rFonts w:asciiTheme="minorHAnsi" w:hAnsiTheme="minorHAnsi" w:cstheme="minorHAnsi"/>
                <w:lang w:val="es-ES_tradnl"/>
              </w:rPr>
              <w:t>;</w:t>
            </w:r>
          </w:p>
          <w:p w14:paraId="16CE9314"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5</w:t>
            </w:r>
            <w:r w:rsidRPr="003E6986">
              <w:rPr>
                <w:rFonts w:asciiTheme="minorHAnsi" w:hAnsiTheme="minorHAnsi" w:cstheme="minorHAnsi"/>
                <w:lang w:val="es-ES_tradnl"/>
              </w:rPr>
              <w:tab/>
              <w:t>estudios sobre la elaboración de una nueva Recomendación sobre la función del Centro de control y supervisión de la red para el funcionamiento de las ETEM;</w:t>
            </w:r>
          </w:p>
          <w:p w14:paraId="0DED20F0" w14:textId="77777777" w:rsidR="00C15E0F" w:rsidRPr="003E6986" w:rsidRDefault="00C15E0F" w:rsidP="00FD58BD">
            <w:pPr>
              <w:pStyle w:val="Tabletext"/>
              <w:tabs>
                <w:tab w:val="clear" w:pos="284"/>
                <w:tab w:val="left" w:pos="463"/>
              </w:tabs>
              <w:jc w:val="both"/>
              <w:rPr>
                <w:rFonts w:asciiTheme="minorHAnsi" w:hAnsiTheme="minorHAnsi" w:cstheme="minorHAnsi"/>
                <w:highlight w:val="yellow"/>
                <w:lang w:val="es-ES_tradnl"/>
              </w:rPr>
            </w:pPr>
            <w:r w:rsidRPr="003E6986">
              <w:rPr>
                <w:rFonts w:asciiTheme="minorHAnsi" w:hAnsiTheme="minorHAnsi" w:cstheme="minorHAnsi"/>
                <w:lang w:val="es-ES_tradnl"/>
              </w:rPr>
              <w:t>6</w:t>
            </w:r>
            <w:r w:rsidRPr="003E6986">
              <w:rPr>
                <w:rFonts w:asciiTheme="minorHAnsi" w:hAnsiTheme="minorHAnsi" w:cstheme="minorHAnsi"/>
                <w:lang w:val="es-ES_tradnl"/>
              </w:rPr>
              <w:tab/>
              <w:t>estudios sobre la responsabilidad de las entidades implicadas en el funcionamiento de las ETEM aeronáuticas y marítimas a que se refiere esta Resolución,</w:t>
            </w:r>
          </w:p>
          <w:p w14:paraId="5D155347"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w:t>
            </w:r>
          </w:p>
          <w:p w14:paraId="1628BE8F"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2031</w:t>
            </w:r>
          </w:p>
          <w:p w14:paraId="34233FC7" w14:textId="43B9A35E" w:rsidR="006D5A70" w:rsidRPr="003E6986" w:rsidRDefault="00C15E0F" w:rsidP="006D5A70">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a considerar los resultados de los estudios mencionados y adoptar las medidas necesarias en consecuencia.</w:t>
            </w:r>
            <w:bookmarkEnd w:id="33"/>
          </w:p>
        </w:tc>
        <w:tc>
          <w:tcPr>
            <w:tcW w:w="1536" w:type="dxa"/>
          </w:tcPr>
          <w:p w14:paraId="4752883D" w14:textId="77777777" w:rsidR="00C15E0F" w:rsidRPr="003E6986" w:rsidRDefault="00C15E0F" w:rsidP="00FD58BD">
            <w:pPr>
              <w:pStyle w:val="TableText0"/>
              <w:jc w:val="center"/>
              <w:rPr>
                <w:rFonts w:asciiTheme="minorHAnsi" w:hAnsiTheme="minorHAnsi" w:cstheme="minorHAnsi"/>
                <w:b/>
                <w:bCs/>
                <w:sz w:val="20"/>
                <w:lang w:val="es-ES_tradnl"/>
              </w:rPr>
            </w:pPr>
            <w:r w:rsidRPr="003E6986">
              <w:rPr>
                <w:rFonts w:asciiTheme="minorHAnsi" w:hAnsiTheme="minorHAnsi" w:cstheme="minorHAnsi"/>
                <w:b/>
                <w:sz w:val="20"/>
                <w:lang w:val="es-ES_tradnl"/>
              </w:rPr>
              <w:t>–</w:t>
            </w:r>
          </w:p>
        </w:tc>
      </w:tr>
    </w:tbl>
    <w:p w14:paraId="2828BEE7" w14:textId="77777777" w:rsidR="00B11EE6" w:rsidRDefault="00B11EE6">
      <w:r>
        <w:br w:type="page"/>
      </w:r>
    </w:p>
    <w:tbl>
      <w:tblPr>
        <w:tblpPr w:leftFromText="180" w:rightFromText="180" w:vertAnchor="text" w:tblpY="1"/>
        <w:tblOverlap w:val="never"/>
        <w:tblW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8222"/>
        <w:gridCol w:w="1564"/>
      </w:tblGrid>
      <w:tr w:rsidR="00B11EE6" w:rsidRPr="008653C7" w14:paraId="623ED0B6" w14:textId="77777777" w:rsidTr="00B11EE6">
        <w:trPr>
          <w:tblHeader/>
        </w:trPr>
        <w:tc>
          <w:tcPr>
            <w:tcW w:w="14464" w:type="dxa"/>
            <w:gridSpan w:val="4"/>
            <w:tcBorders>
              <w:top w:val="nil"/>
              <w:left w:val="nil"/>
              <w:right w:val="nil"/>
            </w:tcBorders>
          </w:tcPr>
          <w:p w14:paraId="3E306927" w14:textId="77777777" w:rsidR="00B11EE6" w:rsidRPr="003E6986" w:rsidRDefault="00B11EE6" w:rsidP="00B11EE6">
            <w:pPr>
              <w:pStyle w:val="Tablehead"/>
              <w:rPr>
                <w:color w:val="000000" w:themeColor="text1"/>
                <w:sz w:val="22"/>
                <w:lang w:val="es-ES_tradnl"/>
              </w:rPr>
            </w:pPr>
            <w:r w:rsidRPr="003E6986">
              <w:rPr>
                <w:color w:val="000000" w:themeColor="text1"/>
                <w:lang w:val="es-ES_tradnl"/>
              </w:rPr>
              <w:lastRenderedPageBreak/>
              <w:t xml:space="preserve">Atribución de los trabajos preparatorios del UIT-R para la </w:t>
            </w:r>
            <w:proofErr w:type="spellStart"/>
            <w:r w:rsidRPr="003E6986">
              <w:rPr>
                <w:color w:val="000000" w:themeColor="text1"/>
                <w:lang w:val="es-ES_tradnl"/>
              </w:rPr>
              <w:t>CMR</w:t>
            </w:r>
            <w:proofErr w:type="spellEnd"/>
            <w:r w:rsidRPr="003E6986">
              <w:rPr>
                <w:color w:val="000000" w:themeColor="text1"/>
                <w:lang w:val="es-ES_tradnl"/>
              </w:rPr>
              <w:t>-31</w:t>
            </w:r>
          </w:p>
        </w:tc>
      </w:tr>
      <w:tr w:rsidR="00B11EE6" w:rsidRPr="003E6986" w14:paraId="5B3C85B7" w14:textId="77777777" w:rsidTr="00B11EE6">
        <w:trPr>
          <w:tblHeader/>
        </w:trPr>
        <w:tc>
          <w:tcPr>
            <w:tcW w:w="3261" w:type="dxa"/>
            <w:vAlign w:val="center"/>
          </w:tcPr>
          <w:p w14:paraId="1ED9C444" w14:textId="77777777" w:rsidR="00B11EE6" w:rsidRPr="003E6986" w:rsidRDefault="00B11EE6" w:rsidP="00B11EE6">
            <w:pPr>
              <w:pStyle w:val="Tablehead"/>
              <w:rPr>
                <w:color w:val="000000" w:themeColor="text1"/>
                <w:lang w:val="es-ES_tradnl"/>
              </w:rPr>
            </w:pPr>
            <w:r w:rsidRPr="003E6986">
              <w:rPr>
                <w:color w:val="000000" w:themeColor="text1"/>
                <w:lang w:val="es-ES_tradnl"/>
              </w:rPr>
              <w:t>Tema</w:t>
            </w:r>
          </w:p>
        </w:tc>
        <w:tc>
          <w:tcPr>
            <w:tcW w:w="1417" w:type="dxa"/>
            <w:vAlign w:val="center"/>
          </w:tcPr>
          <w:p w14:paraId="234B18A1"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responsable</w:t>
            </w:r>
          </w:p>
        </w:tc>
        <w:tc>
          <w:tcPr>
            <w:tcW w:w="8222" w:type="dxa"/>
            <w:vAlign w:val="center"/>
          </w:tcPr>
          <w:p w14:paraId="12FCAD9C" w14:textId="77777777" w:rsidR="00B11EE6" w:rsidRPr="003E6986" w:rsidRDefault="00B11EE6" w:rsidP="00B11EE6">
            <w:pPr>
              <w:pStyle w:val="Tablehead"/>
              <w:rPr>
                <w:color w:val="000000" w:themeColor="text1"/>
                <w:lang w:val="es-ES_tradnl"/>
              </w:rPr>
            </w:pPr>
            <w:r w:rsidRPr="003E6986">
              <w:rPr>
                <w:color w:val="000000" w:themeColor="text1"/>
                <w:lang w:val="es-ES_tradnl"/>
              </w:rPr>
              <w:t>Cometido del Grupo</w:t>
            </w:r>
          </w:p>
        </w:tc>
        <w:tc>
          <w:tcPr>
            <w:tcW w:w="1564" w:type="dxa"/>
            <w:vAlign w:val="center"/>
          </w:tcPr>
          <w:p w14:paraId="029CFA57"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contribuyente</w:t>
            </w:r>
          </w:p>
        </w:tc>
      </w:tr>
    </w:tbl>
    <w:tbl>
      <w:tblPr>
        <w:tblW w:w="14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1358"/>
        <w:gridCol w:w="8290"/>
        <w:gridCol w:w="1536"/>
      </w:tblGrid>
      <w:tr w:rsidR="00C15E0F" w:rsidRPr="008653C7" w14:paraId="1C35C49D" w14:textId="77777777" w:rsidTr="006D5A70">
        <w:tc>
          <w:tcPr>
            <w:tcW w:w="14464" w:type="dxa"/>
            <w:gridSpan w:val="4"/>
          </w:tcPr>
          <w:p w14:paraId="1C62FAA1" w14:textId="564ECD59" w:rsidR="00C15E0F" w:rsidRPr="003E6986" w:rsidRDefault="00C15E0F" w:rsidP="00FD58BD">
            <w:pPr>
              <w:pStyle w:val="Tabletext"/>
              <w:tabs>
                <w:tab w:val="clear" w:pos="284"/>
                <w:tab w:val="left" w:pos="594"/>
              </w:tabs>
              <w:jc w:val="both"/>
              <w:rPr>
                <w:rFonts w:asciiTheme="minorHAnsi" w:hAnsiTheme="minorHAnsi" w:cstheme="minorHAnsi"/>
                <w:lang w:val="es-ES_tradnl"/>
              </w:rPr>
            </w:pPr>
            <w:r w:rsidRPr="003E6986">
              <w:rPr>
                <w:rFonts w:asciiTheme="minorHAnsi" w:hAnsiTheme="minorHAnsi" w:cstheme="minorHAnsi"/>
                <w:lang w:val="es-ES_tradnl"/>
              </w:rPr>
              <w:t>2.4</w:t>
            </w:r>
            <w:r w:rsidRPr="003E6986">
              <w:rPr>
                <w:rFonts w:asciiTheme="minorHAnsi" w:eastAsiaTheme="minorHAnsi" w:hAnsiTheme="minorHAnsi" w:cstheme="minorHAnsi"/>
                <w:lang w:val="es-ES_tradnl"/>
              </w:rPr>
              <w:tab/>
            </w:r>
            <w:r w:rsidRPr="003E6986">
              <w:rPr>
                <w:rFonts w:asciiTheme="minorHAnsi" w:hAnsiTheme="minorHAnsi" w:cstheme="minorHAnsi"/>
                <w:lang w:val="es-ES_tradnl"/>
              </w:rPr>
              <w:t xml:space="preserve">considerar, </w:t>
            </w:r>
            <w:r w:rsidRPr="003E6986">
              <w:rPr>
                <w:rFonts w:asciiTheme="minorHAnsi" w:hAnsiTheme="minorHAnsi" w:cstheme="minorHAnsi"/>
                <w:szCs w:val="20"/>
                <w:lang w:val="es-ES_tradnl"/>
              </w:rPr>
              <w:t>basándose</w:t>
            </w:r>
            <w:r w:rsidRPr="003E6986">
              <w:rPr>
                <w:rFonts w:asciiTheme="minorHAnsi" w:hAnsiTheme="minorHAnsi" w:cstheme="minorHAnsi"/>
                <w:lang w:val="es-ES_tradnl"/>
              </w:rPr>
              <w:t xml:space="preserve"> en los resultados de los estudios del Sector de Radiocomunicaciones de la UIT, la posibilidad de apoyar la concesión de atribuciones al servicio entre satélites en las bandas de frecuencias 3 700-4 200 MHz y 5 925-6 425 MHz, y las disposiciones reglamentarias conexas, para permitir el funcionamiento de enlaces entre satélites en órbita no geoestacionaria y satélites en órbita geoestacionaria de conformidad con la Resolución </w:t>
            </w:r>
            <w:r w:rsidRPr="003E6986">
              <w:rPr>
                <w:rFonts w:asciiTheme="minorHAnsi" w:hAnsiTheme="minorHAnsi" w:cstheme="minorHAnsi"/>
                <w:b/>
                <w:bCs/>
                <w:lang w:val="es-ES_tradnl"/>
              </w:rPr>
              <w:t>683 (CMR-23)</w:t>
            </w:r>
            <w:r w:rsidRPr="003E6986">
              <w:rPr>
                <w:rFonts w:asciiTheme="minorHAnsi" w:hAnsiTheme="minorHAnsi" w:cstheme="minorHAnsi"/>
                <w:lang w:val="es-ES_tradnl"/>
              </w:rPr>
              <w:t>;</w:t>
            </w:r>
            <w:r w:rsidRPr="003E6986">
              <w:rPr>
                <w:rFonts w:asciiTheme="minorHAnsi" w:eastAsiaTheme="minorHAnsi" w:hAnsiTheme="minorHAnsi" w:cstheme="minorHAnsi"/>
                <w:lang w:val="es-ES_tradnl"/>
              </w:rPr>
              <w:t xml:space="preserve"> </w:t>
            </w:r>
          </w:p>
        </w:tc>
      </w:tr>
      <w:tr w:rsidR="00C15E0F" w:rsidRPr="003E6986" w14:paraId="2453447D" w14:textId="77777777" w:rsidTr="006D5A70">
        <w:tc>
          <w:tcPr>
            <w:tcW w:w="3280" w:type="dxa"/>
          </w:tcPr>
          <w:p w14:paraId="55C47182" w14:textId="77777777" w:rsidR="00C15E0F" w:rsidRPr="003E6986" w:rsidRDefault="00C15E0F" w:rsidP="006D5A70">
            <w:pPr>
              <w:pStyle w:val="TableText0"/>
              <w:spacing w:before="0" w:after="0"/>
              <w:rPr>
                <w:rFonts w:asciiTheme="minorHAnsi" w:hAnsiTheme="minorHAnsi" w:cstheme="minorHAnsi"/>
                <w:b/>
                <w:bCs/>
                <w:sz w:val="20"/>
                <w:lang w:val="es-ES_tradnl"/>
              </w:rPr>
            </w:pPr>
            <w:r w:rsidRPr="003E6986">
              <w:rPr>
                <w:rFonts w:asciiTheme="minorHAnsi" w:hAnsiTheme="minorHAnsi" w:cstheme="minorHAnsi"/>
                <w:sz w:val="20"/>
                <w:lang w:val="es-ES_tradnl"/>
              </w:rPr>
              <w:t>Resolución</w:t>
            </w:r>
            <w:r w:rsidRPr="003E6986">
              <w:rPr>
                <w:rFonts w:asciiTheme="minorHAnsi" w:hAnsiTheme="minorHAnsi" w:cstheme="minorHAnsi"/>
                <w:b/>
                <w:bCs/>
                <w:sz w:val="20"/>
                <w:lang w:val="es-ES_tradnl"/>
              </w:rPr>
              <w:t xml:space="preserve"> 683</w:t>
            </w:r>
            <w:r w:rsidRPr="003E6986">
              <w:rPr>
                <w:rStyle w:val="href"/>
                <w:rFonts w:asciiTheme="minorHAnsi" w:hAnsiTheme="minorHAnsi" w:cstheme="minorHAnsi"/>
                <w:b/>
                <w:bCs/>
                <w:sz w:val="20"/>
                <w:lang w:val="es-ES_tradnl"/>
              </w:rPr>
              <w:t xml:space="preserve"> </w:t>
            </w:r>
            <w:r w:rsidRPr="003E6986">
              <w:rPr>
                <w:rFonts w:asciiTheme="minorHAnsi" w:hAnsiTheme="minorHAnsi" w:cstheme="minorHAnsi"/>
                <w:b/>
                <w:bCs/>
                <w:sz w:val="20"/>
                <w:lang w:val="es-ES_tradnl"/>
              </w:rPr>
              <w:t>(</w:t>
            </w:r>
            <w:proofErr w:type="spellStart"/>
            <w:r w:rsidRPr="003E6986">
              <w:rPr>
                <w:rFonts w:asciiTheme="minorHAnsi" w:hAnsiTheme="minorHAnsi" w:cstheme="minorHAnsi"/>
                <w:b/>
                <w:bCs/>
                <w:sz w:val="20"/>
                <w:lang w:val="es-ES_tradnl"/>
              </w:rPr>
              <w:t>CMR</w:t>
            </w:r>
            <w:proofErr w:type="spellEnd"/>
            <w:r w:rsidRPr="003E6986">
              <w:rPr>
                <w:rFonts w:asciiTheme="minorHAnsi" w:hAnsiTheme="minorHAnsi" w:cstheme="minorHAnsi"/>
                <w:b/>
                <w:bCs/>
                <w:sz w:val="20"/>
                <w:lang w:val="es-ES_tradnl"/>
              </w:rPr>
              <w:t>-23)</w:t>
            </w:r>
          </w:p>
          <w:p w14:paraId="6C436416" w14:textId="77777777" w:rsidR="00C15E0F" w:rsidRPr="003E6986" w:rsidRDefault="00C15E0F" w:rsidP="006D5A70">
            <w:pPr>
              <w:pStyle w:val="TableText0"/>
              <w:spacing w:before="0" w:after="0"/>
              <w:rPr>
                <w:rFonts w:asciiTheme="minorHAnsi" w:hAnsiTheme="minorHAnsi" w:cstheme="minorHAnsi"/>
                <w:sz w:val="20"/>
                <w:lang w:val="es-ES_tradnl"/>
              </w:rPr>
            </w:pPr>
            <w:r w:rsidRPr="003E6986">
              <w:rPr>
                <w:rFonts w:asciiTheme="minorHAnsi" w:hAnsiTheme="minorHAnsi" w:cstheme="minorHAnsi"/>
                <w:sz w:val="20"/>
                <w:lang w:val="es-ES_tradnl"/>
              </w:rPr>
              <w:t>Estudio de las cuestiones técnicas y operativas y de las disposiciones reglamentarias para las transmisiones del servicio entre satélites en las bandas de frecuencias 3 700-4 200 MHz y 5 925-6 425 MHz de estaciones espaciales no geoestacionarias que se comunican con estaciones espaciales geoestacionarias</w:t>
            </w:r>
          </w:p>
        </w:tc>
        <w:tc>
          <w:tcPr>
            <w:tcW w:w="1358" w:type="dxa"/>
          </w:tcPr>
          <w:p w14:paraId="7063945A" w14:textId="77777777" w:rsidR="00C15E0F" w:rsidRPr="003E6986" w:rsidRDefault="00C15E0F" w:rsidP="006D5A70">
            <w:pPr>
              <w:pStyle w:val="TableText0"/>
              <w:spacing w:before="0" w:after="0"/>
              <w:jc w:val="center"/>
              <w:rPr>
                <w:rFonts w:asciiTheme="minorHAnsi" w:hAnsiTheme="minorHAnsi" w:cstheme="minorHAnsi"/>
                <w:sz w:val="20"/>
                <w:lang w:val="es-ES_tradnl"/>
              </w:rPr>
            </w:pPr>
            <w:r w:rsidRPr="003E6986">
              <w:rPr>
                <w:rFonts w:asciiTheme="minorHAnsi" w:hAnsiTheme="minorHAnsi" w:cstheme="minorHAnsi"/>
                <w:b/>
                <w:bCs/>
                <w:sz w:val="20"/>
                <w:lang w:val="es-ES_tradnl"/>
              </w:rPr>
              <w:t>GT 4A</w:t>
            </w:r>
          </w:p>
        </w:tc>
        <w:tc>
          <w:tcPr>
            <w:tcW w:w="8290" w:type="dxa"/>
            <w:tcBorders>
              <w:bottom w:val="single" w:sz="4" w:space="0" w:color="auto"/>
            </w:tcBorders>
          </w:tcPr>
          <w:p w14:paraId="373F4458" w14:textId="77777777" w:rsidR="00C15E0F" w:rsidRPr="003E6986" w:rsidRDefault="00C15E0F" w:rsidP="006D5A70">
            <w:pPr>
              <w:pStyle w:val="Tabletext"/>
              <w:tabs>
                <w:tab w:val="clear" w:pos="284"/>
                <w:tab w:val="left" w:pos="463"/>
              </w:tabs>
              <w:spacing w:before="0" w:after="0"/>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2031</w:t>
            </w:r>
          </w:p>
          <w:p w14:paraId="112DC35B" w14:textId="4189E3DE" w:rsidR="00C15E0F" w:rsidRPr="003E6986" w:rsidRDefault="00C15E0F" w:rsidP="006D5A70">
            <w:pPr>
              <w:pStyle w:val="Tabletext"/>
              <w:tabs>
                <w:tab w:val="clear" w:pos="284"/>
                <w:tab w:val="left" w:pos="463"/>
              </w:tabs>
              <w:spacing w:before="0" w:after="0"/>
              <w:jc w:val="both"/>
              <w:rPr>
                <w:rFonts w:asciiTheme="minorHAnsi" w:hAnsiTheme="minorHAnsi" w:cstheme="minorHAnsi"/>
                <w:lang w:val="es-ES_tradnl"/>
              </w:rPr>
            </w:pPr>
            <w:r w:rsidRPr="003E6986">
              <w:rPr>
                <w:rFonts w:asciiTheme="minorHAnsi" w:hAnsiTheme="minorHAnsi" w:cstheme="minorHAnsi"/>
                <w:lang w:val="es-ES_tradnl"/>
              </w:rPr>
              <w:t>1</w:t>
            </w:r>
            <w:r w:rsidRPr="003E6986">
              <w:rPr>
                <w:rFonts w:asciiTheme="minorHAnsi" w:hAnsiTheme="minorHAnsi" w:cstheme="minorHAnsi"/>
                <w:lang w:val="es-ES_tradnl"/>
              </w:rPr>
              <w:tab/>
              <w:t xml:space="preserve">estudios sobre necesidades de espectro, características técnicas y operativas, y compartición y compatibilidad con los servicios existentes </w:t>
            </w:r>
            <w:r w:rsidRPr="003E6986">
              <w:rPr>
                <w:rStyle w:val="FootnoteReference"/>
                <w:rFonts w:asciiTheme="minorHAnsi" w:hAnsiTheme="minorHAnsi" w:cstheme="minorHAnsi"/>
                <w:sz w:val="20"/>
                <w:lang w:val="es-ES_tradnl"/>
              </w:rPr>
              <w:t>[</w:t>
            </w:r>
            <w:r w:rsidR="00CE4C34" w:rsidRPr="003E6986">
              <w:rPr>
                <w:rStyle w:val="FootnoteReference"/>
                <w:rFonts w:asciiTheme="minorHAnsi" w:hAnsiTheme="minorHAnsi" w:cstheme="minorHAnsi"/>
                <w:lang w:val="es-ES_tradnl"/>
              </w:rPr>
              <w:footnoteReference w:customMarkFollows="1" w:id="22"/>
              <w:t>*</w:t>
            </w:r>
            <w:r w:rsidR="00FD58BD" w:rsidRPr="003E6986">
              <w:rPr>
                <w:rFonts w:asciiTheme="minorHAnsi" w:hAnsiTheme="minorHAnsi" w:cstheme="minorHAnsi"/>
                <w:lang w:val="es-ES_tradnl"/>
              </w:rPr>
              <w:t>,</w:t>
            </w:r>
            <w:r w:rsidRPr="003E6986">
              <w:rPr>
                <w:rStyle w:val="FootnoteReference"/>
                <w:rFonts w:asciiTheme="minorHAnsi" w:hAnsiTheme="minorHAnsi" w:cstheme="minorHAnsi"/>
                <w:sz w:val="20"/>
                <w:lang w:val="es-ES_tradnl"/>
              </w:rPr>
              <w:t xml:space="preserve"> </w:t>
            </w:r>
            <w:r w:rsidR="00CE4C34" w:rsidRPr="003E6986">
              <w:rPr>
                <w:rStyle w:val="FootnoteReference"/>
                <w:rFonts w:asciiTheme="minorHAnsi" w:hAnsiTheme="minorHAnsi" w:cstheme="minorHAnsi"/>
                <w:lang w:val="es-ES_tradnl"/>
              </w:rPr>
              <w:footnoteReference w:customMarkFollows="1" w:id="23"/>
              <w:t>**</w:t>
            </w:r>
            <w:r w:rsidRPr="003E6986">
              <w:rPr>
                <w:rFonts w:asciiTheme="minorHAnsi" w:hAnsiTheme="minorHAnsi" w:cstheme="minorHAnsi"/>
                <w:lang w:val="es-ES_tradnl"/>
              </w:rPr>
              <w:t xml:space="preserve">, incluso a título secundario,] teniendo en cuenta los </w:t>
            </w:r>
            <w:r w:rsidRPr="003E6986">
              <w:rPr>
                <w:rFonts w:asciiTheme="minorHAnsi" w:hAnsiTheme="minorHAnsi" w:cstheme="minorHAnsi"/>
                <w:i/>
                <w:lang w:val="es-ES_tradnl"/>
              </w:rPr>
              <w:t xml:space="preserve">observando a) </w:t>
            </w:r>
            <w:r w:rsidRPr="003E6986">
              <w:rPr>
                <w:rFonts w:asciiTheme="minorHAnsi" w:hAnsiTheme="minorHAnsi" w:cstheme="minorHAnsi"/>
                <w:lang w:val="es-ES_tradnl"/>
              </w:rPr>
              <w:t xml:space="preserve">a </w:t>
            </w:r>
            <w:r w:rsidRPr="003E6986">
              <w:rPr>
                <w:rFonts w:asciiTheme="minorHAnsi" w:hAnsiTheme="minorHAnsi" w:cstheme="minorHAnsi"/>
                <w:i/>
                <w:lang w:val="es-ES_tradnl"/>
              </w:rPr>
              <w:t>i)</w:t>
            </w:r>
            <w:r w:rsidRPr="003E6986">
              <w:rPr>
                <w:rFonts w:asciiTheme="minorHAnsi" w:hAnsiTheme="minorHAnsi" w:cstheme="minorHAnsi"/>
                <w:lang w:val="es-ES_tradnl"/>
              </w:rPr>
              <w:t>, de las estaciones espaciales no OSG que utilizan o prevén utilizar enlaces del SES con redes OSG del SFS en las siguientes bandas de frecuencias:</w:t>
            </w:r>
          </w:p>
          <w:p w14:paraId="23AC364E" w14:textId="77777777" w:rsidR="00C15E0F" w:rsidRPr="003E6986" w:rsidRDefault="00C15E0F" w:rsidP="006D5A70">
            <w:pPr>
              <w:pStyle w:val="Tabletext"/>
              <w:tabs>
                <w:tab w:val="clear" w:pos="284"/>
                <w:tab w:val="left" w:pos="463"/>
              </w:tabs>
              <w:spacing w:before="0" w:after="0"/>
              <w:jc w:val="both"/>
              <w:rPr>
                <w:rFonts w:asciiTheme="minorHAnsi" w:hAnsiTheme="minorHAnsi" w:cstheme="minorHAnsi"/>
                <w:lang w:val="es-ES_tradnl"/>
              </w:rPr>
            </w:pPr>
            <w:r w:rsidRPr="003E6986">
              <w:rPr>
                <w:rFonts w:asciiTheme="minorHAnsi" w:hAnsiTheme="minorHAnsi" w:cstheme="minorHAnsi"/>
                <w:i/>
                <w:lang w:val="es-ES_tradnl"/>
              </w:rPr>
              <w:t>a)</w:t>
            </w:r>
            <w:r w:rsidRPr="003E6986">
              <w:rPr>
                <w:rFonts w:asciiTheme="minorHAnsi" w:hAnsiTheme="minorHAnsi" w:cstheme="minorHAnsi"/>
                <w:lang w:val="es-ES_tradnl"/>
              </w:rPr>
              <w:tab/>
              <w:t>en la banda de frecuencias 5 925-6 425 MHz (Tierra-espacio) para transmisiones desde estaciones espaciales de usuario no OSG que funcionan a altitudes orbitales más bajas, que se comunican con estaciones espaciales de proveedor de servicios SFS OSG, y</w:t>
            </w:r>
          </w:p>
          <w:p w14:paraId="20AC0350" w14:textId="77777777" w:rsidR="00C15E0F" w:rsidRPr="003E6986" w:rsidRDefault="00C15E0F" w:rsidP="006D5A70">
            <w:pPr>
              <w:pStyle w:val="Tabletext"/>
              <w:tabs>
                <w:tab w:val="clear" w:pos="284"/>
                <w:tab w:val="left" w:pos="463"/>
              </w:tabs>
              <w:spacing w:before="0" w:after="0"/>
              <w:jc w:val="both"/>
              <w:rPr>
                <w:rFonts w:asciiTheme="minorHAnsi" w:hAnsiTheme="minorHAnsi" w:cstheme="minorHAnsi"/>
                <w:lang w:val="es-ES_tradnl"/>
              </w:rPr>
            </w:pPr>
            <w:r w:rsidRPr="003E6986">
              <w:rPr>
                <w:rFonts w:asciiTheme="minorHAnsi" w:hAnsiTheme="minorHAnsi" w:cstheme="minorHAnsi"/>
                <w:i/>
                <w:lang w:val="es-ES_tradnl"/>
              </w:rPr>
              <w:t>b)</w:t>
            </w:r>
            <w:r w:rsidRPr="003E6986">
              <w:rPr>
                <w:rFonts w:asciiTheme="minorHAnsi" w:hAnsiTheme="minorHAnsi" w:cstheme="minorHAnsi"/>
                <w:lang w:val="es-ES_tradnl"/>
              </w:rPr>
              <w:tab/>
              <w:t>en la banda de frecuencias 3 700-4 200 MHz (espacio-Tierra) para transmisiones de estaciones espaciales de proveedor de servicios SFS OSG hacia estaciones espaciales de usuario no OSG;</w:t>
            </w:r>
          </w:p>
          <w:p w14:paraId="0207D7A7" w14:textId="77777777" w:rsidR="00C15E0F" w:rsidRPr="003E6986" w:rsidRDefault="00C15E0F" w:rsidP="006D5A70">
            <w:pPr>
              <w:pStyle w:val="Tabletext"/>
              <w:tabs>
                <w:tab w:val="clear" w:pos="284"/>
                <w:tab w:val="left" w:pos="463"/>
              </w:tabs>
              <w:spacing w:before="0" w:after="0"/>
              <w:jc w:val="both"/>
              <w:rPr>
                <w:rFonts w:asciiTheme="minorHAnsi" w:hAnsiTheme="minorHAnsi" w:cstheme="minorHAnsi"/>
                <w:i/>
                <w:iCs/>
                <w:lang w:val="es-ES_tradnl"/>
              </w:rPr>
            </w:pPr>
            <w:r w:rsidRPr="003E6986">
              <w:rPr>
                <w:rFonts w:asciiTheme="minorHAnsi" w:hAnsiTheme="minorHAnsi" w:cstheme="minorHAnsi"/>
                <w:lang w:val="es-ES_tradnl"/>
              </w:rPr>
              <w:t>2</w:t>
            </w:r>
            <w:r w:rsidRPr="003E6986">
              <w:rPr>
                <w:rFonts w:asciiTheme="minorHAnsi" w:hAnsiTheme="minorHAnsi" w:cstheme="minorHAnsi"/>
                <w:lang w:val="es-ES_tradnl"/>
              </w:rPr>
              <w:tab/>
              <w:t xml:space="preserve">la determinación de las condiciones técnicas y disposiciones reglamentarias que garanticen la protección de otros servicios a los que están atribuidas esas bandas de frecuencias para el funcionamiento de los enlaces del SES, teniendo en cuenta los resultados de los estudios solicitados en el </w:t>
            </w:r>
            <w:r w:rsidRPr="003E6986">
              <w:rPr>
                <w:rFonts w:asciiTheme="minorHAnsi" w:hAnsiTheme="minorHAnsi" w:cstheme="minorHAnsi"/>
                <w:i/>
                <w:lang w:val="es-ES_tradnl"/>
              </w:rPr>
              <w:t>resuelve invitar al Sector de Radiocomunicaciones de la UIT a finalizar a tiempo para la Conferencia Mundial de Radiocomunicaciones de 2031</w:t>
            </w:r>
            <w:r w:rsidRPr="003E6986">
              <w:rPr>
                <w:rFonts w:asciiTheme="minorHAnsi" w:hAnsiTheme="minorHAnsi" w:cstheme="minorHAnsi"/>
                <w:lang w:val="es-ES_tradnl"/>
              </w:rPr>
              <w:t xml:space="preserve"> </w:t>
            </w:r>
            <w:r w:rsidRPr="003E6986">
              <w:rPr>
                <w:rFonts w:asciiTheme="minorHAnsi" w:hAnsiTheme="minorHAnsi" w:cstheme="minorHAnsi"/>
                <w:i/>
                <w:iCs/>
                <w:lang w:val="es-ES_tradnl"/>
              </w:rPr>
              <w:t>supra</w:t>
            </w:r>
          </w:p>
          <w:p w14:paraId="01E8CF01" w14:textId="77777777" w:rsidR="00C15E0F" w:rsidRPr="003E6986" w:rsidRDefault="00C15E0F" w:rsidP="006D5A70">
            <w:pPr>
              <w:pStyle w:val="TableText0"/>
              <w:spacing w:before="0" w:after="0"/>
              <w:rPr>
                <w:rFonts w:asciiTheme="minorHAnsi" w:hAnsiTheme="minorHAnsi" w:cstheme="minorHAnsi"/>
                <w:sz w:val="20"/>
                <w:lang w:val="es-ES_tradnl"/>
              </w:rPr>
            </w:pPr>
            <w:r w:rsidRPr="003E6986">
              <w:rPr>
                <w:rFonts w:asciiTheme="minorHAnsi" w:hAnsiTheme="minorHAnsi" w:cstheme="minorHAnsi"/>
                <w:sz w:val="20"/>
                <w:lang w:val="es-ES_tradnl"/>
              </w:rPr>
              <w:t>…</w:t>
            </w:r>
          </w:p>
          <w:p w14:paraId="5B5A08B8" w14:textId="5B86E3E5" w:rsidR="00C15E0F" w:rsidRPr="003E6986" w:rsidRDefault="00C15E0F" w:rsidP="006D5A70">
            <w:pPr>
              <w:pStyle w:val="Tabletext"/>
              <w:tabs>
                <w:tab w:val="clear" w:pos="284"/>
                <w:tab w:val="left" w:pos="463"/>
              </w:tabs>
              <w:spacing w:before="0" w:after="0"/>
              <w:ind w:left="454"/>
              <w:jc w:val="both"/>
              <w:rPr>
                <w:rFonts w:eastAsia="???"/>
                <w:i/>
                <w:iCs/>
                <w:lang w:val="es-ES_tradnl" w:eastAsia="nl-NL"/>
              </w:rPr>
            </w:pPr>
            <w:r w:rsidRPr="003E6986">
              <w:rPr>
                <w:rFonts w:eastAsia="???"/>
                <w:i/>
                <w:iCs/>
                <w:lang w:val="es-ES_tradnl" w:eastAsia="nl-NL"/>
              </w:rPr>
              <w:t>invita a la Conferencia Mundial</w:t>
            </w:r>
            <w:r w:rsidR="00E43DCC" w:rsidRPr="003E6986">
              <w:rPr>
                <w:rFonts w:eastAsia="???"/>
                <w:i/>
                <w:iCs/>
                <w:lang w:val="es-ES_tradnl" w:eastAsia="nl-NL"/>
              </w:rPr>
              <w:t xml:space="preserve"> de Radiocomunicaciones de 2031</w:t>
            </w:r>
          </w:p>
          <w:p w14:paraId="280D63E4" w14:textId="50F88E65" w:rsidR="006D5A70" w:rsidRPr="003E6986" w:rsidRDefault="00C15E0F" w:rsidP="006D5A70">
            <w:pPr>
              <w:pStyle w:val="Tabletext"/>
              <w:tabs>
                <w:tab w:val="clear" w:pos="284"/>
                <w:tab w:val="left" w:pos="463"/>
              </w:tabs>
              <w:spacing w:before="0" w:after="0"/>
              <w:jc w:val="both"/>
              <w:rPr>
                <w:rFonts w:asciiTheme="minorHAnsi" w:hAnsiTheme="minorHAnsi" w:cstheme="minorHAnsi"/>
                <w:lang w:val="es-ES_tradnl"/>
              </w:rPr>
            </w:pPr>
            <w:r w:rsidRPr="003E6986">
              <w:rPr>
                <w:rFonts w:asciiTheme="minorHAnsi" w:hAnsiTheme="minorHAnsi" w:cstheme="minorHAnsi"/>
                <w:lang w:val="es-ES_tradnl"/>
              </w:rPr>
              <w:t xml:space="preserve">a considerar, basándose en los resultados de los estudios del UIT-R, la posibilidad de apoyar las atribuciones al SES en las bandas de frecuencias 3 700-4 200 MHz y 5 925-6 425 MHz, y disposiciones reglamentarias conexas, para permitir enlaces entre satélites no </w:t>
            </w:r>
            <w:proofErr w:type="spellStart"/>
            <w:r w:rsidRPr="003E6986">
              <w:rPr>
                <w:rFonts w:asciiTheme="minorHAnsi" w:hAnsiTheme="minorHAnsi" w:cstheme="minorHAnsi"/>
                <w:lang w:val="es-ES_tradnl"/>
              </w:rPr>
              <w:t>OSG</w:t>
            </w:r>
            <w:proofErr w:type="spellEnd"/>
            <w:r w:rsidRPr="003E6986">
              <w:rPr>
                <w:rFonts w:asciiTheme="minorHAnsi" w:hAnsiTheme="minorHAnsi" w:cstheme="minorHAnsi"/>
                <w:lang w:val="es-ES_tradnl"/>
              </w:rPr>
              <w:t xml:space="preserve"> y </w:t>
            </w:r>
            <w:proofErr w:type="spellStart"/>
            <w:r w:rsidRPr="003E6986">
              <w:rPr>
                <w:rFonts w:asciiTheme="minorHAnsi" w:hAnsiTheme="minorHAnsi" w:cstheme="minorHAnsi"/>
                <w:lang w:val="es-ES_tradnl"/>
              </w:rPr>
              <w:t>OSG</w:t>
            </w:r>
            <w:proofErr w:type="spellEnd"/>
            <w:r w:rsidRPr="003E6986">
              <w:rPr>
                <w:rFonts w:asciiTheme="minorHAnsi" w:hAnsiTheme="minorHAnsi" w:cstheme="minorHAnsi"/>
                <w:lang w:val="es-ES_tradnl"/>
              </w:rPr>
              <w:t>.</w:t>
            </w:r>
          </w:p>
        </w:tc>
        <w:tc>
          <w:tcPr>
            <w:tcW w:w="1536" w:type="dxa"/>
          </w:tcPr>
          <w:p w14:paraId="24BDE6FD" w14:textId="77777777" w:rsidR="00C15E0F" w:rsidRPr="003E6986" w:rsidRDefault="00C15E0F" w:rsidP="006D5A70">
            <w:pPr>
              <w:pStyle w:val="TableText0"/>
              <w:spacing w:before="0" w:after="0"/>
              <w:jc w:val="center"/>
              <w:rPr>
                <w:rFonts w:asciiTheme="minorHAnsi" w:hAnsiTheme="minorHAnsi" w:cstheme="minorHAnsi"/>
                <w:b/>
                <w:bCs/>
                <w:sz w:val="20"/>
                <w:lang w:val="es-ES_tradnl"/>
              </w:rPr>
            </w:pPr>
            <w:r w:rsidRPr="003E6986">
              <w:rPr>
                <w:rFonts w:asciiTheme="minorHAnsi" w:hAnsiTheme="minorHAnsi" w:cstheme="minorHAnsi"/>
                <w:b/>
                <w:sz w:val="20"/>
                <w:lang w:val="es-ES_tradnl"/>
              </w:rPr>
              <w:t>–</w:t>
            </w:r>
          </w:p>
        </w:tc>
      </w:tr>
    </w:tbl>
    <w:p w14:paraId="1F773849" w14:textId="77777777" w:rsidR="00B11EE6" w:rsidRDefault="00B11EE6">
      <w:r>
        <w:br w:type="page"/>
      </w:r>
    </w:p>
    <w:tbl>
      <w:tblPr>
        <w:tblpPr w:leftFromText="180" w:rightFromText="180" w:vertAnchor="text" w:tblpY="1"/>
        <w:tblOverlap w:val="never"/>
        <w:tblW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8222"/>
        <w:gridCol w:w="1564"/>
      </w:tblGrid>
      <w:tr w:rsidR="00B11EE6" w:rsidRPr="008653C7" w14:paraId="7AC51F91" w14:textId="77777777" w:rsidTr="00B11EE6">
        <w:trPr>
          <w:tblHeader/>
        </w:trPr>
        <w:tc>
          <w:tcPr>
            <w:tcW w:w="14464" w:type="dxa"/>
            <w:gridSpan w:val="4"/>
            <w:tcBorders>
              <w:top w:val="nil"/>
              <w:left w:val="nil"/>
              <w:right w:val="nil"/>
            </w:tcBorders>
          </w:tcPr>
          <w:p w14:paraId="3BB71C4A" w14:textId="77777777" w:rsidR="00B11EE6" w:rsidRPr="003E6986" w:rsidRDefault="00B11EE6" w:rsidP="00B11EE6">
            <w:pPr>
              <w:pStyle w:val="Tablehead"/>
              <w:rPr>
                <w:color w:val="000000" w:themeColor="text1"/>
                <w:sz w:val="22"/>
                <w:lang w:val="es-ES_tradnl"/>
              </w:rPr>
            </w:pPr>
            <w:r w:rsidRPr="003E6986">
              <w:rPr>
                <w:color w:val="000000" w:themeColor="text1"/>
                <w:lang w:val="es-ES_tradnl"/>
              </w:rPr>
              <w:lastRenderedPageBreak/>
              <w:t xml:space="preserve">Atribución de los trabajos preparatorios del UIT-R para la </w:t>
            </w:r>
            <w:proofErr w:type="spellStart"/>
            <w:r w:rsidRPr="003E6986">
              <w:rPr>
                <w:color w:val="000000" w:themeColor="text1"/>
                <w:lang w:val="es-ES_tradnl"/>
              </w:rPr>
              <w:t>CMR</w:t>
            </w:r>
            <w:proofErr w:type="spellEnd"/>
            <w:r w:rsidRPr="003E6986">
              <w:rPr>
                <w:color w:val="000000" w:themeColor="text1"/>
                <w:lang w:val="es-ES_tradnl"/>
              </w:rPr>
              <w:t>-31</w:t>
            </w:r>
          </w:p>
        </w:tc>
      </w:tr>
      <w:tr w:rsidR="00B11EE6" w:rsidRPr="003E6986" w14:paraId="7321C09B" w14:textId="77777777" w:rsidTr="00B11EE6">
        <w:trPr>
          <w:tblHeader/>
        </w:trPr>
        <w:tc>
          <w:tcPr>
            <w:tcW w:w="3261" w:type="dxa"/>
            <w:vAlign w:val="center"/>
          </w:tcPr>
          <w:p w14:paraId="7758F1F6" w14:textId="77777777" w:rsidR="00B11EE6" w:rsidRPr="003E6986" w:rsidRDefault="00B11EE6" w:rsidP="00B11EE6">
            <w:pPr>
              <w:pStyle w:val="Tablehead"/>
              <w:rPr>
                <w:color w:val="000000" w:themeColor="text1"/>
                <w:lang w:val="es-ES_tradnl"/>
              </w:rPr>
            </w:pPr>
            <w:r w:rsidRPr="003E6986">
              <w:rPr>
                <w:color w:val="000000" w:themeColor="text1"/>
                <w:lang w:val="es-ES_tradnl"/>
              </w:rPr>
              <w:t>Tema</w:t>
            </w:r>
          </w:p>
        </w:tc>
        <w:tc>
          <w:tcPr>
            <w:tcW w:w="1417" w:type="dxa"/>
            <w:vAlign w:val="center"/>
          </w:tcPr>
          <w:p w14:paraId="2A4766F9"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responsable</w:t>
            </w:r>
          </w:p>
        </w:tc>
        <w:tc>
          <w:tcPr>
            <w:tcW w:w="8222" w:type="dxa"/>
            <w:vAlign w:val="center"/>
          </w:tcPr>
          <w:p w14:paraId="10463AFF" w14:textId="77777777" w:rsidR="00B11EE6" w:rsidRPr="003E6986" w:rsidRDefault="00B11EE6" w:rsidP="00B11EE6">
            <w:pPr>
              <w:pStyle w:val="Tablehead"/>
              <w:rPr>
                <w:color w:val="000000" w:themeColor="text1"/>
                <w:lang w:val="es-ES_tradnl"/>
              </w:rPr>
            </w:pPr>
            <w:r w:rsidRPr="003E6986">
              <w:rPr>
                <w:color w:val="000000" w:themeColor="text1"/>
                <w:lang w:val="es-ES_tradnl"/>
              </w:rPr>
              <w:t>Cometido del Grupo</w:t>
            </w:r>
          </w:p>
        </w:tc>
        <w:tc>
          <w:tcPr>
            <w:tcW w:w="1564" w:type="dxa"/>
            <w:vAlign w:val="center"/>
          </w:tcPr>
          <w:p w14:paraId="7152089F"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contribuyente</w:t>
            </w:r>
          </w:p>
        </w:tc>
      </w:tr>
    </w:tbl>
    <w:tbl>
      <w:tblPr>
        <w:tblW w:w="14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1358"/>
        <w:gridCol w:w="8290"/>
        <w:gridCol w:w="1536"/>
      </w:tblGrid>
      <w:tr w:rsidR="00C15E0F" w:rsidRPr="008653C7" w14:paraId="5E2B45FA" w14:textId="77777777" w:rsidTr="006D5A70">
        <w:tc>
          <w:tcPr>
            <w:tcW w:w="14464" w:type="dxa"/>
            <w:gridSpan w:val="4"/>
          </w:tcPr>
          <w:p w14:paraId="29773B50" w14:textId="5E1D273D" w:rsidR="00C15E0F" w:rsidRPr="003E6986" w:rsidRDefault="00C15E0F" w:rsidP="00FD58BD">
            <w:pPr>
              <w:pStyle w:val="Tabletext"/>
              <w:tabs>
                <w:tab w:val="clear" w:pos="284"/>
                <w:tab w:val="left" w:pos="594"/>
              </w:tabs>
              <w:jc w:val="both"/>
              <w:rPr>
                <w:rFonts w:asciiTheme="minorHAnsi" w:hAnsiTheme="minorHAnsi" w:cstheme="minorHAnsi"/>
                <w:lang w:val="es-ES_tradnl"/>
              </w:rPr>
            </w:pPr>
            <w:r w:rsidRPr="003E6986">
              <w:rPr>
                <w:rFonts w:asciiTheme="minorHAnsi" w:hAnsiTheme="minorHAnsi" w:cstheme="minorHAnsi"/>
                <w:lang w:val="es-ES_tradnl"/>
              </w:rPr>
              <w:t>2.5</w:t>
            </w:r>
            <w:r w:rsidRPr="003E6986">
              <w:rPr>
                <w:rFonts w:asciiTheme="minorHAnsi" w:hAnsiTheme="minorHAnsi" w:cstheme="minorHAnsi"/>
                <w:lang w:val="es-ES_tradnl"/>
              </w:rPr>
              <w:tab/>
              <w:t xml:space="preserve">considerar la </w:t>
            </w:r>
            <w:r w:rsidRPr="003E6986">
              <w:rPr>
                <w:rFonts w:asciiTheme="minorHAnsi" w:hAnsiTheme="minorHAnsi" w:cstheme="minorHAnsi"/>
                <w:szCs w:val="20"/>
                <w:lang w:val="es-ES_tradnl"/>
              </w:rPr>
              <w:t>posibilidad</w:t>
            </w:r>
            <w:r w:rsidRPr="003E6986">
              <w:rPr>
                <w:rFonts w:asciiTheme="minorHAnsi" w:hAnsiTheme="minorHAnsi" w:cstheme="minorHAnsi"/>
                <w:lang w:val="es-ES_tradnl"/>
              </w:rPr>
              <w:t xml:space="preserve"> de atribuir a título primario las bandas de frecuencias [694</w:t>
            </w:r>
            <w:r w:rsidRPr="003E6986">
              <w:rPr>
                <w:rFonts w:asciiTheme="minorHAnsi" w:hAnsiTheme="minorHAnsi" w:cstheme="minorHAnsi"/>
                <w:lang w:val="es-ES_tradnl"/>
              </w:rPr>
              <w:noBreakHyphen/>
              <w:t>960 MHz o partes de la misma, en la Región 1], 890-942 MHz, o partes de la misma, en la Región 2, [3 400-3 700 MHz, o partes de la misma, en la Región 3] al servicio móvil aeronáutico para la utilización de equipos de usuario de las Telecomunicaciones Móviles Internacionales (IMT) en las redes de las IMT terrenales por aplicaciones no relacionadas con la seguridad, de conformidad con la Resolución </w:t>
            </w:r>
            <w:r w:rsidRPr="003E6986">
              <w:rPr>
                <w:rFonts w:asciiTheme="minorHAnsi" w:hAnsiTheme="minorHAnsi" w:cstheme="minorHAnsi"/>
                <w:b/>
                <w:bCs/>
                <w:lang w:val="es-ES_tradnl"/>
              </w:rPr>
              <w:t>251 (Rev.CMR</w:t>
            </w:r>
            <w:r w:rsidRPr="003E6986">
              <w:rPr>
                <w:rFonts w:asciiTheme="minorHAnsi" w:hAnsiTheme="minorHAnsi" w:cstheme="minorHAnsi"/>
                <w:b/>
                <w:bCs/>
                <w:lang w:val="es-ES_tradnl"/>
              </w:rPr>
              <w:noBreakHyphen/>
              <w:t>23)</w:t>
            </w:r>
            <w:r w:rsidRPr="003E6986">
              <w:rPr>
                <w:rFonts w:asciiTheme="minorHAnsi" w:hAnsiTheme="minorHAnsi" w:cstheme="minorHAnsi"/>
                <w:lang w:val="es-ES_tradnl"/>
              </w:rPr>
              <w:t>;</w:t>
            </w:r>
          </w:p>
        </w:tc>
      </w:tr>
      <w:tr w:rsidR="00C15E0F" w:rsidRPr="003E6986" w14:paraId="6122A59E" w14:textId="77777777" w:rsidTr="006D5A70">
        <w:tc>
          <w:tcPr>
            <w:tcW w:w="3280" w:type="dxa"/>
          </w:tcPr>
          <w:p w14:paraId="3D286076" w14:textId="05AFA2D3" w:rsidR="00C15E0F" w:rsidRPr="003E6986" w:rsidRDefault="00C15E0F" w:rsidP="00E43DCC">
            <w:pPr>
              <w:pStyle w:val="ResNo"/>
              <w:spacing w:before="40" w:after="40"/>
              <w:jc w:val="both"/>
              <w:rPr>
                <w:rFonts w:asciiTheme="minorHAnsi" w:hAnsiTheme="minorHAnsi" w:cstheme="minorHAnsi"/>
                <w:sz w:val="20"/>
                <w:szCs w:val="20"/>
                <w:lang w:val="es-ES_tradnl"/>
              </w:rPr>
            </w:pPr>
            <w:bookmarkStart w:id="34" w:name="_Hlk156227165"/>
            <w:r w:rsidRPr="003E6986">
              <w:rPr>
                <w:rFonts w:asciiTheme="minorHAnsi" w:hAnsiTheme="minorHAnsi" w:cstheme="minorHAnsi"/>
                <w:caps w:val="0"/>
                <w:sz w:val="20"/>
                <w:szCs w:val="20"/>
                <w:lang w:val="es-ES_tradnl"/>
              </w:rPr>
              <w:t xml:space="preserve">Resolución </w:t>
            </w:r>
            <w:r w:rsidRPr="003E6986">
              <w:rPr>
                <w:rStyle w:val="href"/>
                <w:rFonts w:asciiTheme="minorHAnsi" w:hAnsiTheme="minorHAnsi" w:cstheme="minorHAnsi"/>
                <w:b/>
                <w:bCs/>
                <w:caps w:val="0"/>
                <w:sz w:val="20"/>
                <w:szCs w:val="20"/>
                <w:lang w:val="es-ES_tradnl"/>
              </w:rPr>
              <w:t>251</w:t>
            </w:r>
            <w:r w:rsidRPr="003E6986">
              <w:rPr>
                <w:rFonts w:asciiTheme="minorHAnsi" w:hAnsiTheme="minorHAnsi" w:cstheme="minorHAnsi"/>
                <w:b/>
                <w:bCs/>
                <w:sz w:val="20"/>
                <w:szCs w:val="20"/>
                <w:lang w:val="es-ES_tradnl"/>
              </w:rPr>
              <w:t xml:space="preserve"> (</w:t>
            </w:r>
            <w:proofErr w:type="spellStart"/>
            <w:r w:rsidRPr="003E6986">
              <w:rPr>
                <w:rFonts w:asciiTheme="minorHAnsi" w:hAnsiTheme="minorHAnsi" w:cstheme="minorHAnsi"/>
                <w:b/>
                <w:bCs/>
                <w:sz w:val="20"/>
                <w:szCs w:val="20"/>
                <w:lang w:val="es-ES_tradnl"/>
              </w:rPr>
              <w:t>R</w:t>
            </w:r>
            <w:r w:rsidR="00E43DCC" w:rsidRPr="003E6986">
              <w:rPr>
                <w:rFonts w:asciiTheme="minorHAnsi" w:hAnsiTheme="minorHAnsi" w:cstheme="minorHAnsi"/>
                <w:b/>
                <w:bCs/>
                <w:caps w:val="0"/>
                <w:sz w:val="20"/>
                <w:szCs w:val="20"/>
                <w:lang w:val="es-ES_tradnl"/>
              </w:rPr>
              <w:t>ev</w:t>
            </w:r>
            <w:r w:rsidRPr="003E6986">
              <w:rPr>
                <w:rFonts w:asciiTheme="minorHAnsi" w:hAnsiTheme="minorHAnsi" w:cstheme="minorHAnsi"/>
                <w:b/>
                <w:bCs/>
                <w:sz w:val="20"/>
                <w:szCs w:val="20"/>
                <w:lang w:val="es-ES_tradnl"/>
              </w:rPr>
              <w:t>.CMR</w:t>
            </w:r>
            <w:proofErr w:type="spellEnd"/>
            <w:r w:rsidRPr="003E6986">
              <w:rPr>
                <w:rFonts w:asciiTheme="minorHAnsi" w:hAnsiTheme="minorHAnsi" w:cstheme="minorHAnsi"/>
                <w:b/>
                <w:bCs/>
                <w:sz w:val="20"/>
                <w:szCs w:val="20"/>
                <w:lang w:val="es-ES_tradnl"/>
              </w:rPr>
              <w:t>-23)</w:t>
            </w:r>
          </w:p>
          <w:p w14:paraId="51096423"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Estudios para considerar una posible atribución a título primario de</w:t>
            </w:r>
            <w:r w:rsidRPr="003E6986" w:rsidDel="00A6677A">
              <w:rPr>
                <w:rFonts w:asciiTheme="minorHAnsi" w:hAnsiTheme="minorHAnsi" w:cstheme="minorHAnsi"/>
                <w:sz w:val="20"/>
                <w:lang w:val="es-ES_tradnl"/>
              </w:rPr>
              <w:t xml:space="preserve"> </w:t>
            </w:r>
            <w:r w:rsidRPr="003E6986">
              <w:rPr>
                <w:rFonts w:asciiTheme="minorHAnsi" w:hAnsiTheme="minorHAnsi" w:cstheme="minorHAnsi"/>
                <w:sz w:val="20"/>
                <w:lang w:val="es-ES_tradnl"/>
              </w:rPr>
              <w:t xml:space="preserve">las bandas de frecuencias [694-960 MHz, o partes de </w:t>
            </w:r>
            <w:proofErr w:type="gramStart"/>
            <w:r w:rsidRPr="003E6986">
              <w:rPr>
                <w:rFonts w:asciiTheme="minorHAnsi" w:hAnsiTheme="minorHAnsi" w:cstheme="minorHAnsi"/>
                <w:sz w:val="20"/>
                <w:lang w:val="es-ES_tradnl"/>
              </w:rPr>
              <w:t>la misma</w:t>
            </w:r>
            <w:proofErr w:type="gramEnd"/>
            <w:r w:rsidRPr="003E6986">
              <w:rPr>
                <w:rFonts w:asciiTheme="minorHAnsi" w:hAnsiTheme="minorHAnsi" w:cstheme="minorHAnsi"/>
                <w:sz w:val="20"/>
                <w:lang w:val="es-ES_tradnl"/>
              </w:rPr>
              <w:t>, en la Región 1], 890-942 MHz, o partes de la misma, en la Región 2, y [3 400-3 700 MHz, o partes de la misma, en la Región 3] al servicio móvil aeronáutico para la utilización de equipos de usuario de las Telecomunicaciones Móviles Internacionales (IMT) en redes IMT terrenales por aplicaciones no relacionadas con la seguridad</w:t>
            </w:r>
            <w:r w:rsidRPr="003E6986">
              <w:rPr>
                <w:rStyle w:val="FootnoteReference"/>
                <w:rFonts w:asciiTheme="minorHAnsi" w:hAnsiTheme="minorHAnsi" w:cstheme="minorHAnsi"/>
                <w:sz w:val="20"/>
                <w:lang w:val="es-ES_tradnl"/>
              </w:rPr>
              <w:footnoteReference w:customMarkFollows="1" w:id="24"/>
              <w:t>*</w:t>
            </w:r>
          </w:p>
        </w:tc>
        <w:tc>
          <w:tcPr>
            <w:tcW w:w="1358" w:type="dxa"/>
          </w:tcPr>
          <w:p w14:paraId="70536150" w14:textId="77777777" w:rsidR="00C15E0F" w:rsidRPr="003E6986" w:rsidRDefault="00C15E0F" w:rsidP="00E43DCC">
            <w:pPr>
              <w:pStyle w:val="TableText0"/>
              <w:jc w:val="center"/>
              <w:rPr>
                <w:rFonts w:asciiTheme="minorHAnsi" w:hAnsiTheme="minorHAnsi" w:cstheme="minorHAnsi"/>
                <w:b/>
                <w:bCs/>
                <w:sz w:val="20"/>
                <w:lang w:val="es-ES_tradnl"/>
              </w:rPr>
            </w:pPr>
            <w:r w:rsidRPr="003E6986">
              <w:rPr>
                <w:rFonts w:asciiTheme="minorHAnsi" w:eastAsia="Calibri" w:hAnsiTheme="minorHAnsi" w:cstheme="minorHAnsi"/>
                <w:b/>
                <w:bCs/>
                <w:sz w:val="20"/>
                <w:lang w:val="es-ES_tradnl"/>
              </w:rPr>
              <w:t xml:space="preserve">GT </w:t>
            </w:r>
            <w:r w:rsidRPr="003E6986">
              <w:rPr>
                <w:rFonts w:asciiTheme="minorHAnsi" w:hAnsiTheme="minorHAnsi" w:cstheme="minorHAnsi"/>
                <w:b/>
                <w:bCs/>
                <w:sz w:val="20"/>
                <w:lang w:val="es-ES_tradnl"/>
              </w:rPr>
              <w:t>5D</w:t>
            </w:r>
          </w:p>
        </w:tc>
        <w:tc>
          <w:tcPr>
            <w:tcW w:w="8290" w:type="dxa"/>
          </w:tcPr>
          <w:p w14:paraId="49C928A8"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2031</w:t>
            </w:r>
          </w:p>
          <w:p w14:paraId="452992C4"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1</w:t>
            </w:r>
            <w:r w:rsidRPr="003E6986">
              <w:rPr>
                <w:rFonts w:asciiTheme="minorHAnsi" w:hAnsiTheme="minorHAnsi" w:cstheme="minorHAnsi"/>
                <w:lang w:val="es-ES_tradnl"/>
              </w:rPr>
              <w:tab/>
              <w:t>un análisis de los casos hipotéticos pertinentes relativos al SMA sobre conectividad de equipos de usuario a bordo de aeronaves en redes IMT que han de examinarse en estudios de compatibilidad y compartición;</w:t>
            </w:r>
          </w:p>
          <w:p w14:paraId="66F04BF5"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2</w:t>
            </w:r>
            <w:r w:rsidRPr="003E6986">
              <w:rPr>
                <w:rFonts w:asciiTheme="minorHAnsi" w:hAnsiTheme="minorHAnsi" w:cstheme="minorHAnsi"/>
                <w:lang w:val="es-ES_tradnl"/>
              </w:rPr>
              <w:tab/>
              <w:t>la identificación de los parámetros técnicos pertinentes asociados a los sistemas móviles aeronáuticos que se utilizarán en los estudios;</w:t>
            </w:r>
          </w:p>
          <w:p w14:paraId="2B9EDF48"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3</w:t>
            </w:r>
            <w:r w:rsidRPr="003E6986">
              <w:rPr>
                <w:rFonts w:asciiTheme="minorHAnsi" w:hAnsiTheme="minorHAnsi" w:cstheme="minorHAnsi"/>
                <w:lang w:val="es-ES_tradnl"/>
              </w:rPr>
              <w:tab/>
              <w:t>estudios de compartición y compatibilidad con los servicios existentes, incluida la compartición y compatibilidad en banda y en bandas adyacentes, así como entre Regiones adyacentes, a fin de determinar si resulta adecuado otorgar nuevas atribuciones primarias en las siguientes bandas frecuencias al SMA, en los países en que existe una identificación para las IMT, para la utilización de equipos de usuario de las IMT por aplicaciones no relacionadas con la seguridad:</w:t>
            </w:r>
          </w:p>
          <w:p w14:paraId="08E88881" w14:textId="77777777" w:rsidR="00C15E0F" w:rsidRPr="003E6986" w:rsidRDefault="00C15E0F" w:rsidP="00FD58BD">
            <w:pPr>
              <w:pStyle w:val="Tabletext"/>
              <w:tabs>
                <w:tab w:val="clear" w:pos="284"/>
                <w:tab w:val="left" w:pos="463"/>
              </w:tabs>
              <w:ind w:left="463" w:hanging="463"/>
              <w:jc w:val="both"/>
              <w:rPr>
                <w:rFonts w:asciiTheme="minorHAnsi" w:hAnsiTheme="minorHAnsi" w:cstheme="minorHAnsi"/>
                <w:lang w:val="es-ES_tradnl" w:eastAsia="ko-KR"/>
              </w:rPr>
            </w:pPr>
            <w:r w:rsidRPr="003E6986">
              <w:rPr>
                <w:rFonts w:asciiTheme="minorHAnsi" w:hAnsiTheme="minorHAnsi" w:cstheme="minorHAnsi"/>
                <w:lang w:val="es-ES_tradnl"/>
              </w:rPr>
              <w:t>–</w:t>
            </w:r>
            <w:r w:rsidRPr="003E6986">
              <w:rPr>
                <w:rFonts w:asciiTheme="minorHAnsi" w:hAnsiTheme="minorHAnsi" w:cstheme="minorHAnsi"/>
                <w:lang w:val="es-ES_tradnl" w:eastAsia="ko-KR"/>
              </w:rPr>
              <w:tab/>
              <w:t xml:space="preserve">[694-960 MHz, o </w:t>
            </w:r>
            <w:r w:rsidRPr="003E6986">
              <w:rPr>
                <w:lang w:val="es-ES_tradnl" w:eastAsia="nl-NL"/>
              </w:rPr>
              <w:t>partes</w:t>
            </w:r>
            <w:r w:rsidRPr="003E6986">
              <w:rPr>
                <w:rFonts w:asciiTheme="minorHAnsi" w:hAnsiTheme="minorHAnsi" w:cstheme="minorHAnsi"/>
                <w:lang w:val="es-ES_tradnl" w:eastAsia="ko-KR"/>
              </w:rPr>
              <w:t xml:space="preserve"> de </w:t>
            </w:r>
            <w:proofErr w:type="gramStart"/>
            <w:r w:rsidRPr="003E6986">
              <w:rPr>
                <w:rFonts w:asciiTheme="minorHAnsi" w:hAnsiTheme="minorHAnsi" w:cstheme="minorHAnsi"/>
                <w:lang w:val="es-ES_tradnl" w:eastAsia="ko-KR"/>
              </w:rPr>
              <w:t>la misma</w:t>
            </w:r>
            <w:proofErr w:type="gramEnd"/>
            <w:r w:rsidRPr="003E6986">
              <w:rPr>
                <w:rFonts w:asciiTheme="minorHAnsi" w:hAnsiTheme="minorHAnsi" w:cstheme="minorHAnsi"/>
                <w:lang w:val="es-ES_tradnl" w:eastAsia="ko-KR"/>
              </w:rPr>
              <w:t>, en la Región 1];</w:t>
            </w:r>
          </w:p>
          <w:p w14:paraId="5BC96AF1" w14:textId="77777777" w:rsidR="00C15E0F" w:rsidRPr="003E6986" w:rsidRDefault="00C15E0F" w:rsidP="00FD58BD">
            <w:pPr>
              <w:pStyle w:val="Tabletext"/>
              <w:tabs>
                <w:tab w:val="clear" w:pos="284"/>
                <w:tab w:val="left" w:pos="463"/>
              </w:tabs>
              <w:ind w:left="463" w:hanging="463"/>
              <w:jc w:val="both"/>
              <w:rPr>
                <w:rFonts w:asciiTheme="minorHAnsi" w:hAnsiTheme="minorHAnsi" w:cstheme="minorHAnsi"/>
                <w:lang w:val="es-ES_tradnl" w:eastAsia="ko-KR"/>
              </w:rPr>
            </w:pPr>
            <w:r w:rsidRPr="003E6986">
              <w:rPr>
                <w:rFonts w:asciiTheme="minorHAnsi" w:hAnsiTheme="minorHAnsi" w:cstheme="minorHAnsi"/>
                <w:lang w:val="es-ES_tradnl"/>
              </w:rPr>
              <w:t>–</w:t>
            </w:r>
            <w:r w:rsidRPr="003E6986">
              <w:rPr>
                <w:rFonts w:asciiTheme="minorHAnsi" w:hAnsiTheme="minorHAnsi" w:cstheme="minorHAnsi"/>
                <w:lang w:val="es-ES_tradnl" w:eastAsia="ko-KR"/>
              </w:rPr>
              <w:tab/>
              <w:t xml:space="preserve">890-942 MHz, o </w:t>
            </w:r>
            <w:r w:rsidRPr="003E6986">
              <w:rPr>
                <w:lang w:val="es-ES_tradnl" w:eastAsia="nl-NL"/>
              </w:rPr>
              <w:t>partes</w:t>
            </w:r>
            <w:r w:rsidRPr="003E6986">
              <w:rPr>
                <w:rFonts w:asciiTheme="minorHAnsi" w:hAnsiTheme="minorHAnsi" w:cstheme="minorHAnsi"/>
                <w:lang w:val="es-ES_tradnl" w:eastAsia="ko-KR"/>
              </w:rPr>
              <w:t xml:space="preserve"> de </w:t>
            </w:r>
            <w:proofErr w:type="gramStart"/>
            <w:r w:rsidRPr="003E6986">
              <w:rPr>
                <w:rFonts w:asciiTheme="minorHAnsi" w:hAnsiTheme="minorHAnsi" w:cstheme="minorHAnsi"/>
                <w:lang w:val="es-ES_tradnl" w:eastAsia="ko-KR"/>
              </w:rPr>
              <w:t>la misma</w:t>
            </w:r>
            <w:proofErr w:type="gramEnd"/>
            <w:r w:rsidRPr="003E6986">
              <w:rPr>
                <w:rFonts w:asciiTheme="minorHAnsi" w:hAnsiTheme="minorHAnsi" w:cstheme="minorHAnsi"/>
                <w:lang w:val="es-ES_tradnl" w:eastAsia="ko-KR"/>
              </w:rPr>
              <w:t>, en la Región 2;</w:t>
            </w:r>
          </w:p>
          <w:p w14:paraId="59189496" w14:textId="77777777" w:rsidR="00C15E0F" w:rsidRPr="003E6986" w:rsidRDefault="00C15E0F" w:rsidP="00FD58BD">
            <w:pPr>
              <w:pStyle w:val="Tabletext"/>
              <w:tabs>
                <w:tab w:val="clear" w:pos="284"/>
                <w:tab w:val="left" w:pos="463"/>
              </w:tabs>
              <w:ind w:left="463" w:hanging="463"/>
              <w:jc w:val="both"/>
              <w:rPr>
                <w:rFonts w:asciiTheme="minorHAnsi" w:hAnsiTheme="minorHAnsi" w:cstheme="minorHAnsi"/>
                <w:highlight w:val="yellow"/>
                <w:lang w:val="es-ES_tradnl" w:eastAsia="ko-KR"/>
              </w:rPr>
            </w:pPr>
            <w:r w:rsidRPr="003E6986">
              <w:rPr>
                <w:rFonts w:asciiTheme="minorHAnsi" w:hAnsiTheme="minorHAnsi" w:cstheme="minorHAnsi"/>
                <w:lang w:val="es-ES_tradnl"/>
              </w:rPr>
              <w:t>–</w:t>
            </w:r>
            <w:r w:rsidRPr="003E6986">
              <w:rPr>
                <w:rFonts w:asciiTheme="minorHAnsi" w:hAnsiTheme="minorHAnsi" w:cstheme="minorHAnsi"/>
                <w:lang w:val="es-ES_tradnl"/>
              </w:rPr>
              <w:tab/>
            </w:r>
            <w:r w:rsidRPr="003E6986">
              <w:rPr>
                <w:rFonts w:asciiTheme="minorHAnsi" w:hAnsiTheme="minorHAnsi" w:cstheme="minorHAnsi"/>
                <w:lang w:val="es-ES_tradnl" w:eastAsia="ko-KR"/>
              </w:rPr>
              <w:t xml:space="preserve">[3 400-3 700 MHz, o </w:t>
            </w:r>
            <w:r w:rsidRPr="003E6986">
              <w:rPr>
                <w:lang w:val="es-ES_tradnl" w:eastAsia="nl-NL"/>
              </w:rPr>
              <w:t>partes</w:t>
            </w:r>
            <w:r w:rsidRPr="003E6986">
              <w:rPr>
                <w:rFonts w:asciiTheme="minorHAnsi" w:hAnsiTheme="minorHAnsi" w:cstheme="minorHAnsi"/>
                <w:lang w:val="es-ES_tradnl" w:eastAsia="ko-KR"/>
              </w:rPr>
              <w:t xml:space="preserve"> de </w:t>
            </w:r>
            <w:proofErr w:type="gramStart"/>
            <w:r w:rsidRPr="003E6986">
              <w:rPr>
                <w:rFonts w:asciiTheme="minorHAnsi" w:hAnsiTheme="minorHAnsi" w:cstheme="minorHAnsi"/>
                <w:lang w:val="es-ES_tradnl" w:eastAsia="ko-KR"/>
              </w:rPr>
              <w:t>la misma</w:t>
            </w:r>
            <w:proofErr w:type="gramEnd"/>
            <w:r w:rsidRPr="003E6986">
              <w:rPr>
                <w:rFonts w:asciiTheme="minorHAnsi" w:hAnsiTheme="minorHAnsi" w:cstheme="minorHAnsi"/>
                <w:lang w:val="es-ES_tradnl" w:eastAsia="ko-KR"/>
              </w:rPr>
              <w:t>, en la Región 3],</w:t>
            </w:r>
          </w:p>
          <w:p w14:paraId="1F09340F" w14:textId="77777777" w:rsidR="00C15E0F" w:rsidRPr="003E6986" w:rsidRDefault="00C15E0F" w:rsidP="00C15E0F">
            <w:pPr>
              <w:pStyle w:val="TableText0"/>
              <w:rPr>
                <w:rFonts w:asciiTheme="minorHAnsi" w:hAnsiTheme="minorHAnsi" w:cstheme="minorHAnsi"/>
                <w:sz w:val="20"/>
                <w:lang w:val="es-ES_tradnl" w:eastAsia="ko-KR"/>
              </w:rPr>
            </w:pPr>
            <w:r w:rsidRPr="003E6986">
              <w:rPr>
                <w:rFonts w:asciiTheme="minorHAnsi" w:hAnsiTheme="minorHAnsi" w:cstheme="minorHAnsi"/>
                <w:sz w:val="20"/>
                <w:lang w:val="es-ES_tradnl" w:eastAsia="ko-KR"/>
              </w:rPr>
              <w:t>…</w:t>
            </w:r>
          </w:p>
          <w:p w14:paraId="3F1ED6B3"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2031</w:t>
            </w:r>
          </w:p>
          <w:p w14:paraId="1D1F7429" w14:textId="1932E7F0" w:rsidR="006D5A70"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 xml:space="preserve">a considerar, basándose en los resultados de los estudios, la posibilidad de otorgar atribuciones a título primario al SMA, en los países en que existe una identificación para las IMT, en las bandas de frecuencias enumeradas en el </w:t>
            </w:r>
            <w:r w:rsidRPr="003E6986">
              <w:rPr>
                <w:rFonts w:asciiTheme="minorHAnsi" w:hAnsiTheme="minorHAnsi" w:cstheme="minorHAnsi"/>
                <w:i/>
                <w:lang w:val="es-ES_tradnl"/>
              </w:rPr>
              <w:t>resuelve invitar al Sector de Radiocomunicaciones de la UIT a finalizar a tiempo para la Conferencia Mundial de Radiocomunicaciones de 2031</w:t>
            </w:r>
            <w:r w:rsidRPr="003E6986">
              <w:rPr>
                <w:rFonts w:asciiTheme="minorHAnsi" w:hAnsiTheme="minorHAnsi" w:cstheme="minorHAnsi"/>
                <w:lang w:val="es-ES_tradnl"/>
              </w:rPr>
              <w:t>, o en partes de las mismas, para la utilización de equipos de usuario de las IMT en redes IMT terrenales por aplicaciones no relacionadas con la seguridad, y/o cualquier otra disposición reglamentaria.</w:t>
            </w:r>
          </w:p>
        </w:tc>
        <w:tc>
          <w:tcPr>
            <w:tcW w:w="1536" w:type="dxa"/>
          </w:tcPr>
          <w:p w14:paraId="5AB80848" w14:textId="77777777" w:rsidR="00C15E0F" w:rsidRPr="003E6986" w:rsidRDefault="00C15E0F" w:rsidP="00E43DCC">
            <w:pPr>
              <w:pStyle w:val="TableText0"/>
              <w:jc w:val="center"/>
              <w:rPr>
                <w:rFonts w:asciiTheme="minorHAnsi" w:hAnsiTheme="minorHAnsi" w:cstheme="minorHAnsi"/>
                <w:b/>
                <w:sz w:val="20"/>
                <w:lang w:val="es-ES_tradnl"/>
              </w:rPr>
            </w:pPr>
            <w:r w:rsidRPr="003E6986">
              <w:rPr>
                <w:rFonts w:asciiTheme="minorHAnsi" w:hAnsiTheme="minorHAnsi" w:cstheme="minorHAnsi"/>
                <w:b/>
                <w:sz w:val="20"/>
                <w:lang w:val="es-ES_tradnl"/>
              </w:rPr>
              <w:t>–</w:t>
            </w:r>
          </w:p>
        </w:tc>
      </w:tr>
      <w:bookmarkEnd w:id="34"/>
    </w:tbl>
    <w:p w14:paraId="5801B58C" w14:textId="77777777" w:rsidR="00B11EE6" w:rsidRDefault="00B11EE6">
      <w:r>
        <w:br w:type="page"/>
      </w:r>
    </w:p>
    <w:tbl>
      <w:tblPr>
        <w:tblpPr w:leftFromText="180" w:rightFromText="180" w:vertAnchor="text" w:tblpY="1"/>
        <w:tblOverlap w:val="never"/>
        <w:tblW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8222"/>
        <w:gridCol w:w="1564"/>
      </w:tblGrid>
      <w:tr w:rsidR="00B11EE6" w:rsidRPr="008653C7" w14:paraId="5764622E" w14:textId="77777777" w:rsidTr="00B11EE6">
        <w:trPr>
          <w:tblHeader/>
        </w:trPr>
        <w:tc>
          <w:tcPr>
            <w:tcW w:w="14464" w:type="dxa"/>
            <w:gridSpan w:val="4"/>
            <w:tcBorders>
              <w:top w:val="nil"/>
              <w:left w:val="nil"/>
              <w:right w:val="nil"/>
            </w:tcBorders>
          </w:tcPr>
          <w:p w14:paraId="705A6868" w14:textId="77777777" w:rsidR="00B11EE6" w:rsidRPr="003E6986" w:rsidRDefault="00B11EE6" w:rsidP="00B11EE6">
            <w:pPr>
              <w:pStyle w:val="Tablehead"/>
              <w:spacing w:before="0" w:after="0"/>
              <w:rPr>
                <w:color w:val="000000" w:themeColor="text1"/>
                <w:sz w:val="22"/>
                <w:lang w:val="es-ES_tradnl"/>
              </w:rPr>
            </w:pPr>
            <w:r w:rsidRPr="003E6986">
              <w:rPr>
                <w:color w:val="000000" w:themeColor="text1"/>
                <w:lang w:val="es-ES_tradnl"/>
              </w:rPr>
              <w:lastRenderedPageBreak/>
              <w:t xml:space="preserve">Atribución de los trabajos preparatorios del UIT-R para la </w:t>
            </w:r>
            <w:proofErr w:type="spellStart"/>
            <w:r w:rsidRPr="003E6986">
              <w:rPr>
                <w:color w:val="000000" w:themeColor="text1"/>
                <w:lang w:val="es-ES_tradnl"/>
              </w:rPr>
              <w:t>CMR</w:t>
            </w:r>
            <w:proofErr w:type="spellEnd"/>
            <w:r w:rsidRPr="003E6986">
              <w:rPr>
                <w:color w:val="000000" w:themeColor="text1"/>
                <w:lang w:val="es-ES_tradnl"/>
              </w:rPr>
              <w:t>-31</w:t>
            </w:r>
          </w:p>
        </w:tc>
      </w:tr>
      <w:tr w:rsidR="00B11EE6" w:rsidRPr="003E6986" w14:paraId="3493816F" w14:textId="77777777" w:rsidTr="00B11EE6">
        <w:trPr>
          <w:tblHeader/>
        </w:trPr>
        <w:tc>
          <w:tcPr>
            <w:tcW w:w="3261" w:type="dxa"/>
            <w:vAlign w:val="center"/>
          </w:tcPr>
          <w:p w14:paraId="4117570D" w14:textId="77777777" w:rsidR="00B11EE6" w:rsidRPr="003E6986" w:rsidRDefault="00B11EE6" w:rsidP="00B11EE6">
            <w:pPr>
              <w:pStyle w:val="Tablehead"/>
              <w:spacing w:before="0" w:after="0"/>
              <w:rPr>
                <w:color w:val="000000" w:themeColor="text1"/>
                <w:lang w:val="es-ES_tradnl"/>
              </w:rPr>
            </w:pPr>
            <w:r w:rsidRPr="003E6986">
              <w:rPr>
                <w:color w:val="000000" w:themeColor="text1"/>
                <w:lang w:val="es-ES_tradnl"/>
              </w:rPr>
              <w:t>Tema</w:t>
            </w:r>
          </w:p>
        </w:tc>
        <w:tc>
          <w:tcPr>
            <w:tcW w:w="1417" w:type="dxa"/>
            <w:vAlign w:val="center"/>
          </w:tcPr>
          <w:p w14:paraId="37736D7B" w14:textId="77777777" w:rsidR="00B11EE6" w:rsidRPr="003E6986" w:rsidRDefault="00B11EE6" w:rsidP="00B11EE6">
            <w:pPr>
              <w:pStyle w:val="Tablehead"/>
              <w:spacing w:before="0" w:after="0"/>
              <w:rPr>
                <w:color w:val="000000" w:themeColor="text1"/>
                <w:lang w:val="es-ES_tradnl"/>
              </w:rPr>
            </w:pPr>
            <w:r w:rsidRPr="003E6986">
              <w:rPr>
                <w:color w:val="000000" w:themeColor="text1"/>
                <w:lang w:val="es-ES_tradnl"/>
              </w:rPr>
              <w:t>Grupo responsable</w:t>
            </w:r>
          </w:p>
        </w:tc>
        <w:tc>
          <w:tcPr>
            <w:tcW w:w="8222" w:type="dxa"/>
            <w:vAlign w:val="center"/>
          </w:tcPr>
          <w:p w14:paraId="623BE6C4" w14:textId="77777777" w:rsidR="00B11EE6" w:rsidRPr="003E6986" w:rsidRDefault="00B11EE6" w:rsidP="00B11EE6">
            <w:pPr>
              <w:pStyle w:val="Tablehead"/>
              <w:spacing w:before="0" w:after="0"/>
              <w:rPr>
                <w:color w:val="000000" w:themeColor="text1"/>
                <w:lang w:val="es-ES_tradnl"/>
              </w:rPr>
            </w:pPr>
            <w:r w:rsidRPr="003E6986">
              <w:rPr>
                <w:color w:val="000000" w:themeColor="text1"/>
                <w:lang w:val="es-ES_tradnl"/>
              </w:rPr>
              <w:t>Cometido del Grupo</w:t>
            </w:r>
          </w:p>
        </w:tc>
        <w:tc>
          <w:tcPr>
            <w:tcW w:w="1564" w:type="dxa"/>
            <w:vAlign w:val="center"/>
          </w:tcPr>
          <w:p w14:paraId="2F10DA4D" w14:textId="77777777" w:rsidR="00B11EE6" w:rsidRPr="003E6986" w:rsidRDefault="00B11EE6" w:rsidP="00B11EE6">
            <w:pPr>
              <w:pStyle w:val="Tablehead"/>
              <w:spacing w:before="0" w:after="0"/>
              <w:rPr>
                <w:color w:val="000000" w:themeColor="text1"/>
                <w:lang w:val="es-ES_tradnl"/>
              </w:rPr>
            </w:pPr>
            <w:r w:rsidRPr="003E6986">
              <w:rPr>
                <w:color w:val="000000" w:themeColor="text1"/>
                <w:lang w:val="es-ES_tradnl"/>
              </w:rPr>
              <w:t>Grupo contribuyente</w:t>
            </w:r>
          </w:p>
        </w:tc>
      </w:tr>
    </w:tbl>
    <w:tbl>
      <w:tblPr>
        <w:tblW w:w="14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1358"/>
        <w:gridCol w:w="8290"/>
        <w:gridCol w:w="1536"/>
      </w:tblGrid>
      <w:tr w:rsidR="00C15E0F" w:rsidRPr="008653C7" w14:paraId="5BA231B2" w14:textId="77777777" w:rsidTr="00B11EE6">
        <w:tc>
          <w:tcPr>
            <w:tcW w:w="14464" w:type="dxa"/>
            <w:gridSpan w:val="4"/>
            <w:tcBorders>
              <w:bottom w:val="single" w:sz="4" w:space="0" w:color="auto"/>
            </w:tcBorders>
          </w:tcPr>
          <w:p w14:paraId="09389B15" w14:textId="6769918D" w:rsidR="00C15E0F" w:rsidRPr="003E6986" w:rsidRDefault="00C15E0F" w:rsidP="006D5A70">
            <w:pPr>
              <w:pStyle w:val="Tabletext"/>
              <w:tabs>
                <w:tab w:val="clear" w:pos="284"/>
                <w:tab w:val="left" w:pos="594"/>
              </w:tabs>
              <w:spacing w:before="0" w:after="0"/>
              <w:jc w:val="both"/>
              <w:rPr>
                <w:rFonts w:asciiTheme="minorHAnsi" w:hAnsiTheme="minorHAnsi" w:cstheme="minorHAnsi"/>
                <w:lang w:val="es-ES_tradnl"/>
              </w:rPr>
            </w:pPr>
            <w:r w:rsidRPr="003E6986">
              <w:rPr>
                <w:rFonts w:asciiTheme="minorHAnsi" w:hAnsiTheme="minorHAnsi" w:cstheme="minorHAnsi"/>
                <w:lang w:val="es-ES_tradnl"/>
              </w:rPr>
              <w:t>2.6</w:t>
            </w:r>
            <w:r w:rsidRPr="003E6986">
              <w:rPr>
                <w:rFonts w:asciiTheme="minorHAnsi" w:hAnsiTheme="minorHAnsi" w:cstheme="minorHAnsi"/>
                <w:lang w:val="es-ES_tradnl"/>
              </w:rPr>
              <w:tab/>
              <w:t xml:space="preserve">considerar la </w:t>
            </w:r>
            <w:r w:rsidRPr="003E6986">
              <w:rPr>
                <w:rFonts w:asciiTheme="minorHAnsi" w:hAnsiTheme="minorHAnsi" w:cstheme="minorHAnsi"/>
                <w:szCs w:val="20"/>
                <w:lang w:val="es-ES_tradnl"/>
              </w:rPr>
              <w:t>identificación</w:t>
            </w:r>
            <w:r w:rsidRPr="003E6986">
              <w:rPr>
                <w:rFonts w:asciiTheme="minorHAnsi" w:hAnsiTheme="minorHAnsi" w:cstheme="minorHAnsi"/>
                <w:lang w:val="es-ES_tradnl"/>
              </w:rPr>
              <w:t xml:space="preserve"> de las bandas de frecuencias [102-109,5 GHz, 151,5</w:t>
            </w:r>
            <w:r w:rsidRPr="003E6986">
              <w:rPr>
                <w:rFonts w:asciiTheme="minorHAnsi" w:hAnsiTheme="minorHAnsi" w:cstheme="minorHAnsi"/>
                <w:lang w:val="es-ES_tradnl"/>
              </w:rPr>
              <w:noBreakHyphen/>
              <w:t xml:space="preserve">164 GHz, 167-174,8 GHz, 209-226 GHz y 252-275 GHz] para las Telecomunicaciones Móviles Internacionales (IMT), de conformidad con la Resolución </w:t>
            </w:r>
            <w:r w:rsidRPr="003E6986">
              <w:rPr>
                <w:rFonts w:asciiTheme="minorHAnsi" w:hAnsiTheme="minorHAnsi" w:cstheme="minorHAnsi"/>
                <w:b/>
                <w:bCs/>
                <w:lang w:val="es-ES_tradnl"/>
              </w:rPr>
              <w:t>255 (CMR-23)</w:t>
            </w:r>
            <w:r w:rsidRPr="003E6986">
              <w:rPr>
                <w:rFonts w:asciiTheme="minorHAnsi" w:hAnsiTheme="minorHAnsi" w:cstheme="minorHAnsi"/>
                <w:lang w:val="es-ES_tradnl"/>
              </w:rPr>
              <w:t>;</w:t>
            </w:r>
          </w:p>
        </w:tc>
      </w:tr>
      <w:tr w:rsidR="00C15E0F" w:rsidRPr="003E6986" w14:paraId="388B37F0" w14:textId="77777777" w:rsidTr="00B11EE6">
        <w:tc>
          <w:tcPr>
            <w:tcW w:w="3280" w:type="dxa"/>
            <w:tcBorders>
              <w:bottom w:val="single" w:sz="4" w:space="0" w:color="auto"/>
            </w:tcBorders>
          </w:tcPr>
          <w:p w14:paraId="785954EC" w14:textId="77777777" w:rsidR="00C15E0F" w:rsidRPr="003E6986" w:rsidRDefault="00C15E0F" w:rsidP="006D5A70">
            <w:pPr>
              <w:pStyle w:val="ResNo"/>
              <w:spacing w:before="0"/>
              <w:jc w:val="both"/>
              <w:rPr>
                <w:rFonts w:asciiTheme="minorHAnsi" w:hAnsiTheme="minorHAnsi" w:cstheme="minorHAnsi"/>
                <w:sz w:val="20"/>
                <w:szCs w:val="20"/>
                <w:lang w:val="es-ES_tradnl"/>
              </w:rPr>
            </w:pPr>
            <w:r w:rsidRPr="003E6986">
              <w:rPr>
                <w:rFonts w:asciiTheme="minorHAnsi" w:hAnsiTheme="minorHAnsi" w:cstheme="minorHAnsi"/>
                <w:caps w:val="0"/>
                <w:sz w:val="20"/>
                <w:szCs w:val="20"/>
                <w:lang w:val="es-ES_tradnl"/>
              </w:rPr>
              <w:t xml:space="preserve">Resolución </w:t>
            </w:r>
            <w:r w:rsidRPr="003E6986">
              <w:rPr>
                <w:rFonts w:asciiTheme="minorHAnsi" w:hAnsiTheme="minorHAnsi" w:cstheme="minorHAnsi"/>
                <w:b/>
                <w:bCs/>
                <w:sz w:val="20"/>
                <w:szCs w:val="20"/>
                <w:lang w:val="es-ES_tradnl"/>
              </w:rPr>
              <w:t>255 (</w:t>
            </w:r>
            <w:proofErr w:type="spellStart"/>
            <w:r w:rsidRPr="003E6986">
              <w:rPr>
                <w:rFonts w:asciiTheme="minorHAnsi" w:hAnsiTheme="minorHAnsi" w:cstheme="minorHAnsi"/>
                <w:b/>
                <w:bCs/>
                <w:sz w:val="20"/>
                <w:szCs w:val="20"/>
                <w:lang w:val="es-ES_tradnl"/>
              </w:rPr>
              <w:t>CMR</w:t>
            </w:r>
            <w:proofErr w:type="spellEnd"/>
            <w:r w:rsidRPr="003E6986">
              <w:rPr>
                <w:rFonts w:asciiTheme="minorHAnsi" w:hAnsiTheme="minorHAnsi" w:cstheme="minorHAnsi"/>
                <w:b/>
                <w:bCs/>
                <w:sz w:val="20"/>
                <w:szCs w:val="20"/>
                <w:lang w:val="es-ES_tradnl"/>
              </w:rPr>
              <w:t>-23)</w:t>
            </w:r>
          </w:p>
          <w:p w14:paraId="161BEB15" w14:textId="23FB1F7A" w:rsidR="00C15E0F" w:rsidRPr="003E6986" w:rsidRDefault="00C15E0F" w:rsidP="006D5A70">
            <w:pPr>
              <w:pStyle w:val="TableText0"/>
              <w:spacing w:before="0" w:after="0"/>
              <w:rPr>
                <w:rFonts w:asciiTheme="minorHAnsi" w:hAnsiTheme="minorHAnsi" w:cstheme="minorHAnsi"/>
                <w:sz w:val="20"/>
                <w:lang w:val="es-ES_tradnl"/>
              </w:rPr>
            </w:pPr>
            <w:r w:rsidRPr="003E6986">
              <w:rPr>
                <w:rFonts w:asciiTheme="minorHAnsi" w:hAnsiTheme="minorHAnsi" w:cstheme="minorHAnsi"/>
                <w:sz w:val="20"/>
                <w:lang w:val="es-ES_tradnl"/>
              </w:rPr>
              <w:t>Estudios sobre asuntos relacionados con las frecuencias para la identificación de las bandas de fr</w:t>
            </w:r>
            <w:r w:rsidR="00744486" w:rsidRPr="003E6986">
              <w:rPr>
                <w:rFonts w:asciiTheme="minorHAnsi" w:hAnsiTheme="minorHAnsi" w:cstheme="minorHAnsi"/>
                <w:sz w:val="20"/>
                <w:lang w:val="es-ES_tradnl"/>
              </w:rPr>
              <w:t>ecuencias [102-109,5 GHz, 151,5</w:t>
            </w:r>
            <w:r w:rsidR="00744486" w:rsidRPr="003E6986">
              <w:rPr>
                <w:rFonts w:asciiTheme="minorHAnsi" w:hAnsiTheme="minorHAnsi" w:cstheme="minorHAnsi"/>
                <w:sz w:val="20"/>
                <w:lang w:val="es-ES_tradnl"/>
              </w:rPr>
              <w:noBreakHyphen/>
            </w:r>
            <w:r w:rsidRPr="003E6986">
              <w:rPr>
                <w:rFonts w:asciiTheme="minorHAnsi" w:hAnsiTheme="minorHAnsi" w:cstheme="minorHAnsi"/>
                <w:sz w:val="20"/>
                <w:lang w:val="es-ES_tradnl"/>
              </w:rPr>
              <w:t>164 GHz, 167-174,8 GHz, 209</w:t>
            </w:r>
            <w:r w:rsidRPr="003E6986">
              <w:rPr>
                <w:rFonts w:asciiTheme="minorHAnsi" w:hAnsiTheme="minorHAnsi" w:cstheme="minorHAnsi"/>
                <w:sz w:val="20"/>
                <w:lang w:val="es-ES_tradnl"/>
              </w:rPr>
              <w:noBreakHyphen/>
              <w:t>226 GHz y 252-275 GHz] para las Telecomunicaciones Móviles Internacionales, con miras su futuro desarrollo</w:t>
            </w:r>
            <w:r w:rsidRPr="003E6986">
              <w:rPr>
                <w:rStyle w:val="FootnoteReference"/>
                <w:rFonts w:asciiTheme="minorHAnsi" w:hAnsiTheme="minorHAnsi" w:cstheme="minorHAnsi"/>
                <w:sz w:val="20"/>
                <w:lang w:val="es-ES_tradnl"/>
              </w:rPr>
              <w:footnoteReference w:customMarkFollows="1" w:id="25"/>
              <w:t>*</w:t>
            </w:r>
          </w:p>
        </w:tc>
        <w:tc>
          <w:tcPr>
            <w:tcW w:w="1358" w:type="dxa"/>
            <w:tcBorders>
              <w:bottom w:val="single" w:sz="4" w:space="0" w:color="auto"/>
            </w:tcBorders>
          </w:tcPr>
          <w:p w14:paraId="48163628" w14:textId="77777777" w:rsidR="00C15E0F" w:rsidRPr="003E6986" w:rsidRDefault="00C15E0F" w:rsidP="006D5A70">
            <w:pPr>
              <w:pStyle w:val="TableText0"/>
              <w:spacing w:before="0" w:after="0"/>
              <w:jc w:val="center"/>
              <w:rPr>
                <w:rFonts w:asciiTheme="minorHAnsi" w:hAnsiTheme="minorHAnsi" w:cstheme="minorHAnsi"/>
                <w:b/>
                <w:bCs/>
                <w:sz w:val="20"/>
                <w:lang w:val="es-ES_tradnl"/>
              </w:rPr>
            </w:pPr>
            <w:r w:rsidRPr="003E6986">
              <w:rPr>
                <w:rFonts w:asciiTheme="minorHAnsi" w:eastAsia="Calibri" w:hAnsiTheme="minorHAnsi" w:cstheme="minorHAnsi"/>
                <w:b/>
                <w:bCs/>
                <w:sz w:val="20"/>
                <w:lang w:val="es-ES_tradnl"/>
              </w:rPr>
              <w:t xml:space="preserve">GT </w:t>
            </w:r>
            <w:r w:rsidRPr="003E6986">
              <w:rPr>
                <w:rFonts w:asciiTheme="minorHAnsi" w:hAnsiTheme="minorHAnsi" w:cstheme="minorHAnsi"/>
                <w:b/>
                <w:bCs/>
                <w:sz w:val="20"/>
                <w:lang w:val="es-ES_tradnl"/>
              </w:rPr>
              <w:t>5D</w:t>
            </w:r>
            <w:r w:rsidRPr="003E6986">
              <w:rPr>
                <w:rStyle w:val="FootnoteReference"/>
                <w:rFonts w:asciiTheme="minorHAnsi" w:hAnsiTheme="minorHAnsi" w:cstheme="minorHAnsi"/>
                <w:b/>
                <w:bCs/>
                <w:sz w:val="20"/>
                <w:lang w:val="es-ES_tradnl"/>
              </w:rPr>
              <w:footnoteReference w:customMarkFollows="1" w:id="26"/>
              <w:sym w:font="Symbol" w:char="F02A"/>
            </w:r>
            <w:r w:rsidRPr="003E6986">
              <w:rPr>
                <w:rStyle w:val="FootnoteReference"/>
                <w:rFonts w:asciiTheme="minorHAnsi" w:hAnsiTheme="minorHAnsi" w:cstheme="minorHAnsi"/>
                <w:b/>
                <w:bCs/>
                <w:sz w:val="20"/>
                <w:lang w:val="es-ES_tradnl"/>
              </w:rPr>
              <w:sym w:font="Symbol" w:char="F02A"/>
            </w:r>
          </w:p>
        </w:tc>
        <w:tc>
          <w:tcPr>
            <w:tcW w:w="8290" w:type="dxa"/>
            <w:tcBorders>
              <w:bottom w:val="single" w:sz="4" w:space="0" w:color="auto"/>
            </w:tcBorders>
          </w:tcPr>
          <w:p w14:paraId="172878D9" w14:textId="77777777" w:rsidR="00C15E0F" w:rsidRPr="003E6986" w:rsidRDefault="00C15E0F" w:rsidP="006D5A70">
            <w:pPr>
              <w:pStyle w:val="Tabletext"/>
              <w:tabs>
                <w:tab w:val="clear" w:pos="284"/>
                <w:tab w:val="left" w:pos="463"/>
              </w:tabs>
              <w:spacing w:before="0" w:after="0"/>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2031</w:t>
            </w:r>
          </w:p>
          <w:p w14:paraId="06B0C7EB" w14:textId="77777777" w:rsidR="00C15E0F" w:rsidRPr="003E6986" w:rsidRDefault="00C15E0F" w:rsidP="006D5A70">
            <w:pPr>
              <w:pStyle w:val="Tabletext"/>
              <w:tabs>
                <w:tab w:val="clear" w:pos="284"/>
                <w:tab w:val="left" w:pos="463"/>
              </w:tabs>
              <w:spacing w:before="0" w:after="0"/>
              <w:jc w:val="both"/>
              <w:rPr>
                <w:rFonts w:asciiTheme="minorHAnsi" w:hAnsiTheme="minorHAnsi" w:cstheme="minorHAnsi"/>
                <w:lang w:val="es-ES_tradnl"/>
              </w:rPr>
            </w:pPr>
            <w:r w:rsidRPr="003E6986">
              <w:rPr>
                <w:rFonts w:asciiTheme="minorHAnsi" w:hAnsiTheme="minorHAnsi" w:cstheme="minorHAnsi"/>
                <w:lang w:val="es-ES_tradnl"/>
              </w:rPr>
              <w:t>1</w:t>
            </w:r>
            <w:r w:rsidRPr="003E6986">
              <w:rPr>
                <w:rFonts w:asciiTheme="minorHAnsi" w:hAnsiTheme="minorHAnsi" w:cstheme="minorHAnsi"/>
                <w:lang w:val="es-ES_tradnl"/>
              </w:rPr>
              <w:tab/>
              <w:t xml:space="preserve">los estudios adecuados para determinar las necesidades de espectro para la componente terrenal de las IMT en las bandas de frecuencias enumeradas en el </w:t>
            </w:r>
            <w:r w:rsidRPr="003E6986">
              <w:rPr>
                <w:rFonts w:asciiTheme="minorHAnsi" w:hAnsiTheme="minorHAnsi" w:cstheme="minorHAnsi"/>
                <w:i/>
                <w:iCs/>
                <w:lang w:val="es-ES_tradnl"/>
              </w:rPr>
              <w:t>resuelve invitar al Sector de Radiocomunicaciones de la UIT a finalizar a tiempo para la Conferencia Mundial de Radiocomunicaciones de 2031</w:t>
            </w:r>
            <w:r w:rsidRPr="003E6986">
              <w:rPr>
                <w:rFonts w:asciiTheme="minorHAnsi" w:hAnsiTheme="minorHAnsi" w:cstheme="minorHAnsi"/>
                <w:i/>
                <w:lang w:val="es-ES_tradnl"/>
              </w:rPr>
              <w:t xml:space="preserve"> </w:t>
            </w:r>
            <w:r w:rsidRPr="003E6986">
              <w:rPr>
                <w:rFonts w:asciiTheme="minorHAnsi" w:hAnsiTheme="minorHAnsi" w:cstheme="minorHAnsi"/>
                <w:lang w:val="es-ES_tradnl"/>
              </w:rPr>
              <w:t>2, teniendo en cuenta:</w:t>
            </w:r>
          </w:p>
          <w:p w14:paraId="46F246DB" w14:textId="77777777" w:rsidR="00C15E0F" w:rsidRPr="003E6986" w:rsidRDefault="00C15E0F" w:rsidP="006D5A70">
            <w:pPr>
              <w:pStyle w:val="Tabletext"/>
              <w:tabs>
                <w:tab w:val="clear" w:pos="284"/>
                <w:tab w:val="left" w:pos="463"/>
              </w:tabs>
              <w:spacing w:before="0" w:after="0"/>
              <w:ind w:left="463" w:hanging="463"/>
              <w:jc w:val="both"/>
              <w:rPr>
                <w:rFonts w:asciiTheme="minorHAnsi" w:hAnsiTheme="minorHAnsi" w:cstheme="minorHAnsi"/>
                <w:lang w:val="es-ES_tradnl"/>
              </w:rPr>
            </w:pPr>
            <w:r w:rsidRPr="003E6986">
              <w:rPr>
                <w:rFonts w:asciiTheme="minorHAnsi" w:hAnsiTheme="minorHAnsi" w:cstheme="minorHAnsi"/>
                <w:lang w:val="es-ES_tradnl"/>
              </w:rPr>
              <w:t>–</w:t>
            </w:r>
            <w:r w:rsidRPr="003E6986">
              <w:rPr>
                <w:rFonts w:asciiTheme="minorHAnsi" w:hAnsiTheme="minorHAnsi" w:cstheme="minorHAnsi"/>
                <w:lang w:val="es-ES_tradnl"/>
              </w:rPr>
              <w:tab/>
              <w:t xml:space="preserve">las </w:t>
            </w:r>
            <w:r w:rsidRPr="003E6986">
              <w:rPr>
                <w:lang w:val="es-ES_tradnl" w:eastAsia="nl-NL"/>
              </w:rPr>
              <w:t>características</w:t>
            </w:r>
            <w:r w:rsidRPr="003E6986">
              <w:rPr>
                <w:rFonts w:asciiTheme="minorHAnsi" w:hAnsiTheme="minorHAnsi" w:cstheme="minorHAnsi"/>
                <w:lang w:val="es-ES_tradnl"/>
              </w:rPr>
              <w:t xml:space="preserve"> técnicas y operativas de los sistemas IMT terrenales que funcionarían en estas bandas de frecuencias elevadas y, en particular, la evolución de las IMT gracias a los avances tecnológicos y las técnicas de eficiencia espectral;</w:t>
            </w:r>
          </w:p>
          <w:p w14:paraId="57951A25" w14:textId="77777777" w:rsidR="00C15E0F" w:rsidRPr="003E6986" w:rsidRDefault="00C15E0F" w:rsidP="006D5A70">
            <w:pPr>
              <w:pStyle w:val="Tabletext"/>
              <w:tabs>
                <w:tab w:val="clear" w:pos="284"/>
                <w:tab w:val="left" w:pos="463"/>
              </w:tabs>
              <w:spacing w:before="0" w:after="0"/>
              <w:ind w:left="463" w:hanging="463"/>
              <w:jc w:val="both"/>
              <w:rPr>
                <w:rFonts w:asciiTheme="minorHAnsi" w:hAnsiTheme="minorHAnsi" w:cstheme="minorHAnsi"/>
                <w:lang w:val="es-ES_tradnl"/>
              </w:rPr>
            </w:pPr>
            <w:r w:rsidRPr="003E6986">
              <w:rPr>
                <w:rFonts w:asciiTheme="minorHAnsi" w:hAnsiTheme="minorHAnsi" w:cstheme="minorHAnsi"/>
                <w:lang w:val="es-ES_tradnl"/>
              </w:rPr>
              <w:br w:type="page"/>
              <w:t>–</w:t>
            </w:r>
            <w:r w:rsidRPr="003E6986">
              <w:rPr>
                <w:rFonts w:asciiTheme="minorHAnsi" w:hAnsiTheme="minorHAnsi" w:cstheme="minorHAnsi"/>
                <w:lang w:val="es-ES_tradnl"/>
              </w:rPr>
              <w:tab/>
              <w:t>los casos previstos de despliegue de los sistemas IMT</w:t>
            </w:r>
            <w:r w:rsidRPr="003E6986">
              <w:rPr>
                <w:rFonts w:asciiTheme="minorHAnsi" w:hAnsiTheme="minorHAnsi" w:cstheme="minorHAnsi"/>
                <w:lang w:val="es-ES_tradnl"/>
              </w:rPr>
              <w:noBreakHyphen/>
              <w:t xml:space="preserve">2030 y los requisitos conexos derivados de un </w:t>
            </w:r>
            <w:r w:rsidRPr="003E6986">
              <w:rPr>
                <w:lang w:val="es-ES_tradnl" w:eastAsia="nl-NL"/>
              </w:rPr>
              <w:t>tráfico</w:t>
            </w:r>
            <w:r w:rsidRPr="003E6986">
              <w:rPr>
                <w:rFonts w:asciiTheme="minorHAnsi" w:hAnsiTheme="minorHAnsi" w:cstheme="minorHAnsi"/>
                <w:lang w:val="es-ES_tradnl"/>
              </w:rPr>
              <w:t xml:space="preserve"> de datos muy elevado como el que tiene lugar en zonas urbanas densas y/o durante determinadas horas punta; </w:t>
            </w:r>
          </w:p>
          <w:p w14:paraId="0E18EE70" w14:textId="77777777" w:rsidR="00C15E0F" w:rsidRPr="003E6986" w:rsidRDefault="00C15E0F" w:rsidP="006D5A70">
            <w:pPr>
              <w:pStyle w:val="Tabletext"/>
              <w:tabs>
                <w:tab w:val="clear" w:pos="284"/>
                <w:tab w:val="left" w:pos="463"/>
              </w:tabs>
              <w:spacing w:before="0" w:after="0"/>
              <w:ind w:left="463" w:hanging="463"/>
              <w:jc w:val="both"/>
              <w:rPr>
                <w:rFonts w:asciiTheme="minorHAnsi" w:hAnsiTheme="minorHAnsi" w:cstheme="minorHAnsi"/>
                <w:lang w:val="es-ES_tradnl"/>
              </w:rPr>
            </w:pPr>
            <w:r w:rsidRPr="003E6986">
              <w:rPr>
                <w:rFonts w:asciiTheme="minorHAnsi" w:hAnsiTheme="minorHAnsi" w:cstheme="minorHAnsi"/>
                <w:lang w:val="es-ES_tradnl"/>
              </w:rPr>
              <w:t>–</w:t>
            </w:r>
            <w:r w:rsidRPr="003E6986">
              <w:rPr>
                <w:rFonts w:asciiTheme="minorHAnsi" w:hAnsiTheme="minorHAnsi" w:cstheme="minorHAnsi"/>
                <w:lang w:val="es-ES_tradnl"/>
              </w:rPr>
              <w:tab/>
              <w:t xml:space="preserve">las </w:t>
            </w:r>
            <w:r w:rsidRPr="003E6986">
              <w:rPr>
                <w:lang w:val="es-ES_tradnl" w:eastAsia="nl-NL"/>
              </w:rPr>
              <w:t>necesidades</w:t>
            </w:r>
            <w:r w:rsidRPr="003E6986">
              <w:rPr>
                <w:rFonts w:asciiTheme="minorHAnsi" w:hAnsiTheme="minorHAnsi" w:cstheme="minorHAnsi"/>
                <w:lang w:val="es-ES_tradnl"/>
              </w:rPr>
              <w:t xml:space="preserve"> de los países en desarrollo y el periodo de tiempo en el que se necesitaría el espectro;</w:t>
            </w:r>
          </w:p>
          <w:p w14:paraId="6D7FEEDD" w14:textId="77777777" w:rsidR="00C15E0F" w:rsidRPr="003E6986" w:rsidRDefault="00C15E0F" w:rsidP="006D5A70">
            <w:pPr>
              <w:pStyle w:val="Tabletext"/>
              <w:tabs>
                <w:tab w:val="clear" w:pos="284"/>
                <w:tab w:val="left" w:pos="463"/>
              </w:tabs>
              <w:spacing w:before="0" w:after="0"/>
              <w:jc w:val="both"/>
              <w:rPr>
                <w:rFonts w:asciiTheme="minorHAnsi" w:hAnsiTheme="minorHAnsi" w:cstheme="minorHAnsi"/>
                <w:lang w:val="es-ES_tradnl"/>
              </w:rPr>
            </w:pPr>
            <w:r w:rsidRPr="003E6986">
              <w:rPr>
                <w:rFonts w:asciiTheme="minorHAnsi" w:hAnsiTheme="minorHAnsi" w:cstheme="minorHAnsi"/>
                <w:lang w:val="es-ES_tradnl"/>
              </w:rPr>
              <w:t>2</w:t>
            </w:r>
            <w:r w:rsidRPr="003E6986">
              <w:rPr>
                <w:rFonts w:asciiTheme="minorHAnsi" w:hAnsiTheme="minorHAnsi" w:cstheme="minorHAnsi"/>
                <w:lang w:val="es-ES_tradnl"/>
              </w:rPr>
              <w:tab/>
              <w:t>los correspondientes estudios de compartición y compatibilidad</w:t>
            </w:r>
            <w:r w:rsidRPr="003E6986">
              <w:rPr>
                <w:rStyle w:val="FootnoteReference"/>
                <w:rFonts w:asciiTheme="minorHAnsi" w:hAnsiTheme="minorHAnsi" w:cstheme="minorHAnsi"/>
                <w:iCs/>
                <w:sz w:val="20"/>
                <w:lang w:val="es-ES_tradnl"/>
              </w:rPr>
              <w:footnoteReference w:customMarkFollows="1" w:id="27"/>
              <w:t>1</w:t>
            </w:r>
            <w:r w:rsidRPr="003E6986">
              <w:rPr>
                <w:rFonts w:asciiTheme="minorHAnsi" w:hAnsiTheme="minorHAnsi" w:cstheme="minorHAnsi"/>
                <w:lang w:val="es-ES_tradnl"/>
              </w:rPr>
              <w:t>, teniendo en cuenta la protección de los servicios a los que estén atribuidas las bandas a título primario, para las bandas de frecuencias:</w:t>
            </w:r>
          </w:p>
          <w:p w14:paraId="5FFB8C9E" w14:textId="77777777" w:rsidR="00C15E0F" w:rsidRPr="003E6986" w:rsidRDefault="00C15E0F" w:rsidP="006D5A70">
            <w:pPr>
              <w:pStyle w:val="Tabletext"/>
              <w:tabs>
                <w:tab w:val="clear" w:pos="284"/>
                <w:tab w:val="left" w:pos="463"/>
              </w:tabs>
              <w:spacing w:before="0" w:after="0"/>
              <w:ind w:left="463" w:hanging="463"/>
              <w:jc w:val="both"/>
              <w:rPr>
                <w:rFonts w:asciiTheme="minorHAnsi" w:hAnsiTheme="minorHAnsi" w:cstheme="minorHAnsi"/>
                <w:lang w:val="es-ES_tradnl"/>
              </w:rPr>
            </w:pPr>
            <w:r w:rsidRPr="003E6986">
              <w:rPr>
                <w:rFonts w:asciiTheme="minorHAnsi" w:hAnsiTheme="minorHAnsi" w:cstheme="minorHAnsi"/>
                <w:lang w:val="es-ES_tradnl"/>
              </w:rPr>
              <w:t>–</w:t>
            </w:r>
            <w:r w:rsidRPr="003E6986">
              <w:rPr>
                <w:rFonts w:asciiTheme="minorHAnsi" w:hAnsiTheme="minorHAnsi" w:cstheme="minorHAnsi"/>
                <w:lang w:val="es-ES_tradnl"/>
              </w:rPr>
              <w:tab/>
              <w:t xml:space="preserve">[102-109,5 GHz, 151,5-164 GHz, 167-174,8 GHz, 209-226 GHz y </w:t>
            </w:r>
            <w:r w:rsidRPr="003E6986">
              <w:rPr>
                <w:lang w:val="es-ES_tradnl" w:eastAsia="nl-NL"/>
              </w:rPr>
              <w:t>252</w:t>
            </w:r>
            <w:r w:rsidRPr="003E6986">
              <w:rPr>
                <w:rFonts w:asciiTheme="minorHAnsi" w:hAnsiTheme="minorHAnsi" w:cstheme="minorHAnsi"/>
                <w:lang w:val="es-ES_tradnl"/>
              </w:rPr>
              <w:t>-275 GHz],</w:t>
            </w:r>
          </w:p>
          <w:p w14:paraId="504E7ECF" w14:textId="77777777" w:rsidR="00C15E0F" w:rsidRPr="003E6986" w:rsidRDefault="00C15E0F" w:rsidP="006D5A70">
            <w:pPr>
              <w:pStyle w:val="TableText0"/>
              <w:spacing w:before="0" w:after="0"/>
              <w:rPr>
                <w:rFonts w:asciiTheme="minorHAnsi" w:hAnsiTheme="minorHAnsi" w:cstheme="minorHAnsi"/>
                <w:sz w:val="20"/>
                <w:lang w:val="es-ES_tradnl"/>
              </w:rPr>
            </w:pPr>
            <w:r w:rsidRPr="003E6986">
              <w:rPr>
                <w:rFonts w:asciiTheme="minorHAnsi" w:hAnsiTheme="minorHAnsi" w:cstheme="minorHAnsi"/>
                <w:sz w:val="20"/>
                <w:lang w:val="es-ES_tradnl"/>
              </w:rPr>
              <w:t>…</w:t>
            </w:r>
          </w:p>
          <w:p w14:paraId="6E63BD3D" w14:textId="77777777" w:rsidR="00C15E0F" w:rsidRPr="003E6986" w:rsidRDefault="00C15E0F" w:rsidP="006D5A70">
            <w:pPr>
              <w:pStyle w:val="Tabletext"/>
              <w:tabs>
                <w:tab w:val="clear" w:pos="284"/>
                <w:tab w:val="left" w:pos="463"/>
              </w:tabs>
              <w:spacing w:before="0" w:after="0"/>
              <w:ind w:left="454"/>
              <w:jc w:val="both"/>
              <w:rPr>
                <w:rFonts w:eastAsia="???"/>
                <w:i/>
                <w:iCs/>
                <w:lang w:val="es-ES_tradnl" w:eastAsia="nl-NL"/>
              </w:rPr>
            </w:pPr>
            <w:r w:rsidRPr="003E6986">
              <w:rPr>
                <w:rFonts w:eastAsia="???"/>
                <w:i/>
                <w:iCs/>
                <w:lang w:val="es-ES_tradnl" w:eastAsia="nl-NL"/>
              </w:rPr>
              <w:t>invita a la Conferencia Mundial de Radiocomunicaciones de 2031</w:t>
            </w:r>
          </w:p>
          <w:p w14:paraId="0A371E7D" w14:textId="2DF3DE56" w:rsidR="00C15E0F" w:rsidRPr="003E6986" w:rsidRDefault="00C15E0F" w:rsidP="006D5A70">
            <w:pPr>
              <w:pStyle w:val="Tabletext"/>
              <w:tabs>
                <w:tab w:val="clear" w:pos="284"/>
                <w:tab w:val="left" w:pos="463"/>
              </w:tabs>
              <w:spacing w:before="0" w:after="0"/>
              <w:jc w:val="both"/>
              <w:rPr>
                <w:rFonts w:asciiTheme="minorHAnsi" w:hAnsiTheme="minorHAnsi" w:cstheme="minorHAnsi"/>
                <w:highlight w:val="yellow"/>
                <w:lang w:val="es-ES_tradnl"/>
              </w:rPr>
            </w:pPr>
            <w:r w:rsidRPr="003E6986">
              <w:rPr>
                <w:rFonts w:asciiTheme="minorHAnsi" w:hAnsiTheme="minorHAnsi" w:cstheme="minorHAnsi"/>
                <w:lang w:val="es-ES_tradnl"/>
              </w:rPr>
              <w:t xml:space="preserve">a estudiar la posibilidad, sobre la base de los resultados de los estudios, de identificar bandas de frecuencias para la componente terrenal de las IMT, habida cuenta de que las bandas </w:t>
            </w:r>
            <w:r w:rsidRPr="003E6986">
              <w:rPr>
                <w:rFonts w:asciiTheme="minorHAnsi" w:hAnsiTheme="minorHAnsi" w:cstheme="minorHAnsi"/>
                <w:iCs/>
                <w:lang w:val="es-ES_tradnl"/>
              </w:rPr>
              <w:t xml:space="preserve">de frecuencias objeto de examen </w:t>
            </w:r>
            <w:r w:rsidRPr="003E6986">
              <w:rPr>
                <w:rFonts w:asciiTheme="minorHAnsi" w:hAnsiTheme="minorHAnsi" w:cstheme="minorHAnsi"/>
                <w:lang w:val="es-ES_tradnl"/>
              </w:rPr>
              <w:t xml:space="preserve">se restringen a todas las bandas </w:t>
            </w:r>
            <w:r w:rsidRPr="003E6986">
              <w:rPr>
                <w:rFonts w:asciiTheme="minorHAnsi" w:hAnsiTheme="minorHAnsi" w:cstheme="minorHAnsi"/>
                <w:iCs/>
                <w:lang w:val="es-ES_tradnl"/>
              </w:rPr>
              <w:t xml:space="preserve">de frecuencias, o a parte de </w:t>
            </w:r>
            <w:proofErr w:type="gramStart"/>
            <w:r w:rsidRPr="003E6986">
              <w:rPr>
                <w:rFonts w:asciiTheme="minorHAnsi" w:hAnsiTheme="minorHAnsi" w:cstheme="minorHAnsi"/>
                <w:iCs/>
                <w:lang w:val="es-ES_tradnl"/>
              </w:rPr>
              <w:t>las mismas</w:t>
            </w:r>
            <w:proofErr w:type="gramEnd"/>
            <w:r w:rsidRPr="003E6986">
              <w:rPr>
                <w:rFonts w:asciiTheme="minorHAnsi" w:hAnsiTheme="minorHAnsi" w:cstheme="minorHAnsi"/>
                <w:iCs/>
                <w:lang w:val="es-ES_tradnl"/>
              </w:rPr>
              <w:t>, que figuran</w:t>
            </w:r>
            <w:r w:rsidRPr="003E6986">
              <w:rPr>
                <w:rFonts w:asciiTheme="minorHAnsi" w:hAnsiTheme="minorHAnsi" w:cstheme="minorHAnsi"/>
                <w:lang w:val="es-ES_tradnl"/>
              </w:rPr>
              <w:t xml:space="preserve"> en el </w:t>
            </w:r>
            <w:r w:rsidRPr="003E6986">
              <w:rPr>
                <w:rFonts w:asciiTheme="minorHAnsi" w:hAnsiTheme="minorHAnsi" w:cstheme="minorHAnsi"/>
                <w:i/>
                <w:iCs/>
                <w:lang w:val="es-ES_tradnl"/>
              </w:rPr>
              <w:t>resuelve invitar al Sector de Radiocomunicaciones de la UIT a finalizar a tiempo para la Conferencia Mundial de Radiocomunicaciones de 2031</w:t>
            </w:r>
            <w:r w:rsidRPr="003E6986">
              <w:rPr>
                <w:rFonts w:asciiTheme="minorHAnsi" w:hAnsiTheme="minorHAnsi" w:cstheme="minorHAnsi"/>
                <w:lang w:val="es-ES_tradnl"/>
              </w:rPr>
              <w:t> 2.</w:t>
            </w:r>
          </w:p>
        </w:tc>
        <w:tc>
          <w:tcPr>
            <w:tcW w:w="1536" w:type="dxa"/>
            <w:tcBorders>
              <w:bottom w:val="single" w:sz="4" w:space="0" w:color="auto"/>
            </w:tcBorders>
          </w:tcPr>
          <w:p w14:paraId="7F995628" w14:textId="77777777" w:rsidR="00C15E0F" w:rsidRPr="003E6986" w:rsidRDefault="00C15E0F" w:rsidP="006D5A70">
            <w:pPr>
              <w:pStyle w:val="TableText0"/>
              <w:spacing w:before="0" w:after="0"/>
              <w:jc w:val="center"/>
              <w:rPr>
                <w:rFonts w:asciiTheme="minorHAnsi" w:hAnsiTheme="minorHAnsi" w:cstheme="minorHAnsi"/>
                <w:b/>
                <w:sz w:val="20"/>
                <w:lang w:val="es-ES_tradnl"/>
              </w:rPr>
            </w:pPr>
            <w:r w:rsidRPr="003E6986">
              <w:rPr>
                <w:rFonts w:asciiTheme="minorHAnsi" w:hAnsiTheme="minorHAnsi" w:cstheme="minorHAnsi"/>
                <w:b/>
                <w:sz w:val="20"/>
                <w:lang w:val="es-ES_tradnl"/>
              </w:rPr>
              <w:t>–</w:t>
            </w:r>
          </w:p>
        </w:tc>
      </w:tr>
    </w:tbl>
    <w:tbl>
      <w:tblPr>
        <w:tblpPr w:leftFromText="180" w:rightFromText="180" w:vertAnchor="text" w:tblpY="1"/>
        <w:tblOverlap w:val="never"/>
        <w:tblW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8222"/>
        <w:gridCol w:w="1564"/>
      </w:tblGrid>
      <w:tr w:rsidR="00B11EE6" w:rsidRPr="008653C7" w14:paraId="42137F71" w14:textId="77777777" w:rsidTr="005F72DB">
        <w:trPr>
          <w:tblHeader/>
        </w:trPr>
        <w:tc>
          <w:tcPr>
            <w:tcW w:w="14464" w:type="dxa"/>
            <w:gridSpan w:val="4"/>
            <w:tcBorders>
              <w:top w:val="nil"/>
              <w:left w:val="nil"/>
              <w:right w:val="nil"/>
            </w:tcBorders>
          </w:tcPr>
          <w:p w14:paraId="6EDD7D0E" w14:textId="77777777" w:rsidR="00B11EE6" w:rsidRPr="003E6986" w:rsidRDefault="00B11EE6" w:rsidP="00B11EE6">
            <w:pPr>
              <w:pStyle w:val="Tablehead"/>
              <w:rPr>
                <w:color w:val="000000" w:themeColor="text1"/>
                <w:sz w:val="22"/>
                <w:lang w:val="es-ES_tradnl"/>
              </w:rPr>
            </w:pPr>
            <w:r w:rsidRPr="003E6986">
              <w:rPr>
                <w:color w:val="000000" w:themeColor="text1"/>
                <w:lang w:val="es-ES_tradnl"/>
              </w:rPr>
              <w:lastRenderedPageBreak/>
              <w:t xml:space="preserve">Atribución de los trabajos preparatorios del UIT-R para la </w:t>
            </w:r>
            <w:proofErr w:type="spellStart"/>
            <w:r w:rsidRPr="003E6986">
              <w:rPr>
                <w:color w:val="000000" w:themeColor="text1"/>
                <w:lang w:val="es-ES_tradnl"/>
              </w:rPr>
              <w:t>CMR</w:t>
            </w:r>
            <w:proofErr w:type="spellEnd"/>
            <w:r w:rsidRPr="003E6986">
              <w:rPr>
                <w:color w:val="000000" w:themeColor="text1"/>
                <w:lang w:val="es-ES_tradnl"/>
              </w:rPr>
              <w:t>-31</w:t>
            </w:r>
          </w:p>
        </w:tc>
      </w:tr>
      <w:tr w:rsidR="00B11EE6" w:rsidRPr="003E6986" w14:paraId="7E90A0A5" w14:textId="77777777" w:rsidTr="005F72DB">
        <w:trPr>
          <w:tblHeader/>
        </w:trPr>
        <w:tc>
          <w:tcPr>
            <w:tcW w:w="3261" w:type="dxa"/>
            <w:vAlign w:val="center"/>
          </w:tcPr>
          <w:p w14:paraId="010CE78C" w14:textId="77777777" w:rsidR="00B11EE6" w:rsidRPr="003E6986" w:rsidRDefault="00B11EE6" w:rsidP="00B11EE6">
            <w:pPr>
              <w:pStyle w:val="Tablehead"/>
              <w:rPr>
                <w:color w:val="000000" w:themeColor="text1"/>
                <w:lang w:val="es-ES_tradnl"/>
              </w:rPr>
            </w:pPr>
            <w:r w:rsidRPr="003E6986">
              <w:rPr>
                <w:color w:val="000000" w:themeColor="text1"/>
                <w:lang w:val="es-ES_tradnl"/>
              </w:rPr>
              <w:t>Tema</w:t>
            </w:r>
          </w:p>
        </w:tc>
        <w:tc>
          <w:tcPr>
            <w:tcW w:w="1417" w:type="dxa"/>
            <w:vAlign w:val="center"/>
          </w:tcPr>
          <w:p w14:paraId="671BA300"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responsable</w:t>
            </w:r>
          </w:p>
        </w:tc>
        <w:tc>
          <w:tcPr>
            <w:tcW w:w="8222" w:type="dxa"/>
            <w:vAlign w:val="center"/>
          </w:tcPr>
          <w:p w14:paraId="2A49193C" w14:textId="77777777" w:rsidR="00B11EE6" w:rsidRPr="003E6986" w:rsidRDefault="00B11EE6" w:rsidP="00B11EE6">
            <w:pPr>
              <w:pStyle w:val="Tablehead"/>
              <w:rPr>
                <w:color w:val="000000" w:themeColor="text1"/>
                <w:lang w:val="es-ES_tradnl"/>
              </w:rPr>
            </w:pPr>
            <w:r w:rsidRPr="003E6986">
              <w:rPr>
                <w:color w:val="000000" w:themeColor="text1"/>
                <w:lang w:val="es-ES_tradnl"/>
              </w:rPr>
              <w:t>Cometido del Grupo</w:t>
            </w:r>
          </w:p>
        </w:tc>
        <w:tc>
          <w:tcPr>
            <w:tcW w:w="1564" w:type="dxa"/>
            <w:vAlign w:val="center"/>
          </w:tcPr>
          <w:p w14:paraId="5159D6C2"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contribuyente</w:t>
            </w:r>
          </w:p>
        </w:tc>
      </w:tr>
    </w:tbl>
    <w:tbl>
      <w:tblPr>
        <w:tblW w:w="14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1358"/>
        <w:gridCol w:w="8290"/>
        <w:gridCol w:w="1536"/>
      </w:tblGrid>
      <w:tr w:rsidR="00C15E0F" w:rsidRPr="008653C7" w14:paraId="71AA6F59" w14:textId="77777777" w:rsidTr="006D5A70">
        <w:tc>
          <w:tcPr>
            <w:tcW w:w="14464" w:type="dxa"/>
            <w:gridSpan w:val="4"/>
          </w:tcPr>
          <w:p w14:paraId="4FEDD252" w14:textId="2AF2FA32" w:rsidR="00C15E0F" w:rsidRPr="003E6986" w:rsidRDefault="00C15E0F" w:rsidP="00FD58BD">
            <w:pPr>
              <w:pStyle w:val="Tabletext"/>
              <w:tabs>
                <w:tab w:val="clear" w:pos="284"/>
                <w:tab w:val="left" w:pos="594"/>
              </w:tabs>
              <w:jc w:val="both"/>
              <w:rPr>
                <w:rFonts w:asciiTheme="minorHAnsi" w:hAnsiTheme="minorHAnsi" w:cstheme="minorHAnsi"/>
                <w:highlight w:val="yellow"/>
                <w:lang w:val="es-ES_tradnl"/>
              </w:rPr>
            </w:pPr>
            <w:r w:rsidRPr="003E6986">
              <w:rPr>
                <w:rFonts w:asciiTheme="minorHAnsi" w:hAnsiTheme="minorHAnsi" w:cstheme="minorHAnsi"/>
                <w:lang w:val="es-ES_tradnl"/>
              </w:rPr>
              <w:t>2.7</w:t>
            </w:r>
            <w:r w:rsidRPr="003E6986">
              <w:rPr>
                <w:rFonts w:asciiTheme="minorHAnsi" w:hAnsiTheme="minorHAnsi" w:cstheme="minorHAnsi"/>
                <w:lang w:val="es-ES_tradnl"/>
              </w:rPr>
              <w:tab/>
              <w:t xml:space="preserve">considerar la </w:t>
            </w:r>
            <w:r w:rsidRPr="003E6986">
              <w:rPr>
                <w:rFonts w:asciiTheme="minorHAnsi" w:hAnsiTheme="minorHAnsi" w:cstheme="minorHAnsi"/>
                <w:szCs w:val="20"/>
                <w:lang w:val="es-ES_tradnl"/>
              </w:rPr>
              <w:t>posibilidad</w:t>
            </w:r>
            <w:r w:rsidRPr="003E6986">
              <w:rPr>
                <w:rFonts w:asciiTheme="minorHAnsi" w:hAnsiTheme="minorHAnsi" w:cstheme="minorHAnsi"/>
                <w:lang w:val="es-ES_tradnl"/>
              </w:rPr>
              <w:t xml:space="preserve"> de mejorar la utilización de la radiocomunicación marítima en ondas métricas, de conformidad con la Resolución </w:t>
            </w:r>
            <w:r w:rsidR="00CC514C">
              <w:rPr>
                <w:rFonts w:asciiTheme="minorHAnsi" w:hAnsiTheme="minorHAnsi" w:cstheme="minorHAnsi"/>
                <w:b/>
                <w:bCs/>
                <w:lang w:val="es-ES_tradnl"/>
              </w:rPr>
              <w:t>363 (Rev.</w:t>
            </w:r>
            <w:r w:rsidRPr="003E6986">
              <w:rPr>
                <w:rFonts w:asciiTheme="minorHAnsi" w:hAnsiTheme="minorHAnsi" w:cstheme="minorHAnsi"/>
                <w:b/>
                <w:bCs/>
                <w:lang w:val="es-ES_tradnl"/>
              </w:rPr>
              <w:t>CMR-23)</w:t>
            </w:r>
            <w:r w:rsidRPr="003E6986">
              <w:rPr>
                <w:rFonts w:asciiTheme="minorHAnsi" w:hAnsiTheme="minorHAnsi" w:cstheme="minorHAnsi"/>
                <w:lang w:val="es-ES_tradnl"/>
              </w:rPr>
              <w:t>;</w:t>
            </w:r>
          </w:p>
        </w:tc>
      </w:tr>
      <w:tr w:rsidR="00C15E0F" w:rsidRPr="003E6986" w14:paraId="50C76DF8" w14:textId="77777777" w:rsidTr="006D5A70">
        <w:tc>
          <w:tcPr>
            <w:tcW w:w="3280" w:type="dxa"/>
          </w:tcPr>
          <w:p w14:paraId="327EA830"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Style w:val="href"/>
                <w:rFonts w:asciiTheme="minorHAnsi" w:hAnsiTheme="minorHAnsi" w:cstheme="minorHAnsi"/>
                <w:b/>
                <w:bCs/>
                <w:sz w:val="20"/>
                <w:lang w:val="es-ES_tradnl"/>
              </w:rPr>
              <w:t>363</w:t>
            </w:r>
            <w:r w:rsidRPr="003E6986">
              <w:rPr>
                <w:rFonts w:asciiTheme="minorHAnsi" w:hAnsiTheme="minorHAnsi" w:cstheme="minorHAnsi"/>
                <w:b/>
                <w:bCs/>
                <w:sz w:val="20"/>
                <w:lang w:val="es-ES_tradnl"/>
              </w:rPr>
              <w:t xml:space="preserve"> (</w:t>
            </w:r>
            <w:proofErr w:type="spellStart"/>
            <w:r w:rsidRPr="003E6986">
              <w:rPr>
                <w:rFonts w:asciiTheme="minorHAnsi" w:hAnsiTheme="minorHAnsi" w:cstheme="minorHAnsi"/>
                <w:b/>
                <w:bCs/>
                <w:sz w:val="20"/>
                <w:lang w:val="es-ES_tradnl"/>
              </w:rPr>
              <w:t>Rev.CMR</w:t>
            </w:r>
            <w:proofErr w:type="spellEnd"/>
            <w:r w:rsidRPr="003E6986">
              <w:rPr>
                <w:rFonts w:asciiTheme="minorHAnsi" w:hAnsiTheme="minorHAnsi" w:cstheme="minorHAnsi"/>
                <w:b/>
                <w:bCs/>
                <w:sz w:val="20"/>
                <w:lang w:val="es-ES_tradnl"/>
              </w:rPr>
              <w:t>-23)</w:t>
            </w:r>
          </w:p>
          <w:p w14:paraId="400700D8"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eastAsiaTheme="minorEastAsia" w:hAnsiTheme="minorHAnsi" w:cstheme="minorHAnsi"/>
                <w:sz w:val="20"/>
                <w:lang w:val="es-ES_tradnl"/>
              </w:rPr>
              <w:t xml:space="preserve">Mejora de la utilización de la banda de ondas métricas </w:t>
            </w:r>
            <w:r w:rsidRPr="003E6986">
              <w:rPr>
                <w:rFonts w:asciiTheme="minorHAnsi" w:eastAsiaTheme="minorEastAsia" w:hAnsiTheme="minorHAnsi" w:cstheme="minorHAnsi"/>
                <w:sz w:val="20"/>
                <w:lang w:val="es-ES_tradnl"/>
              </w:rPr>
              <w:br/>
              <w:t>por el servicio móvil marítimo</w:t>
            </w:r>
          </w:p>
        </w:tc>
        <w:tc>
          <w:tcPr>
            <w:tcW w:w="1358" w:type="dxa"/>
          </w:tcPr>
          <w:p w14:paraId="67B83C47" w14:textId="77777777" w:rsidR="00C15E0F" w:rsidRPr="003E6986" w:rsidRDefault="00C15E0F" w:rsidP="00B01B9C">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5B</w:t>
            </w:r>
          </w:p>
        </w:tc>
        <w:tc>
          <w:tcPr>
            <w:tcW w:w="8290" w:type="dxa"/>
          </w:tcPr>
          <w:p w14:paraId="21ED5985"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2031</w:t>
            </w:r>
          </w:p>
          <w:p w14:paraId="2990021C" w14:textId="77777777" w:rsidR="00C15E0F" w:rsidRPr="003E6986" w:rsidRDefault="00C15E0F" w:rsidP="00FD58BD">
            <w:pPr>
              <w:pStyle w:val="Tabletext"/>
              <w:tabs>
                <w:tab w:val="clear" w:pos="284"/>
                <w:tab w:val="left" w:pos="463"/>
              </w:tabs>
              <w:jc w:val="both"/>
              <w:rPr>
                <w:rFonts w:asciiTheme="minorHAnsi" w:eastAsia="MS Mincho" w:hAnsiTheme="minorHAnsi" w:cstheme="minorHAnsi"/>
                <w:lang w:val="es-ES_tradnl"/>
              </w:rPr>
            </w:pPr>
            <w:r w:rsidRPr="003E6986">
              <w:rPr>
                <w:rFonts w:asciiTheme="minorHAnsi" w:hAnsiTheme="minorHAnsi" w:cstheme="minorHAnsi"/>
                <w:lang w:val="es-ES_tradnl"/>
              </w:rPr>
              <w:t>1</w:t>
            </w:r>
            <w:r w:rsidRPr="003E6986">
              <w:rPr>
                <w:rFonts w:asciiTheme="minorHAnsi" w:hAnsiTheme="minorHAnsi" w:cstheme="minorHAnsi"/>
                <w:lang w:val="es-ES_tradnl"/>
              </w:rPr>
              <w:tab/>
              <w:t xml:space="preserve">estudios de compartición y compatibilidad con los servicios existentes que tienen atribuciones a título primario en la misma banda de frecuencias y en bandas adyacentes, y estudios sobre las necesidades de espectro, disposiciones transitorias y posibles modificaciones respecto de la banda de ondas métricas del servicio móvil marítimo, para propiciar la introducción de tecnologías digitales de voz y datos en el SMM, teniendo en cuenta los </w:t>
            </w:r>
            <w:r w:rsidRPr="003E6986">
              <w:rPr>
                <w:rFonts w:asciiTheme="minorHAnsi" w:hAnsiTheme="minorHAnsi" w:cstheme="minorHAnsi"/>
                <w:i/>
                <w:iCs/>
                <w:lang w:val="es-ES_tradnl"/>
              </w:rPr>
              <w:t>reconociendo</w:t>
            </w:r>
            <w:r w:rsidRPr="003E6986">
              <w:rPr>
                <w:rFonts w:asciiTheme="minorHAnsi" w:hAnsiTheme="minorHAnsi" w:cstheme="minorHAnsi"/>
                <w:lang w:val="es-ES_tradnl"/>
              </w:rPr>
              <w:t xml:space="preserve"> </w:t>
            </w:r>
            <w:r w:rsidRPr="003E6986">
              <w:rPr>
                <w:rFonts w:asciiTheme="minorHAnsi" w:hAnsiTheme="minorHAnsi" w:cstheme="minorHAnsi"/>
                <w:i/>
                <w:iCs/>
                <w:lang w:val="es-ES_tradnl"/>
              </w:rPr>
              <w:t>b)</w:t>
            </w:r>
            <w:r w:rsidRPr="003E6986">
              <w:rPr>
                <w:rFonts w:asciiTheme="minorHAnsi" w:hAnsiTheme="minorHAnsi" w:cstheme="minorHAnsi"/>
                <w:lang w:val="es-ES_tradnl"/>
              </w:rPr>
              <w:t xml:space="preserve"> y </w:t>
            </w:r>
            <w:r w:rsidRPr="003E6986">
              <w:rPr>
                <w:rFonts w:asciiTheme="minorHAnsi" w:hAnsiTheme="minorHAnsi" w:cstheme="minorHAnsi"/>
                <w:i/>
                <w:iCs/>
                <w:lang w:val="es-ES_tradnl"/>
              </w:rPr>
              <w:t>c)</w:t>
            </w:r>
            <w:r w:rsidRPr="003E6986">
              <w:rPr>
                <w:rFonts w:asciiTheme="minorHAnsi" w:eastAsia="MS Mincho" w:hAnsiTheme="minorHAnsi" w:cstheme="minorHAnsi"/>
                <w:lang w:val="es-ES_tradnl"/>
              </w:rPr>
              <w:t>;</w:t>
            </w:r>
          </w:p>
          <w:p w14:paraId="14ADA7E5" w14:textId="77777777" w:rsidR="00C15E0F" w:rsidRPr="003E6986" w:rsidRDefault="00C15E0F" w:rsidP="00FD58BD">
            <w:pPr>
              <w:pStyle w:val="Tabletext"/>
              <w:tabs>
                <w:tab w:val="clear" w:pos="284"/>
                <w:tab w:val="left" w:pos="463"/>
              </w:tabs>
              <w:jc w:val="both"/>
              <w:rPr>
                <w:rFonts w:asciiTheme="minorHAnsi" w:eastAsia="MS Mincho" w:hAnsiTheme="minorHAnsi" w:cstheme="minorHAnsi"/>
                <w:highlight w:val="yellow"/>
                <w:lang w:val="es-ES_tradnl"/>
              </w:rPr>
            </w:pPr>
            <w:r w:rsidRPr="003E6986">
              <w:rPr>
                <w:rFonts w:asciiTheme="minorHAnsi" w:eastAsia="MS Mincho" w:hAnsiTheme="minorHAnsi" w:cstheme="minorHAnsi"/>
                <w:lang w:val="es-ES_tradnl"/>
              </w:rPr>
              <w:t>2</w:t>
            </w:r>
            <w:r w:rsidRPr="003E6986">
              <w:rPr>
                <w:rFonts w:asciiTheme="minorHAnsi" w:eastAsia="MS Mincho" w:hAnsiTheme="minorHAnsi" w:cstheme="minorHAnsi"/>
                <w:lang w:val="es-ES_tradnl"/>
              </w:rPr>
              <w:tab/>
            </w:r>
            <w:r w:rsidRPr="003E6986">
              <w:rPr>
                <w:rFonts w:asciiTheme="minorHAnsi" w:hAnsiTheme="minorHAnsi" w:cstheme="minorHAnsi"/>
                <w:lang w:val="es-ES_tradnl"/>
              </w:rPr>
              <w:t>estudios</w:t>
            </w:r>
            <w:r w:rsidRPr="003E6986">
              <w:rPr>
                <w:rFonts w:asciiTheme="minorHAnsi" w:eastAsia="MS Mincho" w:hAnsiTheme="minorHAnsi" w:cstheme="minorHAnsi"/>
                <w:lang w:val="es-ES_tradnl"/>
              </w:rPr>
              <w:t xml:space="preserve"> de compatibilidad, limitados a las frecuencias identificadas en el Apéndice </w:t>
            </w:r>
            <w:r w:rsidRPr="003E6986">
              <w:rPr>
                <w:rFonts w:asciiTheme="minorHAnsi" w:eastAsia="MS Mincho" w:hAnsiTheme="minorHAnsi" w:cstheme="minorHAnsi"/>
                <w:b/>
                <w:bCs/>
                <w:lang w:val="es-ES_tradnl"/>
              </w:rPr>
              <w:t>18</w:t>
            </w:r>
            <w:r w:rsidRPr="003E6986">
              <w:rPr>
                <w:rFonts w:asciiTheme="minorHAnsi" w:eastAsia="MS Mincho" w:hAnsiTheme="minorHAnsi" w:cstheme="minorHAnsi"/>
                <w:lang w:val="es-ES_tradnl"/>
              </w:rPr>
              <w:t xml:space="preserve"> para el VDES, para una nueva atribución al servicio de radionavegación marítima en el marco del Artículo </w:t>
            </w:r>
            <w:r w:rsidRPr="003E6986">
              <w:rPr>
                <w:rFonts w:asciiTheme="minorHAnsi" w:eastAsia="MS Mincho" w:hAnsiTheme="minorHAnsi" w:cstheme="minorHAnsi"/>
                <w:b/>
                <w:bCs/>
                <w:lang w:val="es-ES_tradnl"/>
              </w:rPr>
              <w:t>5</w:t>
            </w:r>
            <w:r w:rsidRPr="003E6986">
              <w:rPr>
                <w:rFonts w:asciiTheme="minorHAnsi" w:eastAsia="MS Mincho" w:hAnsiTheme="minorHAnsi" w:cstheme="minorHAnsi"/>
                <w:lang w:val="es-ES_tradnl"/>
              </w:rPr>
              <w:t xml:space="preserve"> y dentro del SMM existente para implementar el Modo R,</w:t>
            </w:r>
          </w:p>
          <w:p w14:paraId="650EA6C0" w14:textId="77777777" w:rsidR="00C15E0F" w:rsidRPr="003E6986" w:rsidRDefault="00C15E0F" w:rsidP="00C15E0F">
            <w:pPr>
              <w:pStyle w:val="TableText0"/>
              <w:rPr>
                <w:rFonts w:asciiTheme="minorHAnsi" w:eastAsia="MS Mincho" w:hAnsiTheme="minorHAnsi" w:cstheme="minorHAnsi"/>
                <w:sz w:val="20"/>
                <w:lang w:val="es-ES_tradnl"/>
              </w:rPr>
            </w:pPr>
            <w:r w:rsidRPr="003E6986">
              <w:rPr>
                <w:rFonts w:asciiTheme="minorHAnsi" w:eastAsia="MS Mincho" w:hAnsiTheme="minorHAnsi" w:cstheme="minorHAnsi"/>
                <w:sz w:val="20"/>
                <w:lang w:val="es-ES_tradnl"/>
              </w:rPr>
              <w:t>…</w:t>
            </w:r>
          </w:p>
          <w:p w14:paraId="7E1FF42E"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2031</w:t>
            </w:r>
          </w:p>
          <w:p w14:paraId="2AE78026" w14:textId="77777777" w:rsidR="00C15E0F" w:rsidRPr="003E6986" w:rsidRDefault="00C15E0F" w:rsidP="00FD58BD">
            <w:pPr>
              <w:pStyle w:val="Tabletext"/>
              <w:tabs>
                <w:tab w:val="clear" w:pos="284"/>
                <w:tab w:val="left" w:pos="463"/>
              </w:tabs>
              <w:jc w:val="both"/>
              <w:rPr>
                <w:rFonts w:asciiTheme="minorHAnsi" w:eastAsia="MS Mincho" w:hAnsiTheme="minorHAnsi" w:cstheme="minorHAnsi"/>
                <w:lang w:val="es-ES_tradnl"/>
              </w:rPr>
            </w:pPr>
            <w:r w:rsidRPr="003E6986">
              <w:rPr>
                <w:rFonts w:asciiTheme="minorHAnsi" w:eastAsia="MS Mincho" w:hAnsiTheme="minorHAnsi" w:cstheme="minorHAnsi"/>
                <w:lang w:val="es-ES_tradnl"/>
              </w:rPr>
              <w:t>1</w:t>
            </w:r>
            <w:r w:rsidRPr="003E6986">
              <w:rPr>
                <w:rFonts w:asciiTheme="minorHAnsi" w:eastAsia="MS Mincho" w:hAnsiTheme="minorHAnsi" w:cstheme="minorHAnsi"/>
                <w:lang w:val="es-ES_tradnl"/>
              </w:rPr>
              <w:tab/>
              <w:t xml:space="preserve">a </w:t>
            </w:r>
            <w:r w:rsidRPr="003E6986">
              <w:rPr>
                <w:rFonts w:asciiTheme="minorHAnsi" w:hAnsiTheme="minorHAnsi" w:cstheme="minorHAnsi"/>
                <w:lang w:val="es-ES_tradnl"/>
              </w:rPr>
              <w:t>considerar</w:t>
            </w:r>
            <w:r w:rsidRPr="003E6986">
              <w:rPr>
                <w:rFonts w:asciiTheme="minorHAnsi" w:eastAsia="MS Mincho" w:hAnsiTheme="minorHAnsi" w:cstheme="minorHAnsi"/>
                <w:lang w:val="es-ES_tradnl"/>
              </w:rPr>
              <w:t>, sobre la base de los resultados de los estudios y en el marco del Reglamento de Radiocomunicaciones,</w:t>
            </w:r>
            <w:r w:rsidRPr="003E6986">
              <w:rPr>
                <w:rFonts w:asciiTheme="minorHAnsi" w:eastAsia="MS Mincho" w:hAnsiTheme="minorHAnsi" w:cstheme="minorHAnsi"/>
                <w:b/>
                <w:lang w:val="es-ES_tradnl"/>
              </w:rPr>
              <w:t xml:space="preserve"> </w:t>
            </w:r>
            <w:r w:rsidRPr="003E6986">
              <w:rPr>
                <w:rFonts w:asciiTheme="minorHAnsi" w:eastAsia="MS Mincho" w:hAnsiTheme="minorHAnsi" w:cstheme="minorHAnsi"/>
                <w:lang w:val="es-ES_tradnl"/>
              </w:rPr>
              <w:t>la posibilidad de introducir</w:t>
            </w:r>
            <w:r w:rsidRPr="003E6986">
              <w:rPr>
                <w:rFonts w:asciiTheme="minorHAnsi" w:eastAsia="MS Mincho" w:hAnsiTheme="minorHAnsi" w:cstheme="minorHAnsi"/>
                <w:bCs/>
                <w:lang w:val="es-ES_tradnl"/>
              </w:rPr>
              <w:t xml:space="preserve"> cambios reglamentarios,</w:t>
            </w:r>
            <w:r w:rsidRPr="003E6986">
              <w:rPr>
                <w:rFonts w:asciiTheme="minorHAnsi" w:eastAsia="MS Mincho" w:hAnsiTheme="minorHAnsi" w:cstheme="minorHAnsi"/>
                <w:lang w:val="es-ES_tradnl"/>
              </w:rPr>
              <w:t xml:space="preserve"> salvo</w:t>
            </w:r>
            <w:r w:rsidRPr="003E6986">
              <w:rPr>
                <w:rFonts w:asciiTheme="minorHAnsi" w:eastAsia="MS Mincho" w:hAnsiTheme="minorHAnsi" w:cstheme="minorHAnsi"/>
                <w:iCs/>
                <w:lang w:val="es-ES_tradnl"/>
              </w:rPr>
              <w:t xml:space="preserve"> </w:t>
            </w:r>
            <w:r w:rsidRPr="003E6986">
              <w:rPr>
                <w:rFonts w:asciiTheme="minorHAnsi" w:eastAsia="MS Mincho" w:hAnsiTheme="minorHAnsi" w:cstheme="minorHAnsi"/>
                <w:iCs/>
                <w:lang w:val="es-ES_tradnl" w:eastAsia="nl-NL"/>
              </w:rPr>
              <w:t xml:space="preserve">nuevas atribuciones en el Artículo </w:t>
            </w:r>
            <w:r w:rsidRPr="003E6986">
              <w:rPr>
                <w:rFonts w:asciiTheme="minorHAnsi" w:eastAsia="MS Mincho" w:hAnsiTheme="minorHAnsi" w:cstheme="minorHAnsi"/>
                <w:b/>
                <w:bCs/>
                <w:iCs/>
                <w:lang w:val="es-ES_tradnl" w:eastAsia="nl-NL"/>
              </w:rPr>
              <w:t>5</w:t>
            </w:r>
            <w:r w:rsidRPr="003E6986">
              <w:rPr>
                <w:rFonts w:asciiTheme="minorHAnsi" w:eastAsia="MS Mincho" w:hAnsiTheme="minorHAnsi" w:cstheme="minorHAnsi"/>
                <w:i/>
                <w:lang w:val="es-ES_tradnl" w:eastAsia="nl-NL"/>
              </w:rPr>
              <w:t xml:space="preserve">, </w:t>
            </w:r>
            <w:r w:rsidRPr="003E6986">
              <w:rPr>
                <w:rFonts w:asciiTheme="minorHAnsi" w:eastAsia="MS Mincho" w:hAnsiTheme="minorHAnsi" w:cstheme="minorHAnsi"/>
                <w:lang w:val="es-ES_tradnl"/>
              </w:rPr>
              <w:t>a fin de propiciar la introducción de tecnologías digitales de voz y datos en el SMM en la banda del servicio móvil marítimo en ondas métricas;</w:t>
            </w:r>
          </w:p>
          <w:p w14:paraId="0E2BF9F7" w14:textId="77777777" w:rsidR="00C15E0F" w:rsidRPr="003E6986" w:rsidRDefault="00C15E0F" w:rsidP="00FD58BD">
            <w:pPr>
              <w:pStyle w:val="Tabletext"/>
              <w:tabs>
                <w:tab w:val="clear" w:pos="284"/>
                <w:tab w:val="left" w:pos="463"/>
              </w:tabs>
              <w:jc w:val="both"/>
              <w:rPr>
                <w:rFonts w:asciiTheme="minorHAnsi" w:eastAsia="MS Mincho" w:hAnsiTheme="minorHAnsi" w:cstheme="minorHAnsi"/>
                <w:lang w:val="es-ES_tradnl"/>
              </w:rPr>
            </w:pPr>
            <w:r w:rsidRPr="003E6986">
              <w:rPr>
                <w:rFonts w:asciiTheme="minorHAnsi" w:eastAsia="MS Mincho" w:hAnsiTheme="minorHAnsi" w:cstheme="minorHAnsi"/>
                <w:lang w:val="es-ES_tradnl"/>
              </w:rPr>
              <w:t>2</w:t>
            </w:r>
            <w:r w:rsidRPr="003E6986">
              <w:rPr>
                <w:rFonts w:asciiTheme="minorHAnsi" w:eastAsia="MS Mincho" w:hAnsiTheme="minorHAnsi" w:cstheme="minorHAnsi"/>
                <w:lang w:val="es-ES_tradnl"/>
              </w:rPr>
              <w:tab/>
              <w:t xml:space="preserve">a </w:t>
            </w:r>
            <w:r w:rsidRPr="003E6986">
              <w:rPr>
                <w:rFonts w:asciiTheme="minorHAnsi" w:hAnsiTheme="minorHAnsi" w:cstheme="minorHAnsi"/>
                <w:lang w:val="es-ES_tradnl"/>
              </w:rPr>
              <w:t>considerar</w:t>
            </w:r>
            <w:r w:rsidRPr="003E6986">
              <w:rPr>
                <w:rFonts w:asciiTheme="minorHAnsi" w:eastAsia="MS Mincho" w:hAnsiTheme="minorHAnsi" w:cstheme="minorHAnsi"/>
                <w:lang w:val="es-ES_tradnl"/>
              </w:rPr>
              <w:t xml:space="preserve">, sobre la base de los resultados de los estudios, la posibilidad de revisar el Reglamento de Radiocomunicaciones, incluso estableciendo nuevas atribuciones en el Artículo </w:t>
            </w:r>
            <w:r w:rsidRPr="003E6986">
              <w:rPr>
                <w:rFonts w:asciiTheme="minorHAnsi" w:eastAsia="MS Mincho" w:hAnsiTheme="minorHAnsi" w:cstheme="minorHAnsi"/>
                <w:b/>
                <w:bCs/>
                <w:lang w:val="es-ES_tradnl"/>
              </w:rPr>
              <w:t>5</w:t>
            </w:r>
            <w:r w:rsidRPr="003E6986">
              <w:rPr>
                <w:rFonts w:asciiTheme="minorHAnsi" w:eastAsia="MS Mincho" w:hAnsiTheme="minorHAnsi" w:cstheme="minorHAnsi"/>
                <w:lang w:val="es-ES_tradnl"/>
              </w:rPr>
              <w:t xml:space="preserve">, sólo en relación con las frecuencias identificadas en el Apéndice </w:t>
            </w:r>
            <w:r w:rsidRPr="003E6986">
              <w:rPr>
                <w:rFonts w:asciiTheme="minorHAnsi" w:eastAsia="MS Mincho" w:hAnsiTheme="minorHAnsi" w:cstheme="minorHAnsi"/>
                <w:b/>
                <w:bCs/>
                <w:lang w:val="es-ES_tradnl"/>
              </w:rPr>
              <w:t>18</w:t>
            </w:r>
            <w:r w:rsidRPr="003E6986">
              <w:rPr>
                <w:rFonts w:asciiTheme="minorHAnsi" w:eastAsia="MS Mincho" w:hAnsiTheme="minorHAnsi" w:cstheme="minorHAnsi"/>
                <w:lang w:val="es-ES_tradnl"/>
              </w:rPr>
              <w:t xml:space="preserve"> para el VDES para implementar el Modo R como nuevo servicio de radionavegación marítima,</w:t>
            </w:r>
          </w:p>
          <w:p w14:paraId="48212922" w14:textId="77777777" w:rsidR="00C15E0F" w:rsidRPr="003E6986" w:rsidRDefault="00C15E0F" w:rsidP="00C15E0F">
            <w:pPr>
              <w:pStyle w:val="TableText0"/>
              <w:rPr>
                <w:rFonts w:asciiTheme="minorHAnsi" w:eastAsia="MS Mincho" w:hAnsiTheme="minorHAnsi" w:cstheme="minorHAnsi"/>
                <w:sz w:val="20"/>
                <w:highlight w:val="cyan"/>
                <w:lang w:val="es-ES_tradnl" w:eastAsia="nl-NL"/>
              </w:rPr>
            </w:pPr>
            <w:r w:rsidRPr="003E6986">
              <w:rPr>
                <w:rFonts w:asciiTheme="minorHAnsi" w:eastAsia="MS Mincho" w:hAnsiTheme="minorHAnsi" w:cstheme="minorHAnsi"/>
                <w:sz w:val="20"/>
                <w:lang w:val="es-ES_tradnl"/>
              </w:rPr>
              <w:t>…</w:t>
            </w:r>
          </w:p>
        </w:tc>
        <w:tc>
          <w:tcPr>
            <w:tcW w:w="1536" w:type="dxa"/>
          </w:tcPr>
          <w:p w14:paraId="3B33E43B" w14:textId="77777777" w:rsidR="00C15E0F" w:rsidRPr="003E6986" w:rsidRDefault="00C15E0F" w:rsidP="00B01B9C">
            <w:pPr>
              <w:pStyle w:val="TableText0"/>
              <w:jc w:val="center"/>
              <w:rPr>
                <w:rFonts w:asciiTheme="minorHAnsi" w:hAnsiTheme="minorHAnsi" w:cstheme="minorHAnsi"/>
                <w:b/>
                <w:bCs/>
                <w:sz w:val="20"/>
                <w:lang w:val="es-ES_tradnl"/>
              </w:rPr>
            </w:pPr>
            <w:r w:rsidRPr="003E6986">
              <w:rPr>
                <w:rFonts w:asciiTheme="minorHAnsi" w:hAnsiTheme="minorHAnsi" w:cstheme="minorHAnsi"/>
                <w:b/>
                <w:sz w:val="20"/>
                <w:lang w:val="es-ES_tradnl"/>
              </w:rPr>
              <w:t>–</w:t>
            </w:r>
          </w:p>
        </w:tc>
      </w:tr>
    </w:tbl>
    <w:p w14:paraId="54F1951F" w14:textId="77777777" w:rsidR="00B11EE6" w:rsidRDefault="00B11EE6">
      <w:r>
        <w:br w:type="page"/>
      </w:r>
    </w:p>
    <w:tbl>
      <w:tblPr>
        <w:tblpPr w:leftFromText="180" w:rightFromText="180" w:vertAnchor="text" w:tblpY="1"/>
        <w:tblOverlap w:val="never"/>
        <w:tblW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8222"/>
        <w:gridCol w:w="1564"/>
      </w:tblGrid>
      <w:tr w:rsidR="00B11EE6" w:rsidRPr="008653C7" w14:paraId="0017C1D6" w14:textId="77777777" w:rsidTr="005F72DB">
        <w:trPr>
          <w:tblHeader/>
        </w:trPr>
        <w:tc>
          <w:tcPr>
            <w:tcW w:w="14464" w:type="dxa"/>
            <w:gridSpan w:val="4"/>
            <w:tcBorders>
              <w:top w:val="nil"/>
              <w:left w:val="nil"/>
              <w:right w:val="nil"/>
            </w:tcBorders>
          </w:tcPr>
          <w:p w14:paraId="6BC85953" w14:textId="77777777" w:rsidR="00B11EE6" w:rsidRPr="003E6986" w:rsidRDefault="00B11EE6" w:rsidP="00B11EE6">
            <w:pPr>
              <w:pStyle w:val="Tablehead"/>
              <w:rPr>
                <w:color w:val="000000" w:themeColor="text1"/>
                <w:sz w:val="22"/>
                <w:lang w:val="es-ES_tradnl"/>
              </w:rPr>
            </w:pPr>
            <w:r w:rsidRPr="003E6986">
              <w:rPr>
                <w:color w:val="000000" w:themeColor="text1"/>
                <w:lang w:val="es-ES_tradnl"/>
              </w:rPr>
              <w:lastRenderedPageBreak/>
              <w:t xml:space="preserve">Atribución de los trabajos preparatorios del UIT-R para la </w:t>
            </w:r>
            <w:proofErr w:type="spellStart"/>
            <w:r w:rsidRPr="003E6986">
              <w:rPr>
                <w:color w:val="000000" w:themeColor="text1"/>
                <w:lang w:val="es-ES_tradnl"/>
              </w:rPr>
              <w:t>CMR</w:t>
            </w:r>
            <w:proofErr w:type="spellEnd"/>
            <w:r w:rsidRPr="003E6986">
              <w:rPr>
                <w:color w:val="000000" w:themeColor="text1"/>
                <w:lang w:val="es-ES_tradnl"/>
              </w:rPr>
              <w:t>-31</w:t>
            </w:r>
          </w:p>
        </w:tc>
      </w:tr>
      <w:tr w:rsidR="00B11EE6" w:rsidRPr="003E6986" w14:paraId="426F7DC0" w14:textId="77777777" w:rsidTr="005F72DB">
        <w:trPr>
          <w:tblHeader/>
        </w:trPr>
        <w:tc>
          <w:tcPr>
            <w:tcW w:w="3261" w:type="dxa"/>
            <w:vAlign w:val="center"/>
          </w:tcPr>
          <w:p w14:paraId="2A73EBCF" w14:textId="77777777" w:rsidR="00B11EE6" w:rsidRPr="003E6986" w:rsidRDefault="00B11EE6" w:rsidP="00B11EE6">
            <w:pPr>
              <w:pStyle w:val="Tablehead"/>
              <w:rPr>
                <w:color w:val="000000" w:themeColor="text1"/>
                <w:lang w:val="es-ES_tradnl"/>
              </w:rPr>
            </w:pPr>
            <w:r w:rsidRPr="003E6986">
              <w:rPr>
                <w:color w:val="000000" w:themeColor="text1"/>
                <w:lang w:val="es-ES_tradnl"/>
              </w:rPr>
              <w:t>Tema</w:t>
            </w:r>
          </w:p>
        </w:tc>
        <w:tc>
          <w:tcPr>
            <w:tcW w:w="1417" w:type="dxa"/>
            <w:vAlign w:val="center"/>
          </w:tcPr>
          <w:p w14:paraId="3C2A3F77"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responsable</w:t>
            </w:r>
          </w:p>
        </w:tc>
        <w:tc>
          <w:tcPr>
            <w:tcW w:w="8222" w:type="dxa"/>
            <w:vAlign w:val="center"/>
          </w:tcPr>
          <w:p w14:paraId="3BD1827C" w14:textId="77777777" w:rsidR="00B11EE6" w:rsidRPr="003E6986" w:rsidRDefault="00B11EE6" w:rsidP="00B11EE6">
            <w:pPr>
              <w:pStyle w:val="Tablehead"/>
              <w:rPr>
                <w:color w:val="000000" w:themeColor="text1"/>
                <w:lang w:val="es-ES_tradnl"/>
              </w:rPr>
            </w:pPr>
            <w:r w:rsidRPr="003E6986">
              <w:rPr>
                <w:color w:val="000000" w:themeColor="text1"/>
                <w:lang w:val="es-ES_tradnl"/>
              </w:rPr>
              <w:t>Cometido del Grupo</w:t>
            </w:r>
          </w:p>
        </w:tc>
        <w:tc>
          <w:tcPr>
            <w:tcW w:w="1564" w:type="dxa"/>
            <w:vAlign w:val="center"/>
          </w:tcPr>
          <w:p w14:paraId="6F87A91C"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contribuyente</w:t>
            </w:r>
          </w:p>
        </w:tc>
      </w:tr>
    </w:tbl>
    <w:tbl>
      <w:tblPr>
        <w:tblW w:w="14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1358"/>
        <w:gridCol w:w="8290"/>
        <w:gridCol w:w="1536"/>
      </w:tblGrid>
      <w:tr w:rsidR="00C15E0F" w:rsidRPr="008653C7" w14:paraId="65903AD6" w14:textId="77777777" w:rsidTr="006D5A70">
        <w:tc>
          <w:tcPr>
            <w:tcW w:w="14464" w:type="dxa"/>
            <w:gridSpan w:val="4"/>
          </w:tcPr>
          <w:p w14:paraId="0DD2A853" w14:textId="7038FA92" w:rsidR="00C15E0F" w:rsidRPr="003E6986" w:rsidRDefault="00C15E0F" w:rsidP="00FD58BD">
            <w:pPr>
              <w:pStyle w:val="Tabletext"/>
              <w:tabs>
                <w:tab w:val="clear" w:pos="284"/>
                <w:tab w:val="left" w:pos="594"/>
              </w:tabs>
              <w:jc w:val="both"/>
              <w:rPr>
                <w:rFonts w:asciiTheme="minorHAnsi" w:hAnsiTheme="minorHAnsi" w:cstheme="minorHAnsi"/>
                <w:lang w:val="es-ES_tradnl"/>
              </w:rPr>
            </w:pPr>
            <w:r w:rsidRPr="003E6986">
              <w:rPr>
                <w:rFonts w:asciiTheme="minorHAnsi" w:hAnsiTheme="minorHAnsi" w:cstheme="minorHAnsi"/>
                <w:lang w:val="es-ES_tradnl"/>
              </w:rPr>
              <w:t>2.8</w:t>
            </w:r>
            <w:r w:rsidRPr="003E6986">
              <w:rPr>
                <w:rFonts w:asciiTheme="minorHAnsi" w:hAnsiTheme="minorHAnsi" w:cstheme="minorHAnsi"/>
                <w:lang w:val="es-ES_tradnl" w:eastAsia="ko-KR"/>
              </w:rPr>
              <w:tab/>
            </w:r>
            <w:r w:rsidRPr="003E6986">
              <w:rPr>
                <w:rFonts w:asciiTheme="minorHAnsi" w:hAnsiTheme="minorHAnsi" w:cstheme="minorHAnsi"/>
                <w:lang w:val="es-ES_tradnl"/>
              </w:rPr>
              <w:t xml:space="preserve">considerar la </w:t>
            </w:r>
            <w:r w:rsidRPr="003E6986">
              <w:rPr>
                <w:rFonts w:asciiTheme="minorHAnsi" w:hAnsiTheme="minorHAnsi" w:cstheme="minorHAnsi"/>
                <w:szCs w:val="20"/>
                <w:lang w:val="es-ES_tradnl"/>
              </w:rPr>
              <w:t>posibilidad</w:t>
            </w:r>
            <w:r w:rsidRPr="003E6986">
              <w:rPr>
                <w:rFonts w:asciiTheme="minorHAnsi" w:hAnsiTheme="minorHAnsi" w:cstheme="minorHAnsi"/>
                <w:lang w:val="es-ES_tradnl"/>
              </w:rPr>
              <w:t xml:space="preserve"> de mejorar la utilización y la disposición de canales de las radiocomunicaciones marítimas en las bandas de ondas hectométricas y </w:t>
            </w:r>
            <w:proofErr w:type="spellStart"/>
            <w:r w:rsidRPr="003E6986">
              <w:rPr>
                <w:rFonts w:asciiTheme="minorHAnsi" w:hAnsiTheme="minorHAnsi" w:cstheme="minorHAnsi"/>
                <w:lang w:val="es-ES_tradnl"/>
              </w:rPr>
              <w:t>decamétricas</w:t>
            </w:r>
            <w:proofErr w:type="spellEnd"/>
            <w:r w:rsidRPr="003E6986">
              <w:rPr>
                <w:rFonts w:asciiTheme="minorHAnsi" w:hAnsiTheme="minorHAnsi" w:cstheme="minorHAnsi"/>
                <w:lang w:val="es-ES_tradnl"/>
              </w:rPr>
              <w:t>, incluida la posible revisión del Artículo </w:t>
            </w:r>
            <w:r w:rsidRPr="003E6986">
              <w:rPr>
                <w:rFonts w:asciiTheme="minorHAnsi" w:hAnsiTheme="minorHAnsi" w:cstheme="minorHAnsi"/>
                <w:b/>
                <w:bCs/>
                <w:lang w:val="es-ES_tradnl"/>
              </w:rPr>
              <w:t>52</w:t>
            </w:r>
            <w:r w:rsidRPr="003E6986">
              <w:rPr>
                <w:rFonts w:asciiTheme="minorHAnsi" w:hAnsiTheme="minorHAnsi" w:cstheme="minorHAnsi"/>
                <w:lang w:val="es-ES_tradnl"/>
              </w:rPr>
              <w:t xml:space="preserve"> y del Apéndice </w:t>
            </w:r>
            <w:r w:rsidRPr="003E6986">
              <w:rPr>
                <w:rFonts w:asciiTheme="minorHAnsi" w:hAnsiTheme="minorHAnsi" w:cstheme="minorHAnsi"/>
                <w:b/>
                <w:bCs/>
                <w:lang w:val="es-ES_tradnl"/>
              </w:rPr>
              <w:t>17</w:t>
            </w:r>
            <w:r w:rsidRPr="003E6986">
              <w:rPr>
                <w:rFonts w:asciiTheme="minorHAnsi" w:hAnsiTheme="minorHAnsi" w:cstheme="minorHAnsi"/>
                <w:lang w:val="es-ES_tradnl"/>
              </w:rPr>
              <w:t xml:space="preserve">, de conformidad con la Resolución </w:t>
            </w:r>
            <w:r w:rsidRPr="003E6986">
              <w:rPr>
                <w:rFonts w:asciiTheme="minorHAnsi" w:hAnsiTheme="minorHAnsi" w:cstheme="minorHAnsi"/>
                <w:b/>
                <w:bCs/>
                <w:lang w:val="es-ES_tradnl"/>
              </w:rPr>
              <w:t>366 (CMR-23)</w:t>
            </w:r>
            <w:r w:rsidRPr="003E6986">
              <w:rPr>
                <w:rFonts w:asciiTheme="minorHAnsi" w:hAnsiTheme="minorHAnsi" w:cstheme="minorHAnsi"/>
                <w:lang w:val="es-ES_tradnl"/>
              </w:rPr>
              <w:t>;</w:t>
            </w:r>
          </w:p>
        </w:tc>
      </w:tr>
      <w:tr w:rsidR="00C15E0F" w:rsidRPr="003E6986" w14:paraId="727E9731" w14:textId="77777777" w:rsidTr="006D5A70">
        <w:trPr>
          <w:trHeight w:val="2068"/>
        </w:trPr>
        <w:tc>
          <w:tcPr>
            <w:tcW w:w="3280" w:type="dxa"/>
          </w:tcPr>
          <w:p w14:paraId="692E16E8"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sz w:val="20"/>
                <w:lang w:val="es-ES_tradnl"/>
              </w:rPr>
              <w:t>366</w:t>
            </w:r>
            <w:r w:rsidRPr="003E6986">
              <w:rPr>
                <w:rFonts w:asciiTheme="minorHAnsi" w:hAnsiTheme="minorHAnsi" w:cstheme="minorHAnsi"/>
                <w:b/>
                <w:bCs/>
                <w:sz w:val="20"/>
                <w:lang w:val="es-ES_tradnl"/>
              </w:rPr>
              <w:t xml:space="preserve"> (</w:t>
            </w:r>
            <w:proofErr w:type="spellStart"/>
            <w:r w:rsidRPr="003E6986">
              <w:rPr>
                <w:rFonts w:asciiTheme="minorHAnsi" w:hAnsiTheme="minorHAnsi" w:cstheme="minorHAnsi"/>
                <w:b/>
                <w:bCs/>
                <w:sz w:val="20"/>
                <w:lang w:val="es-ES_tradnl"/>
              </w:rPr>
              <w:t>CMR</w:t>
            </w:r>
            <w:proofErr w:type="spellEnd"/>
            <w:r w:rsidRPr="003E6986">
              <w:rPr>
                <w:rFonts w:asciiTheme="minorHAnsi" w:hAnsiTheme="minorHAnsi" w:cstheme="minorHAnsi"/>
                <w:b/>
                <w:bCs/>
                <w:sz w:val="20"/>
                <w:lang w:val="es-ES_tradnl"/>
              </w:rPr>
              <w:noBreakHyphen/>
              <w:t>23)</w:t>
            </w:r>
          </w:p>
          <w:p w14:paraId="2831A317"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Mejora de la utilización y d</w:t>
            </w:r>
            <w:r w:rsidRPr="003E6986">
              <w:rPr>
                <w:rFonts w:asciiTheme="minorHAnsi" w:eastAsia="SimSun" w:hAnsiTheme="minorHAnsi" w:cstheme="minorHAnsi"/>
                <w:sz w:val="20"/>
                <w:lang w:val="es-ES_tradnl" w:eastAsia="zh-CN"/>
              </w:rPr>
              <w:t xml:space="preserve">e </w:t>
            </w:r>
            <w:r w:rsidRPr="003E6986">
              <w:rPr>
                <w:rFonts w:asciiTheme="minorHAnsi" w:hAnsiTheme="minorHAnsi" w:cstheme="minorHAnsi"/>
                <w:sz w:val="20"/>
                <w:lang w:val="es-ES_tradnl"/>
              </w:rPr>
              <w:t>la disposición de canales d</w:t>
            </w:r>
            <w:r w:rsidRPr="003E6986">
              <w:rPr>
                <w:rFonts w:asciiTheme="minorHAnsi" w:eastAsia="SimSun" w:hAnsiTheme="minorHAnsi" w:cstheme="minorHAnsi"/>
                <w:sz w:val="20"/>
                <w:lang w:val="es-ES_tradnl" w:eastAsia="zh-CN"/>
              </w:rPr>
              <w:t xml:space="preserve">e las radiocomunicaciones marítimas en las bandas de ondas hectométrica y </w:t>
            </w:r>
            <w:proofErr w:type="spellStart"/>
            <w:r w:rsidRPr="003E6986">
              <w:rPr>
                <w:rFonts w:asciiTheme="minorHAnsi" w:eastAsia="SimSun" w:hAnsiTheme="minorHAnsi" w:cstheme="minorHAnsi"/>
                <w:sz w:val="20"/>
                <w:lang w:val="es-ES_tradnl" w:eastAsia="zh-CN"/>
              </w:rPr>
              <w:t>decamétricas</w:t>
            </w:r>
            <w:proofErr w:type="spellEnd"/>
            <w:r w:rsidRPr="003E6986">
              <w:rPr>
                <w:rFonts w:asciiTheme="minorHAnsi" w:eastAsia="SimSun" w:hAnsiTheme="minorHAnsi" w:cstheme="minorHAnsi"/>
                <w:sz w:val="20"/>
                <w:lang w:val="es-ES_tradnl" w:eastAsia="zh-CN"/>
              </w:rPr>
              <w:t>, incluidas las posibles revisiones del Artículo </w:t>
            </w:r>
            <w:r w:rsidRPr="003E6986">
              <w:rPr>
                <w:rFonts w:asciiTheme="minorHAnsi" w:hAnsiTheme="minorHAnsi" w:cstheme="minorHAnsi"/>
                <w:b/>
                <w:sz w:val="20"/>
                <w:lang w:val="es-ES_tradnl"/>
              </w:rPr>
              <w:t>52</w:t>
            </w:r>
            <w:r w:rsidRPr="003E6986">
              <w:rPr>
                <w:rFonts w:asciiTheme="minorHAnsi" w:hAnsiTheme="minorHAnsi" w:cstheme="minorHAnsi"/>
                <w:sz w:val="20"/>
                <w:lang w:val="es-ES_tradnl"/>
              </w:rPr>
              <w:t xml:space="preserve"> y del Apéndice </w:t>
            </w:r>
            <w:r w:rsidRPr="003E6986">
              <w:rPr>
                <w:rFonts w:asciiTheme="minorHAnsi" w:hAnsiTheme="minorHAnsi" w:cstheme="minorHAnsi"/>
                <w:b/>
                <w:sz w:val="20"/>
                <w:lang w:val="es-ES_tradnl"/>
              </w:rPr>
              <w:t>17</w:t>
            </w:r>
          </w:p>
        </w:tc>
        <w:tc>
          <w:tcPr>
            <w:tcW w:w="1358" w:type="dxa"/>
          </w:tcPr>
          <w:p w14:paraId="134A76E9" w14:textId="77777777" w:rsidR="00C15E0F" w:rsidRPr="003E6986" w:rsidRDefault="00C15E0F" w:rsidP="00734817">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5B</w:t>
            </w:r>
          </w:p>
        </w:tc>
        <w:tc>
          <w:tcPr>
            <w:tcW w:w="8290" w:type="dxa"/>
          </w:tcPr>
          <w:p w14:paraId="2AC07C0C"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2031</w:t>
            </w:r>
          </w:p>
          <w:p w14:paraId="3563A310"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estudios sobre las posibles revisiones de los planes de canales del Artículo </w:t>
            </w:r>
            <w:r w:rsidRPr="003E6986">
              <w:rPr>
                <w:rFonts w:asciiTheme="minorHAnsi" w:hAnsiTheme="minorHAnsi" w:cstheme="minorHAnsi"/>
                <w:b/>
                <w:bCs/>
                <w:lang w:val="es-ES_tradnl"/>
              </w:rPr>
              <w:t>52</w:t>
            </w:r>
            <w:r w:rsidRPr="003E6986">
              <w:rPr>
                <w:rFonts w:asciiTheme="minorHAnsi" w:hAnsiTheme="minorHAnsi" w:cstheme="minorHAnsi"/>
                <w:lang w:val="es-ES_tradnl"/>
              </w:rPr>
              <w:t xml:space="preserve"> y del Apéndice </w:t>
            </w:r>
            <w:r w:rsidRPr="003E6986">
              <w:rPr>
                <w:rFonts w:asciiTheme="minorHAnsi" w:hAnsiTheme="minorHAnsi" w:cstheme="minorHAnsi"/>
                <w:b/>
                <w:bCs/>
                <w:lang w:val="es-ES_tradnl" w:eastAsia="ja-JP"/>
              </w:rPr>
              <w:t xml:space="preserve">17 </w:t>
            </w:r>
            <w:r w:rsidRPr="003E6986">
              <w:rPr>
                <w:rFonts w:asciiTheme="minorHAnsi" w:hAnsiTheme="minorHAnsi" w:cstheme="minorHAnsi"/>
                <w:bCs/>
                <w:lang w:val="es-ES_tradnl" w:eastAsia="ja-JP"/>
              </w:rPr>
              <w:t>a fin de identificar</w:t>
            </w:r>
            <w:r w:rsidRPr="003E6986">
              <w:rPr>
                <w:rFonts w:asciiTheme="minorHAnsi" w:hAnsiTheme="minorHAnsi" w:cstheme="minorHAnsi"/>
                <w:lang w:val="es-ES_tradnl" w:eastAsia="ja-JP"/>
              </w:rPr>
              <w:t xml:space="preserve"> canales de trabajo adicionales a nivel internacional para mejorar la utilización de las radiocomunicaciones marítimas en </w:t>
            </w:r>
            <w:r w:rsidRPr="003E6986">
              <w:rPr>
                <w:rFonts w:asciiTheme="minorHAnsi" w:hAnsiTheme="minorHAnsi" w:cstheme="minorHAnsi"/>
                <w:lang w:val="es-ES_tradnl"/>
              </w:rPr>
              <w:t xml:space="preserve">las bandas de ondas hectométricas y </w:t>
            </w:r>
            <w:proofErr w:type="spellStart"/>
            <w:r w:rsidRPr="003E6986">
              <w:rPr>
                <w:rFonts w:asciiTheme="minorHAnsi" w:hAnsiTheme="minorHAnsi" w:cstheme="minorHAnsi"/>
                <w:lang w:val="es-ES_tradnl"/>
              </w:rPr>
              <w:t>decamétricas</w:t>
            </w:r>
            <w:proofErr w:type="spellEnd"/>
            <w:r w:rsidRPr="003E6986">
              <w:rPr>
                <w:rFonts w:asciiTheme="minorHAnsi" w:hAnsiTheme="minorHAnsi" w:cstheme="minorHAnsi"/>
                <w:lang w:val="es-ES_tradnl"/>
              </w:rPr>
              <w:t>,</w:t>
            </w:r>
          </w:p>
          <w:p w14:paraId="4A737A53"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 la Conferencia Mundial de Radiocomunicaciones de 2031</w:t>
            </w:r>
          </w:p>
          <w:p w14:paraId="4B289001"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a considerar, de acuerdo con los resultados de los estudios, la posibilidad de realizar revisiones de los planes de canales del Artículo </w:t>
            </w:r>
            <w:r w:rsidRPr="003E6986">
              <w:rPr>
                <w:rFonts w:asciiTheme="minorHAnsi" w:hAnsiTheme="minorHAnsi" w:cstheme="minorHAnsi"/>
                <w:b/>
                <w:bCs/>
                <w:lang w:val="es-ES_tradnl"/>
              </w:rPr>
              <w:t>52</w:t>
            </w:r>
            <w:r w:rsidRPr="003E6986">
              <w:rPr>
                <w:rFonts w:asciiTheme="minorHAnsi" w:hAnsiTheme="minorHAnsi" w:cstheme="minorHAnsi"/>
                <w:lang w:val="es-ES_tradnl"/>
              </w:rPr>
              <w:t xml:space="preserve"> y del Apéndice</w:t>
            </w:r>
            <w:r w:rsidRPr="003E6986">
              <w:rPr>
                <w:rFonts w:asciiTheme="minorHAnsi" w:hAnsiTheme="minorHAnsi" w:cstheme="minorHAnsi"/>
                <w:lang w:val="es-ES_tradnl" w:eastAsia="ja-JP"/>
              </w:rPr>
              <w:t> </w:t>
            </w:r>
            <w:r w:rsidRPr="003E6986">
              <w:rPr>
                <w:rFonts w:asciiTheme="minorHAnsi" w:hAnsiTheme="minorHAnsi" w:cstheme="minorHAnsi"/>
                <w:b/>
                <w:bCs/>
                <w:lang w:val="es-ES_tradnl" w:eastAsia="ja-JP"/>
              </w:rPr>
              <w:t>17</w:t>
            </w:r>
            <w:r w:rsidRPr="003E6986">
              <w:rPr>
                <w:rFonts w:asciiTheme="minorHAnsi" w:hAnsiTheme="minorHAnsi" w:cstheme="minorHAnsi"/>
                <w:lang w:val="es-ES_tradnl" w:eastAsia="ja-JP"/>
              </w:rPr>
              <w:t xml:space="preserve"> </w:t>
            </w:r>
            <w:r w:rsidRPr="003E6986">
              <w:rPr>
                <w:rFonts w:asciiTheme="minorHAnsi" w:hAnsiTheme="minorHAnsi" w:cstheme="minorHAnsi"/>
                <w:lang w:val="es-ES_tradnl"/>
              </w:rPr>
              <w:t xml:space="preserve">en las bandas de ondas hectométricas y </w:t>
            </w:r>
            <w:proofErr w:type="spellStart"/>
            <w:r w:rsidRPr="003E6986">
              <w:rPr>
                <w:rFonts w:asciiTheme="minorHAnsi" w:hAnsiTheme="minorHAnsi" w:cstheme="minorHAnsi"/>
                <w:lang w:val="es-ES_tradnl"/>
              </w:rPr>
              <w:t>decamétricas</w:t>
            </w:r>
            <w:proofErr w:type="spellEnd"/>
            <w:r w:rsidRPr="003E6986">
              <w:rPr>
                <w:rFonts w:asciiTheme="minorHAnsi" w:hAnsiTheme="minorHAnsi" w:cstheme="minorHAnsi"/>
                <w:lang w:val="es-ES_tradnl"/>
              </w:rPr>
              <w:t xml:space="preserve"> del SMS</w:t>
            </w:r>
            <w:r w:rsidRPr="003E6986">
              <w:rPr>
                <w:rFonts w:asciiTheme="minorHAnsi" w:hAnsiTheme="minorHAnsi" w:cstheme="minorHAnsi"/>
                <w:lang w:val="es-ES_tradnl" w:eastAsia="ja-JP"/>
              </w:rPr>
              <w:t xml:space="preserve"> a fin de mejorar la utilización e incrementar la eficacia</w:t>
            </w:r>
            <w:r w:rsidRPr="003E6986">
              <w:rPr>
                <w:rFonts w:asciiTheme="minorHAnsi" w:hAnsiTheme="minorHAnsi" w:cstheme="minorHAnsi"/>
                <w:lang w:val="es-ES_tradnl"/>
              </w:rPr>
              <w:t>,</w:t>
            </w:r>
          </w:p>
          <w:p w14:paraId="6E2945A3" w14:textId="77777777" w:rsidR="00C15E0F" w:rsidRPr="003E6986" w:rsidRDefault="00C15E0F" w:rsidP="00C15E0F">
            <w:pPr>
              <w:pStyle w:val="TableText0"/>
              <w:rPr>
                <w:rFonts w:asciiTheme="minorHAnsi" w:hAnsiTheme="minorHAnsi" w:cstheme="minorHAnsi"/>
                <w:sz w:val="20"/>
                <w:highlight w:val="cyan"/>
                <w:lang w:val="es-ES_tradnl"/>
              </w:rPr>
            </w:pPr>
            <w:r w:rsidRPr="003E6986">
              <w:rPr>
                <w:rFonts w:asciiTheme="minorHAnsi" w:hAnsiTheme="minorHAnsi" w:cstheme="minorHAnsi"/>
                <w:sz w:val="20"/>
                <w:lang w:val="es-ES_tradnl"/>
              </w:rPr>
              <w:t>…</w:t>
            </w:r>
          </w:p>
        </w:tc>
        <w:tc>
          <w:tcPr>
            <w:tcW w:w="1536" w:type="dxa"/>
          </w:tcPr>
          <w:p w14:paraId="40615ECC" w14:textId="77777777" w:rsidR="00C15E0F" w:rsidRPr="003E6986" w:rsidRDefault="00C15E0F" w:rsidP="00734817">
            <w:pPr>
              <w:pStyle w:val="TableText0"/>
              <w:jc w:val="center"/>
              <w:rPr>
                <w:rFonts w:asciiTheme="minorHAnsi" w:hAnsiTheme="minorHAnsi" w:cstheme="minorHAnsi"/>
                <w:b/>
                <w:sz w:val="20"/>
                <w:lang w:val="es-ES_tradnl"/>
              </w:rPr>
            </w:pPr>
            <w:r w:rsidRPr="003E6986">
              <w:rPr>
                <w:rFonts w:asciiTheme="minorHAnsi" w:hAnsiTheme="minorHAnsi" w:cstheme="minorHAnsi"/>
                <w:b/>
                <w:sz w:val="20"/>
                <w:lang w:val="es-ES_tradnl"/>
              </w:rPr>
              <w:t>–</w:t>
            </w:r>
          </w:p>
        </w:tc>
      </w:tr>
      <w:tr w:rsidR="00C15E0F" w:rsidRPr="008653C7" w14:paraId="77838003" w14:textId="77777777" w:rsidTr="006D5A70">
        <w:tc>
          <w:tcPr>
            <w:tcW w:w="14464" w:type="dxa"/>
            <w:gridSpan w:val="4"/>
          </w:tcPr>
          <w:p w14:paraId="7D7B1FE5" w14:textId="774998EC" w:rsidR="00C15E0F" w:rsidRPr="003E6986" w:rsidRDefault="00C15E0F" w:rsidP="00FD58BD">
            <w:pPr>
              <w:pStyle w:val="Tabletext"/>
              <w:tabs>
                <w:tab w:val="clear" w:pos="284"/>
                <w:tab w:val="left" w:pos="594"/>
              </w:tabs>
              <w:jc w:val="both"/>
              <w:rPr>
                <w:rFonts w:asciiTheme="minorHAnsi" w:hAnsiTheme="minorHAnsi" w:cstheme="minorHAnsi"/>
                <w:lang w:val="es-ES_tradnl"/>
              </w:rPr>
            </w:pPr>
            <w:r w:rsidRPr="003E6986">
              <w:rPr>
                <w:rFonts w:asciiTheme="minorHAnsi" w:hAnsiTheme="minorHAnsi" w:cstheme="minorHAnsi"/>
                <w:lang w:val="es-ES_tradnl"/>
              </w:rPr>
              <w:t>2.9</w:t>
            </w:r>
            <w:r w:rsidRPr="003E6986">
              <w:rPr>
                <w:rFonts w:asciiTheme="minorHAnsi" w:hAnsiTheme="minorHAnsi" w:cstheme="minorHAnsi"/>
                <w:lang w:val="es-ES_tradnl"/>
              </w:rPr>
              <w:tab/>
              <w:t>considerar la posibilidad de efectuar atribuciones al servicio de radionavegación por satélite (espacio-Tierra) en las bandas de frecu</w:t>
            </w:r>
            <w:r w:rsidR="00734817" w:rsidRPr="003E6986">
              <w:rPr>
                <w:rFonts w:asciiTheme="minorHAnsi" w:hAnsiTheme="minorHAnsi" w:cstheme="minorHAnsi"/>
                <w:lang w:val="es-ES_tradnl"/>
              </w:rPr>
              <w:t>encias [5 030-5 150 MHz y 5 150</w:t>
            </w:r>
            <w:r w:rsidR="00734817" w:rsidRPr="003E6986">
              <w:rPr>
                <w:rFonts w:asciiTheme="minorHAnsi" w:hAnsiTheme="minorHAnsi" w:cstheme="minorHAnsi"/>
                <w:lang w:val="es-ES_tradnl"/>
              </w:rPr>
              <w:noBreakHyphen/>
            </w:r>
            <w:r w:rsidRPr="003E6986">
              <w:rPr>
                <w:rFonts w:asciiTheme="minorHAnsi" w:hAnsiTheme="minorHAnsi" w:cstheme="minorHAnsi"/>
                <w:lang w:val="es-ES_tradnl"/>
              </w:rPr>
              <w:t xml:space="preserve">5 250 MHz] o partes de </w:t>
            </w:r>
            <w:proofErr w:type="gramStart"/>
            <w:r w:rsidRPr="003E6986">
              <w:rPr>
                <w:rFonts w:asciiTheme="minorHAnsi" w:hAnsiTheme="minorHAnsi" w:cstheme="minorHAnsi"/>
                <w:lang w:val="es-ES_tradnl"/>
              </w:rPr>
              <w:t>las mismas</w:t>
            </w:r>
            <w:proofErr w:type="gramEnd"/>
            <w:r w:rsidRPr="003E6986">
              <w:rPr>
                <w:rFonts w:asciiTheme="minorHAnsi" w:hAnsiTheme="minorHAnsi" w:cstheme="minorHAnsi"/>
                <w:lang w:val="es-ES_tradnl"/>
              </w:rPr>
              <w:t xml:space="preserve">, de conformidad con la Resolución </w:t>
            </w:r>
            <w:r w:rsidRPr="003E6986">
              <w:rPr>
                <w:rFonts w:asciiTheme="minorHAnsi" w:hAnsiTheme="minorHAnsi" w:cstheme="minorHAnsi"/>
                <w:b/>
                <w:bCs/>
                <w:lang w:val="es-ES_tradnl"/>
              </w:rPr>
              <w:t>684 (CMR-23)</w:t>
            </w:r>
            <w:r w:rsidRPr="003E6986">
              <w:rPr>
                <w:rFonts w:asciiTheme="minorHAnsi" w:hAnsiTheme="minorHAnsi" w:cstheme="minorHAnsi"/>
                <w:lang w:val="es-ES_tradnl"/>
              </w:rPr>
              <w:t>;</w:t>
            </w:r>
          </w:p>
        </w:tc>
      </w:tr>
      <w:tr w:rsidR="00C15E0F" w:rsidRPr="003E6986" w14:paraId="572FF449" w14:textId="77777777" w:rsidTr="006D5A70">
        <w:tc>
          <w:tcPr>
            <w:tcW w:w="3280" w:type="dxa"/>
          </w:tcPr>
          <w:p w14:paraId="0AD2DB9E"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684 (</w:t>
            </w:r>
            <w:proofErr w:type="spellStart"/>
            <w:r w:rsidRPr="003E6986">
              <w:rPr>
                <w:rFonts w:asciiTheme="minorHAnsi" w:hAnsiTheme="minorHAnsi" w:cstheme="minorHAnsi"/>
                <w:b/>
                <w:bCs/>
                <w:sz w:val="20"/>
                <w:lang w:val="es-ES_tradnl"/>
              </w:rPr>
              <w:t>CMR</w:t>
            </w:r>
            <w:proofErr w:type="spellEnd"/>
            <w:r w:rsidRPr="003E6986">
              <w:rPr>
                <w:rFonts w:asciiTheme="minorHAnsi" w:hAnsiTheme="minorHAnsi" w:cstheme="minorHAnsi"/>
                <w:b/>
                <w:bCs/>
                <w:sz w:val="20"/>
                <w:lang w:val="es-ES_tradnl"/>
              </w:rPr>
              <w:t>-23)</w:t>
            </w:r>
          </w:p>
          <w:p w14:paraId="563FFEDC"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 xml:space="preserve">Estudios sobre posibles nuevas atribuciones al servicio de radionavegación por satélite (espacio-Tierra) en las bandas de frecuencias [5 030-5 150 MHz y 5 150-5 250 MHz] o partes de </w:t>
            </w:r>
            <w:proofErr w:type="gramStart"/>
            <w:r w:rsidRPr="003E6986">
              <w:rPr>
                <w:rFonts w:asciiTheme="minorHAnsi" w:hAnsiTheme="minorHAnsi" w:cstheme="minorHAnsi"/>
                <w:sz w:val="20"/>
                <w:lang w:val="es-ES_tradnl"/>
              </w:rPr>
              <w:t>las mismas</w:t>
            </w:r>
            <w:proofErr w:type="gramEnd"/>
            <w:r w:rsidRPr="003E6986">
              <w:rPr>
                <w:rStyle w:val="FootnoteReference"/>
                <w:rFonts w:asciiTheme="minorHAnsi" w:hAnsiTheme="minorHAnsi" w:cstheme="minorHAnsi"/>
                <w:sz w:val="20"/>
                <w:lang w:val="es-ES_tradnl"/>
              </w:rPr>
              <w:footnoteReference w:customMarkFollows="1" w:id="28"/>
              <w:t>*</w:t>
            </w:r>
          </w:p>
        </w:tc>
        <w:tc>
          <w:tcPr>
            <w:tcW w:w="1358" w:type="dxa"/>
          </w:tcPr>
          <w:p w14:paraId="70211C2E" w14:textId="77777777" w:rsidR="00C15E0F" w:rsidRPr="003E6986" w:rsidRDefault="00C15E0F" w:rsidP="00734817">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4C</w:t>
            </w:r>
          </w:p>
        </w:tc>
        <w:tc>
          <w:tcPr>
            <w:tcW w:w="8290" w:type="dxa"/>
          </w:tcPr>
          <w:p w14:paraId="4142FDE2"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realizar y finalizar a tiempo para la Conferencia Mundial de Radiocomunicaciones de 2031</w:t>
            </w:r>
          </w:p>
          <w:p w14:paraId="4212939B"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1</w:t>
            </w:r>
            <w:r w:rsidRPr="003E6986">
              <w:rPr>
                <w:rFonts w:asciiTheme="minorHAnsi" w:hAnsiTheme="minorHAnsi" w:cstheme="minorHAnsi"/>
                <w:lang w:val="es-ES_tradnl"/>
              </w:rPr>
              <w:tab/>
              <w:t>estudios sobre las necesidades de espectro y las características técnicas y operativas del SRNS, en particular para el sentido espacio-Tierra entre [5 030-5 250 MHz];</w:t>
            </w:r>
          </w:p>
          <w:p w14:paraId="5DB5663E" w14:textId="6B473E5F"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2</w:t>
            </w:r>
            <w:r w:rsidRPr="003E6986">
              <w:rPr>
                <w:rFonts w:asciiTheme="minorHAnsi" w:hAnsiTheme="minorHAnsi" w:cstheme="minorHAnsi"/>
                <w:lang w:val="es-ES_tradnl"/>
              </w:rPr>
              <w:tab/>
              <w:t>estudios de compartición y compatibilidad entre el SRNS y los servicios existentes con atribuciones en la gama de frecuencias [5 030</w:t>
            </w:r>
            <w:r w:rsidRPr="003E6986">
              <w:rPr>
                <w:rFonts w:asciiTheme="minorHAnsi" w:hAnsiTheme="minorHAnsi" w:cstheme="minorHAnsi"/>
                <w:lang w:val="es-ES_tradnl"/>
              </w:rPr>
              <w:noBreakHyphen/>
              <w:t>5 250 MHz], así como los servicios en bandas adyacentes, y estudios relacionados con la protección del SRA e</w:t>
            </w:r>
            <w:r w:rsidR="00734817" w:rsidRPr="003E6986">
              <w:rPr>
                <w:rFonts w:asciiTheme="minorHAnsi" w:hAnsiTheme="minorHAnsi" w:cstheme="minorHAnsi"/>
                <w:lang w:val="es-ES_tradnl"/>
              </w:rPr>
              <w:t>n la banda de frecuencias 4 990</w:t>
            </w:r>
            <w:r w:rsidR="00734817" w:rsidRPr="003E6986">
              <w:rPr>
                <w:rFonts w:asciiTheme="minorHAnsi" w:hAnsiTheme="minorHAnsi" w:cstheme="minorHAnsi"/>
                <w:lang w:val="es-ES_tradnl"/>
              </w:rPr>
              <w:noBreakHyphen/>
            </w:r>
            <w:r w:rsidRPr="003E6986">
              <w:rPr>
                <w:rFonts w:asciiTheme="minorHAnsi" w:hAnsiTheme="minorHAnsi" w:cstheme="minorHAnsi"/>
                <w:lang w:val="es-ES_tradnl"/>
              </w:rPr>
              <w:t xml:space="preserve">5 000 MHz, habida cuenta del </w:t>
            </w:r>
            <w:r w:rsidRPr="003E6986">
              <w:rPr>
                <w:rFonts w:asciiTheme="minorHAnsi" w:hAnsiTheme="minorHAnsi" w:cstheme="minorHAnsi"/>
                <w:i/>
                <w:iCs/>
                <w:lang w:val="es-ES_tradnl"/>
              </w:rPr>
              <w:t>reconociendo a)</w:t>
            </w:r>
            <w:r w:rsidRPr="003E6986">
              <w:rPr>
                <w:rFonts w:asciiTheme="minorHAnsi" w:hAnsiTheme="minorHAnsi" w:cstheme="minorHAnsi"/>
                <w:lang w:val="es-ES_tradnl"/>
              </w:rPr>
              <w:t>,</w:t>
            </w:r>
          </w:p>
          <w:p w14:paraId="13203690"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2031</w:t>
            </w:r>
          </w:p>
          <w:p w14:paraId="55D9E437"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a considerar, sobre la base de los resultados de los estudios, la posibilidad de realizar atribuciones al SRNS (espacio-Tierra) en las bandas de frecuencias [5 030</w:t>
            </w:r>
            <w:r w:rsidRPr="003E6986">
              <w:rPr>
                <w:rFonts w:asciiTheme="minorHAnsi" w:hAnsiTheme="minorHAnsi" w:cstheme="minorHAnsi"/>
                <w:lang w:val="es-ES_tradnl"/>
              </w:rPr>
              <w:noBreakHyphen/>
              <w:t>5 150 MHz y 5 150-5 250 MHz] o partes de ellas,</w:t>
            </w:r>
          </w:p>
          <w:p w14:paraId="2314EAC6"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w:t>
            </w:r>
          </w:p>
        </w:tc>
        <w:tc>
          <w:tcPr>
            <w:tcW w:w="1536" w:type="dxa"/>
          </w:tcPr>
          <w:p w14:paraId="747F6AC5" w14:textId="77777777" w:rsidR="00C15E0F" w:rsidRPr="003E6986" w:rsidRDefault="00C15E0F" w:rsidP="00734817">
            <w:pPr>
              <w:pStyle w:val="TableText0"/>
              <w:jc w:val="center"/>
              <w:rPr>
                <w:rFonts w:asciiTheme="minorHAnsi" w:hAnsiTheme="minorHAnsi" w:cstheme="minorHAnsi"/>
                <w:b/>
                <w:bCs/>
                <w:sz w:val="20"/>
                <w:lang w:val="es-ES_tradnl"/>
              </w:rPr>
            </w:pPr>
            <w:r w:rsidRPr="003E6986">
              <w:rPr>
                <w:rFonts w:asciiTheme="minorHAnsi" w:hAnsiTheme="minorHAnsi" w:cstheme="minorHAnsi"/>
                <w:b/>
                <w:sz w:val="20"/>
                <w:lang w:val="es-ES_tradnl"/>
              </w:rPr>
              <w:t>–</w:t>
            </w:r>
          </w:p>
        </w:tc>
      </w:tr>
    </w:tbl>
    <w:p w14:paraId="191BB7A7" w14:textId="4C205DFD" w:rsidR="00B11EE6" w:rsidRDefault="00B11EE6"/>
    <w:tbl>
      <w:tblPr>
        <w:tblpPr w:leftFromText="180" w:rightFromText="180" w:vertAnchor="text" w:tblpY="1"/>
        <w:tblOverlap w:val="never"/>
        <w:tblW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8222"/>
        <w:gridCol w:w="1564"/>
      </w:tblGrid>
      <w:tr w:rsidR="00B11EE6" w:rsidRPr="008653C7" w14:paraId="5DA92265" w14:textId="77777777" w:rsidTr="005F72DB">
        <w:trPr>
          <w:tblHeader/>
        </w:trPr>
        <w:tc>
          <w:tcPr>
            <w:tcW w:w="14464" w:type="dxa"/>
            <w:gridSpan w:val="4"/>
            <w:tcBorders>
              <w:top w:val="nil"/>
              <w:left w:val="nil"/>
              <w:right w:val="nil"/>
            </w:tcBorders>
          </w:tcPr>
          <w:p w14:paraId="10DF32B6" w14:textId="77777777" w:rsidR="00B11EE6" w:rsidRPr="003E6986" w:rsidRDefault="00B11EE6" w:rsidP="00B11EE6">
            <w:pPr>
              <w:pStyle w:val="Tablehead"/>
              <w:rPr>
                <w:color w:val="000000" w:themeColor="text1"/>
                <w:sz w:val="22"/>
                <w:lang w:val="es-ES_tradnl"/>
              </w:rPr>
            </w:pPr>
            <w:r w:rsidRPr="003E6986">
              <w:rPr>
                <w:color w:val="000000" w:themeColor="text1"/>
                <w:lang w:val="es-ES_tradnl"/>
              </w:rPr>
              <w:t xml:space="preserve">Atribución de los trabajos preparatorios del UIT-R para la </w:t>
            </w:r>
            <w:proofErr w:type="spellStart"/>
            <w:r w:rsidRPr="003E6986">
              <w:rPr>
                <w:color w:val="000000" w:themeColor="text1"/>
                <w:lang w:val="es-ES_tradnl"/>
              </w:rPr>
              <w:t>CMR</w:t>
            </w:r>
            <w:proofErr w:type="spellEnd"/>
            <w:r w:rsidRPr="003E6986">
              <w:rPr>
                <w:color w:val="000000" w:themeColor="text1"/>
                <w:lang w:val="es-ES_tradnl"/>
              </w:rPr>
              <w:t>-31</w:t>
            </w:r>
          </w:p>
        </w:tc>
      </w:tr>
      <w:tr w:rsidR="00B11EE6" w:rsidRPr="003E6986" w14:paraId="0C015A39" w14:textId="77777777" w:rsidTr="005F72DB">
        <w:trPr>
          <w:tblHeader/>
        </w:trPr>
        <w:tc>
          <w:tcPr>
            <w:tcW w:w="3261" w:type="dxa"/>
            <w:vAlign w:val="center"/>
          </w:tcPr>
          <w:p w14:paraId="3C9951F6" w14:textId="77777777" w:rsidR="00B11EE6" w:rsidRPr="003E6986" w:rsidRDefault="00B11EE6" w:rsidP="00B11EE6">
            <w:pPr>
              <w:pStyle w:val="Tablehead"/>
              <w:rPr>
                <w:color w:val="000000" w:themeColor="text1"/>
                <w:lang w:val="es-ES_tradnl"/>
              </w:rPr>
            </w:pPr>
            <w:r w:rsidRPr="003E6986">
              <w:rPr>
                <w:color w:val="000000" w:themeColor="text1"/>
                <w:lang w:val="es-ES_tradnl"/>
              </w:rPr>
              <w:t>Tema</w:t>
            </w:r>
          </w:p>
        </w:tc>
        <w:tc>
          <w:tcPr>
            <w:tcW w:w="1417" w:type="dxa"/>
            <w:vAlign w:val="center"/>
          </w:tcPr>
          <w:p w14:paraId="60EA18F7"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responsable</w:t>
            </w:r>
          </w:p>
        </w:tc>
        <w:tc>
          <w:tcPr>
            <w:tcW w:w="8222" w:type="dxa"/>
            <w:vAlign w:val="center"/>
          </w:tcPr>
          <w:p w14:paraId="0FCCAA54" w14:textId="77777777" w:rsidR="00B11EE6" w:rsidRPr="003E6986" w:rsidRDefault="00B11EE6" w:rsidP="00B11EE6">
            <w:pPr>
              <w:pStyle w:val="Tablehead"/>
              <w:rPr>
                <w:color w:val="000000" w:themeColor="text1"/>
                <w:lang w:val="es-ES_tradnl"/>
              </w:rPr>
            </w:pPr>
            <w:r w:rsidRPr="003E6986">
              <w:rPr>
                <w:color w:val="000000" w:themeColor="text1"/>
                <w:lang w:val="es-ES_tradnl"/>
              </w:rPr>
              <w:t>Cometido del Grupo</w:t>
            </w:r>
          </w:p>
        </w:tc>
        <w:tc>
          <w:tcPr>
            <w:tcW w:w="1564" w:type="dxa"/>
            <w:vAlign w:val="center"/>
          </w:tcPr>
          <w:p w14:paraId="39AF0FE3"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contribuyente</w:t>
            </w:r>
          </w:p>
        </w:tc>
      </w:tr>
    </w:tbl>
    <w:tbl>
      <w:tblPr>
        <w:tblW w:w="14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1358"/>
        <w:gridCol w:w="8290"/>
        <w:gridCol w:w="1536"/>
      </w:tblGrid>
      <w:tr w:rsidR="00C15E0F" w:rsidRPr="008653C7" w14:paraId="65C16BD9" w14:textId="77777777" w:rsidTr="006D5A70">
        <w:tc>
          <w:tcPr>
            <w:tcW w:w="14464" w:type="dxa"/>
            <w:gridSpan w:val="4"/>
          </w:tcPr>
          <w:p w14:paraId="65BB83F0" w14:textId="0D6FE7C9" w:rsidR="00C15E0F" w:rsidRPr="003E6986" w:rsidRDefault="00C15E0F" w:rsidP="00FD58BD">
            <w:pPr>
              <w:pStyle w:val="Tabletext"/>
              <w:tabs>
                <w:tab w:val="clear" w:pos="284"/>
                <w:tab w:val="left" w:pos="594"/>
              </w:tabs>
              <w:jc w:val="both"/>
              <w:rPr>
                <w:rFonts w:asciiTheme="minorHAnsi" w:hAnsiTheme="minorHAnsi" w:cstheme="minorHAnsi"/>
                <w:lang w:val="es-ES_tradnl"/>
              </w:rPr>
            </w:pPr>
            <w:r w:rsidRPr="003E6986">
              <w:rPr>
                <w:rFonts w:asciiTheme="minorHAnsi" w:hAnsiTheme="minorHAnsi" w:cstheme="minorHAnsi"/>
                <w:lang w:val="es-ES_tradnl"/>
              </w:rPr>
              <w:t>2.10</w:t>
            </w:r>
            <w:r w:rsidRPr="003E6986">
              <w:rPr>
                <w:rFonts w:asciiTheme="minorHAnsi" w:hAnsiTheme="minorHAnsi" w:cstheme="minorHAnsi"/>
                <w:lang w:val="es-ES_tradnl"/>
              </w:rPr>
              <w:tab/>
              <w:t xml:space="preserve">considerar la </w:t>
            </w:r>
            <w:r w:rsidRPr="003E6986">
              <w:rPr>
                <w:rFonts w:asciiTheme="minorHAnsi" w:hAnsiTheme="minorHAnsi" w:cstheme="minorHAnsi"/>
                <w:szCs w:val="20"/>
                <w:lang w:val="es-ES_tradnl"/>
              </w:rPr>
              <w:t>posibilidad</w:t>
            </w:r>
            <w:r w:rsidRPr="003E6986">
              <w:rPr>
                <w:rFonts w:asciiTheme="minorHAnsi" w:hAnsiTheme="minorHAnsi" w:cstheme="minorHAnsi"/>
                <w:lang w:val="es-ES_tradnl"/>
              </w:rPr>
              <w:t xml:space="preserve"> de efectuar una nueva atribución a título primario al servicio de exploración de la Tierra por satélite (Tierra-espacio) en la banda de frecuencias 22,55</w:t>
            </w:r>
            <w:r w:rsidRPr="003E6986">
              <w:rPr>
                <w:rFonts w:asciiTheme="minorHAnsi" w:hAnsiTheme="minorHAnsi" w:cstheme="minorHAnsi"/>
                <w:lang w:val="es-ES_tradnl"/>
              </w:rPr>
              <w:noBreakHyphen/>
              <w:t xml:space="preserve">23,15 GHz, de conformidad con la Resolución </w:t>
            </w:r>
            <w:r w:rsidRPr="003E6986">
              <w:rPr>
                <w:rFonts w:asciiTheme="minorHAnsi" w:hAnsiTheme="minorHAnsi" w:cstheme="minorHAnsi"/>
                <w:b/>
                <w:bCs/>
                <w:lang w:val="es-ES_tradnl"/>
              </w:rPr>
              <w:t>664 (Rev.CMR-23);</w:t>
            </w:r>
          </w:p>
        </w:tc>
      </w:tr>
      <w:tr w:rsidR="00C15E0F" w:rsidRPr="003E6986" w14:paraId="0FCC1817" w14:textId="77777777" w:rsidTr="006D5A70">
        <w:tc>
          <w:tcPr>
            <w:tcW w:w="3280" w:type="dxa"/>
          </w:tcPr>
          <w:p w14:paraId="48533F9E" w14:textId="77777777" w:rsidR="00C15E0F" w:rsidRPr="003E6986" w:rsidRDefault="00C15E0F" w:rsidP="00C15E0F">
            <w:pPr>
              <w:pStyle w:val="TableText0"/>
              <w:rPr>
                <w:rFonts w:asciiTheme="minorHAnsi" w:hAnsiTheme="minorHAnsi" w:cstheme="minorHAnsi"/>
                <w:b/>
                <w:bCs/>
                <w:sz w:val="20"/>
                <w:lang w:val="es-ES_tradnl"/>
              </w:rPr>
            </w:pPr>
            <w:r w:rsidRPr="003E6986">
              <w:rPr>
                <w:rFonts w:asciiTheme="minorHAnsi" w:hAnsiTheme="minorHAnsi" w:cstheme="minorHAnsi"/>
                <w:sz w:val="20"/>
                <w:lang w:val="es-ES_tradnl"/>
              </w:rPr>
              <w:t xml:space="preserve">Resolución </w:t>
            </w:r>
            <w:r w:rsidRPr="003E6986">
              <w:rPr>
                <w:rStyle w:val="href"/>
                <w:rFonts w:asciiTheme="minorHAnsi" w:hAnsiTheme="minorHAnsi" w:cstheme="minorHAnsi"/>
                <w:b/>
                <w:bCs/>
                <w:sz w:val="20"/>
                <w:lang w:val="es-ES_tradnl"/>
              </w:rPr>
              <w:t>664</w:t>
            </w:r>
            <w:r w:rsidRPr="003E6986">
              <w:rPr>
                <w:rFonts w:asciiTheme="minorHAnsi" w:hAnsiTheme="minorHAnsi" w:cstheme="minorHAnsi"/>
                <w:b/>
                <w:bCs/>
                <w:sz w:val="20"/>
                <w:lang w:val="es-ES_tradnl"/>
              </w:rPr>
              <w:t xml:space="preserve"> (</w:t>
            </w:r>
            <w:proofErr w:type="spellStart"/>
            <w:r w:rsidRPr="003E6986">
              <w:rPr>
                <w:rFonts w:asciiTheme="minorHAnsi" w:hAnsiTheme="minorHAnsi" w:cstheme="minorHAnsi"/>
                <w:b/>
                <w:bCs/>
                <w:sz w:val="20"/>
                <w:lang w:val="es-ES_tradnl"/>
              </w:rPr>
              <w:t>Rev.CMR</w:t>
            </w:r>
            <w:proofErr w:type="spellEnd"/>
            <w:r w:rsidRPr="003E6986">
              <w:rPr>
                <w:rFonts w:asciiTheme="minorHAnsi" w:hAnsiTheme="minorHAnsi" w:cstheme="minorHAnsi"/>
                <w:b/>
                <w:bCs/>
                <w:sz w:val="20"/>
                <w:lang w:val="es-ES_tradnl"/>
              </w:rPr>
              <w:t>-23)</w:t>
            </w:r>
          </w:p>
          <w:p w14:paraId="3CBC7DCB"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Estudios sobre una posible nueva atribución a título primario al servicio de exploración de la Tierra por satélite (Tierra-espacio) en la banda de frecuencias 22,55-23,15 GHz</w:t>
            </w:r>
          </w:p>
        </w:tc>
        <w:tc>
          <w:tcPr>
            <w:tcW w:w="1358" w:type="dxa"/>
          </w:tcPr>
          <w:p w14:paraId="2632B614" w14:textId="77777777" w:rsidR="00C15E0F" w:rsidRPr="003E6986" w:rsidRDefault="00C15E0F" w:rsidP="00734817">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7B</w:t>
            </w:r>
          </w:p>
        </w:tc>
        <w:tc>
          <w:tcPr>
            <w:tcW w:w="8290" w:type="dxa"/>
          </w:tcPr>
          <w:p w14:paraId="027FF53C"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Telecomunicaciones de 2031</w:t>
            </w:r>
          </w:p>
          <w:p w14:paraId="01EFBBB8" w14:textId="3DDA77F1"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 xml:space="preserve">estudios sobre las necesidades de espectro y sobre compartición y compatibilidad entre el SETS (Tierra-espacio) y los servicios existentes, habida cuenta de los </w:t>
            </w:r>
            <w:r w:rsidRPr="003E6986">
              <w:rPr>
                <w:rFonts w:asciiTheme="minorHAnsi" w:hAnsiTheme="minorHAnsi" w:cstheme="minorHAnsi"/>
                <w:i/>
                <w:iCs/>
                <w:lang w:val="es-ES_tradnl"/>
              </w:rPr>
              <w:t>observando</w:t>
            </w:r>
            <w:r w:rsidRPr="003E6986">
              <w:rPr>
                <w:rFonts w:asciiTheme="minorHAnsi" w:hAnsiTheme="minorHAnsi" w:cstheme="minorHAnsi"/>
                <w:lang w:val="es-ES_tradnl"/>
              </w:rPr>
              <w:t xml:space="preserve"> </w:t>
            </w:r>
            <w:r w:rsidRPr="003E6986">
              <w:rPr>
                <w:rFonts w:asciiTheme="minorHAnsi" w:hAnsiTheme="minorHAnsi" w:cstheme="minorHAnsi"/>
                <w:i/>
                <w:lang w:val="es-ES_tradnl"/>
              </w:rPr>
              <w:t>a)</w:t>
            </w:r>
            <w:r w:rsidRPr="003E6986">
              <w:rPr>
                <w:rFonts w:asciiTheme="minorHAnsi" w:hAnsiTheme="minorHAnsi" w:cstheme="minorHAnsi"/>
                <w:lang w:val="es-ES_tradnl"/>
              </w:rPr>
              <w:t xml:space="preserve"> a </w:t>
            </w:r>
            <w:r w:rsidRPr="003E6986">
              <w:rPr>
                <w:rFonts w:asciiTheme="minorHAnsi" w:hAnsiTheme="minorHAnsi" w:cstheme="minorHAnsi"/>
                <w:i/>
                <w:iCs/>
                <w:lang w:val="es-ES_tradnl"/>
              </w:rPr>
              <w:t>e)</w:t>
            </w:r>
            <w:r w:rsidRPr="003E6986">
              <w:rPr>
                <w:rFonts w:asciiTheme="minorHAnsi" w:hAnsiTheme="minorHAnsi" w:cstheme="minorHAnsi"/>
                <w:lang w:val="es-ES_tradnl"/>
              </w:rPr>
              <w:t>, garantizando al mismo tiempo la protección de estos servicios, utilizando los parámetros técnicos y operativos de su utilización actual y futura pertinentes,</w:t>
            </w:r>
          </w:p>
          <w:p w14:paraId="650128CF"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w:t>
            </w:r>
          </w:p>
          <w:p w14:paraId="7887690E"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 la Conferencia Mundial de Radiocomunicaciones de 2031</w:t>
            </w:r>
          </w:p>
          <w:p w14:paraId="7DD62ACE"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 xml:space="preserve">a considerar, sobre la base de los resultados de los estudios del </w:t>
            </w:r>
            <w:r w:rsidRPr="003E6986">
              <w:rPr>
                <w:rFonts w:asciiTheme="minorHAnsi" w:hAnsiTheme="minorHAnsi" w:cstheme="minorHAnsi"/>
                <w:i/>
                <w:iCs/>
                <w:lang w:val="es-ES_tradnl"/>
              </w:rPr>
              <w:t>resuelve invitar al Sector de Radiocomunicaciones de la UIT a finalizar a tiempo para la Conferencia Mundial de Comunicaciones de 2031</w:t>
            </w:r>
            <w:r w:rsidRPr="003E6986">
              <w:rPr>
                <w:rFonts w:asciiTheme="minorHAnsi" w:hAnsiTheme="minorHAnsi" w:cstheme="minorHAnsi"/>
                <w:lang w:val="es-ES_tradnl"/>
              </w:rPr>
              <w:t>, la posibilidad de otorgar una nueva atribución primaria en todo el mundo al SETS (Tierra-espacio) en la banda de frecuencias 22,55</w:t>
            </w:r>
            <w:r w:rsidRPr="003E6986">
              <w:rPr>
                <w:rFonts w:asciiTheme="minorHAnsi" w:hAnsiTheme="minorHAnsi" w:cstheme="minorHAnsi"/>
                <w:lang w:val="es-ES_tradnl"/>
              </w:rPr>
              <w:noBreakHyphen/>
              <w:t>23,15 GHz,</w:t>
            </w:r>
          </w:p>
          <w:p w14:paraId="1C351042"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w:t>
            </w:r>
          </w:p>
        </w:tc>
        <w:tc>
          <w:tcPr>
            <w:tcW w:w="1536" w:type="dxa"/>
          </w:tcPr>
          <w:p w14:paraId="3ABD6B59" w14:textId="77777777" w:rsidR="00C15E0F" w:rsidRPr="003E6986" w:rsidRDefault="00C15E0F" w:rsidP="00734817">
            <w:pPr>
              <w:pStyle w:val="TableText0"/>
              <w:jc w:val="center"/>
              <w:rPr>
                <w:rFonts w:asciiTheme="minorHAnsi" w:hAnsiTheme="minorHAnsi" w:cstheme="minorHAnsi"/>
                <w:b/>
                <w:sz w:val="20"/>
                <w:lang w:val="es-ES_tradnl"/>
              </w:rPr>
            </w:pPr>
            <w:r w:rsidRPr="003E6986">
              <w:rPr>
                <w:rFonts w:asciiTheme="minorHAnsi" w:hAnsiTheme="minorHAnsi" w:cstheme="minorHAnsi"/>
                <w:b/>
                <w:sz w:val="20"/>
                <w:lang w:val="es-ES_tradnl"/>
              </w:rPr>
              <w:t>–</w:t>
            </w:r>
          </w:p>
        </w:tc>
      </w:tr>
    </w:tbl>
    <w:p w14:paraId="4ACFD51E" w14:textId="77777777" w:rsidR="00B11EE6" w:rsidRDefault="00B11EE6">
      <w:r>
        <w:br w:type="page"/>
      </w:r>
    </w:p>
    <w:tbl>
      <w:tblPr>
        <w:tblpPr w:leftFromText="180" w:rightFromText="180" w:vertAnchor="text" w:tblpY="1"/>
        <w:tblOverlap w:val="never"/>
        <w:tblW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8222"/>
        <w:gridCol w:w="1564"/>
      </w:tblGrid>
      <w:tr w:rsidR="00B11EE6" w:rsidRPr="008653C7" w14:paraId="2AD69C15" w14:textId="77777777" w:rsidTr="005F72DB">
        <w:trPr>
          <w:tblHeader/>
        </w:trPr>
        <w:tc>
          <w:tcPr>
            <w:tcW w:w="14464" w:type="dxa"/>
            <w:gridSpan w:val="4"/>
            <w:tcBorders>
              <w:top w:val="nil"/>
              <w:left w:val="nil"/>
              <w:right w:val="nil"/>
            </w:tcBorders>
          </w:tcPr>
          <w:p w14:paraId="2AA22E4A" w14:textId="77777777" w:rsidR="00B11EE6" w:rsidRPr="003E6986" w:rsidRDefault="00B11EE6" w:rsidP="00B11EE6">
            <w:pPr>
              <w:pStyle w:val="Tablehead"/>
              <w:rPr>
                <w:color w:val="000000" w:themeColor="text1"/>
                <w:sz w:val="22"/>
                <w:lang w:val="es-ES_tradnl"/>
              </w:rPr>
            </w:pPr>
            <w:r w:rsidRPr="003E6986">
              <w:rPr>
                <w:color w:val="000000" w:themeColor="text1"/>
                <w:lang w:val="es-ES_tradnl"/>
              </w:rPr>
              <w:lastRenderedPageBreak/>
              <w:t xml:space="preserve">Atribución de los trabajos preparatorios del UIT-R para la </w:t>
            </w:r>
            <w:proofErr w:type="spellStart"/>
            <w:r w:rsidRPr="003E6986">
              <w:rPr>
                <w:color w:val="000000" w:themeColor="text1"/>
                <w:lang w:val="es-ES_tradnl"/>
              </w:rPr>
              <w:t>CMR</w:t>
            </w:r>
            <w:proofErr w:type="spellEnd"/>
            <w:r w:rsidRPr="003E6986">
              <w:rPr>
                <w:color w:val="000000" w:themeColor="text1"/>
                <w:lang w:val="es-ES_tradnl"/>
              </w:rPr>
              <w:t>-31</w:t>
            </w:r>
          </w:p>
        </w:tc>
      </w:tr>
      <w:tr w:rsidR="00B11EE6" w:rsidRPr="003E6986" w14:paraId="4A890D8F" w14:textId="77777777" w:rsidTr="005F72DB">
        <w:trPr>
          <w:tblHeader/>
        </w:trPr>
        <w:tc>
          <w:tcPr>
            <w:tcW w:w="3261" w:type="dxa"/>
            <w:vAlign w:val="center"/>
          </w:tcPr>
          <w:p w14:paraId="062EAB3F" w14:textId="77777777" w:rsidR="00B11EE6" w:rsidRPr="003E6986" w:rsidRDefault="00B11EE6" w:rsidP="00B11EE6">
            <w:pPr>
              <w:pStyle w:val="Tablehead"/>
              <w:rPr>
                <w:color w:val="000000" w:themeColor="text1"/>
                <w:lang w:val="es-ES_tradnl"/>
              </w:rPr>
            </w:pPr>
            <w:r w:rsidRPr="003E6986">
              <w:rPr>
                <w:color w:val="000000" w:themeColor="text1"/>
                <w:lang w:val="es-ES_tradnl"/>
              </w:rPr>
              <w:t>Tema</w:t>
            </w:r>
          </w:p>
        </w:tc>
        <w:tc>
          <w:tcPr>
            <w:tcW w:w="1417" w:type="dxa"/>
            <w:vAlign w:val="center"/>
          </w:tcPr>
          <w:p w14:paraId="476C4CA7"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responsable</w:t>
            </w:r>
          </w:p>
        </w:tc>
        <w:tc>
          <w:tcPr>
            <w:tcW w:w="8222" w:type="dxa"/>
            <w:vAlign w:val="center"/>
          </w:tcPr>
          <w:p w14:paraId="20C5886C" w14:textId="77777777" w:rsidR="00B11EE6" w:rsidRPr="003E6986" w:rsidRDefault="00B11EE6" w:rsidP="00B11EE6">
            <w:pPr>
              <w:pStyle w:val="Tablehead"/>
              <w:rPr>
                <w:color w:val="000000" w:themeColor="text1"/>
                <w:lang w:val="es-ES_tradnl"/>
              </w:rPr>
            </w:pPr>
            <w:r w:rsidRPr="003E6986">
              <w:rPr>
                <w:color w:val="000000" w:themeColor="text1"/>
                <w:lang w:val="es-ES_tradnl"/>
              </w:rPr>
              <w:t>Cometido del Grupo</w:t>
            </w:r>
          </w:p>
        </w:tc>
        <w:tc>
          <w:tcPr>
            <w:tcW w:w="1564" w:type="dxa"/>
            <w:vAlign w:val="center"/>
          </w:tcPr>
          <w:p w14:paraId="550F6456"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contribuyente</w:t>
            </w:r>
          </w:p>
        </w:tc>
      </w:tr>
    </w:tbl>
    <w:tbl>
      <w:tblPr>
        <w:tblW w:w="14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1358"/>
        <w:gridCol w:w="8290"/>
        <w:gridCol w:w="1536"/>
      </w:tblGrid>
      <w:tr w:rsidR="00C15E0F" w:rsidRPr="008653C7" w14:paraId="54CF2B69" w14:textId="77777777" w:rsidTr="006D5A70">
        <w:tc>
          <w:tcPr>
            <w:tcW w:w="14464" w:type="dxa"/>
            <w:gridSpan w:val="4"/>
          </w:tcPr>
          <w:p w14:paraId="23C4ED45" w14:textId="57614CE5" w:rsidR="00C15E0F" w:rsidRPr="003E6986" w:rsidRDefault="00C15E0F" w:rsidP="00FD58BD">
            <w:pPr>
              <w:pStyle w:val="Tabletext"/>
              <w:tabs>
                <w:tab w:val="clear" w:pos="284"/>
                <w:tab w:val="left" w:pos="594"/>
              </w:tabs>
              <w:jc w:val="both"/>
              <w:rPr>
                <w:rFonts w:asciiTheme="minorHAnsi" w:hAnsiTheme="minorHAnsi" w:cstheme="minorHAnsi"/>
                <w:lang w:val="es-ES_tradnl"/>
              </w:rPr>
            </w:pPr>
            <w:r w:rsidRPr="003E6986">
              <w:rPr>
                <w:rFonts w:asciiTheme="minorHAnsi" w:hAnsiTheme="minorHAnsi" w:cstheme="minorHAnsi"/>
                <w:lang w:val="es-ES_tradnl"/>
              </w:rPr>
              <w:t>2.11</w:t>
            </w:r>
            <w:r w:rsidRPr="003E6986">
              <w:rPr>
                <w:rFonts w:asciiTheme="minorHAnsi" w:eastAsiaTheme="minorHAnsi" w:hAnsiTheme="minorHAnsi" w:cstheme="minorHAnsi"/>
                <w:bCs/>
                <w:lang w:val="es-ES_tradnl"/>
              </w:rPr>
              <w:tab/>
            </w:r>
            <w:r w:rsidRPr="003E6986">
              <w:rPr>
                <w:rFonts w:asciiTheme="minorHAnsi" w:hAnsiTheme="minorHAnsi" w:cstheme="minorHAnsi"/>
                <w:lang w:val="es-ES_tradnl"/>
              </w:rPr>
              <w:t xml:space="preserve"> considerar la posibilidad de elevar a la categoría primaria la atribución secundaria al servicio de exploración de la Tierra por satélite (SETS) (espacio-Tierra) en la banda de frecuencias [37,5-40,5 GHz] o de efectuar nuevas atribuciones de frecuencias a título primario en todo el mundo al servicio de exploración de la Tierra por satélite (espacio-Tierra) en ciertas bandas de frecuencias de la gama [40,5-52,4 GHz], de conformidad con la Resolución </w:t>
            </w:r>
            <w:r w:rsidRPr="003E6986">
              <w:rPr>
                <w:rFonts w:asciiTheme="minorHAnsi" w:hAnsiTheme="minorHAnsi" w:cstheme="minorHAnsi"/>
                <w:b/>
                <w:bCs/>
                <w:lang w:val="es-ES_tradnl"/>
              </w:rPr>
              <w:t>685 (CMR</w:t>
            </w:r>
            <w:r w:rsidRPr="003E6986">
              <w:rPr>
                <w:rFonts w:asciiTheme="minorHAnsi" w:hAnsiTheme="minorHAnsi" w:cstheme="minorHAnsi"/>
                <w:b/>
                <w:bCs/>
                <w:lang w:val="es-ES_tradnl"/>
              </w:rPr>
              <w:noBreakHyphen/>
              <w:t>23)</w:t>
            </w:r>
            <w:r w:rsidRPr="003E6986">
              <w:rPr>
                <w:rFonts w:asciiTheme="minorHAnsi" w:hAnsiTheme="minorHAnsi" w:cstheme="minorHAnsi"/>
                <w:lang w:val="es-ES_tradnl"/>
              </w:rPr>
              <w:t>;</w:t>
            </w:r>
          </w:p>
        </w:tc>
      </w:tr>
      <w:tr w:rsidR="00C15E0F" w:rsidRPr="003E6986" w14:paraId="1891482C" w14:textId="77777777" w:rsidTr="006D5A70">
        <w:tc>
          <w:tcPr>
            <w:tcW w:w="3280" w:type="dxa"/>
          </w:tcPr>
          <w:p w14:paraId="2AC12F97"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685 (</w:t>
            </w:r>
            <w:proofErr w:type="spellStart"/>
            <w:r w:rsidRPr="003E6986">
              <w:rPr>
                <w:rFonts w:asciiTheme="minorHAnsi" w:hAnsiTheme="minorHAnsi" w:cstheme="minorHAnsi"/>
                <w:b/>
                <w:bCs/>
                <w:sz w:val="20"/>
                <w:lang w:val="es-ES_tradnl"/>
              </w:rPr>
              <w:t>CMR</w:t>
            </w:r>
            <w:proofErr w:type="spellEnd"/>
            <w:r w:rsidRPr="003E6986">
              <w:rPr>
                <w:rFonts w:asciiTheme="minorHAnsi" w:hAnsiTheme="minorHAnsi" w:cstheme="minorHAnsi"/>
                <w:b/>
                <w:bCs/>
                <w:sz w:val="20"/>
                <w:lang w:val="es-ES_tradnl"/>
              </w:rPr>
              <w:t>-23)</w:t>
            </w:r>
          </w:p>
          <w:p w14:paraId="504B8288" w14:textId="77777777" w:rsidR="00C15E0F" w:rsidRPr="003E6986" w:rsidRDefault="00C15E0F" w:rsidP="00C15E0F">
            <w:pPr>
              <w:pStyle w:val="TableText0"/>
              <w:rPr>
                <w:rFonts w:asciiTheme="minorHAnsi" w:hAnsiTheme="minorHAnsi" w:cstheme="minorHAnsi"/>
                <w:sz w:val="20"/>
                <w:lang w:val="es-ES_tradnl"/>
              </w:rPr>
            </w:pPr>
            <w:bookmarkStart w:id="35" w:name="_Hlk145097628"/>
            <w:r w:rsidRPr="003E6986">
              <w:rPr>
                <w:rFonts w:asciiTheme="minorHAnsi" w:hAnsiTheme="minorHAnsi" w:cstheme="minorHAnsi"/>
                <w:bCs/>
                <w:sz w:val="20"/>
                <w:lang w:val="es-ES_tradnl"/>
              </w:rPr>
              <w:t>Estudios para nuevas atribuciones de frecuencias al servicio de exploración de la Tierra por satélite (espacio-Tierra) en la gama de frecuencias [37,5</w:t>
            </w:r>
            <w:r w:rsidRPr="003E6986">
              <w:rPr>
                <w:rFonts w:asciiTheme="minorHAnsi" w:hAnsiTheme="minorHAnsi" w:cstheme="minorHAnsi"/>
                <w:bCs/>
                <w:sz w:val="20"/>
                <w:lang w:val="es-ES_tradnl"/>
              </w:rPr>
              <w:noBreakHyphen/>
              <w:t>52,4 GHz</w:t>
            </w:r>
            <w:bookmarkEnd w:id="35"/>
            <w:r w:rsidRPr="003E6986">
              <w:rPr>
                <w:rFonts w:asciiTheme="minorHAnsi" w:hAnsiTheme="minorHAnsi" w:cstheme="minorHAnsi"/>
                <w:bCs/>
                <w:sz w:val="20"/>
                <w:lang w:val="es-ES_tradnl"/>
              </w:rPr>
              <w:t>]</w:t>
            </w:r>
            <w:r w:rsidRPr="003E6986">
              <w:rPr>
                <w:rStyle w:val="FootnoteReference"/>
                <w:rFonts w:asciiTheme="minorHAnsi" w:hAnsiTheme="minorHAnsi" w:cstheme="minorHAnsi"/>
                <w:sz w:val="20"/>
                <w:lang w:val="es-ES_tradnl"/>
              </w:rPr>
              <w:footnoteReference w:customMarkFollows="1" w:id="29"/>
              <w:t>*</w:t>
            </w:r>
          </w:p>
        </w:tc>
        <w:tc>
          <w:tcPr>
            <w:tcW w:w="1358" w:type="dxa"/>
          </w:tcPr>
          <w:p w14:paraId="7BDB6A9A" w14:textId="77777777" w:rsidR="00C15E0F" w:rsidRPr="003E6986" w:rsidRDefault="00C15E0F" w:rsidP="00734817">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7B</w:t>
            </w:r>
          </w:p>
        </w:tc>
        <w:tc>
          <w:tcPr>
            <w:tcW w:w="8290" w:type="dxa"/>
          </w:tcPr>
          <w:p w14:paraId="2B9595ED"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2031</w:t>
            </w:r>
          </w:p>
          <w:p w14:paraId="24A561DE" w14:textId="4282E4BC"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1</w:t>
            </w:r>
            <w:r w:rsidRPr="003E6986">
              <w:rPr>
                <w:rFonts w:asciiTheme="minorHAnsi" w:hAnsiTheme="minorHAnsi" w:cstheme="minorHAnsi"/>
                <w:lang w:val="es-ES_tradnl"/>
              </w:rPr>
              <w:tab/>
              <w:t>la revisión de la atribución existente al SETS (espacio-Tierra) e</w:t>
            </w:r>
            <w:r w:rsidR="00734817" w:rsidRPr="003E6986">
              <w:rPr>
                <w:rFonts w:asciiTheme="minorHAnsi" w:hAnsiTheme="minorHAnsi" w:cstheme="minorHAnsi"/>
                <w:lang w:val="es-ES_tradnl"/>
              </w:rPr>
              <w:t>n la banda de frecuencias [37,5</w:t>
            </w:r>
            <w:r w:rsidR="00734817" w:rsidRPr="003E6986">
              <w:rPr>
                <w:rFonts w:asciiTheme="minorHAnsi" w:hAnsiTheme="minorHAnsi" w:cstheme="minorHAnsi"/>
                <w:lang w:val="es-ES_tradnl"/>
              </w:rPr>
              <w:noBreakHyphen/>
            </w:r>
            <w:r w:rsidRPr="003E6986">
              <w:rPr>
                <w:rFonts w:asciiTheme="minorHAnsi" w:hAnsiTheme="minorHAnsi" w:cstheme="minorHAnsi"/>
                <w:lang w:val="es-ES_tradnl"/>
              </w:rPr>
              <w:t>40,5 GHz], y la realización de los estudios de compartición y compatibilidad que sean necesarios, a fin de determinar la viabilidad de elevar a título primario esta atribución de frecuencias y garantizar al mismo tiempo la protección de los servicios primarios;</w:t>
            </w:r>
          </w:p>
          <w:p w14:paraId="77A84109"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2</w:t>
            </w:r>
            <w:r w:rsidRPr="003E6986">
              <w:rPr>
                <w:rFonts w:asciiTheme="minorHAnsi" w:hAnsiTheme="minorHAnsi" w:cstheme="minorHAnsi"/>
                <w:lang w:val="es-ES_tradnl"/>
              </w:rPr>
              <w:tab/>
              <w:t>la identificación de bandas de frecuencias en la gama [40,5-52,4 GHz] y los estudios de compartición y compatibilidad que sean necesarios, a fin de determinar la viabilidad de efectuar nuevas atribuciones a título primario al SETS (espacio-Tierra) en estas bandas, y garantizar al mismo tiempo la protección de los servicios primarios,</w:t>
            </w:r>
          </w:p>
          <w:p w14:paraId="0CD3E9BD"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w:t>
            </w:r>
          </w:p>
          <w:p w14:paraId="38BAA7B1"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2031</w:t>
            </w:r>
          </w:p>
          <w:p w14:paraId="6BBFF555"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a considerar, sobre la base de los resultados de estudios, la posibilidad de elevar a título primario la atribución a título secundario al SETS (espacio-Tierra) en la banda de frecuencias [37,5-40,5 GHz] o realizar posibles atribuciones nuevas a nivel mundial a título primario al SETS (espacio-Tierra) en ciertas bandas de frecuencias de la gama [40,5</w:t>
            </w:r>
            <w:r w:rsidRPr="003E6986">
              <w:rPr>
                <w:rFonts w:asciiTheme="minorHAnsi" w:hAnsiTheme="minorHAnsi" w:cstheme="minorHAnsi"/>
                <w:lang w:val="es-ES_tradnl"/>
              </w:rPr>
              <w:noBreakHyphen/>
              <w:t>52,4 GHz],</w:t>
            </w:r>
          </w:p>
          <w:p w14:paraId="3E33BB62" w14:textId="77777777" w:rsidR="00C15E0F" w:rsidRPr="003E6986" w:rsidRDefault="00C15E0F" w:rsidP="00C15E0F">
            <w:pPr>
              <w:pStyle w:val="TableText0"/>
              <w:rPr>
                <w:rFonts w:asciiTheme="minorHAnsi" w:hAnsiTheme="minorHAnsi" w:cstheme="minorHAnsi"/>
                <w:sz w:val="20"/>
                <w:highlight w:val="cyan"/>
                <w:lang w:val="es-ES_tradnl"/>
              </w:rPr>
            </w:pPr>
            <w:r w:rsidRPr="003E6986">
              <w:rPr>
                <w:rFonts w:asciiTheme="minorHAnsi" w:hAnsiTheme="minorHAnsi" w:cstheme="minorHAnsi"/>
                <w:sz w:val="20"/>
                <w:lang w:val="es-ES_tradnl"/>
              </w:rPr>
              <w:t>…</w:t>
            </w:r>
          </w:p>
        </w:tc>
        <w:tc>
          <w:tcPr>
            <w:tcW w:w="1536" w:type="dxa"/>
          </w:tcPr>
          <w:p w14:paraId="61A88208" w14:textId="77777777" w:rsidR="00C15E0F" w:rsidRPr="003E6986" w:rsidRDefault="00C15E0F" w:rsidP="00734817">
            <w:pPr>
              <w:pStyle w:val="TableText0"/>
              <w:jc w:val="center"/>
              <w:rPr>
                <w:rFonts w:asciiTheme="minorHAnsi" w:hAnsiTheme="minorHAnsi" w:cstheme="minorHAnsi"/>
                <w:b/>
                <w:bCs/>
                <w:sz w:val="20"/>
                <w:lang w:val="es-ES_tradnl"/>
              </w:rPr>
            </w:pPr>
            <w:r w:rsidRPr="003E6986">
              <w:rPr>
                <w:rFonts w:asciiTheme="minorHAnsi" w:hAnsiTheme="minorHAnsi" w:cstheme="minorHAnsi"/>
                <w:b/>
                <w:sz w:val="20"/>
                <w:lang w:val="es-ES_tradnl"/>
              </w:rPr>
              <w:t>–</w:t>
            </w:r>
          </w:p>
        </w:tc>
      </w:tr>
    </w:tbl>
    <w:p w14:paraId="1B967D9A" w14:textId="77777777" w:rsidR="00B11EE6" w:rsidRDefault="00B11EE6">
      <w:r>
        <w:br w:type="page"/>
      </w:r>
    </w:p>
    <w:tbl>
      <w:tblPr>
        <w:tblpPr w:leftFromText="180" w:rightFromText="180" w:vertAnchor="text" w:tblpY="1"/>
        <w:tblOverlap w:val="never"/>
        <w:tblW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8222"/>
        <w:gridCol w:w="1564"/>
      </w:tblGrid>
      <w:tr w:rsidR="00B11EE6" w:rsidRPr="008653C7" w14:paraId="2D4EC8B7" w14:textId="77777777" w:rsidTr="005F72DB">
        <w:trPr>
          <w:tblHeader/>
        </w:trPr>
        <w:tc>
          <w:tcPr>
            <w:tcW w:w="14464" w:type="dxa"/>
            <w:gridSpan w:val="4"/>
            <w:tcBorders>
              <w:top w:val="nil"/>
              <w:left w:val="nil"/>
              <w:right w:val="nil"/>
            </w:tcBorders>
          </w:tcPr>
          <w:p w14:paraId="0DB32994" w14:textId="77777777" w:rsidR="00B11EE6" w:rsidRPr="003E6986" w:rsidRDefault="00B11EE6" w:rsidP="00B11EE6">
            <w:pPr>
              <w:pStyle w:val="Tablehead"/>
              <w:rPr>
                <w:color w:val="000000" w:themeColor="text1"/>
                <w:sz w:val="22"/>
                <w:lang w:val="es-ES_tradnl"/>
              </w:rPr>
            </w:pPr>
            <w:r w:rsidRPr="003E6986">
              <w:rPr>
                <w:color w:val="000000" w:themeColor="text1"/>
                <w:lang w:val="es-ES_tradnl"/>
              </w:rPr>
              <w:lastRenderedPageBreak/>
              <w:t xml:space="preserve">Atribución de los trabajos preparatorios del UIT-R para la </w:t>
            </w:r>
            <w:proofErr w:type="spellStart"/>
            <w:r w:rsidRPr="003E6986">
              <w:rPr>
                <w:color w:val="000000" w:themeColor="text1"/>
                <w:lang w:val="es-ES_tradnl"/>
              </w:rPr>
              <w:t>CMR</w:t>
            </w:r>
            <w:proofErr w:type="spellEnd"/>
            <w:r w:rsidRPr="003E6986">
              <w:rPr>
                <w:color w:val="000000" w:themeColor="text1"/>
                <w:lang w:val="es-ES_tradnl"/>
              </w:rPr>
              <w:t>-31</w:t>
            </w:r>
          </w:p>
        </w:tc>
      </w:tr>
      <w:tr w:rsidR="00B11EE6" w:rsidRPr="003E6986" w14:paraId="7A31A450" w14:textId="77777777" w:rsidTr="005F72DB">
        <w:trPr>
          <w:tblHeader/>
        </w:trPr>
        <w:tc>
          <w:tcPr>
            <w:tcW w:w="3261" w:type="dxa"/>
            <w:vAlign w:val="center"/>
          </w:tcPr>
          <w:p w14:paraId="4276E5ED" w14:textId="77777777" w:rsidR="00B11EE6" w:rsidRPr="003E6986" w:rsidRDefault="00B11EE6" w:rsidP="00B11EE6">
            <w:pPr>
              <w:pStyle w:val="Tablehead"/>
              <w:rPr>
                <w:color w:val="000000" w:themeColor="text1"/>
                <w:lang w:val="es-ES_tradnl"/>
              </w:rPr>
            </w:pPr>
            <w:r w:rsidRPr="003E6986">
              <w:rPr>
                <w:color w:val="000000" w:themeColor="text1"/>
                <w:lang w:val="es-ES_tradnl"/>
              </w:rPr>
              <w:t>Tema</w:t>
            </w:r>
          </w:p>
        </w:tc>
        <w:tc>
          <w:tcPr>
            <w:tcW w:w="1417" w:type="dxa"/>
            <w:vAlign w:val="center"/>
          </w:tcPr>
          <w:p w14:paraId="665F9FF2"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responsable</w:t>
            </w:r>
          </w:p>
        </w:tc>
        <w:tc>
          <w:tcPr>
            <w:tcW w:w="8222" w:type="dxa"/>
            <w:vAlign w:val="center"/>
          </w:tcPr>
          <w:p w14:paraId="7D87E180" w14:textId="77777777" w:rsidR="00B11EE6" w:rsidRPr="003E6986" w:rsidRDefault="00B11EE6" w:rsidP="00B11EE6">
            <w:pPr>
              <w:pStyle w:val="Tablehead"/>
              <w:rPr>
                <w:color w:val="000000" w:themeColor="text1"/>
                <w:lang w:val="es-ES_tradnl"/>
              </w:rPr>
            </w:pPr>
            <w:r w:rsidRPr="003E6986">
              <w:rPr>
                <w:color w:val="000000" w:themeColor="text1"/>
                <w:lang w:val="es-ES_tradnl"/>
              </w:rPr>
              <w:t>Cometido del Grupo</w:t>
            </w:r>
          </w:p>
        </w:tc>
        <w:tc>
          <w:tcPr>
            <w:tcW w:w="1564" w:type="dxa"/>
            <w:vAlign w:val="center"/>
          </w:tcPr>
          <w:p w14:paraId="60E2DC7D"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contribuyente</w:t>
            </w:r>
          </w:p>
        </w:tc>
      </w:tr>
    </w:tbl>
    <w:tbl>
      <w:tblPr>
        <w:tblW w:w="14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1358"/>
        <w:gridCol w:w="8290"/>
        <w:gridCol w:w="1536"/>
      </w:tblGrid>
      <w:tr w:rsidR="00C15E0F" w:rsidRPr="008653C7" w14:paraId="13DAF7C4" w14:textId="77777777" w:rsidTr="006D5A70">
        <w:tc>
          <w:tcPr>
            <w:tcW w:w="14464" w:type="dxa"/>
            <w:gridSpan w:val="4"/>
          </w:tcPr>
          <w:p w14:paraId="188A7C9B" w14:textId="222FB744" w:rsidR="00C15E0F" w:rsidRPr="003E6986" w:rsidRDefault="00C15E0F" w:rsidP="00FD58BD">
            <w:pPr>
              <w:pStyle w:val="Tabletext"/>
              <w:tabs>
                <w:tab w:val="clear" w:pos="284"/>
                <w:tab w:val="left" w:pos="594"/>
              </w:tabs>
              <w:jc w:val="both"/>
              <w:rPr>
                <w:rFonts w:asciiTheme="minorHAnsi" w:hAnsiTheme="minorHAnsi" w:cstheme="minorHAnsi"/>
                <w:lang w:val="es-ES_tradnl"/>
              </w:rPr>
            </w:pPr>
            <w:r w:rsidRPr="003E6986">
              <w:rPr>
                <w:rFonts w:asciiTheme="minorHAnsi" w:hAnsiTheme="minorHAnsi" w:cstheme="minorHAnsi"/>
                <w:lang w:val="es-ES_tradnl"/>
              </w:rPr>
              <w:t>2.12</w:t>
            </w:r>
            <w:r w:rsidRPr="003E6986">
              <w:rPr>
                <w:rFonts w:asciiTheme="minorHAnsi" w:eastAsiaTheme="minorHAnsi" w:hAnsiTheme="minorHAnsi" w:cstheme="minorHAnsi"/>
                <w:bCs/>
                <w:lang w:val="es-ES_tradnl"/>
              </w:rPr>
              <w:tab/>
            </w:r>
            <w:r w:rsidRPr="003E6986">
              <w:rPr>
                <w:rFonts w:asciiTheme="minorHAnsi" w:hAnsiTheme="minorHAnsi" w:cstheme="minorHAnsi"/>
                <w:szCs w:val="20"/>
                <w:lang w:val="es-ES_tradnl"/>
              </w:rPr>
              <w:t>considerar</w:t>
            </w:r>
            <w:r w:rsidRPr="003E6986">
              <w:rPr>
                <w:rFonts w:asciiTheme="minorHAnsi" w:hAnsiTheme="minorHAnsi" w:cstheme="minorHAnsi"/>
                <w:lang w:val="es-ES_tradnl"/>
              </w:rPr>
              <w:t xml:space="preserve"> la posibilidad de efectuar nuevas atribuciones al servicio de exploración de la Tierra por satélite (activo) en las bandas de frecuencias [3 000</w:t>
            </w:r>
            <w:r w:rsidRPr="003E6986">
              <w:rPr>
                <w:rFonts w:asciiTheme="minorHAnsi" w:hAnsiTheme="minorHAnsi" w:cstheme="minorHAnsi"/>
                <w:lang w:val="es-ES_tradnl"/>
              </w:rPr>
              <w:noBreakHyphen/>
              <w:t xml:space="preserve">3 100 MHz] y [3 300-3 400 MHz] a título secundario, de conformidad con la Resolución </w:t>
            </w:r>
            <w:r w:rsidRPr="003E6986">
              <w:rPr>
                <w:rFonts w:asciiTheme="minorHAnsi" w:hAnsiTheme="minorHAnsi" w:cstheme="minorHAnsi"/>
                <w:b/>
                <w:bCs/>
                <w:lang w:val="es-ES_tradnl"/>
              </w:rPr>
              <w:t>686 (CMR-23)</w:t>
            </w:r>
            <w:r w:rsidRPr="003E6986">
              <w:rPr>
                <w:rFonts w:asciiTheme="minorHAnsi" w:hAnsiTheme="minorHAnsi" w:cstheme="minorHAnsi"/>
                <w:lang w:val="es-ES_tradnl"/>
              </w:rPr>
              <w:t>;</w:t>
            </w:r>
          </w:p>
        </w:tc>
      </w:tr>
      <w:tr w:rsidR="00C15E0F" w:rsidRPr="003E6986" w14:paraId="26C19001" w14:textId="77777777" w:rsidTr="006D5A70">
        <w:tc>
          <w:tcPr>
            <w:tcW w:w="3280" w:type="dxa"/>
          </w:tcPr>
          <w:p w14:paraId="525FC92F"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686 (</w:t>
            </w:r>
            <w:proofErr w:type="spellStart"/>
            <w:r w:rsidRPr="003E6986">
              <w:rPr>
                <w:rFonts w:asciiTheme="minorHAnsi" w:hAnsiTheme="minorHAnsi" w:cstheme="minorHAnsi"/>
                <w:b/>
                <w:bCs/>
                <w:sz w:val="20"/>
                <w:lang w:val="es-ES_tradnl"/>
              </w:rPr>
              <w:t>CMR</w:t>
            </w:r>
            <w:proofErr w:type="spellEnd"/>
            <w:r w:rsidRPr="003E6986">
              <w:rPr>
                <w:rFonts w:asciiTheme="minorHAnsi" w:hAnsiTheme="minorHAnsi" w:cstheme="minorHAnsi"/>
                <w:b/>
                <w:bCs/>
                <w:sz w:val="20"/>
                <w:lang w:val="es-ES_tradnl"/>
              </w:rPr>
              <w:t>-23)</w:t>
            </w:r>
          </w:p>
          <w:p w14:paraId="3FB5E5A5"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Posible atribución a título secundario al servicio de exploración de la Tierra por satélite (activo) en las bandas de frecuencias [3 000-3 100 MHz] y [3 300-3 400 MHz]</w:t>
            </w:r>
            <w:r w:rsidRPr="003E6986">
              <w:rPr>
                <w:rStyle w:val="FootnoteReference"/>
                <w:rFonts w:asciiTheme="minorHAnsi" w:hAnsiTheme="minorHAnsi" w:cstheme="minorHAnsi"/>
                <w:sz w:val="20"/>
                <w:lang w:val="es-ES_tradnl"/>
              </w:rPr>
              <w:footnoteReference w:customMarkFollows="1" w:id="30"/>
              <w:t>*</w:t>
            </w:r>
          </w:p>
        </w:tc>
        <w:tc>
          <w:tcPr>
            <w:tcW w:w="1358" w:type="dxa"/>
          </w:tcPr>
          <w:p w14:paraId="4037AF0D" w14:textId="77777777" w:rsidR="00C15E0F" w:rsidRPr="003E6986" w:rsidRDefault="00C15E0F" w:rsidP="00734817">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7C</w:t>
            </w:r>
          </w:p>
        </w:tc>
        <w:tc>
          <w:tcPr>
            <w:tcW w:w="8290" w:type="dxa"/>
          </w:tcPr>
          <w:p w14:paraId="334363D5"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2031</w:t>
            </w:r>
          </w:p>
          <w:p w14:paraId="3B59C19D"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estudios sobre las necesidades de espectro y las posibilidades de compartición entre el SETS (activo) y los servicios de radiocomunicaciones establecidos en las bandas de frecuencias [3 000</w:t>
            </w:r>
            <w:r w:rsidRPr="003E6986">
              <w:rPr>
                <w:rFonts w:asciiTheme="minorHAnsi" w:hAnsiTheme="minorHAnsi" w:cstheme="minorHAnsi"/>
                <w:lang w:val="es-ES_tradnl"/>
              </w:rPr>
              <w:noBreakHyphen/>
              <w:t>3 100 MHz] y [3 300-3 400 MHz],</w:t>
            </w:r>
          </w:p>
          <w:p w14:paraId="7D6578B3"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2031</w:t>
            </w:r>
          </w:p>
          <w:p w14:paraId="38D474F9" w14:textId="121864A8"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a considerar los resultados de los estudios para una posible atribución nueva a título secundario al SETS (activo) destinada a los SAR a bordo de vehículos espaciales en l</w:t>
            </w:r>
            <w:r w:rsidR="00734817" w:rsidRPr="003E6986">
              <w:rPr>
                <w:rFonts w:asciiTheme="minorHAnsi" w:hAnsiTheme="minorHAnsi" w:cstheme="minorHAnsi"/>
                <w:lang w:val="es-ES_tradnl"/>
              </w:rPr>
              <w:t>as bandas de frecuencias [3 000</w:t>
            </w:r>
            <w:r w:rsidR="00734817" w:rsidRPr="003E6986">
              <w:rPr>
                <w:rFonts w:asciiTheme="minorHAnsi" w:hAnsiTheme="minorHAnsi" w:cstheme="minorHAnsi"/>
                <w:lang w:val="es-ES_tradnl"/>
              </w:rPr>
              <w:noBreakHyphen/>
              <w:t>3 100 MHz] y [3 300-3 </w:t>
            </w:r>
            <w:r w:rsidRPr="003E6986">
              <w:rPr>
                <w:rFonts w:asciiTheme="minorHAnsi" w:hAnsiTheme="minorHAnsi" w:cstheme="minorHAnsi"/>
                <w:lang w:val="es-ES_tradnl"/>
              </w:rPr>
              <w:t>400 MHz], teniendo en cuenta la protección de los servicios establecidos, y a tomar las medidas oportunas,</w:t>
            </w:r>
          </w:p>
          <w:p w14:paraId="4998375E" w14:textId="77777777" w:rsidR="00C15E0F" w:rsidRPr="003E6986" w:rsidRDefault="00C15E0F" w:rsidP="00C15E0F">
            <w:pPr>
              <w:pStyle w:val="TableText0"/>
              <w:rPr>
                <w:rFonts w:asciiTheme="minorHAnsi" w:hAnsiTheme="minorHAnsi" w:cstheme="minorHAnsi"/>
                <w:iCs/>
                <w:sz w:val="20"/>
                <w:lang w:val="es-ES_tradnl" w:eastAsia="zh-CN"/>
              </w:rPr>
            </w:pPr>
            <w:r w:rsidRPr="003E6986">
              <w:rPr>
                <w:rFonts w:asciiTheme="minorHAnsi" w:hAnsiTheme="minorHAnsi" w:cstheme="minorHAnsi"/>
                <w:sz w:val="20"/>
                <w:lang w:val="es-ES_tradnl"/>
              </w:rPr>
              <w:t>…</w:t>
            </w:r>
          </w:p>
        </w:tc>
        <w:tc>
          <w:tcPr>
            <w:tcW w:w="1536" w:type="dxa"/>
          </w:tcPr>
          <w:p w14:paraId="6F90F2DA" w14:textId="77777777" w:rsidR="00C15E0F" w:rsidRPr="003E6986" w:rsidRDefault="00C15E0F" w:rsidP="00734817">
            <w:pPr>
              <w:pStyle w:val="TableText0"/>
              <w:jc w:val="center"/>
              <w:rPr>
                <w:rFonts w:asciiTheme="minorHAnsi" w:hAnsiTheme="minorHAnsi" w:cstheme="minorHAnsi"/>
                <w:b/>
                <w:sz w:val="20"/>
                <w:lang w:val="es-ES_tradnl"/>
              </w:rPr>
            </w:pPr>
            <w:r w:rsidRPr="003E6986">
              <w:rPr>
                <w:rFonts w:asciiTheme="minorHAnsi" w:hAnsiTheme="minorHAnsi" w:cstheme="minorHAnsi"/>
                <w:b/>
                <w:sz w:val="20"/>
                <w:lang w:val="es-ES_tradnl"/>
              </w:rPr>
              <w:t>–</w:t>
            </w:r>
          </w:p>
        </w:tc>
      </w:tr>
    </w:tbl>
    <w:p w14:paraId="50282D99" w14:textId="77777777" w:rsidR="00B11EE6" w:rsidRDefault="00B11EE6">
      <w:r>
        <w:br w:type="page"/>
      </w:r>
    </w:p>
    <w:tbl>
      <w:tblPr>
        <w:tblpPr w:leftFromText="180" w:rightFromText="180" w:vertAnchor="text" w:tblpY="1"/>
        <w:tblOverlap w:val="never"/>
        <w:tblW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8222"/>
        <w:gridCol w:w="1564"/>
      </w:tblGrid>
      <w:tr w:rsidR="00B11EE6" w:rsidRPr="008653C7" w14:paraId="53268DF3" w14:textId="77777777" w:rsidTr="005F72DB">
        <w:trPr>
          <w:tblHeader/>
        </w:trPr>
        <w:tc>
          <w:tcPr>
            <w:tcW w:w="14464" w:type="dxa"/>
            <w:gridSpan w:val="4"/>
            <w:tcBorders>
              <w:top w:val="nil"/>
              <w:left w:val="nil"/>
              <w:right w:val="nil"/>
            </w:tcBorders>
          </w:tcPr>
          <w:p w14:paraId="1056206C" w14:textId="77777777" w:rsidR="00B11EE6" w:rsidRPr="003E6986" w:rsidRDefault="00B11EE6" w:rsidP="00B11EE6">
            <w:pPr>
              <w:pStyle w:val="Tablehead"/>
              <w:rPr>
                <w:color w:val="000000" w:themeColor="text1"/>
                <w:sz w:val="22"/>
                <w:lang w:val="es-ES_tradnl"/>
              </w:rPr>
            </w:pPr>
            <w:r w:rsidRPr="003E6986">
              <w:rPr>
                <w:color w:val="000000" w:themeColor="text1"/>
                <w:lang w:val="es-ES_tradnl"/>
              </w:rPr>
              <w:lastRenderedPageBreak/>
              <w:t xml:space="preserve">Atribución de los trabajos preparatorios del UIT-R para la </w:t>
            </w:r>
            <w:proofErr w:type="spellStart"/>
            <w:r w:rsidRPr="003E6986">
              <w:rPr>
                <w:color w:val="000000" w:themeColor="text1"/>
                <w:lang w:val="es-ES_tradnl"/>
              </w:rPr>
              <w:t>CMR</w:t>
            </w:r>
            <w:proofErr w:type="spellEnd"/>
            <w:r w:rsidRPr="003E6986">
              <w:rPr>
                <w:color w:val="000000" w:themeColor="text1"/>
                <w:lang w:val="es-ES_tradnl"/>
              </w:rPr>
              <w:t>-31</w:t>
            </w:r>
          </w:p>
        </w:tc>
      </w:tr>
      <w:tr w:rsidR="00B11EE6" w:rsidRPr="003E6986" w14:paraId="199FD377" w14:textId="77777777" w:rsidTr="005F72DB">
        <w:trPr>
          <w:tblHeader/>
        </w:trPr>
        <w:tc>
          <w:tcPr>
            <w:tcW w:w="3261" w:type="dxa"/>
            <w:vAlign w:val="center"/>
          </w:tcPr>
          <w:p w14:paraId="09207E65" w14:textId="77777777" w:rsidR="00B11EE6" w:rsidRPr="003E6986" w:rsidRDefault="00B11EE6" w:rsidP="00B11EE6">
            <w:pPr>
              <w:pStyle w:val="Tablehead"/>
              <w:rPr>
                <w:color w:val="000000" w:themeColor="text1"/>
                <w:lang w:val="es-ES_tradnl"/>
              </w:rPr>
            </w:pPr>
            <w:r w:rsidRPr="003E6986">
              <w:rPr>
                <w:color w:val="000000" w:themeColor="text1"/>
                <w:lang w:val="es-ES_tradnl"/>
              </w:rPr>
              <w:t>Tema</w:t>
            </w:r>
          </w:p>
        </w:tc>
        <w:tc>
          <w:tcPr>
            <w:tcW w:w="1417" w:type="dxa"/>
            <w:vAlign w:val="center"/>
          </w:tcPr>
          <w:p w14:paraId="3E9D975F"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responsable</w:t>
            </w:r>
          </w:p>
        </w:tc>
        <w:tc>
          <w:tcPr>
            <w:tcW w:w="8222" w:type="dxa"/>
            <w:vAlign w:val="center"/>
          </w:tcPr>
          <w:p w14:paraId="3EC4F792" w14:textId="77777777" w:rsidR="00B11EE6" w:rsidRPr="003E6986" w:rsidRDefault="00B11EE6" w:rsidP="00B11EE6">
            <w:pPr>
              <w:pStyle w:val="Tablehead"/>
              <w:rPr>
                <w:color w:val="000000" w:themeColor="text1"/>
                <w:lang w:val="es-ES_tradnl"/>
              </w:rPr>
            </w:pPr>
            <w:r w:rsidRPr="003E6986">
              <w:rPr>
                <w:color w:val="000000" w:themeColor="text1"/>
                <w:lang w:val="es-ES_tradnl"/>
              </w:rPr>
              <w:t>Cometido del Grupo</w:t>
            </w:r>
          </w:p>
        </w:tc>
        <w:tc>
          <w:tcPr>
            <w:tcW w:w="1564" w:type="dxa"/>
            <w:vAlign w:val="center"/>
          </w:tcPr>
          <w:p w14:paraId="255A70A3"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contribuyente</w:t>
            </w:r>
          </w:p>
        </w:tc>
      </w:tr>
    </w:tbl>
    <w:tbl>
      <w:tblPr>
        <w:tblW w:w="14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1358"/>
        <w:gridCol w:w="8290"/>
        <w:gridCol w:w="1536"/>
      </w:tblGrid>
      <w:tr w:rsidR="00C15E0F" w:rsidRPr="008653C7" w14:paraId="206E3FB4" w14:textId="77777777" w:rsidTr="006D5A70">
        <w:tc>
          <w:tcPr>
            <w:tcW w:w="14464" w:type="dxa"/>
            <w:gridSpan w:val="4"/>
          </w:tcPr>
          <w:p w14:paraId="6ABE451C" w14:textId="775D44E0" w:rsidR="00C15E0F" w:rsidRPr="003E6986" w:rsidRDefault="00C15E0F" w:rsidP="00FD58BD">
            <w:pPr>
              <w:pStyle w:val="Tabletext"/>
              <w:tabs>
                <w:tab w:val="clear" w:pos="284"/>
                <w:tab w:val="left" w:pos="594"/>
              </w:tabs>
              <w:jc w:val="both"/>
              <w:rPr>
                <w:rFonts w:asciiTheme="minorHAnsi" w:hAnsiTheme="minorHAnsi" w:cstheme="minorHAnsi"/>
                <w:b/>
                <w:bCs/>
                <w:lang w:val="es-ES_tradnl"/>
              </w:rPr>
            </w:pPr>
            <w:r w:rsidRPr="003E6986">
              <w:rPr>
                <w:rFonts w:asciiTheme="minorHAnsi" w:eastAsiaTheme="minorHAnsi" w:hAnsiTheme="minorHAnsi" w:cstheme="minorHAnsi"/>
                <w:bCs/>
                <w:lang w:val="es-ES_tradnl"/>
              </w:rPr>
              <w:t>2.13</w:t>
            </w:r>
            <w:r w:rsidRPr="003E6986">
              <w:rPr>
                <w:rFonts w:asciiTheme="minorHAnsi" w:eastAsiaTheme="minorHAnsi" w:hAnsiTheme="minorHAnsi" w:cstheme="minorHAnsi"/>
                <w:bCs/>
                <w:lang w:val="es-ES_tradnl"/>
              </w:rPr>
              <w:tab/>
            </w:r>
            <w:r w:rsidRPr="003E6986">
              <w:rPr>
                <w:rFonts w:asciiTheme="minorHAnsi" w:hAnsiTheme="minorHAnsi" w:cstheme="minorHAnsi"/>
                <w:lang w:val="es-ES_tradnl"/>
              </w:rPr>
              <w:t xml:space="preserve">considerar </w:t>
            </w:r>
            <w:r w:rsidRPr="003E6986">
              <w:rPr>
                <w:rFonts w:asciiTheme="minorHAnsi" w:hAnsiTheme="minorHAnsi" w:cstheme="minorHAnsi"/>
                <w:szCs w:val="20"/>
                <w:lang w:val="es-ES_tradnl"/>
              </w:rPr>
              <w:t>estudios</w:t>
            </w:r>
            <w:r w:rsidRPr="003E6986">
              <w:rPr>
                <w:rFonts w:asciiTheme="minorHAnsi" w:hAnsiTheme="minorHAnsi" w:cstheme="minorHAnsi"/>
                <w:lang w:val="es-ES_tradnl"/>
              </w:rPr>
              <w:t xml:space="preserve"> sobre la coexistencia de los radares de apertura sintética a bordo de vehículos espaciales del servicio de exploración de la Tierra por satélite (activo) con el servicio de radiodeterminación en la banda de frecuencias 9 200-10 400 MHz, y la adopción de otras medidas, según proceda, de conformidad con la Resolución</w:t>
            </w:r>
            <w:r w:rsidR="00A923A9">
              <w:rPr>
                <w:rFonts w:asciiTheme="minorHAnsi" w:hAnsiTheme="minorHAnsi" w:cstheme="minorHAnsi"/>
                <w:lang w:val="es-ES_tradnl"/>
              </w:rPr>
              <w:t> </w:t>
            </w:r>
            <w:r w:rsidRPr="003E6986">
              <w:rPr>
                <w:rFonts w:asciiTheme="minorHAnsi" w:hAnsiTheme="minorHAnsi" w:cstheme="minorHAnsi"/>
                <w:b/>
                <w:bCs/>
                <w:lang w:val="es-ES_tradnl"/>
              </w:rPr>
              <w:t>722</w:t>
            </w:r>
            <w:r w:rsidR="00734817" w:rsidRPr="003E6986">
              <w:rPr>
                <w:rFonts w:asciiTheme="minorHAnsi" w:hAnsiTheme="minorHAnsi" w:cstheme="minorHAnsi"/>
                <w:b/>
                <w:bCs/>
                <w:lang w:val="es-ES_tradnl"/>
              </w:rPr>
              <w:t> (</w:t>
            </w:r>
            <w:proofErr w:type="spellStart"/>
            <w:r w:rsidR="00734817" w:rsidRPr="003E6986">
              <w:rPr>
                <w:rFonts w:asciiTheme="minorHAnsi" w:hAnsiTheme="minorHAnsi" w:cstheme="minorHAnsi"/>
                <w:b/>
                <w:bCs/>
                <w:lang w:val="es-ES_tradnl"/>
              </w:rPr>
              <w:t>CMR</w:t>
            </w:r>
            <w:proofErr w:type="spellEnd"/>
            <w:r w:rsidR="00734817" w:rsidRPr="003E6986">
              <w:rPr>
                <w:rFonts w:asciiTheme="minorHAnsi" w:hAnsiTheme="minorHAnsi" w:cstheme="minorHAnsi"/>
                <w:b/>
                <w:bCs/>
                <w:lang w:val="es-ES_tradnl"/>
              </w:rPr>
              <w:noBreakHyphen/>
            </w:r>
            <w:r w:rsidRPr="003E6986">
              <w:rPr>
                <w:rFonts w:asciiTheme="minorHAnsi" w:hAnsiTheme="minorHAnsi" w:cstheme="minorHAnsi"/>
                <w:b/>
                <w:bCs/>
                <w:lang w:val="es-ES_tradnl"/>
              </w:rPr>
              <w:t>23)</w:t>
            </w:r>
            <w:r w:rsidRPr="003E6986">
              <w:rPr>
                <w:rFonts w:asciiTheme="minorHAnsi" w:hAnsiTheme="minorHAnsi" w:cstheme="minorHAnsi"/>
                <w:lang w:val="es-ES_tradnl"/>
              </w:rPr>
              <w:t>;</w:t>
            </w:r>
          </w:p>
        </w:tc>
      </w:tr>
      <w:tr w:rsidR="00C15E0F" w:rsidRPr="003E6986" w14:paraId="4C8BDFAE" w14:textId="77777777" w:rsidTr="006D5A70">
        <w:tc>
          <w:tcPr>
            <w:tcW w:w="3280" w:type="dxa"/>
            <w:tcBorders>
              <w:bottom w:val="nil"/>
            </w:tcBorders>
          </w:tcPr>
          <w:p w14:paraId="408EB1E2"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sz w:val="20"/>
                <w:lang w:val="es-ES_tradnl"/>
              </w:rPr>
              <w:t>722 (</w:t>
            </w:r>
            <w:proofErr w:type="spellStart"/>
            <w:r w:rsidRPr="003E6986">
              <w:rPr>
                <w:rFonts w:asciiTheme="minorHAnsi" w:hAnsiTheme="minorHAnsi" w:cstheme="minorHAnsi"/>
                <w:b/>
                <w:sz w:val="20"/>
                <w:lang w:val="es-ES_tradnl"/>
              </w:rPr>
              <w:t>CMR</w:t>
            </w:r>
            <w:proofErr w:type="spellEnd"/>
            <w:r w:rsidRPr="003E6986">
              <w:rPr>
                <w:rFonts w:asciiTheme="minorHAnsi" w:hAnsiTheme="minorHAnsi" w:cstheme="minorHAnsi"/>
                <w:b/>
                <w:sz w:val="20"/>
                <w:lang w:val="es-ES_tradnl"/>
              </w:rPr>
              <w:t>-23)</w:t>
            </w:r>
          </w:p>
          <w:p w14:paraId="3D4B0E9B"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 xml:space="preserve">Estudio de la coexistencia de los radares de apertura sintética a bordo de vehículos espaciales del servicio de exploración de la Tierra por satélite (activo) y el servicio de radiodeterminación en la banda de frecuencias </w:t>
            </w:r>
            <w:r w:rsidRPr="003E6986">
              <w:rPr>
                <w:rFonts w:asciiTheme="minorHAnsi" w:eastAsia="DengXian" w:hAnsiTheme="minorHAnsi" w:cstheme="minorHAnsi"/>
                <w:sz w:val="20"/>
                <w:lang w:val="es-ES_tradnl" w:eastAsia="zh-CN"/>
              </w:rPr>
              <w:t>[9 200-10 400 MHz]</w:t>
            </w:r>
            <w:r w:rsidRPr="003E6986">
              <w:rPr>
                <w:rStyle w:val="FootnoteReference"/>
                <w:rFonts w:asciiTheme="minorHAnsi" w:hAnsiTheme="minorHAnsi" w:cstheme="minorHAnsi"/>
                <w:sz w:val="20"/>
                <w:lang w:val="es-ES_tradnl"/>
              </w:rPr>
              <w:footnoteReference w:customMarkFollows="1" w:id="31"/>
              <w:t>*</w:t>
            </w:r>
          </w:p>
        </w:tc>
        <w:tc>
          <w:tcPr>
            <w:tcW w:w="1358" w:type="dxa"/>
            <w:tcBorders>
              <w:bottom w:val="nil"/>
            </w:tcBorders>
          </w:tcPr>
          <w:p w14:paraId="037C328B" w14:textId="77777777" w:rsidR="00C15E0F" w:rsidRPr="003E6986" w:rsidRDefault="00C15E0F" w:rsidP="00734817">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7C</w:t>
            </w:r>
            <w:r w:rsidRPr="003E6986">
              <w:rPr>
                <w:rStyle w:val="FootnoteReference"/>
                <w:rFonts w:asciiTheme="minorHAnsi" w:hAnsiTheme="minorHAnsi" w:cstheme="minorHAnsi"/>
                <w:b/>
                <w:bCs/>
                <w:sz w:val="20"/>
                <w:lang w:val="es-ES_tradnl"/>
              </w:rPr>
              <w:footnoteReference w:customMarkFollows="1" w:id="32"/>
              <w:sym w:font="Symbol" w:char="F02A"/>
            </w:r>
            <w:r w:rsidRPr="003E6986">
              <w:rPr>
                <w:rStyle w:val="FootnoteReference"/>
                <w:rFonts w:asciiTheme="minorHAnsi" w:hAnsiTheme="minorHAnsi" w:cstheme="minorHAnsi"/>
                <w:b/>
                <w:bCs/>
                <w:sz w:val="20"/>
                <w:lang w:val="es-ES_tradnl"/>
              </w:rPr>
              <w:sym w:font="Symbol" w:char="F02A"/>
            </w:r>
          </w:p>
        </w:tc>
        <w:tc>
          <w:tcPr>
            <w:tcW w:w="8290" w:type="dxa"/>
            <w:tcBorders>
              <w:bottom w:val="nil"/>
            </w:tcBorders>
          </w:tcPr>
          <w:p w14:paraId="4EABB6FE"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a finalizar a tiempo para la Conferencia Mundial de Radiocomunicaciones de 2031</w:t>
            </w:r>
          </w:p>
          <w:p w14:paraId="2C980677"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1</w:t>
            </w:r>
            <w:r w:rsidRPr="003E6986">
              <w:rPr>
                <w:rFonts w:asciiTheme="minorHAnsi" w:hAnsiTheme="minorHAnsi" w:cstheme="minorHAnsi"/>
                <w:lang w:val="es-ES_tradnl"/>
              </w:rPr>
              <w:tab/>
              <w:t>estudios de las características técnicas y operativas de los SAR del SETS (activo) en la banda de frecuencias 9 200-10 400 MHz;</w:t>
            </w:r>
          </w:p>
          <w:p w14:paraId="5F3CD50D"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eastAsia="DengXian" w:hAnsiTheme="minorHAnsi" w:cstheme="minorHAnsi"/>
                <w:lang w:val="es-ES_tradnl" w:eastAsia="zh-CN"/>
              </w:rPr>
              <w:t>2</w:t>
            </w:r>
            <w:r w:rsidRPr="003E6986">
              <w:rPr>
                <w:rFonts w:asciiTheme="minorHAnsi" w:hAnsiTheme="minorHAnsi" w:cstheme="minorHAnsi"/>
                <w:lang w:val="es-ES_tradnl"/>
              </w:rPr>
              <w:tab/>
              <w:t>estudios sobre la coexistencia de los SAR del SETS (activo) y el SRD en la banda de frecuencias 9 200</w:t>
            </w:r>
            <w:r w:rsidRPr="003E6986">
              <w:rPr>
                <w:rFonts w:asciiTheme="minorHAnsi" w:hAnsiTheme="minorHAnsi" w:cstheme="minorHAnsi"/>
                <w:lang w:val="es-ES_tradnl"/>
              </w:rPr>
              <w:noBreakHyphen/>
              <w:t>10 400 MHz,</w:t>
            </w:r>
          </w:p>
          <w:p w14:paraId="3BC63B0D"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w:t>
            </w:r>
          </w:p>
          <w:p w14:paraId="3ED427B5"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 la Conferencia Mundial de Radiocomunicaciones de 2031</w:t>
            </w:r>
          </w:p>
          <w:p w14:paraId="6C041741" w14:textId="77777777" w:rsidR="00C15E0F" w:rsidRPr="003E6986" w:rsidRDefault="00C15E0F" w:rsidP="00FD58BD">
            <w:pPr>
              <w:pStyle w:val="Tabletext"/>
              <w:tabs>
                <w:tab w:val="clear" w:pos="284"/>
                <w:tab w:val="left" w:pos="463"/>
              </w:tabs>
              <w:jc w:val="both"/>
              <w:rPr>
                <w:rFonts w:asciiTheme="minorHAnsi" w:hAnsiTheme="minorHAnsi" w:cstheme="minorHAnsi"/>
                <w:iCs/>
                <w:lang w:val="es-ES_tradnl" w:eastAsia="zh-CN"/>
              </w:rPr>
            </w:pPr>
            <w:r w:rsidRPr="003E6986">
              <w:rPr>
                <w:rFonts w:asciiTheme="minorHAnsi" w:hAnsiTheme="minorHAnsi" w:cstheme="minorHAnsi"/>
                <w:lang w:val="es-ES_tradnl"/>
              </w:rPr>
              <w:t>a considerar los resultados de los estudios del UIT-R mencionados y a adoptar medidas, según proceda.</w:t>
            </w:r>
          </w:p>
        </w:tc>
        <w:tc>
          <w:tcPr>
            <w:tcW w:w="1536" w:type="dxa"/>
            <w:tcBorders>
              <w:bottom w:val="nil"/>
            </w:tcBorders>
          </w:tcPr>
          <w:p w14:paraId="73FD03E8" w14:textId="2B452045" w:rsidR="00C15E0F" w:rsidRPr="003E6986" w:rsidRDefault="00734817" w:rsidP="00734817">
            <w:pPr>
              <w:pStyle w:val="TableText0"/>
              <w:jc w:val="center"/>
              <w:rPr>
                <w:rFonts w:asciiTheme="minorHAnsi" w:hAnsiTheme="minorHAnsi" w:cstheme="minorHAnsi"/>
                <w:b/>
                <w:bCs/>
                <w:sz w:val="20"/>
                <w:lang w:val="es-ES_tradnl"/>
              </w:rPr>
            </w:pPr>
            <w:r w:rsidRPr="003E6986">
              <w:rPr>
                <w:rFonts w:asciiTheme="minorHAnsi" w:hAnsiTheme="minorHAnsi" w:cstheme="minorHAnsi"/>
                <w:b/>
                <w:sz w:val="20"/>
                <w:lang w:val="es-ES_tradnl"/>
              </w:rPr>
              <w:t>–</w:t>
            </w:r>
          </w:p>
        </w:tc>
      </w:tr>
    </w:tbl>
    <w:p w14:paraId="763BF4EF" w14:textId="77777777" w:rsidR="00B11EE6" w:rsidRDefault="00B11EE6">
      <w:r>
        <w:br w:type="page"/>
      </w:r>
    </w:p>
    <w:tbl>
      <w:tblPr>
        <w:tblpPr w:leftFromText="180" w:rightFromText="180" w:vertAnchor="text" w:tblpY="1"/>
        <w:tblOverlap w:val="never"/>
        <w:tblW w:w="14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7"/>
        <w:gridCol w:w="8222"/>
        <w:gridCol w:w="1564"/>
      </w:tblGrid>
      <w:tr w:rsidR="00B11EE6" w:rsidRPr="008653C7" w14:paraId="33A7D068" w14:textId="77777777" w:rsidTr="005F72DB">
        <w:trPr>
          <w:tblHeader/>
        </w:trPr>
        <w:tc>
          <w:tcPr>
            <w:tcW w:w="14464" w:type="dxa"/>
            <w:gridSpan w:val="4"/>
            <w:tcBorders>
              <w:top w:val="nil"/>
              <w:left w:val="nil"/>
              <w:right w:val="nil"/>
            </w:tcBorders>
          </w:tcPr>
          <w:p w14:paraId="54A406DB" w14:textId="77777777" w:rsidR="00B11EE6" w:rsidRPr="003E6986" w:rsidRDefault="00B11EE6" w:rsidP="00B11EE6">
            <w:pPr>
              <w:pStyle w:val="Tablehead"/>
              <w:rPr>
                <w:color w:val="000000" w:themeColor="text1"/>
                <w:sz w:val="22"/>
                <w:lang w:val="es-ES_tradnl"/>
              </w:rPr>
            </w:pPr>
            <w:r w:rsidRPr="003E6986">
              <w:rPr>
                <w:color w:val="000000" w:themeColor="text1"/>
                <w:lang w:val="es-ES_tradnl"/>
              </w:rPr>
              <w:lastRenderedPageBreak/>
              <w:t xml:space="preserve">Atribución de los trabajos preparatorios del UIT-R para la </w:t>
            </w:r>
            <w:proofErr w:type="spellStart"/>
            <w:r w:rsidRPr="003E6986">
              <w:rPr>
                <w:color w:val="000000" w:themeColor="text1"/>
                <w:lang w:val="es-ES_tradnl"/>
              </w:rPr>
              <w:t>CMR</w:t>
            </w:r>
            <w:proofErr w:type="spellEnd"/>
            <w:r w:rsidRPr="003E6986">
              <w:rPr>
                <w:color w:val="000000" w:themeColor="text1"/>
                <w:lang w:val="es-ES_tradnl"/>
              </w:rPr>
              <w:t>-31</w:t>
            </w:r>
          </w:p>
        </w:tc>
      </w:tr>
      <w:tr w:rsidR="00B11EE6" w:rsidRPr="003E6986" w14:paraId="2CCBC3AA" w14:textId="77777777" w:rsidTr="005F72DB">
        <w:trPr>
          <w:tblHeader/>
        </w:trPr>
        <w:tc>
          <w:tcPr>
            <w:tcW w:w="3261" w:type="dxa"/>
            <w:vAlign w:val="center"/>
          </w:tcPr>
          <w:p w14:paraId="47F2FF3F" w14:textId="77777777" w:rsidR="00B11EE6" w:rsidRPr="003E6986" w:rsidRDefault="00B11EE6" w:rsidP="00B11EE6">
            <w:pPr>
              <w:pStyle w:val="Tablehead"/>
              <w:rPr>
                <w:color w:val="000000" w:themeColor="text1"/>
                <w:lang w:val="es-ES_tradnl"/>
              </w:rPr>
            </w:pPr>
            <w:r w:rsidRPr="003E6986">
              <w:rPr>
                <w:color w:val="000000" w:themeColor="text1"/>
                <w:lang w:val="es-ES_tradnl"/>
              </w:rPr>
              <w:t>Tema</w:t>
            </w:r>
          </w:p>
        </w:tc>
        <w:tc>
          <w:tcPr>
            <w:tcW w:w="1417" w:type="dxa"/>
            <w:vAlign w:val="center"/>
          </w:tcPr>
          <w:p w14:paraId="5036E914"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responsable</w:t>
            </w:r>
          </w:p>
        </w:tc>
        <w:tc>
          <w:tcPr>
            <w:tcW w:w="8222" w:type="dxa"/>
            <w:vAlign w:val="center"/>
          </w:tcPr>
          <w:p w14:paraId="65989242" w14:textId="77777777" w:rsidR="00B11EE6" w:rsidRPr="003E6986" w:rsidRDefault="00B11EE6" w:rsidP="00B11EE6">
            <w:pPr>
              <w:pStyle w:val="Tablehead"/>
              <w:rPr>
                <w:color w:val="000000" w:themeColor="text1"/>
                <w:lang w:val="es-ES_tradnl"/>
              </w:rPr>
            </w:pPr>
            <w:r w:rsidRPr="003E6986">
              <w:rPr>
                <w:color w:val="000000" w:themeColor="text1"/>
                <w:lang w:val="es-ES_tradnl"/>
              </w:rPr>
              <w:t>Cometido del Grupo</w:t>
            </w:r>
          </w:p>
        </w:tc>
        <w:tc>
          <w:tcPr>
            <w:tcW w:w="1564" w:type="dxa"/>
            <w:vAlign w:val="center"/>
          </w:tcPr>
          <w:p w14:paraId="292FE0B2" w14:textId="77777777" w:rsidR="00B11EE6" w:rsidRPr="003E6986" w:rsidRDefault="00B11EE6" w:rsidP="00B11EE6">
            <w:pPr>
              <w:pStyle w:val="Tablehead"/>
              <w:rPr>
                <w:color w:val="000000" w:themeColor="text1"/>
                <w:lang w:val="es-ES_tradnl"/>
              </w:rPr>
            </w:pPr>
            <w:r w:rsidRPr="003E6986">
              <w:rPr>
                <w:color w:val="000000" w:themeColor="text1"/>
                <w:lang w:val="es-ES_tradnl"/>
              </w:rPr>
              <w:t>Grupo contribuyente</w:t>
            </w:r>
          </w:p>
        </w:tc>
      </w:tr>
    </w:tbl>
    <w:tbl>
      <w:tblPr>
        <w:tblW w:w="14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1358"/>
        <w:gridCol w:w="8290"/>
        <w:gridCol w:w="1536"/>
      </w:tblGrid>
      <w:tr w:rsidR="00C15E0F" w:rsidRPr="008653C7" w14:paraId="7D9C76FA" w14:textId="77777777" w:rsidTr="006D5A70">
        <w:tc>
          <w:tcPr>
            <w:tcW w:w="14464" w:type="dxa"/>
            <w:gridSpan w:val="4"/>
          </w:tcPr>
          <w:p w14:paraId="2D10EE8E" w14:textId="306A39E6" w:rsidR="00C15E0F" w:rsidRPr="003E6986" w:rsidRDefault="00C15E0F" w:rsidP="00FD58BD">
            <w:pPr>
              <w:pStyle w:val="Tabletext"/>
              <w:tabs>
                <w:tab w:val="clear" w:pos="284"/>
                <w:tab w:val="left" w:pos="594"/>
              </w:tabs>
              <w:jc w:val="both"/>
              <w:rPr>
                <w:rFonts w:asciiTheme="minorHAnsi" w:hAnsiTheme="minorHAnsi" w:cstheme="minorHAnsi"/>
                <w:lang w:val="es-ES_tradnl"/>
              </w:rPr>
            </w:pPr>
            <w:r w:rsidRPr="003E6986">
              <w:rPr>
                <w:rFonts w:asciiTheme="minorHAnsi" w:hAnsiTheme="minorHAnsi" w:cstheme="minorHAnsi"/>
                <w:lang w:val="es-ES_tradnl"/>
              </w:rPr>
              <w:t>2.14</w:t>
            </w:r>
            <w:r w:rsidRPr="003E6986">
              <w:rPr>
                <w:rFonts w:asciiTheme="minorHAnsi" w:eastAsiaTheme="minorHAnsi" w:hAnsiTheme="minorHAnsi" w:cstheme="minorHAnsi"/>
                <w:bCs/>
                <w:lang w:val="es-ES_tradnl"/>
              </w:rPr>
              <w:tab/>
            </w:r>
            <w:r w:rsidRPr="003E6986">
              <w:rPr>
                <w:rFonts w:asciiTheme="minorHAnsi" w:hAnsiTheme="minorHAnsi" w:cstheme="minorHAnsi"/>
                <w:lang w:val="es-ES_tradnl"/>
              </w:rPr>
              <w:t xml:space="preserve">examinar la </w:t>
            </w:r>
            <w:r w:rsidRPr="003E6986">
              <w:rPr>
                <w:rFonts w:asciiTheme="minorHAnsi" w:hAnsiTheme="minorHAnsi" w:cstheme="minorHAnsi"/>
                <w:szCs w:val="20"/>
                <w:lang w:val="es-ES_tradnl"/>
              </w:rPr>
              <w:t>utilización</w:t>
            </w:r>
            <w:r w:rsidRPr="003E6986">
              <w:rPr>
                <w:rFonts w:asciiTheme="minorHAnsi" w:hAnsiTheme="minorHAnsi" w:cstheme="minorHAnsi"/>
                <w:lang w:val="es-ES_tradnl"/>
              </w:rPr>
              <w:t xml:space="preserve"> y las necesidades de espectro de las aplicaciones de los servicios móvil y de radiodifusión y considerar posibles medidas reglamentarias aplicables a la banda de frecuencias 470-694 MHz, o partes de </w:t>
            </w:r>
            <w:proofErr w:type="gramStart"/>
            <w:r w:rsidRPr="003E6986">
              <w:rPr>
                <w:rFonts w:asciiTheme="minorHAnsi" w:hAnsiTheme="minorHAnsi" w:cstheme="minorHAnsi"/>
                <w:lang w:val="es-ES_tradnl"/>
              </w:rPr>
              <w:t>la misma</w:t>
            </w:r>
            <w:proofErr w:type="gramEnd"/>
            <w:r w:rsidRPr="003E6986">
              <w:rPr>
                <w:rFonts w:asciiTheme="minorHAnsi" w:hAnsiTheme="minorHAnsi" w:cstheme="minorHAnsi"/>
                <w:lang w:val="es-ES_tradnl"/>
              </w:rPr>
              <w:t xml:space="preserve">, de conformidad con la Resolución </w:t>
            </w:r>
            <w:r w:rsidRPr="003E6986">
              <w:rPr>
                <w:rFonts w:asciiTheme="minorHAnsi" w:hAnsiTheme="minorHAnsi" w:cstheme="minorHAnsi"/>
                <w:b/>
                <w:bCs/>
                <w:lang w:val="es-ES_tradnl"/>
              </w:rPr>
              <w:t>235 (Rev.CMR-23)</w:t>
            </w:r>
            <w:r w:rsidRPr="003E6986">
              <w:rPr>
                <w:rFonts w:asciiTheme="minorHAnsi" w:hAnsiTheme="minorHAnsi" w:cstheme="minorHAnsi"/>
                <w:lang w:val="es-ES_tradnl"/>
              </w:rPr>
              <w:t>;</w:t>
            </w:r>
          </w:p>
        </w:tc>
      </w:tr>
      <w:tr w:rsidR="00C15E0F" w:rsidRPr="003E6986" w14:paraId="0FA93649" w14:textId="77777777" w:rsidTr="006D5A70">
        <w:tc>
          <w:tcPr>
            <w:tcW w:w="3280" w:type="dxa"/>
          </w:tcPr>
          <w:p w14:paraId="768D5A44"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Style w:val="href"/>
                <w:rFonts w:asciiTheme="minorHAnsi" w:hAnsiTheme="minorHAnsi" w:cstheme="minorHAnsi"/>
                <w:b/>
                <w:bCs/>
                <w:sz w:val="20"/>
                <w:lang w:val="es-ES_tradnl"/>
              </w:rPr>
              <w:t>235</w:t>
            </w:r>
            <w:r w:rsidRPr="003E6986">
              <w:rPr>
                <w:rFonts w:asciiTheme="minorHAnsi" w:hAnsiTheme="minorHAnsi" w:cstheme="minorHAnsi"/>
                <w:b/>
                <w:bCs/>
                <w:sz w:val="20"/>
                <w:lang w:val="es-ES_tradnl" w:eastAsia="nl-NL"/>
              </w:rPr>
              <w:t xml:space="preserve"> (</w:t>
            </w:r>
            <w:proofErr w:type="spellStart"/>
            <w:r w:rsidRPr="003E6986">
              <w:rPr>
                <w:rFonts w:asciiTheme="minorHAnsi" w:hAnsiTheme="minorHAnsi" w:cstheme="minorHAnsi"/>
                <w:b/>
                <w:bCs/>
                <w:sz w:val="20"/>
                <w:lang w:val="es-ES_tradnl" w:eastAsia="nl-NL"/>
              </w:rPr>
              <w:t>Rev.CMR</w:t>
            </w:r>
            <w:proofErr w:type="spellEnd"/>
            <w:r w:rsidRPr="003E6986">
              <w:rPr>
                <w:rFonts w:asciiTheme="minorHAnsi" w:hAnsiTheme="minorHAnsi" w:cstheme="minorHAnsi"/>
                <w:b/>
                <w:bCs/>
                <w:sz w:val="20"/>
                <w:lang w:val="es-ES_tradnl" w:eastAsia="nl-NL"/>
              </w:rPr>
              <w:t>-23)</w:t>
            </w:r>
          </w:p>
          <w:p w14:paraId="27CCCFE0"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eastAsia="nl-NL"/>
              </w:rPr>
              <w:t xml:space="preserve">Revisión de la utilización del espectro de la banda de frecuencias 470-694 MHz, o partes de </w:t>
            </w:r>
            <w:proofErr w:type="gramStart"/>
            <w:r w:rsidRPr="003E6986">
              <w:rPr>
                <w:rFonts w:asciiTheme="minorHAnsi" w:hAnsiTheme="minorHAnsi" w:cstheme="minorHAnsi"/>
                <w:sz w:val="20"/>
                <w:lang w:val="es-ES_tradnl" w:eastAsia="nl-NL"/>
              </w:rPr>
              <w:t>la misma</w:t>
            </w:r>
            <w:proofErr w:type="gramEnd"/>
            <w:r w:rsidRPr="003E6986">
              <w:rPr>
                <w:rFonts w:asciiTheme="minorHAnsi" w:hAnsiTheme="minorHAnsi" w:cstheme="minorHAnsi"/>
                <w:sz w:val="20"/>
                <w:lang w:val="es-ES_tradnl" w:eastAsia="nl-NL"/>
              </w:rPr>
              <w:t>, en la Región 1</w:t>
            </w:r>
          </w:p>
        </w:tc>
        <w:tc>
          <w:tcPr>
            <w:tcW w:w="1358" w:type="dxa"/>
          </w:tcPr>
          <w:p w14:paraId="774F90E0" w14:textId="77777777" w:rsidR="00C15E0F" w:rsidRPr="003E6986" w:rsidRDefault="00C15E0F" w:rsidP="00734817">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6A</w:t>
            </w:r>
          </w:p>
        </w:tc>
        <w:tc>
          <w:tcPr>
            <w:tcW w:w="8290" w:type="dxa"/>
          </w:tcPr>
          <w:p w14:paraId="4275CCAC" w14:textId="77777777" w:rsidR="00C15E0F" w:rsidRPr="003E6986" w:rsidRDefault="00C15E0F" w:rsidP="003B11B7">
            <w:pPr>
              <w:pStyle w:val="Tabletext"/>
              <w:tabs>
                <w:tab w:val="clear" w:pos="284"/>
                <w:tab w:val="left" w:pos="463"/>
              </w:tabs>
              <w:ind w:left="454"/>
              <w:jc w:val="both"/>
              <w:rPr>
                <w:rFonts w:eastAsia="???"/>
                <w:i/>
                <w:iCs/>
                <w:lang w:val="es-ES_tradnl" w:eastAsia="nl-NL"/>
              </w:rPr>
            </w:pPr>
            <w:bookmarkStart w:id="36" w:name="_Hlk153184657"/>
            <w:r w:rsidRPr="003E6986">
              <w:rPr>
                <w:rFonts w:eastAsia="???"/>
                <w:i/>
                <w:iCs/>
                <w:lang w:val="es-ES_tradnl" w:eastAsia="nl-NL"/>
              </w:rPr>
              <w:t>reconociendo</w:t>
            </w:r>
          </w:p>
          <w:p w14:paraId="3C39C085" w14:textId="77777777" w:rsidR="00C15E0F" w:rsidRPr="003E6986" w:rsidRDefault="00C15E0F" w:rsidP="00C15E0F">
            <w:pPr>
              <w:pStyle w:val="TableText0"/>
              <w:rPr>
                <w:rFonts w:asciiTheme="minorHAnsi" w:hAnsiTheme="minorHAnsi" w:cstheme="minorHAnsi"/>
                <w:sz w:val="20"/>
                <w:lang w:val="es-ES_tradnl"/>
              </w:rPr>
            </w:pPr>
            <w:r w:rsidRPr="003E6986">
              <w:rPr>
                <w:rFonts w:asciiTheme="minorHAnsi" w:hAnsiTheme="minorHAnsi" w:cstheme="minorHAnsi"/>
                <w:sz w:val="20"/>
                <w:lang w:val="es-ES_tradnl"/>
              </w:rPr>
              <w:t>…</w:t>
            </w:r>
          </w:p>
          <w:p w14:paraId="0E9B8696" w14:textId="77777777" w:rsidR="00C15E0F" w:rsidRPr="003E6986" w:rsidRDefault="00C15E0F" w:rsidP="00734817">
            <w:pPr>
              <w:pStyle w:val="Tabletext"/>
              <w:tabs>
                <w:tab w:val="clear" w:pos="284"/>
                <w:tab w:val="left" w:pos="463"/>
              </w:tabs>
              <w:jc w:val="both"/>
              <w:rPr>
                <w:rFonts w:asciiTheme="minorHAnsi" w:hAnsiTheme="minorHAnsi" w:cstheme="minorHAnsi"/>
                <w:highlight w:val="yellow"/>
                <w:lang w:val="es-ES_tradnl" w:eastAsia="nl-NL"/>
              </w:rPr>
            </w:pPr>
            <w:r w:rsidRPr="003E6986">
              <w:rPr>
                <w:rFonts w:asciiTheme="minorHAnsi" w:hAnsiTheme="minorHAnsi" w:cstheme="minorHAnsi"/>
                <w:i/>
                <w:iCs/>
                <w:lang w:val="es-ES_tradnl"/>
              </w:rPr>
              <w:t>g)</w:t>
            </w:r>
            <w:r w:rsidRPr="003E6986">
              <w:rPr>
                <w:rFonts w:asciiTheme="minorHAnsi" w:hAnsiTheme="minorHAnsi" w:cstheme="minorHAnsi"/>
                <w:lang w:val="es-ES_tradnl"/>
              </w:rPr>
              <w:tab/>
              <w:t xml:space="preserve">las necesidades actuales del SMT atribuido a título secundario para las aplicaciones auxiliares a la radiodifusión y auxiliares a la elaboración de programas en virtud del número </w:t>
            </w:r>
            <w:r w:rsidRPr="003E6986">
              <w:rPr>
                <w:rStyle w:val="Artref"/>
                <w:rFonts w:asciiTheme="minorHAnsi" w:hAnsiTheme="minorHAnsi" w:cstheme="minorHAnsi"/>
                <w:b/>
                <w:bCs/>
                <w:lang w:val="es-ES_tradnl"/>
              </w:rPr>
              <w:t>5.296</w:t>
            </w:r>
            <w:r w:rsidRPr="003E6986">
              <w:rPr>
                <w:rFonts w:asciiTheme="minorHAnsi" w:hAnsiTheme="minorHAnsi" w:cstheme="minorHAnsi"/>
                <w:lang w:val="es-ES_tradnl"/>
              </w:rPr>
              <w:t xml:space="preserve"> en la banda de frecuencias 470-694 MHz, y que las estaciones del SMT de los países enumerados en la presente nota no causarán interferencia perjudicial a las estaciones existentes o previstas, teniendo en cuenta la necesidad de evaluar la demanda de estas aplicaciones en distintas administraciones,</w:t>
            </w:r>
          </w:p>
          <w:p w14:paraId="7F86DAEA" w14:textId="182CFEC6" w:rsidR="00C15E0F" w:rsidRPr="003E6986" w:rsidRDefault="00C15E0F" w:rsidP="00C15E0F">
            <w:pPr>
              <w:pStyle w:val="TableText0"/>
              <w:rPr>
                <w:rFonts w:asciiTheme="minorHAnsi" w:hAnsiTheme="minorHAnsi" w:cstheme="minorHAnsi"/>
                <w:sz w:val="20"/>
                <w:lang w:val="es-ES_tradnl" w:eastAsia="nl-NL"/>
              </w:rPr>
            </w:pPr>
            <w:r w:rsidRPr="003E6986">
              <w:rPr>
                <w:rFonts w:asciiTheme="minorHAnsi" w:hAnsiTheme="minorHAnsi" w:cstheme="minorHAnsi"/>
                <w:sz w:val="20"/>
                <w:lang w:val="es-ES_tradnl"/>
              </w:rPr>
              <w:t>...</w:t>
            </w:r>
          </w:p>
          <w:bookmarkEnd w:id="36"/>
          <w:p w14:paraId="73894C93"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resuelve invitar al Sector de Radiocomunicaciones de la UIT, tras la Conferencia Mundial de Radiocomunicaciones de 2027 y a tiempo para la Conferencia Mundial de Radiocomunicaciones de 2031</w:t>
            </w:r>
          </w:p>
          <w:p w14:paraId="754B901F"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1</w:t>
            </w:r>
            <w:r w:rsidRPr="003E6986">
              <w:rPr>
                <w:rFonts w:asciiTheme="minorHAnsi" w:hAnsiTheme="minorHAnsi" w:cstheme="minorHAnsi"/>
                <w:lang w:val="es-ES_tradnl"/>
              </w:rPr>
              <w:tab/>
              <w:t xml:space="preserve">a examinar la utilización del espectro y las necesidades de las aplicaciones de los servicios móvil y de radiodifusión, teniendo en cuenta el </w:t>
            </w:r>
            <w:r w:rsidRPr="003E6986">
              <w:rPr>
                <w:rFonts w:asciiTheme="minorHAnsi" w:hAnsiTheme="minorHAnsi" w:cstheme="minorHAnsi"/>
                <w:i/>
                <w:iCs/>
                <w:lang w:val="es-ES_tradnl"/>
              </w:rPr>
              <w:t>reconociendo g),</w:t>
            </w:r>
            <w:r w:rsidRPr="003E6986">
              <w:rPr>
                <w:rFonts w:asciiTheme="minorHAnsi" w:hAnsiTheme="minorHAnsi" w:cstheme="minorHAnsi"/>
                <w:lang w:val="es-ES_tradnl"/>
              </w:rPr>
              <w:t xml:space="preserve"> en la banda de frecuencias 470-694 MHz, o partes de </w:t>
            </w:r>
            <w:proofErr w:type="gramStart"/>
            <w:r w:rsidRPr="003E6986">
              <w:rPr>
                <w:rFonts w:asciiTheme="minorHAnsi" w:hAnsiTheme="minorHAnsi" w:cstheme="minorHAnsi"/>
                <w:lang w:val="es-ES_tradnl"/>
              </w:rPr>
              <w:t>la misma</w:t>
            </w:r>
            <w:proofErr w:type="gramEnd"/>
            <w:r w:rsidRPr="003E6986">
              <w:rPr>
                <w:rFonts w:asciiTheme="minorHAnsi" w:hAnsiTheme="minorHAnsi" w:cstheme="minorHAnsi"/>
                <w:lang w:val="es-ES_tradnl"/>
              </w:rPr>
              <w:t xml:space="preserve">, de conformidad con el número </w:t>
            </w:r>
            <w:r w:rsidRPr="003E6986">
              <w:rPr>
                <w:rFonts w:asciiTheme="minorHAnsi" w:hAnsiTheme="minorHAnsi" w:cstheme="minorHAnsi"/>
                <w:b/>
                <w:bCs/>
                <w:lang w:val="es-ES_tradnl"/>
              </w:rPr>
              <w:t>5.15A</w:t>
            </w:r>
            <w:r w:rsidRPr="003E6986">
              <w:rPr>
                <w:rFonts w:asciiTheme="minorHAnsi" w:hAnsiTheme="minorHAnsi" w:cstheme="minorHAnsi"/>
                <w:lang w:val="es-ES_tradnl"/>
              </w:rPr>
              <w:t>;</w:t>
            </w:r>
          </w:p>
          <w:p w14:paraId="6EE4E4AD" w14:textId="77777777" w:rsidR="00C15E0F" w:rsidRPr="003E6986" w:rsidRDefault="00C15E0F" w:rsidP="00FD58BD">
            <w:pPr>
              <w:pStyle w:val="Tabletext"/>
              <w:tabs>
                <w:tab w:val="clear" w:pos="284"/>
                <w:tab w:val="left" w:pos="463"/>
              </w:tabs>
              <w:jc w:val="both"/>
              <w:rPr>
                <w:rFonts w:asciiTheme="minorHAnsi" w:hAnsiTheme="minorHAnsi" w:cstheme="minorHAnsi"/>
                <w:highlight w:val="yellow"/>
                <w:lang w:val="es-ES_tradnl"/>
              </w:rPr>
            </w:pPr>
            <w:r w:rsidRPr="003E6986">
              <w:rPr>
                <w:rFonts w:asciiTheme="minorHAnsi" w:hAnsiTheme="minorHAnsi" w:cstheme="minorHAnsi"/>
                <w:lang w:val="es-ES_tradnl" w:eastAsia="nl-NL"/>
              </w:rPr>
              <w:t>2</w:t>
            </w:r>
            <w:r w:rsidRPr="003E6986">
              <w:rPr>
                <w:rFonts w:asciiTheme="minorHAnsi" w:hAnsiTheme="minorHAnsi" w:cstheme="minorHAnsi"/>
                <w:lang w:val="es-ES_tradnl" w:eastAsia="nl-NL"/>
              </w:rPr>
              <w:tab/>
              <w:t xml:space="preserve">sobre </w:t>
            </w:r>
            <w:r w:rsidRPr="003E6986">
              <w:rPr>
                <w:rFonts w:asciiTheme="minorHAnsi" w:hAnsiTheme="minorHAnsi" w:cstheme="minorHAnsi"/>
                <w:lang w:val="es-ES_tradnl"/>
              </w:rPr>
              <w:t>la</w:t>
            </w:r>
            <w:r w:rsidRPr="003E6986">
              <w:rPr>
                <w:rFonts w:asciiTheme="minorHAnsi" w:hAnsiTheme="minorHAnsi" w:cstheme="minorHAnsi"/>
                <w:lang w:val="es-ES_tradnl" w:eastAsia="nl-NL"/>
              </w:rPr>
              <w:t xml:space="preserve"> base del examen mencionado en el </w:t>
            </w:r>
            <w:r w:rsidRPr="003E6986">
              <w:rPr>
                <w:rFonts w:asciiTheme="minorHAnsi" w:hAnsiTheme="minorHAnsi" w:cstheme="minorHAnsi"/>
                <w:i/>
                <w:iCs/>
                <w:lang w:val="es-ES_tradnl" w:eastAsia="nl-NL"/>
              </w:rPr>
              <w:t>resuelve</w:t>
            </w:r>
            <w:r w:rsidRPr="003E6986">
              <w:rPr>
                <w:rFonts w:asciiTheme="minorHAnsi" w:hAnsiTheme="minorHAnsi" w:cstheme="minorHAnsi"/>
                <w:lang w:val="es-ES_tradnl" w:eastAsia="nl-NL"/>
              </w:rPr>
              <w:t xml:space="preserve"> </w:t>
            </w:r>
            <w:r w:rsidRPr="003E6986">
              <w:rPr>
                <w:rFonts w:asciiTheme="minorHAnsi" w:hAnsiTheme="minorHAnsi" w:cstheme="minorHAnsi"/>
                <w:i/>
                <w:iCs/>
                <w:lang w:val="es-ES_tradnl" w:eastAsia="nl-NL"/>
              </w:rPr>
              <w:t xml:space="preserve">invitar al Sector de Radiocomunicaciones de la UIT, tras la Conferencia Mundial de Radiocomunicaciones de 2027 y a tiempo para la Conferencia Mundial de Radiocomunicaciones de 2031 </w:t>
            </w:r>
            <w:r w:rsidRPr="003E6986">
              <w:rPr>
                <w:rFonts w:asciiTheme="minorHAnsi" w:hAnsiTheme="minorHAnsi" w:cstheme="minorHAnsi"/>
                <w:lang w:val="es-ES_tradnl" w:eastAsia="nl-NL"/>
              </w:rPr>
              <w:t xml:space="preserve">1, actualizar los estudios de compartición y compatibilidad, con respecto a las condiciones de coexistencia, y desarrollar nuevos estudios, según proceda, habida cuenta de los servicios existentes atribuidos a título primario o secundario con arreglo al número </w:t>
            </w:r>
            <w:r w:rsidRPr="003E6986">
              <w:rPr>
                <w:rStyle w:val="Artref"/>
                <w:rFonts w:asciiTheme="minorHAnsi" w:hAnsiTheme="minorHAnsi" w:cstheme="minorHAnsi"/>
                <w:b/>
                <w:bCs/>
                <w:lang w:val="es-ES_tradnl" w:eastAsia="nl-NL"/>
              </w:rPr>
              <w:t>5.15A</w:t>
            </w:r>
            <w:r w:rsidRPr="003E6986">
              <w:rPr>
                <w:rFonts w:asciiTheme="minorHAnsi" w:hAnsiTheme="minorHAnsi" w:cstheme="minorHAnsi"/>
                <w:lang w:val="es-ES_tradnl" w:eastAsia="nl-NL"/>
              </w:rPr>
              <w:t>, y proponer condiciones técnicas y reglamentarias,</w:t>
            </w:r>
          </w:p>
          <w:p w14:paraId="5E25C4F2"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alienta a las administraciones</w:t>
            </w:r>
          </w:p>
          <w:p w14:paraId="6A015ABE"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1</w:t>
            </w:r>
            <w:r w:rsidRPr="003E6986">
              <w:rPr>
                <w:rFonts w:asciiTheme="minorHAnsi" w:hAnsiTheme="minorHAnsi" w:cstheme="minorHAnsi"/>
                <w:lang w:val="es-ES_tradnl"/>
              </w:rPr>
              <w:tab/>
              <w:t>a participar activamente en los estudios presentando sus contribuciones al UIT</w:t>
            </w:r>
            <w:r w:rsidRPr="003E6986">
              <w:rPr>
                <w:rFonts w:asciiTheme="minorHAnsi" w:hAnsiTheme="minorHAnsi" w:cstheme="minorHAnsi"/>
                <w:lang w:val="es-ES_tradnl"/>
              </w:rPr>
              <w:noBreakHyphen/>
              <w:t>R;</w:t>
            </w:r>
          </w:p>
          <w:p w14:paraId="51031B44"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2</w:t>
            </w:r>
            <w:r w:rsidRPr="003E6986">
              <w:rPr>
                <w:rFonts w:asciiTheme="minorHAnsi" w:hAnsiTheme="minorHAnsi" w:cstheme="minorHAnsi"/>
                <w:lang w:val="es-ES_tradnl"/>
              </w:rPr>
              <w:tab/>
              <w:t>a considerar la posibilidad de poner a disposición espectro para la continuidad del funcionamiento de los SAB/SAP teniendo en cuenta la Resolución UIT-R 59;</w:t>
            </w:r>
          </w:p>
          <w:p w14:paraId="7F39DD49"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3</w:t>
            </w:r>
            <w:r w:rsidRPr="003E6986">
              <w:rPr>
                <w:rFonts w:asciiTheme="minorHAnsi" w:hAnsiTheme="minorHAnsi" w:cstheme="minorHAnsi"/>
                <w:lang w:val="es-ES_tradnl"/>
              </w:rPr>
              <w:tab/>
              <w:t xml:space="preserve">a adoptar las medidas adecuadas para proteger las estaciones del servicio de radioastronomía (véanse los números </w:t>
            </w:r>
            <w:r w:rsidRPr="003E6986">
              <w:rPr>
                <w:rStyle w:val="Artref"/>
                <w:rFonts w:asciiTheme="minorHAnsi" w:hAnsiTheme="minorHAnsi" w:cstheme="minorHAnsi"/>
                <w:b/>
                <w:bCs/>
                <w:lang w:val="es-ES_tradnl"/>
              </w:rPr>
              <w:t>5.304</w:t>
            </w:r>
            <w:r w:rsidRPr="003E6986">
              <w:rPr>
                <w:rFonts w:asciiTheme="minorHAnsi" w:hAnsiTheme="minorHAnsi" w:cstheme="minorHAnsi"/>
                <w:lang w:val="es-ES_tradnl"/>
              </w:rPr>
              <w:t xml:space="preserve"> y </w:t>
            </w:r>
            <w:r w:rsidRPr="003E6986">
              <w:rPr>
                <w:rStyle w:val="Artref"/>
                <w:rFonts w:asciiTheme="minorHAnsi" w:hAnsiTheme="minorHAnsi" w:cstheme="minorHAnsi"/>
                <w:b/>
                <w:bCs/>
                <w:lang w:val="es-ES_tradnl"/>
              </w:rPr>
              <w:t>5.306</w:t>
            </w:r>
            <w:r w:rsidRPr="003E6986">
              <w:rPr>
                <w:rFonts w:asciiTheme="minorHAnsi" w:hAnsiTheme="minorHAnsi" w:cstheme="minorHAnsi"/>
                <w:lang w:val="es-ES_tradnl"/>
              </w:rPr>
              <w:t>) contra las estaciones del servicio móvil, de conformidad con el Reglamento de Radiocomunicaciones,</w:t>
            </w:r>
          </w:p>
          <w:p w14:paraId="69EB34B3"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 la Conferencia Mundial de Radiocomunicaciones de 2031</w:t>
            </w:r>
          </w:p>
          <w:p w14:paraId="7F51A88A"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a considerar, tomando como base los resultados de los estudios del UIT-R:</w:t>
            </w:r>
          </w:p>
          <w:p w14:paraId="7ABBBD73" w14:textId="77777777" w:rsidR="00C15E0F" w:rsidRPr="003E6986" w:rsidRDefault="00C15E0F" w:rsidP="00734817">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i/>
                <w:iCs/>
                <w:lang w:val="es-ES_tradnl"/>
              </w:rPr>
              <w:lastRenderedPageBreak/>
              <w:t>a)</w:t>
            </w:r>
            <w:r w:rsidRPr="003E6986">
              <w:rPr>
                <w:rFonts w:asciiTheme="minorHAnsi" w:hAnsiTheme="minorHAnsi" w:cstheme="minorHAnsi"/>
                <w:lang w:val="es-ES_tradnl"/>
              </w:rPr>
              <w:tab/>
              <w:t>posibles medidas reglamentarias, incluida una revisión de la atribución de la banda de frecuencias 614-694 MHz, al servicio móvil en los países enumerados en el número </w:t>
            </w:r>
            <w:r w:rsidRPr="003E6986">
              <w:rPr>
                <w:rFonts w:asciiTheme="minorHAnsi" w:hAnsiTheme="minorHAnsi" w:cstheme="minorHAnsi"/>
                <w:b/>
                <w:bCs/>
                <w:lang w:val="es-ES_tradnl"/>
              </w:rPr>
              <w:t>5.15A</w:t>
            </w:r>
            <w:r w:rsidRPr="003E6986">
              <w:rPr>
                <w:rFonts w:asciiTheme="minorHAnsi" w:hAnsiTheme="minorHAnsi" w:cstheme="minorHAnsi"/>
                <w:lang w:val="es-ES_tradnl"/>
              </w:rPr>
              <w:t>;</w:t>
            </w:r>
          </w:p>
          <w:p w14:paraId="0F5FE6C8" w14:textId="77777777" w:rsidR="00C15E0F" w:rsidRPr="003E6986" w:rsidRDefault="00C15E0F" w:rsidP="00734817">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i/>
                <w:iCs/>
                <w:lang w:val="es-ES_tradnl"/>
              </w:rPr>
              <w:t>b)</w:t>
            </w:r>
            <w:r w:rsidRPr="003E6986">
              <w:rPr>
                <w:rFonts w:asciiTheme="minorHAnsi" w:hAnsiTheme="minorHAnsi" w:cstheme="minorHAnsi"/>
                <w:lang w:val="es-ES_tradnl"/>
              </w:rPr>
              <w:tab/>
              <w:t xml:space="preserve">y también una posible medida reglamentaria para proteger el servicio de radioastronomía en la banda de frecuencias 608-614 MHz atribuida a dicho servicio en algunos países de la Región 1, teniendo en cuenta los resultados del </w:t>
            </w:r>
            <w:r w:rsidRPr="003E6986">
              <w:rPr>
                <w:rFonts w:asciiTheme="minorHAnsi" w:hAnsiTheme="minorHAnsi" w:cstheme="minorHAnsi"/>
                <w:i/>
                <w:iCs/>
                <w:lang w:val="es-ES_tradnl"/>
              </w:rPr>
              <w:t>invitar a la Conferencia Mundial de Radiocomunicaciones de 2031a)</w:t>
            </w:r>
            <w:r w:rsidRPr="003E6986">
              <w:rPr>
                <w:rFonts w:asciiTheme="minorHAnsi" w:hAnsiTheme="minorHAnsi" w:cstheme="minorHAnsi"/>
                <w:lang w:val="es-ES_tradnl"/>
              </w:rPr>
              <w:t xml:space="preserve"> anteriormente citado,</w:t>
            </w:r>
          </w:p>
          <w:p w14:paraId="6D253FD3" w14:textId="77777777" w:rsidR="00C15E0F" w:rsidRPr="003E6986" w:rsidRDefault="00C15E0F" w:rsidP="003B11B7">
            <w:pPr>
              <w:pStyle w:val="Tabletext"/>
              <w:tabs>
                <w:tab w:val="clear" w:pos="284"/>
                <w:tab w:val="left" w:pos="463"/>
              </w:tabs>
              <w:ind w:left="454"/>
              <w:jc w:val="both"/>
              <w:rPr>
                <w:rFonts w:eastAsia="???"/>
                <w:i/>
                <w:iCs/>
                <w:lang w:val="es-ES_tradnl" w:eastAsia="nl-NL"/>
              </w:rPr>
            </w:pPr>
            <w:r w:rsidRPr="003E6986">
              <w:rPr>
                <w:rFonts w:eastAsia="???"/>
                <w:i/>
                <w:iCs/>
                <w:lang w:val="es-ES_tradnl" w:eastAsia="nl-NL"/>
              </w:rPr>
              <w:t>invita además al Sector de Radiocomunicaciones de la UIT</w:t>
            </w:r>
          </w:p>
          <w:p w14:paraId="490E7232" w14:textId="77777777" w:rsidR="00C15E0F" w:rsidRPr="003E6986" w:rsidRDefault="00C15E0F" w:rsidP="00FD58BD">
            <w:pPr>
              <w:pStyle w:val="Tabletext"/>
              <w:tabs>
                <w:tab w:val="clear" w:pos="284"/>
                <w:tab w:val="left" w:pos="463"/>
              </w:tabs>
              <w:jc w:val="both"/>
              <w:rPr>
                <w:rFonts w:asciiTheme="minorHAnsi" w:hAnsiTheme="minorHAnsi" w:cstheme="minorHAnsi"/>
                <w:lang w:val="es-ES_tradnl"/>
              </w:rPr>
            </w:pPr>
            <w:r w:rsidRPr="003E6986">
              <w:rPr>
                <w:rFonts w:asciiTheme="minorHAnsi" w:hAnsiTheme="minorHAnsi" w:cstheme="minorHAnsi"/>
                <w:lang w:val="es-ES_tradnl"/>
              </w:rPr>
              <w:t>a garantizar la colaboración intersectorial con el Sector de Desarrollo de las Telecomunicaciones de la UIT para la aplicación de la presente Resolución.</w:t>
            </w:r>
          </w:p>
        </w:tc>
        <w:tc>
          <w:tcPr>
            <w:tcW w:w="1536" w:type="dxa"/>
          </w:tcPr>
          <w:p w14:paraId="4A3FBB69" w14:textId="77777777" w:rsidR="00C15E0F" w:rsidRPr="003E6986" w:rsidRDefault="00C15E0F" w:rsidP="00734817">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lastRenderedPageBreak/>
              <w:t>SG 5</w:t>
            </w:r>
          </w:p>
          <w:p w14:paraId="0A057D6B" w14:textId="77777777" w:rsidR="00C15E0F" w:rsidRPr="003E6986" w:rsidRDefault="00C15E0F" w:rsidP="00734817">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SG 7</w:t>
            </w:r>
          </w:p>
        </w:tc>
      </w:tr>
    </w:tbl>
    <w:p w14:paraId="69943BC6" w14:textId="77777777" w:rsidR="00C15E0F" w:rsidRPr="003E6986" w:rsidRDefault="00C15E0F" w:rsidP="00C15E0F">
      <w:pPr>
        <w:pStyle w:val="TableText0"/>
        <w:rPr>
          <w:rFonts w:asciiTheme="minorHAnsi" w:hAnsiTheme="minorHAnsi" w:cstheme="minorHAnsi"/>
          <w:sz w:val="20"/>
          <w:lang w:val="es-ES_tradnl"/>
        </w:rPr>
      </w:pPr>
    </w:p>
    <w:p w14:paraId="76C6100A" w14:textId="77777777" w:rsidR="00C15E0F" w:rsidRPr="003E6986" w:rsidRDefault="00C15E0F" w:rsidP="00C15E0F">
      <w:pPr>
        <w:pStyle w:val="TableText0"/>
        <w:rPr>
          <w:rFonts w:asciiTheme="minorHAnsi" w:hAnsiTheme="minorHAnsi" w:cstheme="minorHAnsi"/>
          <w:b/>
          <w:bCs/>
          <w:sz w:val="20"/>
          <w:lang w:val="es-ES_tradnl"/>
        </w:rPr>
        <w:sectPr w:rsidR="00C15E0F" w:rsidRPr="003E6986" w:rsidSect="00C15E0F">
          <w:headerReference w:type="even" r:id="rId48"/>
          <w:headerReference w:type="default" r:id="rId49"/>
          <w:footerReference w:type="even" r:id="rId50"/>
          <w:footerReference w:type="default" r:id="rId51"/>
          <w:pgSz w:w="16834" w:h="11907" w:orient="landscape" w:code="9"/>
          <w:pgMar w:top="1134" w:right="993" w:bottom="1134" w:left="1134" w:header="567" w:footer="397" w:gutter="0"/>
          <w:cols w:space="720"/>
          <w:docGrid w:linePitch="326"/>
        </w:sectPr>
      </w:pPr>
    </w:p>
    <w:p w14:paraId="27624C2A" w14:textId="77777777" w:rsidR="00C15E0F" w:rsidRPr="003E6986" w:rsidRDefault="00C15E0F" w:rsidP="00C15E0F">
      <w:pPr>
        <w:pStyle w:val="AnnexNotitle0"/>
        <w:rPr>
          <w:rFonts w:asciiTheme="minorHAnsi" w:hAnsiTheme="minorHAnsi" w:cstheme="minorHAnsi"/>
          <w:sz w:val="20"/>
        </w:rPr>
      </w:pPr>
      <w:r w:rsidRPr="003E6986">
        <w:rPr>
          <w:rFonts w:asciiTheme="minorHAnsi" w:hAnsiTheme="minorHAnsi"/>
          <w:b w:val="0"/>
          <w:bCs/>
        </w:rPr>
        <w:lastRenderedPageBreak/>
        <w:t>ANEXO 9</w:t>
      </w:r>
    </w:p>
    <w:p w14:paraId="0110BCE8" w14:textId="77777777" w:rsidR="00C15E0F" w:rsidRPr="003E6986" w:rsidRDefault="00C15E0F" w:rsidP="00C15E0F">
      <w:pPr>
        <w:pStyle w:val="Annextitle0"/>
        <w:rPr>
          <w:rFonts w:asciiTheme="minorHAnsi" w:hAnsiTheme="minorHAnsi" w:cstheme="minorHAnsi"/>
          <w:sz w:val="20"/>
          <w:lang w:val="es-ES_tradnl" w:eastAsia="zh-CN"/>
        </w:rPr>
      </w:pPr>
      <w:r w:rsidRPr="003E6986">
        <w:rPr>
          <w:rFonts w:asciiTheme="minorHAnsi" w:hAnsiTheme="minorHAnsi" w:cstheme="minorHAnsi"/>
          <w:lang w:val="es-ES_tradnl"/>
        </w:rPr>
        <w:t>Esquema del proyecto de Informe de la RPC a la CMR</w:t>
      </w:r>
      <w:r w:rsidRPr="003E6986">
        <w:rPr>
          <w:rFonts w:asciiTheme="minorHAnsi" w:hAnsiTheme="minorHAnsi" w:cstheme="minorHAnsi"/>
          <w:lang w:val="es-ES_tradnl"/>
        </w:rPr>
        <w:noBreakHyphen/>
      </w:r>
      <w:r w:rsidRPr="003E6986">
        <w:rPr>
          <w:rFonts w:asciiTheme="minorHAnsi" w:hAnsiTheme="minorHAnsi" w:cstheme="minorHAnsi"/>
          <w:lang w:val="es-ES_tradnl"/>
        </w:rPr>
        <w:noBreakHyphen/>
        <w:t>27</w:t>
      </w:r>
    </w:p>
    <w:tbl>
      <w:tblPr>
        <w:tblW w:w="108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410"/>
        <w:gridCol w:w="992"/>
        <w:gridCol w:w="5387"/>
        <w:gridCol w:w="1701"/>
        <w:gridCol w:w="1352"/>
        <w:gridCol w:w="12"/>
      </w:tblGrid>
      <w:tr w:rsidR="00C15E0F" w:rsidRPr="008653C7" w14:paraId="0D46095A" w14:textId="77777777" w:rsidTr="00F25B01">
        <w:trPr>
          <w:cantSplit/>
          <w:tblHeader/>
          <w:jc w:val="center"/>
        </w:trPr>
        <w:tc>
          <w:tcPr>
            <w:tcW w:w="1410" w:type="dxa"/>
            <w:tcBorders>
              <w:bottom w:val="nil"/>
            </w:tcBorders>
          </w:tcPr>
          <w:p w14:paraId="7A2BB4FE" w14:textId="77777777" w:rsidR="00C15E0F" w:rsidRPr="003E6986" w:rsidRDefault="00C15E0F" w:rsidP="00C15E0F">
            <w:pPr>
              <w:pStyle w:val="TableText0"/>
              <w:rPr>
                <w:rFonts w:asciiTheme="minorHAnsi" w:hAnsiTheme="minorHAnsi" w:cstheme="minorHAnsi"/>
                <w:sz w:val="20"/>
                <w:highlight w:val="yellow"/>
                <w:lang w:val="es-ES_tradnl"/>
              </w:rPr>
            </w:pPr>
          </w:p>
        </w:tc>
        <w:tc>
          <w:tcPr>
            <w:tcW w:w="9444" w:type="dxa"/>
            <w:gridSpan w:val="5"/>
            <w:tcBorders>
              <w:bottom w:val="nil"/>
            </w:tcBorders>
            <w:vAlign w:val="center"/>
          </w:tcPr>
          <w:p w14:paraId="79CB74A0" w14:textId="77777777" w:rsidR="00C15E0F" w:rsidRPr="003E6986" w:rsidRDefault="00C15E0F" w:rsidP="00C15E0F">
            <w:pPr>
              <w:pStyle w:val="TableHead0"/>
              <w:rPr>
                <w:rFonts w:asciiTheme="minorHAnsi" w:hAnsiTheme="minorHAnsi" w:cstheme="minorHAnsi"/>
                <w:sz w:val="20"/>
                <w:highlight w:val="yellow"/>
                <w:lang w:val="es-ES_tradnl"/>
              </w:rPr>
            </w:pPr>
            <w:r w:rsidRPr="003E6986">
              <w:rPr>
                <w:rFonts w:asciiTheme="minorHAnsi" w:hAnsiTheme="minorHAnsi" w:cstheme="minorHAnsi"/>
                <w:sz w:val="20"/>
                <w:lang w:val="es-ES_tradnl"/>
              </w:rPr>
              <w:t>Proyecto de Informe de la RPC a la CMR-27</w:t>
            </w:r>
          </w:p>
        </w:tc>
      </w:tr>
      <w:tr w:rsidR="00C15E0F" w:rsidRPr="003E6986" w14:paraId="4BA8561B" w14:textId="77777777" w:rsidTr="008B73E9">
        <w:trPr>
          <w:gridAfter w:val="1"/>
          <w:wAfter w:w="12" w:type="dxa"/>
          <w:cantSplit/>
          <w:tblHeader/>
          <w:jc w:val="center"/>
        </w:trPr>
        <w:tc>
          <w:tcPr>
            <w:tcW w:w="1410" w:type="dxa"/>
            <w:tcBorders>
              <w:bottom w:val="nil"/>
            </w:tcBorders>
          </w:tcPr>
          <w:p w14:paraId="52E17279" w14:textId="77777777" w:rsidR="00C15E0F" w:rsidRPr="003E6986" w:rsidRDefault="00C15E0F" w:rsidP="00C15E0F">
            <w:pPr>
              <w:pStyle w:val="TableHead0"/>
              <w:rPr>
                <w:rFonts w:asciiTheme="minorHAnsi" w:hAnsiTheme="minorHAnsi" w:cstheme="minorHAnsi"/>
                <w:sz w:val="20"/>
                <w:highlight w:val="yellow"/>
                <w:lang w:val="es-ES_tradnl"/>
              </w:rPr>
            </w:pPr>
            <w:r w:rsidRPr="003E6986">
              <w:rPr>
                <w:rFonts w:asciiTheme="minorHAnsi" w:hAnsiTheme="minorHAnsi" w:cstheme="minorHAnsi"/>
                <w:sz w:val="20"/>
                <w:lang w:val="es-ES_tradnl"/>
              </w:rPr>
              <w:t>Punto del orden del día</w:t>
            </w:r>
          </w:p>
        </w:tc>
        <w:tc>
          <w:tcPr>
            <w:tcW w:w="992" w:type="dxa"/>
            <w:tcBorders>
              <w:bottom w:val="nil"/>
            </w:tcBorders>
            <w:vAlign w:val="center"/>
          </w:tcPr>
          <w:p w14:paraId="2DF16F50" w14:textId="77777777" w:rsidR="00C15E0F" w:rsidRPr="003E6986" w:rsidRDefault="00C15E0F" w:rsidP="00C15E0F">
            <w:pPr>
              <w:pStyle w:val="TableHead0"/>
              <w:rPr>
                <w:rFonts w:asciiTheme="minorHAnsi" w:hAnsiTheme="minorHAnsi" w:cstheme="minorHAnsi"/>
                <w:sz w:val="20"/>
                <w:highlight w:val="yellow"/>
                <w:lang w:val="es-ES_tradnl"/>
              </w:rPr>
            </w:pPr>
            <w:r w:rsidRPr="003E6986">
              <w:rPr>
                <w:rFonts w:asciiTheme="minorHAnsi" w:hAnsiTheme="minorHAnsi" w:cstheme="minorHAnsi"/>
                <w:sz w:val="20"/>
                <w:lang w:val="es-ES_tradnl"/>
              </w:rPr>
              <w:t>Sección</w:t>
            </w:r>
          </w:p>
        </w:tc>
        <w:tc>
          <w:tcPr>
            <w:tcW w:w="5387" w:type="dxa"/>
            <w:tcBorders>
              <w:bottom w:val="nil"/>
            </w:tcBorders>
            <w:vAlign w:val="center"/>
          </w:tcPr>
          <w:p w14:paraId="2248245C" w14:textId="77777777" w:rsidR="00C15E0F" w:rsidRPr="003E6986" w:rsidRDefault="00C15E0F" w:rsidP="00C15E0F">
            <w:pPr>
              <w:pStyle w:val="TableHead0"/>
              <w:rPr>
                <w:rFonts w:asciiTheme="minorHAnsi" w:hAnsiTheme="minorHAnsi" w:cstheme="minorHAnsi"/>
                <w:sz w:val="20"/>
                <w:highlight w:val="yellow"/>
                <w:lang w:val="es-ES_tradnl"/>
              </w:rPr>
            </w:pPr>
            <w:r w:rsidRPr="003E6986">
              <w:rPr>
                <w:rFonts w:asciiTheme="minorHAnsi" w:hAnsiTheme="minorHAnsi" w:cstheme="minorHAnsi"/>
                <w:sz w:val="20"/>
                <w:lang w:val="es-ES_tradnl"/>
              </w:rPr>
              <w:t>Punto del punto del orden del día</w:t>
            </w:r>
          </w:p>
        </w:tc>
        <w:tc>
          <w:tcPr>
            <w:tcW w:w="1701" w:type="dxa"/>
            <w:tcBorders>
              <w:bottom w:val="nil"/>
            </w:tcBorders>
            <w:vAlign w:val="center"/>
          </w:tcPr>
          <w:p w14:paraId="44A79E29" w14:textId="77777777" w:rsidR="00C15E0F" w:rsidRPr="003E6986" w:rsidRDefault="00C15E0F" w:rsidP="00C15E0F">
            <w:pPr>
              <w:pStyle w:val="TableHead0"/>
              <w:rPr>
                <w:rFonts w:asciiTheme="minorHAnsi" w:hAnsiTheme="minorHAnsi" w:cstheme="minorHAnsi"/>
                <w:sz w:val="20"/>
                <w:highlight w:val="yellow"/>
                <w:lang w:val="es-ES_tradnl"/>
              </w:rPr>
            </w:pPr>
            <w:r w:rsidRPr="003E6986">
              <w:rPr>
                <w:rFonts w:asciiTheme="minorHAnsi" w:hAnsiTheme="minorHAnsi" w:cstheme="minorHAnsi"/>
                <w:sz w:val="20"/>
                <w:lang w:val="es-ES_tradnl"/>
              </w:rPr>
              <w:t>Referencias</w:t>
            </w:r>
          </w:p>
        </w:tc>
        <w:tc>
          <w:tcPr>
            <w:tcW w:w="1352" w:type="dxa"/>
            <w:tcBorders>
              <w:bottom w:val="nil"/>
            </w:tcBorders>
            <w:vAlign w:val="center"/>
          </w:tcPr>
          <w:p w14:paraId="6D6B6255" w14:textId="77777777" w:rsidR="00C15E0F" w:rsidRPr="003E6986" w:rsidRDefault="00C15E0F" w:rsidP="00C15E0F">
            <w:pPr>
              <w:pStyle w:val="TableHead0"/>
              <w:rPr>
                <w:rFonts w:asciiTheme="minorHAnsi" w:hAnsiTheme="minorHAnsi" w:cstheme="minorHAnsi"/>
                <w:sz w:val="20"/>
                <w:highlight w:val="yellow"/>
                <w:lang w:val="es-ES_tradnl"/>
              </w:rPr>
            </w:pPr>
            <w:r w:rsidRPr="003E6986">
              <w:rPr>
                <w:rFonts w:asciiTheme="minorHAnsi" w:hAnsiTheme="minorHAnsi" w:cstheme="minorHAnsi"/>
                <w:sz w:val="20"/>
                <w:lang w:val="es-ES_tradnl"/>
              </w:rPr>
              <w:t>Grupo encargado</w:t>
            </w:r>
          </w:p>
        </w:tc>
      </w:tr>
      <w:tr w:rsidR="00C15E0F" w:rsidRPr="008653C7" w14:paraId="487B1828" w14:textId="77777777" w:rsidTr="00C15E0F">
        <w:trPr>
          <w:cantSplit/>
          <w:jc w:val="center"/>
        </w:trPr>
        <w:tc>
          <w:tcPr>
            <w:tcW w:w="10854" w:type="dxa"/>
            <w:gridSpan w:val="6"/>
          </w:tcPr>
          <w:p w14:paraId="13FC3423" w14:textId="77777777" w:rsidR="00C15E0F" w:rsidRPr="003E6986" w:rsidRDefault="00C15E0F" w:rsidP="00C15E0F">
            <w:pPr>
              <w:pStyle w:val="TableHead0"/>
              <w:rPr>
                <w:rFonts w:asciiTheme="minorHAnsi" w:hAnsiTheme="minorHAnsi" w:cstheme="minorHAnsi"/>
                <w:sz w:val="20"/>
                <w:lang w:val="es-ES_tradnl"/>
              </w:rPr>
            </w:pPr>
            <w:r w:rsidRPr="003E6986">
              <w:rPr>
                <w:rFonts w:asciiTheme="minorHAnsi" w:hAnsiTheme="minorHAnsi" w:cstheme="minorHAnsi"/>
                <w:sz w:val="20"/>
                <w:lang w:val="es-ES_tradnl"/>
              </w:rPr>
              <w:t>Capítulo 1</w:t>
            </w:r>
          </w:p>
          <w:p w14:paraId="4D68CC86" w14:textId="77777777" w:rsidR="00C15E0F" w:rsidRPr="003E6986" w:rsidRDefault="00C15E0F" w:rsidP="00C15E0F">
            <w:pPr>
              <w:pStyle w:val="TableHead0"/>
              <w:rPr>
                <w:rFonts w:asciiTheme="minorHAnsi" w:hAnsiTheme="minorHAnsi" w:cstheme="minorHAnsi"/>
                <w:sz w:val="20"/>
                <w:lang w:val="es-ES_tradnl"/>
              </w:rPr>
            </w:pPr>
            <w:r w:rsidRPr="003E6986">
              <w:rPr>
                <w:rFonts w:asciiTheme="minorHAnsi" w:hAnsiTheme="minorHAnsi" w:cstheme="minorHAnsi"/>
                <w:sz w:val="20"/>
                <w:lang w:val="es-ES_tradnl"/>
              </w:rPr>
              <w:t>Temas relativos a los servicios fijo por satélite y de radiodifusión por satélite</w:t>
            </w:r>
          </w:p>
        </w:tc>
      </w:tr>
      <w:tr w:rsidR="00C15E0F" w:rsidRPr="003E6986" w14:paraId="08C98F21" w14:textId="77777777" w:rsidTr="008B73E9">
        <w:trPr>
          <w:gridAfter w:val="1"/>
          <w:wAfter w:w="12" w:type="dxa"/>
          <w:cantSplit/>
          <w:jc w:val="center"/>
        </w:trPr>
        <w:tc>
          <w:tcPr>
            <w:tcW w:w="1410" w:type="dxa"/>
          </w:tcPr>
          <w:p w14:paraId="355A8A74" w14:textId="77777777" w:rsidR="00C15E0F" w:rsidRPr="003E6986" w:rsidRDefault="00C15E0F" w:rsidP="00655284">
            <w:pPr>
              <w:pStyle w:val="TableText0"/>
              <w:jc w:val="center"/>
              <w:rPr>
                <w:rFonts w:asciiTheme="minorHAnsi" w:hAnsiTheme="minorHAnsi" w:cstheme="minorHAnsi"/>
                <w:sz w:val="20"/>
                <w:lang w:val="es-ES_tradnl"/>
              </w:rPr>
            </w:pPr>
            <w:bookmarkStart w:id="37" w:name="_Hlk156227715"/>
            <w:r w:rsidRPr="003E6986">
              <w:rPr>
                <w:rFonts w:asciiTheme="minorHAnsi" w:hAnsiTheme="minorHAnsi" w:cstheme="minorHAnsi"/>
                <w:sz w:val="20"/>
                <w:lang w:val="es-ES_tradnl"/>
              </w:rPr>
              <w:t>1.1</w:t>
            </w:r>
          </w:p>
        </w:tc>
        <w:tc>
          <w:tcPr>
            <w:tcW w:w="992" w:type="dxa"/>
          </w:tcPr>
          <w:p w14:paraId="6D7E4866"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1/1.1</w:t>
            </w:r>
          </w:p>
        </w:tc>
        <w:tc>
          <w:tcPr>
            <w:tcW w:w="5387" w:type="dxa"/>
          </w:tcPr>
          <w:p w14:paraId="20AC5D1B" w14:textId="4477BC5B" w:rsidR="00C15E0F" w:rsidRPr="003E6986" w:rsidRDefault="00C15E0F" w:rsidP="00A923A9">
            <w:pPr>
              <w:pStyle w:val="TableText0"/>
              <w:jc w:val="both"/>
              <w:rPr>
                <w:rFonts w:asciiTheme="minorHAnsi" w:hAnsiTheme="minorHAnsi" w:cstheme="minorHAnsi"/>
                <w:sz w:val="20"/>
                <w:highlight w:val="yellow"/>
                <w:lang w:val="es-ES_tradnl"/>
              </w:rPr>
            </w:pPr>
            <w:r w:rsidRPr="003E6986">
              <w:rPr>
                <w:rFonts w:asciiTheme="minorHAnsi" w:hAnsiTheme="minorHAnsi" w:cstheme="minorHAnsi"/>
                <w:sz w:val="20"/>
                <w:lang w:val="es-ES_tradnl"/>
              </w:rPr>
              <w:t>considerar las condiciones técnicas y operativas para la utilización de las bandas de frecuencias 47,2</w:t>
            </w:r>
            <w:r w:rsidRPr="003E6986">
              <w:rPr>
                <w:rFonts w:asciiTheme="minorHAnsi" w:hAnsiTheme="minorHAnsi" w:cstheme="minorHAnsi"/>
                <w:sz w:val="20"/>
                <w:lang w:val="es-ES_tradnl"/>
              </w:rPr>
              <w:noBreakHyphen/>
              <w:t>50,2 GHz y 50,4-51,4 GHz (Tierra-espacio), o partes de las mismas, por estaciones terrenas en movimiento aeronáuticas y marítimas que se comunican con estaciones espaciales del servicio fijo por satélite y elaborar medidas reglamentarias, según proceda, para facilitar la utilización de las bandas de frecuencias 47,2-50,2 GHz y 50,4</w:t>
            </w:r>
            <w:r w:rsidRPr="003E6986">
              <w:rPr>
                <w:rFonts w:asciiTheme="minorHAnsi" w:hAnsiTheme="minorHAnsi" w:cstheme="minorHAnsi"/>
                <w:sz w:val="20"/>
                <w:lang w:val="es-ES_tradnl"/>
              </w:rPr>
              <w:noBreakHyphen/>
              <w:t>51,4 GHz (Tierra-espacio), o partes de las mismas, por estaciones terrenas en movimiento aeronáuticas y marítimas que se comunican con estaciones espaciales geoestacionarias y estaciones espaciales no geoestacionarias del servicio fijo por satélite, de conformidad con Resolución</w:t>
            </w:r>
            <w:r w:rsidR="00DC5CEA">
              <w:rPr>
                <w:rFonts w:asciiTheme="minorHAnsi" w:hAnsiTheme="minorHAnsi" w:cstheme="minorHAnsi"/>
                <w:sz w:val="20"/>
                <w:lang w:val="es-ES_tradnl"/>
              </w:rPr>
              <w:t xml:space="preserve"> </w:t>
            </w:r>
            <w:r w:rsidRPr="003E6986">
              <w:rPr>
                <w:rFonts w:asciiTheme="minorHAnsi" w:hAnsiTheme="minorHAnsi" w:cstheme="minorHAnsi"/>
                <w:b/>
                <w:bCs/>
                <w:sz w:val="20"/>
                <w:lang w:val="es-ES_tradnl"/>
              </w:rPr>
              <w:t>176 (Rev.CMR-23)</w:t>
            </w:r>
          </w:p>
        </w:tc>
        <w:tc>
          <w:tcPr>
            <w:tcW w:w="1701" w:type="dxa"/>
          </w:tcPr>
          <w:p w14:paraId="0F7C8597" w14:textId="77777777" w:rsidR="00C15E0F" w:rsidRPr="003E6986" w:rsidRDefault="00C15E0F" w:rsidP="00734817">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eastAsia="zh-CN"/>
              </w:rPr>
              <w:t>Resolución </w:t>
            </w:r>
            <w:r w:rsidRPr="003E6986">
              <w:rPr>
                <w:rFonts w:asciiTheme="minorHAnsi" w:hAnsiTheme="minorHAnsi" w:cstheme="minorHAnsi"/>
                <w:b/>
                <w:bCs/>
                <w:sz w:val="20"/>
                <w:lang w:val="es-ES_tradnl" w:eastAsia="zh-CN"/>
              </w:rPr>
              <w:t>176 (Rev.CMR-23)</w:t>
            </w:r>
          </w:p>
        </w:tc>
        <w:tc>
          <w:tcPr>
            <w:tcW w:w="1352" w:type="dxa"/>
          </w:tcPr>
          <w:p w14:paraId="371DAED9"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4A</w:t>
            </w:r>
          </w:p>
        </w:tc>
      </w:tr>
      <w:tr w:rsidR="00C15E0F" w:rsidRPr="003E6986" w14:paraId="66379564" w14:textId="77777777" w:rsidTr="008B73E9">
        <w:trPr>
          <w:gridAfter w:val="1"/>
          <w:wAfter w:w="12" w:type="dxa"/>
          <w:cantSplit/>
          <w:jc w:val="center"/>
        </w:trPr>
        <w:tc>
          <w:tcPr>
            <w:tcW w:w="1410" w:type="dxa"/>
            <w:tcBorders>
              <w:bottom w:val="nil"/>
            </w:tcBorders>
          </w:tcPr>
          <w:p w14:paraId="3784A5BA"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1.2</w:t>
            </w:r>
          </w:p>
        </w:tc>
        <w:tc>
          <w:tcPr>
            <w:tcW w:w="992" w:type="dxa"/>
            <w:tcBorders>
              <w:bottom w:val="nil"/>
            </w:tcBorders>
          </w:tcPr>
          <w:p w14:paraId="76D6A802"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1/1.2</w:t>
            </w:r>
          </w:p>
        </w:tc>
        <w:tc>
          <w:tcPr>
            <w:tcW w:w="5387" w:type="dxa"/>
            <w:tcBorders>
              <w:bottom w:val="nil"/>
            </w:tcBorders>
          </w:tcPr>
          <w:p w14:paraId="23F853F5" w14:textId="77777777" w:rsidR="00C15E0F" w:rsidRPr="003E6986" w:rsidRDefault="00C15E0F" w:rsidP="00A923A9">
            <w:pPr>
              <w:pStyle w:val="TableText0"/>
              <w:jc w:val="both"/>
              <w:rPr>
                <w:rFonts w:asciiTheme="minorHAnsi" w:hAnsiTheme="minorHAnsi" w:cstheme="minorHAnsi"/>
                <w:sz w:val="20"/>
                <w:highlight w:val="yellow"/>
                <w:lang w:val="es-ES_tradnl"/>
              </w:rPr>
            </w:pPr>
            <w:r w:rsidRPr="003E6986">
              <w:rPr>
                <w:rFonts w:asciiTheme="minorHAnsi" w:hAnsiTheme="minorHAnsi" w:cstheme="minorHAnsi"/>
                <w:sz w:val="20"/>
                <w:lang w:val="es-ES_tradnl"/>
              </w:rPr>
              <w:t>considerar la posible revisión de las condiciones de compartición en la banda de frecuencias 13,75-14 GHz para permitir la utilización de estaciones terrenas de enlace ascendente del servicio fijo por satélite con antenas de menor tamaño, de conformidad con la Resolución </w:t>
            </w:r>
            <w:r w:rsidRPr="003E6986">
              <w:rPr>
                <w:rFonts w:asciiTheme="minorHAnsi" w:hAnsiTheme="minorHAnsi" w:cstheme="minorHAnsi"/>
                <w:b/>
                <w:bCs/>
                <w:sz w:val="20"/>
                <w:lang w:val="es-ES_tradnl"/>
              </w:rPr>
              <w:t>129 (CMR-23)</w:t>
            </w:r>
          </w:p>
        </w:tc>
        <w:tc>
          <w:tcPr>
            <w:tcW w:w="1701" w:type="dxa"/>
            <w:tcBorders>
              <w:bottom w:val="nil"/>
            </w:tcBorders>
          </w:tcPr>
          <w:p w14:paraId="08B9A1F8"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 </w:t>
            </w:r>
            <w:r w:rsidRPr="003E6986">
              <w:rPr>
                <w:rFonts w:asciiTheme="minorHAnsi" w:hAnsiTheme="minorHAnsi" w:cstheme="minorHAnsi"/>
                <w:b/>
                <w:bCs/>
                <w:sz w:val="20"/>
                <w:lang w:val="es-ES_tradnl"/>
              </w:rPr>
              <w:t>129 (CMR-23)</w:t>
            </w:r>
          </w:p>
        </w:tc>
        <w:tc>
          <w:tcPr>
            <w:tcW w:w="1352" w:type="dxa"/>
            <w:tcBorders>
              <w:bottom w:val="nil"/>
            </w:tcBorders>
          </w:tcPr>
          <w:p w14:paraId="548750E7"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4A*</w:t>
            </w:r>
          </w:p>
        </w:tc>
      </w:tr>
      <w:tr w:rsidR="00C15E0F" w:rsidRPr="008653C7" w14:paraId="1075A64C" w14:textId="77777777" w:rsidTr="00C15E0F">
        <w:trPr>
          <w:cantSplit/>
          <w:jc w:val="center"/>
        </w:trPr>
        <w:tc>
          <w:tcPr>
            <w:tcW w:w="10854" w:type="dxa"/>
            <w:gridSpan w:val="6"/>
            <w:tcBorders>
              <w:top w:val="nil"/>
            </w:tcBorders>
          </w:tcPr>
          <w:p w14:paraId="7D6B179C" w14:textId="61FA0937" w:rsidR="00C15E0F" w:rsidRPr="003E6986" w:rsidRDefault="00655284" w:rsidP="00A923A9">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w:t>
            </w:r>
            <w:r w:rsidRPr="003E6986">
              <w:rPr>
                <w:rFonts w:asciiTheme="minorHAnsi" w:hAnsiTheme="minorHAnsi" w:cstheme="minorHAnsi"/>
                <w:sz w:val="20"/>
                <w:lang w:val="es-ES_tradnl"/>
              </w:rPr>
              <w:tab/>
            </w:r>
            <w:r w:rsidR="00C15E0F" w:rsidRPr="003E6986">
              <w:rPr>
                <w:rFonts w:asciiTheme="minorHAnsi" w:hAnsiTheme="minorHAnsi" w:cstheme="minorHAnsi"/>
                <w:sz w:val="20"/>
                <w:lang w:val="es-ES_tradnl"/>
              </w:rPr>
              <w:t xml:space="preserve">Dada la experiencia pasada en lo que respecta a los estudios sobre esta banda de frecuencias y a la complejidad de los temas conexos, conviene prestar especial atención a la interacción entre el GT 4A y el GT 5B. Por tanto, el GT 4A debe tener en cuenta, tal y como se reciba, la posible actualización de la información y las características relativas a la protección y el funcionamiento del servicio de radiolocalización que le facilite el GT 5B, con objeto de realizar los estudios de compartición pertinentes. Según avancen los estudios del GT 4A, si fuera necesario, deberían organizarse reuniones conjuntas de los GT 4A y 5B para facilitar la </w:t>
            </w:r>
            <w:proofErr w:type="gramStart"/>
            <w:r w:rsidR="00C15E0F" w:rsidRPr="003E6986">
              <w:rPr>
                <w:rFonts w:asciiTheme="minorHAnsi" w:hAnsiTheme="minorHAnsi" w:cstheme="minorHAnsi"/>
                <w:sz w:val="20"/>
                <w:lang w:val="es-ES_tradnl"/>
              </w:rPr>
              <w:t>colaboración mutua</w:t>
            </w:r>
            <w:proofErr w:type="gramEnd"/>
            <w:r w:rsidR="00C15E0F" w:rsidRPr="003E6986">
              <w:rPr>
                <w:rFonts w:asciiTheme="minorHAnsi" w:hAnsiTheme="minorHAnsi" w:cstheme="minorHAnsi"/>
                <w:sz w:val="20"/>
                <w:lang w:val="es-ES_tradnl"/>
              </w:rPr>
              <w:t xml:space="preserve"> en torno a los temas relacionados con la protección del servicio de radiolocalización.</w:t>
            </w:r>
          </w:p>
        </w:tc>
      </w:tr>
      <w:tr w:rsidR="00C15E0F" w:rsidRPr="003E6986" w14:paraId="5C66778B" w14:textId="77777777" w:rsidTr="008B73E9">
        <w:trPr>
          <w:gridAfter w:val="1"/>
          <w:wAfter w:w="12" w:type="dxa"/>
          <w:cantSplit/>
          <w:jc w:val="center"/>
        </w:trPr>
        <w:tc>
          <w:tcPr>
            <w:tcW w:w="1410" w:type="dxa"/>
          </w:tcPr>
          <w:p w14:paraId="0C79775F"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1.3</w:t>
            </w:r>
          </w:p>
        </w:tc>
        <w:tc>
          <w:tcPr>
            <w:tcW w:w="992" w:type="dxa"/>
          </w:tcPr>
          <w:p w14:paraId="2AE52F1C"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1/1.3</w:t>
            </w:r>
          </w:p>
        </w:tc>
        <w:tc>
          <w:tcPr>
            <w:tcW w:w="5387" w:type="dxa"/>
          </w:tcPr>
          <w:p w14:paraId="354D1678" w14:textId="77777777" w:rsidR="00C15E0F" w:rsidRPr="003E6986" w:rsidRDefault="00C15E0F" w:rsidP="00A923A9">
            <w:pPr>
              <w:pStyle w:val="TableText0"/>
              <w:jc w:val="both"/>
              <w:rPr>
                <w:rFonts w:asciiTheme="minorHAnsi" w:hAnsiTheme="minorHAnsi" w:cstheme="minorHAnsi"/>
                <w:sz w:val="20"/>
                <w:highlight w:val="yellow"/>
                <w:lang w:val="es-ES_tradnl"/>
              </w:rPr>
            </w:pPr>
            <w:r w:rsidRPr="003E6986">
              <w:rPr>
                <w:rFonts w:asciiTheme="minorHAnsi" w:hAnsiTheme="minorHAnsi" w:cstheme="minorHAnsi"/>
                <w:sz w:val="20"/>
                <w:lang w:val="es-ES_tradnl"/>
              </w:rPr>
              <w:t xml:space="preserve">considerar estudios sobre la utilización de la banda de frecuencias 51,4-52,4 GHz para permitir su utilización por las estaciones terrenas de pasarela que transmitan a sistemas en la órbita de los satélites no geoestacionarios del servicio fijo por satélite (Tierra-espacio), de conformidad con la Resolución </w:t>
            </w:r>
            <w:r w:rsidRPr="003E6986">
              <w:rPr>
                <w:rFonts w:asciiTheme="minorHAnsi" w:hAnsiTheme="minorHAnsi" w:cstheme="minorHAnsi"/>
                <w:b/>
                <w:bCs/>
                <w:sz w:val="20"/>
                <w:lang w:val="es-ES_tradnl"/>
              </w:rPr>
              <w:t>130 (CMR-23)</w:t>
            </w:r>
          </w:p>
        </w:tc>
        <w:tc>
          <w:tcPr>
            <w:tcW w:w="1701" w:type="dxa"/>
          </w:tcPr>
          <w:p w14:paraId="6963D681"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130 (CMR-23)</w:t>
            </w:r>
          </w:p>
        </w:tc>
        <w:tc>
          <w:tcPr>
            <w:tcW w:w="1352" w:type="dxa"/>
          </w:tcPr>
          <w:p w14:paraId="3628F5B2"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4A</w:t>
            </w:r>
          </w:p>
        </w:tc>
      </w:tr>
      <w:tr w:rsidR="00C15E0F" w:rsidRPr="003E6986" w14:paraId="37F69CD6" w14:textId="77777777" w:rsidTr="008B73E9">
        <w:trPr>
          <w:gridAfter w:val="1"/>
          <w:wAfter w:w="12" w:type="dxa"/>
          <w:cantSplit/>
          <w:jc w:val="center"/>
        </w:trPr>
        <w:tc>
          <w:tcPr>
            <w:tcW w:w="1410" w:type="dxa"/>
          </w:tcPr>
          <w:p w14:paraId="6204ED14"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1.4</w:t>
            </w:r>
          </w:p>
        </w:tc>
        <w:tc>
          <w:tcPr>
            <w:tcW w:w="992" w:type="dxa"/>
          </w:tcPr>
          <w:p w14:paraId="72081372"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1/1.4</w:t>
            </w:r>
          </w:p>
        </w:tc>
        <w:tc>
          <w:tcPr>
            <w:tcW w:w="5387" w:type="dxa"/>
          </w:tcPr>
          <w:p w14:paraId="3ADEEDEE" w14:textId="7872CCDD" w:rsidR="00C15E0F" w:rsidRPr="003E6986" w:rsidRDefault="00C15E0F" w:rsidP="00A923A9">
            <w:pPr>
              <w:pStyle w:val="TableText0"/>
              <w:jc w:val="both"/>
              <w:rPr>
                <w:rFonts w:asciiTheme="minorHAnsi" w:hAnsiTheme="minorHAnsi" w:cstheme="minorHAnsi"/>
                <w:sz w:val="20"/>
                <w:highlight w:val="yellow"/>
                <w:lang w:val="es-ES_tradnl"/>
              </w:rPr>
            </w:pPr>
            <w:r w:rsidRPr="003E6986">
              <w:rPr>
                <w:rFonts w:asciiTheme="minorHAnsi" w:hAnsiTheme="minorHAnsi" w:cstheme="minorHAnsi"/>
                <w:sz w:val="20"/>
                <w:lang w:val="es-ES_tradnl"/>
              </w:rPr>
              <w:t>considerar una posible nueva atribución a título primario al servicio fijo por satélite (espacio-Tierra) en la banda de frecuencias 17,3-17,7 GHz y una posible nueva atribución a título primario al servicio de radiodifusión por satélite (espacio-Tierra) en la banda de frecuencias 17,3</w:t>
            </w:r>
            <w:r w:rsidRPr="003E6986">
              <w:rPr>
                <w:rFonts w:asciiTheme="minorHAnsi" w:hAnsiTheme="minorHAnsi" w:cstheme="minorHAnsi"/>
                <w:sz w:val="20"/>
                <w:lang w:val="es-ES_tradnl"/>
              </w:rPr>
              <w:noBreakHyphen/>
              <w:t>17,8 GHz en la Región 3, garantizando a su vez la protección de las atribuciones existentes a título primario en la misma banda de frecuencias y en las bandas de frecuencias adyacentes, y considerar los límites de densidad de flujo de potencia equivalente que habrán de aplicarse en las Regiones 1 y 3 a los sistemas de satélites no geoestacionarios del servicio fijo por satélite (espacio</w:t>
            </w:r>
            <w:r w:rsidRPr="003E6986">
              <w:rPr>
                <w:rFonts w:asciiTheme="minorHAnsi" w:hAnsiTheme="minorHAnsi" w:cstheme="minorHAnsi"/>
                <w:sz w:val="20"/>
                <w:lang w:val="es-ES_tradnl"/>
              </w:rPr>
              <w:noBreakHyphen/>
              <w:t>Tierra) en la banda de frecuencias 17,3-17,7 GHz, de conformidad con la Resolución </w:t>
            </w:r>
            <w:r w:rsidRPr="003E6986">
              <w:rPr>
                <w:rFonts w:asciiTheme="minorHAnsi" w:hAnsiTheme="minorHAnsi" w:cstheme="minorHAnsi"/>
                <w:b/>
                <w:bCs/>
                <w:sz w:val="20"/>
                <w:lang w:val="es-ES_tradnl"/>
              </w:rPr>
              <w:t>726</w:t>
            </w:r>
            <w:r w:rsidR="00655284" w:rsidRPr="003E6986">
              <w:rPr>
                <w:rFonts w:asciiTheme="minorHAnsi" w:hAnsiTheme="minorHAnsi" w:cstheme="minorHAnsi"/>
                <w:b/>
                <w:bCs/>
                <w:sz w:val="20"/>
                <w:lang w:val="es-ES_tradnl"/>
              </w:rPr>
              <w:t xml:space="preserve"> (CMR</w:t>
            </w:r>
            <w:r w:rsidR="00655284" w:rsidRPr="003E6986">
              <w:rPr>
                <w:rFonts w:asciiTheme="minorHAnsi" w:hAnsiTheme="minorHAnsi" w:cstheme="minorHAnsi"/>
                <w:b/>
                <w:bCs/>
                <w:sz w:val="20"/>
                <w:lang w:val="es-ES_tradnl"/>
              </w:rPr>
              <w:noBreakHyphen/>
            </w:r>
            <w:r w:rsidRPr="003E6986">
              <w:rPr>
                <w:rFonts w:asciiTheme="minorHAnsi" w:hAnsiTheme="minorHAnsi" w:cstheme="minorHAnsi"/>
                <w:b/>
                <w:bCs/>
                <w:sz w:val="20"/>
                <w:lang w:val="es-ES_tradnl"/>
              </w:rPr>
              <w:t>23)</w:t>
            </w:r>
          </w:p>
        </w:tc>
        <w:tc>
          <w:tcPr>
            <w:tcW w:w="1701" w:type="dxa"/>
          </w:tcPr>
          <w:p w14:paraId="155AA47F"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 </w:t>
            </w:r>
            <w:r w:rsidRPr="003E6986">
              <w:rPr>
                <w:rFonts w:asciiTheme="minorHAnsi" w:hAnsiTheme="minorHAnsi" w:cstheme="minorHAnsi"/>
                <w:b/>
                <w:bCs/>
                <w:sz w:val="20"/>
                <w:lang w:val="es-ES_tradnl"/>
              </w:rPr>
              <w:t>726 (CMR 23)</w:t>
            </w:r>
          </w:p>
        </w:tc>
        <w:tc>
          <w:tcPr>
            <w:tcW w:w="1352" w:type="dxa"/>
          </w:tcPr>
          <w:p w14:paraId="5165583A"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4A</w:t>
            </w:r>
          </w:p>
        </w:tc>
      </w:tr>
      <w:tr w:rsidR="00C15E0F" w:rsidRPr="003E6986" w14:paraId="765BD670" w14:textId="77777777" w:rsidTr="008B73E9">
        <w:trPr>
          <w:gridAfter w:val="1"/>
          <w:wAfter w:w="12" w:type="dxa"/>
          <w:cantSplit/>
          <w:jc w:val="center"/>
        </w:trPr>
        <w:tc>
          <w:tcPr>
            <w:tcW w:w="1410" w:type="dxa"/>
          </w:tcPr>
          <w:p w14:paraId="0AEB8993"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lastRenderedPageBreak/>
              <w:t>1.5</w:t>
            </w:r>
          </w:p>
        </w:tc>
        <w:tc>
          <w:tcPr>
            <w:tcW w:w="992" w:type="dxa"/>
          </w:tcPr>
          <w:p w14:paraId="090978FD"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1/1.5</w:t>
            </w:r>
          </w:p>
        </w:tc>
        <w:tc>
          <w:tcPr>
            <w:tcW w:w="5387" w:type="dxa"/>
          </w:tcPr>
          <w:p w14:paraId="4B73384F" w14:textId="77777777" w:rsidR="00C15E0F" w:rsidRPr="003E6986" w:rsidRDefault="00C15E0F" w:rsidP="00A923A9">
            <w:pPr>
              <w:pStyle w:val="TableText0"/>
              <w:jc w:val="both"/>
              <w:rPr>
                <w:rFonts w:asciiTheme="minorHAnsi" w:hAnsiTheme="minorHAnsi" w:cstheme="minorHAnsi"/>
                <w:sz w:val="20"/>
                <w:highlight w:val="yellow"/>
                <w:lang w:val="es-ES_tradnl"/>
              </w:rPr>
            </w:pPr>
            <w:r w:rsidRPr="003E6986">
              <w:rPr>
                <w:rFonts w:asciiTheme="minorHAnsi" w:hAnsiTheme="minorHAnsi" w:cstheme="minorHAnsi"/>
                <w:sz w:val="20"/>
                <w:lang w:val="es-ES_tradnl"/>
              </w:rPr>
              <w:t xml:space="preserve">considerar medidas reglamentarias y su aplicabilidad para limitar el funcionamiento no autorizado de estaciones terrenas en órbitas de satélites no geoestacionarios del servicio fijo por satélite y el servicio móvil por satélite y temas conexos relacionados con la zona de servicio de sistemas de satélites en órbitas de satélites no geoestacionarios del servicio fijo por satélite y el servicio móvil por satélite, de conformidad con la Resolución </w:t>
            </w:r>
            <w:r w:rsidRPr="003E6986">
              <w:rPr>
                <w:rFonts w:asciiTheme="minorHAnsi" w:hAnsiTheme="minorHAnsi" w:cstheme="minorHAnsi"/>
                <w:b/>
                <w:bCs/>
                <w:sz w:val="20"/>
                <w:lang w:val="es-ES_tradnl"/>
              </w:rPr>
              <w:t>14 (CMR-23)</w:t>
            </w:r>
          </w:p>
        </w:tc>
        <w:tc>
          <w:tcPr>
            <w:tcW w:w="1701" w:type="dxa"/>
          </w:tcPr>
          <w:p w14:paraId="1E440398"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14 (CMR-23)</w:t>
            </w:r>
          </w:p>
        </w:tc>
        <w:tc>
          <w:tcPr>
            <w:tcW w:w="1352" w:type="dxa"/>
          </w:tcPr>
          <w:p w14:paraId="324AB057"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4A</w:t>
            </w:r>
          </w:p>
        </w:tc>
      </w:tr>
      <w:tr w:rsidR="00C15E0F" w:rsidRPr="003E6986" w14:paraId="5151034B" w14:textId="77777777" w:rsidTr="008B73E9">
        <w:trPr>
          <w:gridAfter w:val="1"/>
          <w:wAfter w:w="12" w:type="dxa"/>
          <w:cantSplit/>
          <w:jc w:val="center"/>
        </w:trPr>
        <w:tc>
          <w:tcPr>
            <w:tcW w:w="1410" w:type="dxa"/>
          </w:tcPr>
          <w:p w14:paraId="3C3E88EA"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1.6</w:t>
            </w:r>
          </w:p>
        </w:tc>
        <w:tc>
          <w:tcPr>
            <w:tcW w:w="992" w:type="dxa"/>
          </w:tcPr>
          <w:p w14:paraId="46174728"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1/1.6</w:t>
            </w:r>
          </w:p>
        </w:tc>
        <w:tc>
          <w:tcPr>
            <w:tcW w:w="5387" w:type="dxa"/>
          </w:tcPr>
          <w:p w14:paraId="0611B4AF" w14:textId="77777777" w:rsidR="00C15E0F" w:rsidRPr="003E6986" w:rsidRDefault="00C15E0F" w:rsidP="00A923A9">
            <w:pPr>
              <w:pStyle w:val="TableText0"/>
              <w:jc w:val="both"/>
              <w:rPr>
                <w:rFonts w:asciiTheme="minorHAnsi" w:hAnsiTheme="minorHAnsi" w:cstheme="minorHAnsi"/>
                <w:sz w:val="20"/>
                <w:highlight w:val="yellow"/>
                <w:lang w:val="es-ES_tradnl"/>
              </w:rPr>
            </w:pPr>
            <w:r w:rsidRPr="003E6986">
              <w:rPr>
                <w:rFonts w:asciiTheme="minorHAnsi" w:hAnsiTheme="minorHAnsi" w:cstheme="minorHAnsi"/>
                <w:sz w:val="20"/>
                <w:lang w:val="es-ES_tradnl"/>
              </w:rPr>
              <w:t>considerar las medidas técnicas y reglamentarias aplicables a las redes/sistemas de satélites del servicio fijo por satélite en las bandas de frecuencias 37,5-42,5 GHz (espacio-Tierra), 42,5-43,5 GHz (Tierra-espacio), 47,2-50,2 GHz (Tierra-espacio) y 50,4-51,4 GHz (Tierra-espacio) para lograr el acceso equitativo a estas bandas de frecuencias, de conformidad con la Resolución </w:t>
            </w:r>
            <w:r w:rsidRPr="003E6986">
              <w:rPr>
                <w:rFonts w:asciiTheme="minorHAnsi" w:hAnsiTheme="minorHAnsi" w:cstheme="minorHAnsi"/>
                <w:b/>
                <w:bCs/>
                <w:sz w:val="20"/>
                <w:lang w:val="es-ES_tradnl"/>
              </w:rPr>
              <w:t>131 (CMR-23)</w:t>
            </w:r>
          </w:p>
        </w:tc>
        <w:tc>
          <w:tcPr>
            <w:tcW w:w="1701" w:type="dxa"/>
          </w:tcPr>
          <w:p w14:paraId="704D474F"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 </w:t>
            </w:r>
            <w:r w:rsidRPr="003E6986">
              <w:rPr>
                <w:rFonts w:asciiTheme="minorHAnsi" w:hAnsiTheme="minorHAnsi" w:cstheme="minorHAnsi"/>
                <w:b/>
                <w:bCs/>
                <w:sz w:val="20"/>
                <w:lang w:val="es-ES_tradnl"/>
              </w:rPr>
              <w:t>131 (CMR-23)</w:t>
            </w:r>
          </w:p>
        </w:tc>
        <w:tc>
          <w:tcPr>
            <w:tcW w:w="1352" w:type="dxa"/>
          </w:tcPr>
          <w:p w14:paraId="5FB58235"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4A</w:t>
            </w:r>
          </w:p>
        </w:tc>
      </w:tr>
      <w:tr w:rsidR="00C15E0F" w:rsidRPr="003E6986" w14:paraId="2C660409" w14:textId="77777777" w:rsidTr="008B73E9">
        <w:trPr>
          <w:gridAfter w:val="1"/>
          <w:wAfter w:w="12" w:type="dxa"/>
          <w:cantSplit/>
          <w:jc w:val="center"/>
        </w:trPr>
        <w:tc>
          <w:tcPr>
            <w:tcW w:w="1410" w:type="dxa"/>
          </w:tcPr>
          <w:p w14:paraId="2BF83E7F"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7</w:t>
            </w:r>
          </w:p>
        </w:tc>
        <w:tc>
          <w:tcPr>
            <w:tcW w:w="992" w:type="dxa"/>
          </w:tcPr>
          <w:p w14:paraId="6D825757"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1/7</w:t>
            </w:r>
          </w:p>
        </w:tc>
        <w:tc>
          <w:tcPr>
            <w:tcW w:w="5387" w:type="dxa"/>
          </w:tcPr>
          <w:p w14:paraId="3C5D9034" w14:textId="77777777" w:rsidR="00C15E0F" w:rsidRPr="003E6986" w:rsidRDefault="00C15E0F" w:rsidP="00A923A9">
            <w:pPr>
              <w:pStyle w:val="TableText0"/>
              <w:jc w:val="both"/>
              <w:rPr>
                <w:rFonts w:asciiTheme="minorHAnsi" w:hAnsiTheme="minorHAnsi" w:cstheme="minorHAnsi"/>
                <w:sz w:val="20"/>
                <w:highlight w:val="yellow"/>
                <w:lang w:val="es-ES_tradnl"/>
              </w:rPr>
            </w:pPr>
            <w:r w:rsidRPr="003E6986">
              <w:rPr>
                <w:rFonts w:asciiTheme="minorHAnsi" w:hAnsiTheme="minorHAnsi" w:cstheme="minorHAnsi"/>
                <w:sz w:val="20"/>
                <w:lang w:val="es-ES_tradnl"/>
              </w:rPr>
              <w:t xml:space="preserve">considerar, para responder a lo dispuesto en la Resolución 86 (Rev. Marrakech, 2002) de la Conferencia de Plenipotenciarios, la posibilidad de modificar los procedimientos de publicación anticipada, de coordinación, de notificación y de inscripción de asignaciones de frecuencias </w:t>
            </w:r>
            <w:r w:rsidRPr="003E6986" w:rsidDel="00EA0DC7">
              <w:rPr>
                <w:rFonts w:asciiTheme="minorHAnsi" w:hAnsiTheme="minorHAnsi" w:cstheme="minorHAnsi"/>
                <w:sz w:val="20"/>
                <w:lang w:val="es-ES_tradnl"/>
              </w:rPr>
              <w:t>de</w:t>
            </w:r>
            <w:r w:rsidRPr="003E6986">
              <w:rPr>
                <w:rFonts w:asciiTheme="minorHAnsi" w:hAnsiTheme="minorHAnsi" w:cstheme="minorHAnsi"/>
                <w:sz w:val="20"/>
                <w:lang w:val="es-ES_tradnl"/>
              </w:rPr>
              <w:t xml:space="preserve"> redes de satélites, de conformidad con la Resolución </w:t>
            </w:r>
            <w:r w:rsidRPr="003E6986">
              <w:rPr>
                <w:rFonts w:asciiTheme="minorHAnsi" w:hAnsiTheme="minorHAnsi" w:cstheme="minorHAnsi"/>
                <w:b/>
                <w:bCs/>
                <w:sz w:val="20"/>
                <w:lang w:val="es-ES_tradnl"/>
              </w:rPr>
              <w:t>86 (Rev.CMR-07)</w:t>
            </w:r>
            <w:r w:rsidRPr="003E6986">
              <w:rPr>
                <w:rFonts w:asciiTheme="minorHAnsi" w:hAnsiTheme="minorHAnsi" w:cstheme="minorHAnsi"/>
                <w:sz w:val="20"/>
                <w:lang w:val="es-ES_tradnl"/>
              </w:rPr>
              <w:t>, para facilitar el uso racional, eficiente y económico de las radiofrecuencias y las órbitas asociadas, incluida la órbita de los satélites geoestacionarios</w:t>
            </w:r>
          </w:p>
        </w:tc>
        <w:tc>
          <w:tcPr>
            <w:tcW w:w="1701" w:type="dxa"/>
          </w:tcPr>
          <w:p w14:paraId="6C71EE6F"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 </w:t>
            </w:r>
            <w:r w:rsidRPr="003E6986">
              <w:rPr>
                <w:rFonts w:asciiTheme="minorHAnsi" w:hAnsiTheme="minorHAnsi" w:cstheme="minorHAnsi"/>
                <w:b/>
                <w:bCs/>
                <w:sz w:val="20"/>
                <w:lang w:val="es-ES_tradnl"/>
              </w:rPr>
              <w:t>86 (Rev.CMR-07)</w:t>
            </w:r>
          </w:p>
        </w:tc>
        <w:tc>
          <w:tcPr>
            <w:tcW w:w="1352" w:type="dxa"/>
          </w:tcPr>
          <w:p w14:paraId="69D50677"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4A</w:t>
            </w:r>
          </w:p>
        </w:tc>
      </w:tr>
      <w:tr w:rsidR="00C15E0F" w:rsidRPr="008653C7" w14:paraId="2D658046" w14:textId="77777777" w:rsidTr="00F25B01">
        <w:trPr>
          <w:cantSplit/>
          <w:jc w:val="center"/>
        </w:trPr>
        <w:tc>
          <w:tcPr>
            <w:tcW w:w="1410" w:type="dxa"/>
          </w:tcPr>
          <w:p w14:paraId="60B589F6" w14:textId="77777777" w:rsidR="00C15E0F" w:rsidRPr="003E6986" w:rsidRDefault="00C15E0F" w:rsidP="00C15E0F">
            <w:pPr>
              <w:pStyle w:val="TableText0"/>
              <w:rPr>
                <w:rFonts w:asciiTheme="minorHAnsi" w:hAnsiTheme="minorHAnsi" w:cstheme="minorHAnsi"/>
                <w:sz w:val="20"/>
                <w:lang w:val="es-ES_tradnl"/>
              </w:rPr>
            </w:pPr>
          </w:p>
        </w:tc>
        <w:tc>
          <w:tcPr>
            <w:tcW w:w="9444" w:type="dxa"/>
            <w:gridSpan w:val="5"/>
          </w:tcPr>
          <w:p w14:paraId="2F7A8127" w14:textId="77777777" w:rsidR="00C15E0F" w:rsidRPr="003E6986" w:rsidRDefault="00C15E0F" w:rsidP="00C15E0F">
            <w:pPr>
              <w:pStyle w:val="TableHead0"/>
              <w:rPr>
                <w:rFonts w:asciiTheme="minorHAnsi" w:hAnsiTheme="minorHAnsi" w:cstheme="minorHAnsi"/>
                <w:sz w:val="20"/>
                <w:lang w:val="es-ES_tradnl"/>
              </w:rPr>
            </w:pPr>
            <w:r w:rsidRPr="003E6986">
              <w:rPr>
                <w:rFonts w:asciiTheme="minorHAnsi" w:hAnsiTheme="minorHAnsi" w:cstheme="minorHAnsi"/>
                <w:sz w:val="20"/>
                <w:lang w:val="es-ES_tradnl"/>
              </w:rPr>
              <w:br w:type="page"/>
              <w:t>Capítulo 2</w:t>
            </w:r>
          </w:p>
          <w:p w14:paraId="09B98665" w14:textId="77777777" w:rsidR="00C15E0F" w:rsidRPr="003E6986" w:rsidRDefault="00C15E0F" w:rsidP="00C15E0F">
            <w:pPr>
              <w:pStyle w:val="TableHead0"/>
              <w:rPr>
                <w:rFonts w:asciiTheme="minorHAnsi" w:hAnsiTheme="minorHAnsi" w:cstheme="minorHAnsi"/>
                <w:sz w:val="20"/>
                <w:lang w:val="es-ES_tradnl"/>
              </w:rPr>
            </w:pPr>
            <w:r w:rsidRPr="003E6986">
              <w:rPr>
                <w:rFonts w:asciiTheme="minorHAnsi" w:hAnsiTheme="minorHAnsi" w:cstheme="minorHAnsi"/>
                <w:sz w:val="20"/>
                <w:lang w:val="es-ES_tradnl"/>
              </w:rPr>
              <w:t>Temas relativos a los servicios fijo, móvil y de radiolocalización</w:t>
            </w:r>
          </w:p>
        </w:tc>
      </w:tr>
      <w:tr w:rsidR="00C15E0F" w:rsidRPr="003E6986" w14:paraId="043FD86B" w14:textId="77777777" w:rsidTr="008B73E9">
        <w:trPr>
          <w:gridAfter w:val="1"/>
          <w:wAfter w:w="12" w:type="dxa"/>
          <w:cantSplit/>
          <w:jc w:val="center"/>
        </w:trPr>
        <w:tc>
          <w:tcPr>
            <w:tcW w:w="1410" w:type="dxa"/>
          </w:tcPr>
          <w:p w14:paraId="29F6BE05"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1.7</w:t>
            </w:r>
          </w:p>
        </w:tc>
        <w:tc>
          <w:tcPr>
            <w:tcW w:w="992" w:type="dxa"/>
          </w:tcPr>
          <w:p w14:paraId="79E48F51"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2/1.7</w:t>
            </w:r>
          </w:p>
        </w:tc>
        <w:tc>
          <w:tcPr>
            <w:tcW w:w="5387" w:type="dxa"/>
          </w:tcPr>
          <w:p w14:paraId="505B1DE5" w14:textId="77777777"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 xml:space="preserve">considerar estudios de compartición y compatibilidad y determinar las condiciones técnicas necesarias para la utilización de las Telecomunicaciones Móviles Internacionales (IMT) en las bandas de frecuencias 4 400-4 800 MHz, 7 125-8 400 MHz (o partes de </w:t>
            </w:r>
            <w:proofErr w:type="gramStart"/>
            <w:r w:rsidRPr="003E6986">
              <w:rPr>
                <w:rFonts w:asciiTheme="minorHAnsi" w:hAnsiTheme="minorHAnsi" w:cstheme="minorHAnsi"/>
                <w:sz w:val="20"/>
                <w:lang w:val="es-ES_tradnl"/>
              </w:rPr>
              <w:t>la misma</w:t>
            </w:r>
            <w:proofErr w:type="gramEnd"/>
            <w:r w:rsidRPr="003E6986">
              <w:rPr>
                <w:rFonts w:asciiTheme="minorHAnsi" w:hAnsiTheme="minorHAnsi" w:cstheme="minorHAnsi"/>
                <w:sz w:val="20"/>
                <w:lang w:val="es-ES_tradnl"/>
              </w:rPr>
              <w:t>) y 14,8</w:t>
            </w:r>
            <w:r w:rsidRPr="003E6986">
              <w:rPr>
                <w:rFonts w:asciiTheme="minorHAnsi" w:hAnsiTheme="minorHAnsi" w:cstheme="minorHAnsi"/>
                <w:sz w:val="20"/>
                <w:lang w:val="es-ES_tradnl"/>
              </w:rPr>
              <w:noBreakHyphen/>
              <w:t xml:space="preserve">15,35 GHz, teniendo en cuenta los servicios primarios existentes en dichas bandas de frecuencias, así como en bandas adyacentes, de conformidad con la Resolución </w:t>
            </w:r>
            <w:r w:rsidRPr="003E6986">
              <w:rPr>
                <w:rFonts w:asciiTheme="minorHAnsi" w:hAnsiTheme="minorHAnsi" w:cstheme="minorHAnsi"/>
                <w:b/>
                <w:bCs/>
                <w:sz w:val="20"/>
                <w:lang w:val="es-ES_tradnl"/>
              </w:rPr>
              <w:t>256 (CMR</w:t>
            </w:r>
            <w:r w:rsidRPr="003E6986">
              <w:rPr>
                <w:rFonts w:asciiTheme="minorHAnsi" w:hAnsiTheme="minorHAnsi" w:cstheme="minorHAnsi"/>
                <w:b/>
                <w:bCs/>
                <w:sz w:val="20"/>
                <w:lang w:val="es-ES_tradnl"/>
              </w:rPr>
              <w:noBreakHyphen/>
              <w:t>23)</w:t>
            </w:r>
          </w:p>
        </w:tc>
        <w:tc>
          <w:tcPr>
            <w:tcW w:w="1701" w:type="dxa"/>
          </w:tcPr>
          <w:p w14:paraId="5296C39D" w14:textId="77777777" w:rsidR="00C15E0F" w:rsidRPr="003E6986" w:rsidRDefault="00C15E0F" w:rsidP="00655284">
            <w:pPr>
              <w:pStyle w:val="TableText0"/>
              <w:jc w:val="center"/>
              <w:rPr>
                <w:rFonts w:asciiTheme="minorHAnsi" w:hAnsiTheme="minorHAnsi" w:cstheme="minorHAnsi"/>
                <w:b/>
                <w:bCs/>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256 (CMR</w:t>
            </w:r>
            <w:r w:rsidRPr="003E6986">
              <w:rPr>
                <w:rFonts w:asciiTheme="minorHAnsi" w:hAnsiTheme="minorHAnsi" w:cstheme="minorHAnsi"/>
                <w:b/>
                <w:bCs/>
                <w:sz w:val="20"/>
                <w:lang w:val="es-ES_tradnl"/>
              </w:rPr>
              <w:noBreakHyphen/>
              <w:t>23)</w:t>
            </w:r>
          </w:p>
        </w:tc>
        <w:tc>
          <w:tcPr>
            <w:tcW w:w="1352" w:type="dxa"/>
          </w:tcPr>
          <w:p w14:paraId="7CDB4DAD"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5D</w:t>
            </w:r>
          </w:p>
        </w:tc>
      </w:tr>
      <w:tr w:rsidR="00C15E0F" w:rsidRPr="003E6986" w14:paraId="2961B650" w14:textId="77777777" w:rsidTr="008B73E9">
        <w:trPr>
          <w:gridAfter w:val="1"/>
          <w:wAfter w:w="12" w:type="dxa"/>
          <w:cantSplit/>
          <w:jc w:val="center"/>
        </w:trPr>
        <w:tc>
          <w:tcPr>
            <w:tcW w:w="1410" w:type="dxa"/>
          </w:tcPr>
          <w:p w14:paraId="205E2A02"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1.8</w:t>
            </w:r>
          </w:p>
        </w:tc>
        <w:tc>
          <w:tcPr>
            <w:tcW w:w="992" w:type="dxa"/>
          </w:tcPr>
          <w:p w14:paraId="577E5DDA"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2/1.8</w:t>
            </w:r>
          </w:p>
        </w:tc>
        <w:tc>
          <w:tcPr>
            <w:tcW w:w="5387" w:type="dxa"/>
          </w:tcPr>
          <w:p w14:paraId="25E346D8" w14:textId="77777777"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considerar posibles atribuciones adicionales de espectro al servicio de radiolocalización a título primario en la banda de frecuencias 231,5-275 GHz y posibles nuevas identificaciones para aplicaciones del servicio de radiolocalización en bandas de frecuencias dentro de la gama de frecuencias 275</w:t>
            </w:r>
            <w:r w:rsidRPr="003E6986">
              <w:rPr>
                <w:rFonts w:asciiTheme="minorHAnsi" w:hAnsiTheme="minorHAnsi" w:cstheme="minorHAnsi"/>
                <w:sz w:val="20"/>
                <w:lang w:val="es-ES_tradnl"/>
              </w:rPr>
              <w:noBreakHyphen/>
              <w:t xml:space="preserve">700 GHz para sistemas de imágenes en ondas milimétricas y submilimétricas, de conformidad con la Resolución </w:t>
            </w:r>
            <w:r w:rsidRPr="003E6986">
              <w:rPr>
                <w:rFonts w:asciiTheme="minorHAnsi" w:hAnsiTheme="minorHAnsi" w:cstheme="minorHAnsi"/>
                <w:b/>
                <w:bCs/>
                <w:sz w:val="20"/>
                <w:lang w:val="es-ES_tradnl"/>
              </w:rPr>
              <w:t>663 (CMR-23)</w:t>
            </w:r>
          </w:p>
        </w:tc>
        <w:tc>
          <w:tcPr>
            <w:tcW w:w="1701" w:type="dxa"/>
          </w:tcPr>
          <w:p w14:paraId="1B218D5C"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663 (CMR-23)</w:t>
            </w:r>
          </w:p>
        </w:tc>
        <w:tc>
          <w:tcPr>
            <w:tcW w:w="1352" w:type="dxa"/>
          </w:tcPr>
          <w:p w14:paraId="7138C16F"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5B</w:t>
            </w:r>
          </w:p>
        </w:tc>
      </w:tr>
      <w:tr w:rsidR="00C15E0F" w:rsidRPr="003E6986" w14:paraId="1427196F" w14:textId="77777777" w:rsidTr="008B73E9">
        <w:trPr>
          <w:gridAfter w:val="1"/>
          <w:wAfter w:w="12" w:type="dxa"/>
          <w:cantSplit/>
          <w:jc w:val="center"/>
        </w:trPr>
        <w:tc>
          <w:tcPr>
            <w:tcW w:w="1410" w:type="dxa"/>
          </w:tcPr>
          <w:p w14:paraId="249BDFA0"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1.9</w:t>
            </w:r>
          </w:p>
        </w:tc>
        <w:tc>
          <w:tcPr>
            <w:tcW w:w="992" w:type="dxa"/>
          </w:tcPr>
          <w:p w14:paraId="0ADEB852"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2/1.9</w:t>
            </w:r>
          </w:p>
        </w:tc>
        <w:tc>
          <w:tcPr>
            <w:tcW w:w="5387" w:type="dxa"/>
          </w:tcPr>
          <w:p w14:paraId="1D51E84D" w14:textId="77777777"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 xml:space="preserve">considerar las acciones reglamentarias pertinentes para actualizar el Apéndice </w:t>
            </w:r>
            <w:r w:rsidRPr="00E33D09">
              <w:rPr>
                <w:rFonts w:asciiTheme="minorHAnsi" w:hAnsiTheme="minorHAnsi" w:cstheme="minorHAnsi"/>
                <w:b/>
                <w:bCs/>
                <w:sz w:val="20"/>
                <w:lang w:val="es-ES_tradnl"/>
              </w:rPr>
              <w:t>26</w:t>
            </w:r>
            <w:r w:rsidRPr="003E6986">
              <w:rPr>
                <w:rFonts w:asciiTheme="minorHAnsi" w:hAnsiTheme="minorHAnsi" w:cstheme="minorHAnsi"/>
                <w:sz w:val="20"/>
                <w:lang w:val="es-ES_tradnl"/>
              </w:rPr>
              <w:t xml:space="preserve"> del Reglamento de Radiocomunicaciones en pro de la modernización del servicio móvil aeronáutico (OR) en ondas decamétricas, de conformidad con la Resolución </w:t>
            </w:r>
            <w:r w:rsidRPr="003E6986">
              <w:rPr>
                <w:rFonts w:asciiTheme="minorHAnsi" w:hAnsiTheme="minorHAnsi" w:cstheme="minorHAnsi"/>
                <w:b/>
                <w:bCs/>
                <w:sz w:val="20"/>
                <w:lang w:val="es-ES_tradnl"/>
              </w:rPr>
              <w:t>411 (CMR 23)</w:t>
            </w:r>
          </w:p>
        </w:tc>
        <w:tc>
          <w:tcPr>
            <w:tcW w:w="1701" w:type="dxa"/>
          </w:tcPr>
          <w:p w14:paraId="6A498286"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411 (CMR 23)</w:t>
            </w:r>
          </w:p>
        </w:tc>
        <w:tc>
          <w:tcPr>
            <w:tcW w:w="1352" w:type="dxa"/>
          </w:tcPr>
          <w:p w14:paraId="2121437F"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5B</w:t>
            </w:r>
          </w:p>
        </w:tc>
      </w:tr>
      <w:tr w:rsidR="00C15E0F" w:rsidRPr="003E6986" w14:paraId="6AB4B7A2" w14:textId="77777777" w:rsidTr="008B73E9">
        <w:trPr>
          <w:gridAfter w:val="1"/>
          <w:wAfter w:w="12" w:type="dxa"/>
          <w:cantSplit/>
          <w:jc w:val="center"/>
        </w:trPr>
        <w:tc>
          <w:tcPr>
            <w:tcW w:w="1410" w:type="dxa"/>
            <w:tcBorders>
              <w:bottom w:val="nil"/>
            </w:tcBorders>
          </w:tcPr>
          <w:p w14:paraId="3B0776F0"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lastRenderedPageBreak/>
              <w:t>1.10</w:t>
            </w:r>
          </w:p>
        </w:tc>
        <w:tc>
          <w:tcPr>
            <w:tcW w:w="992" w:type="dxa"/>
            <w:tcBorders>
              <w:bottom w:val="nil"/>
            </w:tcBorders>
          </w:tcPr>
          <w:p w14:paraId="286AB732"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2/1.10</w:t>
            </w:r>
          </w:p>
        </w:tc>
        <w:tc>
          <w:tcPr>
            <w:tcW w:w="5387" w:type="dxa"/>
            <w:tcBorders>
              <w:bottom w:val="nil"/>
            </w:tcBorders>
          </w:tcPr>
          <w:p w14:paraId="2102C31F" w14:textId="77777777" w:rsidR="00C15E0F" w:rsidRPr="003E6986" w:rsidRDefault="00C15E0F" w:rsidP="003C7B4E">
            <w:pPr>
              <w:pStyle w:val="TableText0"/>
              <w:jc w:val="both"/>
              <w:rPr>
                <w:rFonts w:asciiTheme="minorHAnsi" w:hAnsiTheme="minorHAnsi" w:cstheme="minorHAnsi"/>
                <w:sz w:val="20"/>
                <w:highlight w:val="yellow"/>
                <w:lang w:val="es-ES_tradnl"/>
              </w:rPr>
            </w:pPr>
            <w:r w:rsidRPr="003E6986">
              <w:rPr>
                <w:rFonts w:asciiTheme="minorHAnsi" w:hAnsiTheme="minorHAnsi" w:cstheme="minorHAnsi"/>
                <w:sz w:val="20"/>
                <w:lang w:val="es-ES_tradnl"/>
              </w:rPr>
              <w:t>considerar la determinación de límites de la densidad de flujo de potencia y de la potencia isótropa radiada equivalente (</w:t>
            </w:r>
            <w:proofErr w:type="spellStart"/>
            <w:r w:rsidRPr="003E6986">
              <w:rPr>
                <w:rFonts w:asciiTheme="minorHAnsi" w:hAnsiTheme="minorHAnsi" w:cstheme="minorHAnsi"/>
                <w:sz w:val="20"/>
                <w:lang w:val="es-ES_tradnl"/>
              </w:rPr>
              <w:t>p.i.r.e</w:t>
            </w:r>
            <w:proofErr w:type="spellEnd"/>
            <w:r w:rsidRPr="003E6986">
              <w:rPr>
                <w:rFonts w:asciiTheme="minorHAnsi" w:hAnsiTheme="minorHAnsi" w:cstheme="minorHAnsi"/>
                <w:sz w:val="20"/>
                <w:lang w:val="es-ES_tradnl"/>
              </w:rPr>
              <w:t>.) con miras a su inclusión en el Artículo 21 del Reglamento de Radiocomunicaciones para los servicios fijo por satélite, móvil por satélite y de radiodifusión por satélite, a fin de proteger los servicios fijo y móvil en las bandas de frecuencias 71-76 GHz y 81</w:t>
            </w:r>
            <w:r w:rsidRPr="003E6986">
              <w:rPr>
                <w:rFonts w:asciiTheme="minorHAnsi" w:hAnsiTheme="minorHAnsi" w:cstheme="minorHAnsi"/>
                <w:sz w:val="20"/>
                <w:lang w:val="es-ES_tradnl"/>
              </w:rPr>
              <w:noBreakHyphen/>
              <w:t>86 GHz, de conformidad con la Resolución </w:t>
            </w:r>
            <w:r w:rsidRPr="003E6986">
              <w:rPr>
                <w:rFonts w:asciiTheme="minorHAnsi" w:hAnsiTheme="minorHAnsi" w:cstheme="minorHAnsi"/>
                <w:b/>
                <w:bCs/>
                <w:sz w:val="20"/>
                <w:lang w:val="es-ES_tradnl"/>
              </w:rPr>
              <w:t>775 (Rev.CMR</w:t>
            </w:r>
            <w:r w:rsidRPr="003E6986">
              <w:rPr>
                <w:rFonts w:asciiTheme="minorHAnsi" w:hAnsiTheme="minorHAnsi" w:cstheme="minorHAnsi"/>
                <w:b/>
                <w:bCs/>
                <w:sz w:val="20"/>
                <w:lang w:val="es-ES_tradnl"/>
              </w:rPr>
              <w:noBreakHyphen/>
              <w:t>23)</w:t>
            </w:r>
          </w:p>
        </w:tc>
        <w:tc>
          <w:tcPr>
            <w:tcW w:w="1701" w:type="dxa"/>
            <w:tcBorders>
              <w:bottom w:val="nil"/>
            </w:tcBorders>
          </w:tcPr>
          <w:p w14:paraId="02043A75"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 </w:t>
            </w:r>
            <w:r w:rsidRPr="003E6986">
              <w:rPr>
                <w:rFonts w:asciiTheme="minorHAnsi" w:hAnsiTheme="minorHAnsi" w:cstheme="minorHAnsi"/>
                <w:b/>
                <w:bCs/>
                <w:sz w:val="20"/>
                <w:lang w:val="es-ES_tradnl"/>
              </w:rPr>
              <w:t>775 (Rev.CMR</w:t>
            </w:r>
            <w:r w:rsidRPr="003E6986">
              <w:rPr>
                <w:rFonts w:asciiTheme="minorHAnsi" w:hAnsiTheme="minorHAnsi" w:cstheme="minorHAnsi"/>
                <w:b/>
                <w:bCs/>
                <w:sz w:val="20"/>
                <w:lang w:val="es-ES_tradnl"/>
              </w:rPr>
              <w:noBreakHyphen/>
              <w:t>23)</w:t>
            </w:r>
          </w:p>
        </w:tc>
        <w:tc>
          <w:tcPr>
            <w:tcW w:w="1352" w:type="dxa"/>
            <w:tcBorders>
              <w:bottom w:val="nil"/>
            </w:tcBorders>
          </w:tcPr>
          <w:p w14:paraId="774344D6"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5C*</w:t>
            </w:r>
          </w:p>
        </w:tc>
      </w:tr>
      <w:tr w:rsidR="00C15E0F" w:rsidRPr="008653C7" w14:paraId="3A61F8EF" w14:textId="77777777" w:rsidTr="00C15E0F">
        <w:trPr>
          <w:cantSplit/>
          <w:jc w:val="center"/>
        </w:trPr>
        <w:tc>
          <w:tcPr>
            <w:tcW w:w="10854" w:type="dxa"/>
            <w:gridSpan w:val="6"/>
            <w:tcBorders>
              <w:top w:val="nil"/>
            </w:tcBorders>
          </w:tcPr>
          <w:p w14:paraId="31F5B65E" w14:textId="138F27D8" w:rsidR="00C15E0F" w:rsidRPr="003E6986" w:rsidRDefault="00655284"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w:t>
            </w:r>
            <w:r w:rsidRPr="003E6986">
              <w:rPr>
                <w:rFonts w:asciiTheme="minorHAnsi" w:hAnsiTheme="minorHAnsi" w:cstheme="minorHAnsi"/>
                <w:sz w:val="20"/>
                <w:lang w:val="es-ES_tradnl"/>
              </w:rPr>
              <w:tab/>
            </w:r>
            <w:r w:rsidR="00C15E0F" w:rsidRPr="003E6986">
              <w:rPr>
                <w:rFonts w:asciiTheme="minorHAnsi" w:hAnsiTheme="minorHAnsi" w:cstheme="minorHAnsi"/>
                <w:sz w:val="20"/>
                <w:lang w:val="es-ES_tradnl"/>
              </w:rPr>
              <w:t>Los estudios deberían realizarse en estrecha colaboración con los GT indicados (Nota de la Secretaría: los GT indicados son 5C, 4A, 4C y 5A).</w:t>
            </w:r>
          </w:p>
        </w:tc>
      </w:tr>
      <w:tr w:rsidR="00C15E0F" w:rsidRPr="008653C7" w14:paraId="6D961E8F" w14:textId="77777777" w:rsidTr="00F25B01">
        <w:trPr>
          <w:cantSplit/>
          <w:jc w:val="center"/>
        </w:trPr>
        <w:tc>
          <w:tcPr>
            <w:tcW w:w="1410" w:type="dxa"/>
          </w:tcPr>
          <w:p w14:paraId="5B97B8EC" w14:textId="77777777" w:rsidR="00C15E0F" w:rsidRPr="003E6986" w:rsidRDefault="00C15E0F" w:rsidP="00C15E0F">
            <w:pPr>
              <w:pStyle w:val="TableText0"/>
              <w:rPr>
                <w:rFonts w:asciiTheme="minorHAnsi" w:hAnsiTheme="minorHAnsi" w:cstheme="minorHAnsi"/>
                <w:sz w:val="20"/>
                <w:lang w:val="es-ES_tradnl"/>
              </w:rPr>
            </w:pPr>
          </w:p>
        </w:tc>
        <w:tc>
          <w:tcPr>
            <w:tcW w:w="9444" w:type="dxa"/>
            <w:gridSpan w:val="5"/>
          </w:tcPr>
          <w:p w14:paraId="669E163D" w14:textId="77777777" w:rsidR="00C15E0F" w:rsidRPr="003E6986" w:rsidRDefault="00C15E0F" w:rsidP="00C15E0F">
            <w:pPr>
              <w:pStyle w:val="TableHead0"/>
              <w:rPr>
                <w:rFonts w:asciiTheme="minorHAnsi" w:hAnsiTheme="minorHAnsi" w:cstheme="minorHAnsi"/>
                <w:sz w:val="20"/>
                <w:lang w:val="es-ES_tradnl"/>
              </w:rPr>
            </w:pPr>
            <w:r w:rsidRPr="003E6986">
              <w:rPr>
                <w:rFonts w:asciiTheme="minorHAnsi" w:hAnsiTheme="minorHAnsi" w:cstheme="minorHAnsi"/>
                <w:sz w:val="20"/>
                <w:lang w:val="es-ES_tradnl"/>
              </w:rPr>
              <w:t>Capítulo 3</w:t>
            </w:r>
          </w:p>
          <w:p w14:paraId="59C82090" w14:textId="77777777" w:rsidR="00C15E0F" w:rsidRPr="003E6986" w:rsidRDefault="00C15E0F" w:rsidP="00C15E0F">
            <w:pPr>
              <w:pStyle w:val="TableHead0"/>
              <w:rPr>
                <w:rFonts w:asciiTheme="minorHAnsi" w:hAnsiTheme="minorHAnsi" w:cstheme="minorHAnsi"/>
                <w:sz w:val="20"/>
                <w:lang w:val="es-ES_tradnl"/>
              </w:rPr>
            </w:pPr>
            <w:r w:rsidRPr="003E6986">
              <w:rPr>
                <w:rFonts w:asciiTheme="minorHAnsi" w:hAnsiTheme="minorHAnsi" w:cstheme="minorHAnsi"/>
                <w:sz w:val="20"/>
                <w:lang w:val="es-ES_tradnl"/>
              </w:rPr>
              <w:t>Temas relativos al servicio móvil por satélite</w:t>
            </w:r>
          </w:p>
        </w:tc>
      </w:tr>
      <w:tr w:rsidR="00C15E0F" w:rsidRPr="003E6986" w14:paraId="0A9E5341" w14:textId="77777777" w:rsidTr="008B73E9">
        <w:trPr>
          <w:gridAfter w:val="1"/>
          <w:wAfter w:w="12" w:type="dxa"/>
          <w:cantSplit/>
          <w:jc w:val="center"/>
        </w:trPr>
        <w:tc>
          <w:tcPr>
            <w:tcW w:w="1410" w:type="dxa"/>
          </w:tcPr>
          <w:p w14:paraId="331F4385"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1.11</w:t>
            </w:r>
          </w:p>
        </w:tc>
        <w:tc>
          <w:tcPr>
            <w:tcW w:w="992" w:type="dxa"/>
          </w:tcPr>
          <w:p w14:paraId="516E0AA0"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3/1.11</w:t>
            </w:r>
          </w:p>
        </w:tc>
        <w:tc>
          <w:tcPr>
            <w:tcW w:w="5387" w:type="dxa"/>
          </w:tcPr>
          <w:p w14:paraId="059A76A4" w14:textId="77777777" w:rsidR="00C15E0F" w:rsidRPr="003E6986" w:rsidRDefault="00C15E0F" w:rsidP="003C7B4E">
            <w:pPr>
              <w:pStyle w:val="TableText0"/>
              <w:jc w:val="both"/>
              <w:rPr>
                <w:rFonts w:asciiTheme="minorHAnsi" w:hAnsiTheme="minorHAnsi" w:cstheme="minorHAnsi"/>
                <w:sz w:val="20"/>
                <w:highlight w:val="yellow"/>
                <w:lang w:val="es-ES_tradnl"/>
              </w:rPr>
            </w:pPr>
            <w:r w:rsidRPr="003E6986">
              <w:rPr>
                <w:rFonts w:asciiTheme="minorHAnsi" w:hAnsiTheme="minorHAnsi" w:cstheme="minorHAnsi"/>
                <w:sz w:val="20"/>
                <w:lang w:val="es-ES_tradnl"/>
              </w:rPr>
              <w:t>considerar las cuestiones técnicas y operativas, así como las disposiciones reglamentarias, para los enlaces espacio-espacio entre satélites no geoestacionarios y geoestacionarios en las bandas de frecuencias 1 518-1 544 MHz, 1 545-1 559 MHz, 1 610-1 645,5 MHz, 1 646,5-1 660,0 MHz, 1 670,0</w:t>
            </w:r>
            <w:r w:rsidRPr="003E6986">
              <w:rPr>
                <w:rFonts w:asciiTheme="minorHAnsi" w:hAnsiTheme="minorHAnsi" w:cstheme="minorHAnsi"/>
                <w:sz w:val="20"/>
                <w:lang w:val="es-ES_tradnl"/>
              </w:rPr>
              <w:noBreakHyphen/>
              <w:t>1 675,0 MHz y 2 483,5-2 500,0 MHz atribuidas al servicio móvil por satélite, de conformidad con la Resolución </w:t>
            </w:r>
            <w:r w:rsidRPr="003E6986">
              <w:rPr>
                <w:rFonts w:asciiTheme="minorHAnsi" w:hAnsiTheme="minorHAnsi" w:cstheme="minorHAnsi"/>
                <w:b/>
                <w:bCs/>
                <w:sz w:val="20"/>
                <w:lang w:val="es-ES_tradnl"/>
              </w:rPr>
              <w:t>249 (Rev.CMR-23)</w:t>
            </w:r>
          </w:p>
        </w:tc>
        <w:tc>
          <w:tcPr>
            <w:tcW w:w="1701" w:type="dxa"/>
          </w:tcPr>
          <w:p w14:paraId="11C6353E" w14:textId="77777777" w:rsidR="00C15E0F" w:rsidRPr="003E6986" w:rsidRDefault="00C15E0F" w:rsidP="00655284">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 </w:t>
            </w:r>
            <w:r w:rsidRPr="003E6986">
              <w:rPr>
                <w:rFonts w:asciiTheme="minorHAnsi" w:hAnsiTheme="minorHAnsi" w:cstheme="minorHAnsi"/>
                <w:b/>
                <w:bCs/>
                <w:sz w:val="20"/>
                <w:lang w:val="es-ES_tradnl"/>
              </w:rPr>
              <w:t>249 (Rev.CMR-23)</w:t>
            </w:r>
          </w:p>
        </w:tc>
        <w:tc>
          <w:tcPr>
            <w:tcW w:w="1352" w:type="dxa"/>
          </w:tcPr>
          <w:p w14:paraId="7BF53FD2"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4C</w:t>
            </w:r>
          </w:p>
        </w:tc>
      </w:tr>
      <w:tr w:rsidR="00C15E0F" w:rsidRPr="003E6986" w14:paraId="23D8735C" w14:textId="77777777" w:rsidTr="008B73E9">
        <w:trPr>
          <w:gridAfter w:val="1"/>
          <w:wAfter w:w="12" w:type="dxa"/>
          <w:cantSplit/>
          <w:jc w:val="center"/>
        </w:trPr>
        <w:tc>
          <w:tcPr>
            <w:tcW w:w="1410" w:type="dxa"/>
            <w:tcBorders>
              <w:bottom w:val="single" w:sz="6" w:space="0" w:color="auto"/>
            </w:tcBorders>
          </w:tcPr>
          <w:p w14:paraId="76EC90BE"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1.12</w:t>
            </w:r>
          </w:p>
        </w:tc>
        <w:tc>
          <w:tcPr>
            <w:tcW w:w="992" w:type="dxa"/>
            <w:tcBorders>
              <w:bottom w:val="single" w:sz="6" w:space="0" w:color="auto"/>
            </w:tcBorders>
          </w:tcPr>
          <w:p w14:paraId="6C79C8B3"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3/1.12</w:t>
            </w:r>
          </w:p>
        </w:tc>
        <w:tc>
          <w:tcPr>
            <w:tcW w:w="5387" w:type="dxa"/>
            <w:tcBorders>
              <w:bottom w:val="single" w:sz="6" w:space="0" w:color="auto"/>
            </w:tcBorders>
          </w:tcPr>
          <w:p w14:paraId="171568A6" w14:textId="77777777"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considerar, basándose en los resultados de los estudios, posibles atribuciones al servicio móvil por satélite y posibles medidas reglamentarias en las bandas de frecuencias 1 427-1 432 MHz (espacio</w:t>
            </w:r>
            <w:r w:rsidRPr="003E6986">
              <w:rPr>
                <w:rFonts w:asciiTheme="minorHAnsi" w:hAnsiTheme="minorHAnsi" w:cstheme="minorHAnsi"/>
                <w:sz w:val="20"/>
                <w:lang w:val="es-ES_tradnl"/>
              </w:rPr>
              <w:noBreakHyphen/>
              <w:t>Tierra), 1 645,5-1 646,5 MHz (espacio</w:t>
            </w:r>
            <w:r w:rsidRPr="003E6986">
              <w:rPr>
                <w:rFonts w:asciiTheme="minorHAnsi" w:hAnsiTheme="minorHAnsi" w:cstheme="minorHAnsi"/>
                <w:sz w:val="20"/>
                <w:lang w:val="es-ES_tradnl"/>
              </w:rPr>
              <w:noBreakHyphen/>
              <w:t>Tierra) y (Tierra-espacio), 1 880-1 920 MHz (espacio-Tierra) y (Tierra-espacio) y 2 010</w:t>
            </w:r>
            <w:r w:rsidRPr="003E6986">
              <w:rPr>
                <w:rFonts w:asciiTheme="minorHAnsi" w:hAnsiTheme="minorHAnsi" w:cstheme="minorHAnsi"/>
                <w:sz w:val="20"/>
                <w:lang w:val="es-ES_tradnl"/>
              </w:rPr>
              <w:noBreakHyphen/>
              <w:t>2 025 MHz (espacio-Tierra) y (Tierra-espacio) necesarias para el futuro desarrollo de sistemas no geoestacionarios del servicio móvil por satélite de baja velocidad de datos, de conformidad con la Resolución </w:t>
            </w:r>
            <w:r w:rsidRPr="003E6986">
              <w:rPr>
                <w:rFonts w:asciiTheme="minorHAnsi" w:hAnsiTheme="minorHAnsi" w:cstheme="minorHAnsi"/>
                <w:b/>
                <w:bCs/>
                <w:sz w:val="20"/>
                <w:lang w:val="es-ES_tradnl"/>
              </w:rPr>
              <w:t>252 (CMR-23)</w:t>
            </w:r>
          </w:p>
        </w:tc>
        <w:tc>
          <w:tcPr>
            <w:tcW w:w="1701" w:type="dxa"/>
            <w:tcBorders>
              <w:bottom w:val="single" w:sz="6" w:space="0" w:color="auto"/>
            </w:tcBorders>
          </w:tcPr>
          <w:p w14:paraId="2B5C7841"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 </w:t>
            </w:r>
            <w:r w:rsidRPr="003E6986">
              <w:rPr>
                <w:rFonts w:asciiTheme="minorHAnsi" w:hAnsiTheme="minorHAnsi" w:cstheme="minorHAnsi"/>
                <w:b/>
                <w:bCs/>
                <w:sz w:val="20"/>
                <w:lang w:val="es-ES_tradnl"/>
              </w:rPr>
              <w:t>252 (CMR-23)</w:t>
            </w:r>
          </w:p>
        </w:tc>
        <w:tc>
          <w:tcPr>
            <w:tcW w:w="1352" w:type="dxa"/>
            <w:tcBorders>
              <w:bottom w:val="single" w:sz="6" w:space="0" w:color="auto"/>
            </w:tcBorders>
          </w:tcPr>
          <w:p w14:paraId="157E2830"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4C</w:t>
            </w:r>
          </w:p>
        </w:tc>
      </w:tr>
      <w:tr w:rsidR="00C15E0F" w:rsidRPr="003E6986" w14:paraId="7AE8367A" w14:textId="77777777" w:rsidTr="008B73E9">
        <w:trPr>
          <w:gridAfter w:val="1"/>
          <w:wAfter w:w="12" w:type="dxa"/>
          <w:cantSplit/>
          <w:jc w:val="center"/>
        </w:trPr>
        <w:tc>
          <w:tcPr>
            <w:tcW w:w="1410" w:type="dxa"/>
            <w:tcBorders>
              <w:bottom w:val="nil"/>
            </w:tcBorders>
          </w:tcPr>
          <w:p w14:paraId="41CE538F"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1.13</w:t>
            </w:r>
          </w:p>
        </w:tc>
        <w:tc>
          <w:tcPr>
            <w:tcW w:w="992" w:type="dxa"/>
            <w:tcBorders>
              <w:bottom w:val="nil"/>
            </w:tcBorders>
          </w:tcPr>
          <w:p w14:paraId="23686533"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3/1.13</w:t>
            </w:r>
          </w:p>
        </w:tc>
        <w:tc>
          <w:tcPr>
            <w:tcW w:w="5387" w:type="dxa"/>
            <w:tcBorders>
              <w:bottom w:val="nil"/>
            </w:tcBorders>
          </w:tcPr>
          <w:p w14:paraId="76FF1D9B" w14:textId="77777777"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considerar estudios sobre posibles nuevas atribuciones al servicio móvil por satélite para la conectividad directa entre estaciones espaciales y equipos de usuario de las Telecomunicaciones Móviles Internacionales (IMT) a fin de complementar la cobertura de la red IMT terrenal, de conformidad con la Resolución </w:t>
            </w:r>
            <w:r w:rsidRPr="003E6986">
              <w:rPr>
                <w:rFonts w:asciiTheme="minorHAnsi" w:hAnsiTheme="minorHAnsi" w:cstheme="minorHAnsi"/>
                <w:b/>
                <w:bCs/>
                <w:sz w:val="20"/>
                <w:lang w:val="es-ES_tradnl"/>
              </w:rPr>
              <w:t>253 (CMR</w:t>
            </w:r>
            <w:r w:rsidRPr="003E6986">
              <w:rPr>
                <w:rFonts w:asciiTheme="minorHAnsi" w:hAnsiTheme="minorHAnsi" w:cstheme="minorHAnsi"/>
                <w:b/>
                <w:bCs/>
                <w:sz w:val="20"/>
                <w:lang w:val="es-ES_tradnl"/>
              </w:rPr>
              <w:noBreakHyphen/>
              <w:t>23)</w:t>
            </w:r>
          </w:p>
        </w:tc>
        <w:tc>
          <w:tcPr>
            <w:tcW w:w="1701" w:type="dxa"/>
            <w:tcBorders>
              <w:bottom w:val="nil"/>
            </w:tcBorders>
          </w:tcPr>
          <w:p w14:paraId="401B1BAB" w14:textId="6B0934CC" w:rsidR="00C15E0F" w:rsidRPr="003E6986" w:rsidRDefault="00C15E0F" w:rsidP="00EA10AE">
            <w:pPr>
              <w:pStyle w:val="TableText0"/>
              <w:jc w:val="center"/>
              <w:rPr>
                <w:rFonts w:asciiTheme="minorHAnsi" w:hAnsiTheme="minorHAnsi" w:cstheme="minorHAnsi"/>
                <w:b/>
                <w:bCs/>
                <w:sz w:val="20"/>
                <w:lang w:val="es-ES_tradnl"/>
              </w:rPr>
            </w:pPr>
            <w:r w:rsidRPr="003E6986">
              <w:rPr>
                <w:rFonts w:asciiTheme="minorHAnsi" w:hAnsiTheme="minorHAnsi" w:cstheme="minorHAnsi"/>
                <w:sz w:val="20"/>
                <w:lang w:val="es-ES_tradnl"/>
              </w:rPr>
              <w:t>Resolución</w:t>
            </w:r>
            <w:r w:rsidR="00EA10AE" w:rsidRPr="003E6986">
              <w:rPr>
                <w:rFonts w:asciiTheme="minorHAnsi" w:hAnsiTheme="minorHAnsi" w:cstheme="minorHAnsi"/>
                <w:sz w:val="20"/>
                <w:lang w:val="es-ES_tradnl"/>
              </w:rPr>
              <w:t xml:space="preserve"> </w:t>
            </w:r>
            <w:r w:rsidRPr="003E6986">
              <w:rPr>
                <w:rFonts w:asciiTheme="minorHAnsi" w:hAnsiTheme="minorHAnsi" w:cstheme="minorHAnsi"/>
                <w:b/>
                <w:bCs/>
                <w:sz w:val="20"/>
                <w:lang w:val="es-ES_tradnl"/>
              </w:rPr>
              <w:t>253</w:t>
            </w:r>
          </w:p>
          <w:p w14:paraId="6B013840"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b/>
                <w:bCs/>
                <w:sz w:val="20"/>
                <w:lang w:val="es-ES_tradnl"/>
              </w:rPr>
              <w:t>(CMR-23)</w:t>
            </w:r>
          </w:p>
        </w:tc>
        <w:tc>
          <w:tcPr>
            <w:tcW w:w="1352" w:type="dxa"/>
            <w:tcBorders>
              <w:bottom w:val="nil"/>
            </w:tcBorders>
          </w:tcPr>
          <w:p w14:paraId="28D7D3E1"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4C*</w:t>
            </w:r>
          </w:p>
        </w:tc>
      </w:tr>
      <w:tr w:rsidR="00C15E0F" w:rsidRPr="008653C7" w14:paraId="52A6A84A" w14:textId="77777777" w:rsidTr="00C15E0F">
        <w:trPr>
          <w:cantSplit/>
          <w:jc w:val="center"/>
        </w:trPr>
        <w:tc>
          <w:tcPr>
            <w:tcW w:w="10854" w:type="dxa"/>
            <w:gridSpan w:val="6"/>
            <w:tcBorders>
              <w:top w:val="nil"/>
            </w:tcBorders>
          </w:tcPr>
          <w:p w14:paraId="397EDB0F" w14:textId="290D46A7" w:rsidR="00E33D09" w:rsidRPr="003E6986" w:rsidRDefault="00C15E0F" w:rsidP="00E33D09">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w:t>
            </w:r>
            <w:r w:rsidR="00EA10AE" w:rsidRPr="003E6986">
              <w:rPr>
                <w:rFonts w:asciiTheme="minorHAnsi" w:hAnsiTheme="minorHAnsi" w:cstheme="minorHAnsi"/>
                <w:sz w:val="20"/>
                <w:lang w:val="es-ES_tradnl"/>
              </w:rPr>
              <w:tab/>
            </w:r>
            <w:r w:rsidRPr="003E6986">
              <w:rPr>
                <w:rFonts w:asciiTheme="minorHAnsi" w:hAnsiTheme="minorHAnsi" w:cstheme="minorHAnsi"/>
                <w:sz w:val="20"/>
                <w:lang w:val="es-ES_tradnl"/>
              </w:rPr>
              <w:t xml:space="preserve">El GT 4C llevará a cabo los estudios sobre las posibles atribuciones al SMS en las bandas de frecuencias comprendidas entre 694/698 MHz y 2,7 GHz de acuerdo con las contribuciones recibidas, incluidas las del GT 5D, que se basan en las disposiciones de frecuencias IMT incluidas en la última versión de la Recomendación UIT-R M.1036. El GT 4C, en estrecha colaboración con el GT 5D, llevará a cabo los estudios a que se hace referencia en el </w:t>
            </w:r>
            <w:r w:rsidRPr="003E6986">
              <w:rPr>
                <w:rFonts w:asciiTheme="minorHAnsi" w:hAnsiTheme="minorHAnsi" w:cstheme="minorHAnsi"/>
                <w:i/>
                <w:iCs/>
                <w:sz w:val="20"/>
                <w:lang w:val="es-ES_tradnl"/>
              </w:rPr>
              <w:t>resuelve invitar al Sector de Radiocomunicaciones de la UIT a finalizar a tiempo para la Conferencia Mundial de Radiocomunicaciones de 2027 2.</w:t>
            </w:r>
            <w:r w:rsidRPr="003E6986">
              <w:rPr>
                <w:rFonts w:asciiTheme="minorHAnsi" w:hAnsiTheme="minorHAnsi" w:cstheme="minorHAnsi"/>
                <w:sz w:val="20"/>
                <w:lang w:val="es-ES_tradnl"/>
              </w:rPr>
              <w:t xml:space="preserve"> El GT 4C se encargará de los estudios solicitados en los </w:t>
            </w:r>
            <w:r w:rsidRPr="003E6986">
              <w:rPr>
                <w:rFonts w:asciiTheme="minorHAnsi" w:hAnsiTheme="minorHAnsi" w:cstheme="minorHAnsi"/>
                <w:i/>
                <w:iCs/>
                <w:sz w:val="20"/>
                <w:lang w:val="es-ES_tradnl"/>
              </w:rPr>
              <w:t>resuelve además</w:t>
            </w:r>
            <w:r w:rsidRPr="003E6986">
              <w:rPr>
                <w:rFonts w:asciiTheme="minorHAnsi" w:hAnsiTheme="minorHAnsi" w:cstheme="minorHAnsi"/>
                <w:sz w:val="20"/>
                <w:lang w:val="es-ES_tradnl"/>
              </w:rPr>
              <w:t xml:space="preserve"> 1 y 2. Cabe prever que el GT 5D elabore estudios que incluyan consideraciones reglamentarias relativas a la protección de la componente terrenal de las IMT. El GT 4C debería tomar la iniciativa en lo que respecta a la elaboración del proyecto de texto de la RPC incluyendo los resultados del GT 5D sobre las consideraciones reglamentarias relativas a la protección de la componente terrenal de las IMT. Para facilitar el trabajo, los Presidentes de ambos GT deberían coordinar el calendario de reuniones de los grupos en cuestión, según proceda, y proporcionar una nota a ambos GT a este respecto.</w:t>
            </w:r>
          </w:p>
        </w:tc>
      </w:tr>
      <w:tr w:rsidR="00C15E0F" w:rsidRPr="003E6986" w14:paraId="0E8AD18E" w14:textId="77777777" w:rsidTr="008B73E9">
        <w:trPr>
          <w:gridAfter w:val="1"/>
          <w:wAfter w:w="12" w:type="dxa"/>
          <w:cantSplit/>
          <w:jc w:val="center"/>
        </w:trPr>
        <w:tc>
          <w:tcPr>
            <w:tcW w:w="1410" w:type="dxa"/>
          </w:tcPr>
          <w:p w14:paraId="5E92F08E"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1.14</w:t>
            </w:r>
          </w:p>
        </w:tc>
        <w:tc>
          <w:tcPr>
            <w:tcW w:w="992" w:type="dxa"/>
          </w:tcPr>
          <w:p w14:paraId="462350FA"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3/1.14</w:t>
            </w:r>
          </w:p>
        </w:tc>
        <w:tc>
          <w:tcPr>
            <w:tcW w:w="5387" w:type="dxa"/>
          </w:tcPr>
          <w:p w14:paraId="57487966" w14:textId="77777777" w:rsidR="00C15E0F" w:rsidRDefault="00C15E0F" w:rsidP="003C7B4E">
            <w:pPr>
              <w:pStyle w:val="TableText0"/>
              <w:jc w:val="both"/>
              <w:rPr>
                <w:rFonts w:asciiTheme="minorHAnsi" w:hAnsiTheme="minorHAnsi" w:cstheme="minorHAnsi"/>
                <w:b/>
                <w:bCs/>
                <w:sz w:val="20"/>
                <w:lang w:val="es-ES_tradnl"/>
              </w:rPr>
            </w:pPr>
            <w:r w:rsidRPr="003E6986">
              <w:rPr>
                <w:rFonts w:asciiTheme="minorHAnsi" w:hAnsiTheme="minorHAnsi" w:cstheme="minorHAnsi"/>
                <w:sz w:val="20"/>
                <w:lang w:val="es-ES_tradnl"/>
              </w:rPr>
              <w:t>considerar la posibilidad de otorgar atribuciones adicionales al servicio móvil por satélite, de conformidad con la Resolución </w:t>
            </w:r>
            <w:r w:rsidRPr="003E6986">
              <w:rPr>
                <w:rFonts w:asciiTheme="minorHAnsi" w:hAnsiTheme="minorHAnsi" w:cstheme="minorHAnsi"/>
                <w:b/>
                <w:bCs/>
                <w:sz w:val="20"/>
                <w:lang w:val="es-ES_tradnl"/>
              </w:rPr>
              <w:t>254 (CMR-23)</w:t>
            </w:r>
          </w:p>
          <w:p w14:paraId="53E6550B" w14:textId="77777777" w:rsidR="00E33D09" w:rsidRPr="003E6986" w:rsidRDefault="00E33D09" w:rsidP="003C7B4E">
            <w:pPr>
              <w:pStyle w:val="TableText0"/>
              <w:jc w:val="both"/>
              <w:rPr>
                <w:rFonts w:asciiTheme="minorHAnsi" w:hAnsiTheme="minorHAnsi" w:cstheme="minorHAnsi"/>
                <w:sz w:val="20"/>
                <w:lang w:val="es-ES_tradnl"/>
              </w:rPr>
            </w:pPr>
          </w:p>
        </w:tc>
        <w:tc>
          <w:tcPr>
            <w:tcW w:w="1701" w:type="dxa"/>
          </w:tcPr>
          <w:p w14:paraId="71881982" w14:textId="32B45AEB" w:rsidR="00C15E0F" w:rsidRPr="003E6986" w:rsidRDefault="00EA10AE"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00C15E0F" w:rsidRPr="003E6986">
              <w:rPr>
                <w:rFonts w:asciiTheme="minorHAnsi" w:hAnsiTheme="minorHAnsi" w:cstheme="minorHAnsi"/>
                <w:b/>
                <w:bCs/>
                <w:sz w:val="20"/>
                <w:lang w:val="es-ES_tradnl"/>
              </w:rPr>
              <w:t>254 (CMR-</w:t>
            </w:r>
            <w:r w:rsidR="00C15E0F" w:rsidRPr="003E6986">
              <w:rPr>
                <w:rFonts w:asciiTheme="minorHAnsi" w:hAnsiTheme="minorHAnsi" w:cstheme="minorHAnsi"/>
                <w:b/>
                <w:bCs/>
                <w:sz w:val="20"/>
                <w:lang w:val="es-ES_tradnl"/>
              </w:rPr>
              <w:noBreakHyphen/>
              <w:t>23)</w:t>
            </w:r>
          </w:p>
        </w:tc>
        <w:tc>
          <w:tcPr>
            <w:tcW w:w="1352" w:type="dxa"/>
          </w:tcPr>
          <w:p w14:paraId="0D47977A"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4C</w:t>
            </w:r>
          </w:p>
        </w:tc>
      </w:tr>
      <w:tr w:rsidR="00C15E0F" w:rsidRPr="003E6986" w14:paraId="6BA1BB49" w14:textId="77777777" w:rsidTr="00F25B01">
        <w:trPr>
          <w:cantSplit/>
          <w:jc w:val="center"/>
        </w:trPr>
        <w:tc>
          <w:tcPr>
            <w:tcW w:w="1410" w:type="dxa"/>
          </w:tcPr>
          <w:p w14:paraId="7E95EAD5" w14:textId="77777777" w:rsidR="00C15E0F" w:rsidRPr="003E6986" w:rsidRDefault="00C15E0F" w:rsidP="00C15E0F">
            <w:pPr>
              <w:pStyle w:val="TableText0"/>
              <w:rPr>
                <w:rFonts w:asciiTheme="minorHAnsi" w:hAnsiTheme="minorHAnsi" w:cstheme="minorHAnsi"/>
                <w:sz w:val="20"/>
                <w:lang w:val="es-ES_tradnl"/>
              </w:rPr>
            </w:pPr>
          </w:p>
        </w:tc>
        <w:tc>
          <w:tcPr>
            <w:tcW w:w="9444" w:type="dxa"/>
            <w:gridSpan w:val="5"/>
          </w:tcPr>
          <w:p w14:paraId="585EDAB3" w14:textId="77777777" w:rsidR="00C15E0F" w:rsidRPr="003E6986" w:rsidRDefault="00C15E0F" w:rsidP="00C15E0F">
            <w:pPr>
              <w:pStyle w:val="TableHead0"/>
              <w:rPr>
                <w:rFonts w:asciiTheme="minorHAnsi" w:hAnsiTheme="minorHAnsi" w:cstheme="minorHAnsi"/>
                <w:sz w:val="20"/>
                <w:lang w:val="es-ES_tradnl"/>
              </w:rPr>
            </w:pPr>
            <w:r w:rsidRPr="003E6986">
              <w:rPr>
                <w:rFonts w:asciiTheme="minorHAnsi" w:hAnsiTheme="minorHAnsi" w:cstheme="minorHAnsi"/>
                <w:sz w:val="20"/>
                <w:lang w:val="es-ES_tradnl"/>
              </w:rPr>
              <w:t>Capítulo 4</w:t>
            </w:r>
          </w:p>
          <w:p w14:paraId="49F8DF77" w14:textId="77777777" w:rsidR="00C15E0F" w:rsidRPr="003E6986" w:rsidRDefault="00C15E0F" w:rsidP="00C15E0F">
            <w:pPr>
              <w:pStyle w:val="TableHead0"/>
              <w:rPr>
                <w:rFonts w:asciiTheme="minorHAnsi" w:hAnsiTheme="minorHAnsi" w:cstheme="minorHAnsi"/>
                <w:sz w:val="20"/>
                <w:lang w:val="es-ES_tradnl"/>
              </w:rPr>
            </w:pPr>
            <w:r w:rsidRPr="003E6986">
              <w:rPr>
                <w:rFonts w:asciiTheme="minorHAnsi" w:hAnsiTheme="minorHAnsi" w:cstheme="minorHAnsi"/>
                <w:sz w:val="20"/>
                <w:lang w:val="es-ES_tradnl"/>
              </w:rPr>
              <w:t>Temas científicos</w:t>
            </w:r>
          </w:p>
        </w:tc>
      </w:tr>
      <w:tr w:rsidR="00C15E0F" w:rsidRPr="003E6986" w14:paraId="56406B3C" w14:textId="77777777" w:rsidTr="008B73E9">
        <w:trPr>
          <w:gridAfter w:val="1"/>
          <w:wAfter w:w="12" w:type="dxa"/>
          <w:cantSplit/>
          <w:jc w:val="center"/>
        </w:trPr>
        <w:tc>
          <w:tcPr>
            <w:tcW w:w="1410" w:type="dxa"/>
          </w:tcPr>
          <w:p w14:paraId="369ABE4E"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1.15</w:t>
            </w:r>
          </w:p>
        </w:tc>
        <w:tc>
          <w:tcPr>
            <w:tcW w:w="992" w:type="dxa"/>
          </w:tcPr>
          <w:p w14:paraId="698387A2"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4/1.15</w:t>
            </w:r>
          </w:p>
        </w:tc>
        <w:tc>
          <w:tcPr>
            <w:tcW w:w="5387" w:type="dxa"/>
          </w:tcPr>
          <w:p w14:paraId="75F72EC2" w14:textId="77777777"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 xml:space="preserve">considerar estudios sobre asuntos relacionados con las frecuencias, incluida la posibilidad de otorgar nuevas atribuciones al servicio de investigación espacial (espacio-espacio), o de modificar las existentes, para el futuro desarrollo de las comunicaciones en la superficie lunar y entre la </w:t>
            </w:r>
            <w:proofErr w:type="gramStart"/>
            <w:r w:rsidRPr="003E6986">
              <w:rPr>
                <w:rFonts w:asciiTheme="minorHAnsi" w:hAnsiTheme="minorHAnsi" w:cstheme="minorHAnsi"/>
                <w:sz w:val="20"/>
                <w:lang w:val="es-ES_tradnl"/>
              </w:rPr>
              <w:t>órbita lunar y la superficie lunar</w:t>
            </w:r>
            <w:proofErr w:type="gramEnd"/>
            <w:r w:rsidRPr="003E6986">
              <w:rPr>
                <w:rFonts w:asciiTheme="minorHAnsi" w:hAnsiTheme="minorHAnsi" w:cstheme="minorHAnsi"/>
                <w:sz w:val="20"/>
                <w:lang w:val="es-ES_tradnl"/>
              </w:rPr>
              <w:t>, de conformidad con la Resolución </w:t>
            </w:r>
            <w:r w:rsidRPr="003E6986">
              <w:rPr>
                <w:rFonts w:asciiTheme="minorHAnsi" w:hAnsiTheme="minorHAnsi" w:cstheme="minorHAnsi"/>
                <w:b/>
                <w:bCs/>
                <w:sz w:val="20"/>
                <w:lang w:val="es-ES_tradnl"/>
              </w:rPr>
              <w:t>680 (CMR-23)</w:t>
            </w:r>
          </w:p>
        </w:tc>
        <w:tc>
          <w:tcPr>
            <w:tcW w:w="1701" w:type="dxa"/>
          </w:tcPr>
          <w:p w14:paraId="277D7D71" w14:textId="50FDAC94"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w:t>
            </w:r>
            <w:r w:rsidR="00EA10AE" w:rsidRPr="003E6986">
              <w:rPr>
                <w:rFonts w:asciiTheme="minorHAnsi" w:hAnsiTheme="minorHAnsi" w:cstheme="minorHAnsi"/>
                <w:sz w:val="20"/>
                <w:lang w:val="es-ES_tradnl"/>
              </w:rPr>
              <w:t xml:space="preserve"> </w:t>
            </w:r>
            <w:r w:rsidRPr="003E6986">
              <w:rPr>
                <w:rFonts w:asciiTheme="minorHAnsi" w:hAnsiTheme="minorHAnsi" w:cstheme="minorHAnsi"/>
                <w:b/>
                <w:bCs/>
                <w:sz w:val="20"/>
                <w:lang w:val="es-ES_tradnl"/>
              </w:rPr>
              <w:t>680</w:t>
            </w:r>
          </w:p>
          <w:p w14:paraId="1442163F"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b/>
                <w:bCs/>
                <w:sz w:val="20"/>
                <w:lang w:val="es-ES_tradnl"/>
              </w:rPr>
              <w:t>(CMR-23)</w:t>
            </w:r>
          </w:p>
        </w:tc>
        <w:tc>
          <w:tcPr>
            <w:tcW w:w="1352" w:type="dxa"/>
          </w:tcPr>
          <w:p w14:paraId="465C1939"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7B</w:t>
            </w:r>
          </w:p>
        </w:tc>
      </w:tr>
      <w:tr w:rsidR="00C15E0F" w:rsidRPr="003E6986" w14:paraId="142368F0" w14:textId="77777777" w:rsidTr="008B73E9">
        <w:trPr>
          <w:gridAfter w:val="1"/>
          <w:wAfter w:w="12" w:type="dxa"/>
          <w:cantSplit/>
          <w:jc w:val="center"/>
        </w:trPr>
        <w:tc>
          <w:tcPr>
            <w:tcW w:w="1410" w:type="dxa"/>
          </w:tcPr>
          <w:p w14:paraId="005EBA3D"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1.16</w:t>
            </w:r>
          </w:p>
        </w:tc>
        <w:tc>
          <w:tcPr>
            <w:tcW w:w="992" w:type="dxa"/>
          </w:tcPr>
          <w:p w14:paraId="4D1B56AE"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4/1.16</w:t>
            </w:r>
          </w:p>
        </w:tc>
        <w:tc>
          <w:tcPr>
            <w:tcW w:w="5387" w:type="dxa"/>
          </w:tcPr>
          <w:p w14:paraId="2CD9249C" w14:textId="77777777"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considerar estudios sobre las disposiciones técnicas y reglamentarias necesarias para proteger la radioastronomía en zonas de silencio radioeléctrico específicas y en las bandas de frecuencias atribuidas a título primario al servicio de radioastronomía a nivel mundial contra la interferencia radioeléctrica combinada causada por sistemas en órbita de satélites no geoestacionarios, de conformidad con la Resolución </w:t>
            </w:r>
            <w:r w:rsidRPr="003E6986">
              <w:rPr>
                <w:rFonts w:asciiTheme="minorHAnsi" w:hAnsiTheme="minorHAnsi" w:cstheme="minorHAnsi"/>
                <w:b/>
                <w:bCs/>
                <w:sz w:val="20"/>
                <w:lang w:val="es-ES_tradnl"/>
              </w:rPr>
              <w:t>681 (CMR-23)</w:t>
            </w:r>
          </w:p>
        </w:tc>
        <w:tc>
          <w:tcPr>
            <w:tcW w:w="1701" w:type="dxa"/>
          </w:tcPr>
          <w:p w14:paraId="375347A7" w14:textId="5FB97FE6"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w:t>
            </w:r>
            <w:r w:rsidR="00EA10AE" w:rsidRPr="003E6986">
              <w:rPr>
                <w:rFonts w:asciiTheme="minorHAnsi" w:hAnsiTheme="minorHAnsi" w:cstheme="minorHAnsi"/>
                <w:sz w:val="20"/>
                <w:lang w:val="es-ES_tradnl"/>
              </w:rPr>
              <w:t xml:space="preserve"> </w:t>
            </w:r>
            <w:r w:rsidRPr="003E6986">
              <w:rPr>
                <w:rFonts w:asciiTheme="minorHAnsi" w:hAnsiTheme="minorHAnsi" w:cstheme="minorHAnsi"/>
                <w:b/>
                <w:bCs/>
                <w:sz w:val="20"/>
                <w:lang w:val="es-ES_tradnl"/>
              </w:rPr>
              <w:t>681</w:t>
            </w:r>
          </w:p>
          <w:p w14:paraId="10F0B46D"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b/>
                <w:bCs/>
                <w:sz w:val="20"/>
                <w:lang w:val="es-ES_tradnl"/>
              </w:rPr>
              <w:t>(CMR-23)</w:t>
            </w:r>
          </w:p>
        </w:tc>
        <w:tc>
          <w:tcPr>
            <w:tcW w:w="1352" w:type="dxa"/>
          </w:tcPr>
          <w:p w14:paraId="7D467C81"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7D</w:t>
            </w:r>
          </w:p>
        </w:tc>
      </w:tr>
      <w:tr w:rsidR="00C15E0F" w:rsidRPr="003E6986" w14:paraId="577D231F" w14:textId="77777777" w:rsidTr="008B73E9">
        <w:trPr>
          <w:gridAfter w:val="1"/>
          <w:wAfter w:w="12" w:type="dxa"/>
          <w:cantSplit/>
          <w:jc w:val="center"/>
        </w:trPr>
        <w:tc>
          <w:tcPr>
            <w:tcW w:w="1410" w:type="dxa"/>
          </w:tcPr>
          <w:p w14:paraId="2D7D6D45"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1.17</w:t>
            </w:r>
          </w:p>
        </w:tc>
        <w:tc>
          <w:tcPr>
            <w:tcW w:w="992" w:type="dxa"/>
          </w:tcPr>
          <w:p w14:paraId="3FD5BEBE"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4/1.17</w:t>
            </w:r>
          </w:p>
        </w:tc>
        <w:tc>
          <w:tcPr>
            <w:tcW w:w="5387" w:type="dxa"/>
          </w:tcPr>
          <w:p w14:paraId="06034E3A" w14:textId="77777777"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considerar las disposiciones reglamentarias para los sensores de meteorología espacial de sólo recepción y su protección en el Reglamento de Radiocomunicaciones, teniendo en cuenta los resultados de los estudios del Sector de Radiocomunicaciones de la UIT de conformidad con la Resolución </w:t>
            </w:r>
            <w:r w:rsidRPr="003E6986">
              <w:rPr>
                <w:rFonts w:asciiTheme="minorHAnsi" w:hAnsiTheme="minorHAnsi" w:cstheme="minorHAnsi"/>
                <w:b/>
                <w:bCs/>
                <w:sz w:val="20"/>
                <w:lang w:val="es-ES_tradnl"/>
              </w:rPr>
              <w:t>682 (CMR</w:t>
            </w:r>
            <w:r w:rsidRPr="003E6986">
              <w:rPr>
                <w:rFonts w:asciiTheme="minorHAnsi" w:hAnsiTheme="minorHAnsi" w:cstheme="minorHAnsi"/>
                <w:b/>
                <w:bCs/>
                <w:sz w:val="20"/>
                <w:lang w:val="es-ES_tradnl"/>
              </w:rPr>
              <w:noBreakHyphen/>
              <w:t>23)</w:t>
            </w:r>
          </w:p>
        </w:tc>
        <w:tc>
          <w:tcPr>
            <w:tcW w:w="1701" w:type="dxa"/>
          </w:tcPr>
          <w:p w14:paraId="47DCBA52"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 </w:t>
            </w:r>
            <w:r w:rsidRPr="003E6986">
              <w:rPr>
                <w:rFonts w:asciiTheme="minorHAnsi" w:hAnsiTheme="minorHAnsi" w:cstheme="minorHAnsi"/>
                <w:b/>
                <w:bCs/>
                <w:sz w:val="20"/>
                <w:lang w:val="es-ES_tradnl"/>
              </w:rPr>
              <w:t>682 (CMR</w:t>
            </w:r>
            <w:r w:rsidRPr="003E6986">
              <w:rPr>
                <w:rFonts w:asciiTheme="minorHAnsi" w:hAnsiTheme="minorHAnsi" w:cstheme="minorHAnsi"/>
                <w:b/>
                <w:bCs/>
                <w:sz w:val="20"/>
                <w:lang w:val="es-ES_tradnl"/>
              </w:rPr>
              <w:noBreakHyphen/>
              <w:t>23)</w:t>
            </w:r>
          </w:p>
        </w:tc>
        <w:tc>
          <w:tcPr>
            <w:tcW w:w="1352" w:type="dxa"/>
          </w:tcPr>
          <w:p w14:paraId="79E4BEEA"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7C</w:t>
            </w:r>
          </w:p>
        </w:tc>
      </w:tr>
      <w:tr w:rsidR="00C15E0F" w:rsidRPr="008653C7" w14:paraId="030BB6A7" w14:textId="77777777" w:rsidTr="008B73E9">
        <w:trPr>
          <w:gridAfter w:val="1"/>
          <w:wAfter w:w="12" w:type="dxa"/>
          <w:cantSplit/>
          <w:jc w:val="center"/>
        </w:trPr>
        <w:tc>
          <w:tcPr>
            <w:tcW w:w="1410" w:type="dxa"/>
          </w:tcPr>
          <w:p w14:paraId="76B94FE0"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1.18</w:t>
            </w:r>
          </w:p>
        </w:tc>
        <w:tc>
          <w:tcPr>
            <w:tcW w:w="992" w:type="dxa"/>
          </w:tcPr>
          <w:p w14:paraId="3E3A28A1"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4/1.18</w:t>
            </w:r>
          </w:p>
        </w:tc>
        <w:tc>
          <w:tcPr>
            <w:tcW w:w="5387" w:type="dxa"/>
          </w:tcPr>
          <w:p w14:paraId="583583D3" w14:textId="77777777"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considerar, basándose en los resultados de los estudios del Sector de Radiocomunicaciones de la UIT, posibles medidas reglamentarias relativas a la protección del servicio de exploración de la Tierra por satélite (pasivo) y del servicio de radioastronomía en determinadas bandas de frecuencias por encima de 76 GHz contra las emisiones no deseadas de los servicios activos, de conformidad con la Resolución </w:t>
            </w:r>
            <w:r w:rsidRPr="003E6986">
              <w:rPr>
                <w:rFonts w:asciiTheme="minorHAnsi" w:hAnsiTheme="minorHAnsi" w:cstheme="minorHAnsi"/>
                <w:b/>
                <w:bCs/>
                <w:sz w:val="20"/>
                <w:lang w:val="es-ES_tradnl"/>
              </w:rPr>
              <w:t>712 (CMR-23)</w:t>
            </w:r>
          </w:p>
        </w:tc>
        <w:tc>
          <w:tcPr>
            <w:tcW w:w="1701" w:type="dxa"/>
          </w:tcPr>
          <w:p w14:paraId="173C2AA5" w14:textId="7C7CC6F2"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w:t>
            </w:r>
            <w:r w:rsidR="00EA10AE" w:rsidRPr="003E6986">
              <w:rPr>
                <w:rFonts w:asciiTheme="minorHAnsi" w:hAnsiTheme="minorHAnsi" w:cstheme="minorHAnsi"/>
                <w:sz w:val="20"/>
                <w:lang w:val="es-ES_tradnl"/>
              </w:rPr>
              <w:t xml:space="preserve"> </w:t>
            </w:r>
            <w:r w:rsidRPr="003E6986">
              <w:rPr>
                <w:rFonts w:asciiTheme="minorHAnsi" w:hAnsiTheme="minorHAnsi" w:cstheme="minorHAnsi"/>
                <w:b/>
                <w:bCs/>
                <w:sz w:val="20"/>
                <w:lang w:val="es-ES_tradnl"/>
              </w:rPr>
              <w:t>712</w:t>
            </w:r>
          </w:p>
          <w:p w14:paraId="7A3CAB4B"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b/>
                <w:bCs/>
                <w:sz w:val="20"/>
                <w:lang w:val="es-ES_tradnl"/>
              </w:rPr>
              <w:t>(CMR-23)</w:t>
            </w:r>
          </w:p>
        </w:tc>
        <w:tc>
          <w:tcPr>
            <w:tcW w:w="1352" w:type="dxa"/>
          </w:tcPr>
          <w:p w14:paraId="0DA7D465" w14:textId="77777777" w:rsidR="00EA10AE" w:rsidRPr="003E6986" w:rsidRDefault="00EA10AE"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7C</w:t>
            </w:r>
          </w:p>
          <w:p w14:paraId="048454A9" w14:textId="6B25367A"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Cs/>
                <w:sz w:val="20"/>
                <w:lang w:val="es-ES_tradnl"/>
              </w:rPr>
              <w:t>(</w:t>
            </w:r>
            <w:r w:rsidRPr="003E6986">
              <w:rPr>
                <w:rFonts w:asciiTheme="minorHAnsi" w:hAnsiTheme="minorHAnsi" w:cstheme="minorHAnsi"/>
                <w:bCs/>
                <w:i/>
                <w:sz w:val="20"/>
                <w:lang w:val="es-ES_tradnl"/>
              </w:rPr>
              <w:t>resuelve</w:t>
            </w:r>
            <w:r w:rsidRPr="003E6986">
              <w:rPr>
                <w:rFonts w:asciiTheme="minorHAnsi" w:hAnsiTheme="minorHAnsi" w:cstheme="minorHAnsi"/>
                <w:bCs/>
                <w:sz w:val="20"/>
                <w:lang w:val="es-ES_tradnl"/>
              </w:rPr>
              <w:t xml:space="preserve"> 1)</w:t>
            </w:r>
          </w:p>
          <w:p w14:paraId="63B086F9"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7D</w:t>
            </w:r>
          </w:p>
          <w:p w14:paraId="0636E56A" w14:textId="77777777" w:rsidR="00C15E0F" w:rsidRPr="003E6986" w:rsidRDefault="00C15E0F" w:rsidP="00C15E0F">
            <w:pPr>
              <w:pStyle w:val="TableText0"/>
              <w:jc w:val="center"/>
              <w:rPr>
                <w:rFonts w:asciiTheme="minorHAnsi" w:hAnsiTheme="minorHAnsi" w:cstheme="minorHAnsi"/>
                <w:sz w:val="20"/>
                <w:lang w:val="es-ES_tradnl"/>
              </w:rPr>
            </w:pPr>
            <w:r w:rsidRPr="003E6986">
              <w:rPr>
                <w:rFonts w:asciiTheme="minorHAnsi" w:hAnsiTheme="minorHAnsi" w:cstheme="minorHAnsi"/>
                <w:bCs/>
                <w:sz w:val="20"/>
                <w:lang w:val="es-ES_tradnl"/>
              </w:rPr>
              <w:t>(</w:t>
            </w:r>
            <w:r w:rsidRPr="003E6986">
              <w:rPr>
                <w:rFonts w:asciiTheme="minorHAnsi" w:hAnsiTheme="minorHAnsi" w:cstheme="minorHAnsi"/>
                <w:bCs/>
                <w:i/>
                <w:sz w:val="20"/>
                <w:lang w:val="es-ES_tradnl"/>
              </w:rPr>
              <w:t>resuelve</w:t>
            </w:r>
            <w:r w:rsidRPr="003E6986">
              <w:rPr>
                <w:rFonts w:asciiTheme="minorHAnsi" w:hAnsiTheme="minorHAnsi" w:cstheme="minorHAnsi"/>
                <w:bCs/>
                <w:sz w:val="20"/>
                <w:lang w:val="es-ES_tradnl"/>
              </w:rPr>
              <w:t xml:space="preserve"> 2)</w:t>
            </w:r>
          </w:p>
        </w:tc>
      </w:tr>
      <w:tr w:rsidR="00C15E0F" w:rsidRPr="003E6986" w14:paraId="1DD84920" w14:textId="77777777" w:rsidTr="008B73E9">
        <w:trPr>
          <w:gridAfter w:val="1"/>
          <w:wAfter w:w="12" w:type="dxa"/>
          <w:cantSplit/>
          <w:jc w:val="center"/>
        </w:trPr>
        <w:tc>
          <w:tcPr>
            <w:tcW w:w="1410" w:type="dxa"/>
          </w:tcPr>
          <w:p w14:paraId="736ADF69"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1.19</w:t>
            </w:r>
          </w:p>
        </w:tc>
        <w:tc>
          <w:tcPr>
            <w:tcW w:w="992" w:type="dxa"/>
          </w:tcPr>
          <w:p w14:paraId="6609A892"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4/1.19</w:t>
            </w:r>
          </w:p>
        </w:tc>
        <w:tc>
          <w:tcPr>
            <w:tcW w:w="5387" w:type="dxa"/>
          </w:tcPr>
          <w:p w14:paraId="1B94C953" w14:textId="77777777"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considerar la posibilidad de otorgar atribuciones a título primario en todas las Regiones al servicio de exploración de la Tierra por satélite (pasivo) en las bandas de frecuencias 4 200</w:t>
            </w:r>
            <w:r w:rsidRPr="003E6986">
              <w:rPr>
                <w:rFonts w:asciiTheme="minorHAnsi" w:hAnsiTheme="minorHAnsi" w:cstheme="minorHAnsi"/>
                <w:sz w:val="20"/>
                <w:lang w:val="es-ES_tradnl"/>
              </w:rPr>
              <w:noBreakHyphen/>
              <w:t>4 400 MHz y 8 400</w:t>
            </w:r>
            <w:r w:rsidRPr="003E6986">
              <w:rPr>
                <w:rFonts w:asciiTheme="minorHAnsi" w:hAnsiTheme="minorHAnsi" w:cstheme="minorHAnsi"/>
                <w:sz w:val="20"/>
                <w:lang w:val="es-ES_tradnl"/>
              </w:rPr>
              <w:noBreakHyphen/>
              <w:t xml:space="preserve">8 500 MHz, de conformidad con la Resolución </w:t>
            </w:r>
            <w:r w:rsidRPr="003E6986">
              <w:rPr>
                <w:rFonts w:asciiTheme="minorHAnsi" w:hAnsiTheme="minorHAnsi" w:cstheme="minorHAnsi"/>
                <w:b/>
                <w:bCs/>
                <w:sz w:val="20"/>
                <w:lang w:val="es-ES_tradnl"/>
              </w:rPr>
              <w:t>674 (CMR-23)</w:t>
            </w:r>
          </w:p>
        </w:tc>
        <w:tc>
          <w:tcPr>
            <w:tcW w:w="1701" w:type="dxa"/>
          </w:tcPr>
          <w:p w14:paraId="35FC384A" w14:textId="3A373CFE" w:rsidR="00C15E0F" w:rsidRPr="003E6986" w:rsidRDefault="00C15E0F" w:rsidP="00EA10AE">
            <w:pPr>
              <w:pStyle w:val="TableText0"/>
              <w:jc w:val="center"/>
              <w:rPr>
                <w:rFonts w:asciiTheme="minorHAnsi" w:hAnsiTheme="minorHAnsi" w:cstheme="minorHAnsi"/>
                <w:b/>
                <w:bCs/>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674</w:t>
            </w:r>
          </w:p>
          <w:p w14:paraId="28083F22"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b/>
                <w:bCs/>
                <w:sz w:val="20"/>
                <w:lang w:val="es-ES_tradnl"/>
              </w:rPr>
              <w:t>(CMR-23)</w:t>
            </w:r>
          </w:p>
        </w:tc>
        <w:tc>
          <w:tcPr>
            <w:tcW w:w="1352" w:type="dxa"/>
          </w:tcPr>
          <w:p w14:paraId="5F6AC36E"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7C</w:t>
            </w:r>
          </w:p>
        </w:tc>
      </w:tr>
      <w:tr w:rsidR="00C15E0F" w:rsidRPr="003E6986" w14:paraId="79755E8A" w14:textId="77777777" w:rsidTr="00F25B01">
        <w:trPr>
          <w:cantSplit/>
          <w:jc w:val="center"/>
        </w:trPr>
        <w:tc>
          <w:tcPr>
            <w:tcW w:w="1410" w:type="dxa"/>
          </w:tcPr>
          <w:p w14:paraId="0D7A1543" w14:textId="77777777" w:rsidR="00C15E0F" w:rsidRPr="003E6986" w:rsidRDefault="00C15E0F" w:rsidP="00C15E0F">
            <w:pPr>
              <w:pStyle w:val="TableText0"/>
              <w:rPr>
                <w:rFonts w:asciiTheme="minorHAnsi" w:hAnsiTheme="minorHAnsi" w:cstheme="minorHAnsi"/>
                <w:sz w:val="20"/>
                <w:lang w:val="es-ES_tradnl"/>
              </w:rPr>
            </w:pPr>
          </w:p>
        </w:tc>
        <w:tc>
          <w:tcPr>
            <w:tcW w:w="9444" w:type="dxa"/>
            <w:gridSpan w:val="5"/>
          </w:tcPr>
          <w:p w14:paraId="1F8E6D81" w14:textId="77777777" w:rsidR="00C15E0F" w:rsidRPr="003E6986" w:rsidRDefault="00C15E0F" w:rsidP="00C15E0F">
            <w:pPr>
              <w:pStyle w:val="TableHead0"/>
              <w:spacing w:before="120" w:after="40"/>
              <w:rPr>
                <w:rFonts w:asciiTheme="minorHAnsi" w:hAnsiTheme="minorHAnsi" w:cstheme="minorHAnsi"/>
                <w:sz w:val="20"/>
                <w:lang w:val="es-ES_tradnl"/>
              </w:rPr>
            </w:pPr>
            <w:r w:rsidRPr="003E6986">
              <w:rPr>
                <w:rFonts w:asciiTheme="minorHAnsi" w:hAnsiTheme="minorHAnsi" w:cstheme="minorHAnsi"/>
                <w:sz w:val="20"/>
                <w:lang w:val="es-ES_tradnl"/>
              </w:rPr>
              <w:t>Capítulo 5</w:t>
            </w:r>
          </w:p>
          <w:p w14:paraId="360BB040" w14:textId="77777777" w:rsidR="00C15E0F" w:rsidRPr="003E6986" w:rsidRDefault="00C15E0F" w:rsidP="00C15E0F">
            <w:pPr>
              <w:pStyle w:val="TableHead0"/>
              <w:rPr>
                <w:rFonts w:asciiTheme="minorHAnsi" w:hAnsiTheme="minorHAnsi" w:cstheme="minorHAnsi"/>
                <w:sz w:val="20"/>
                <w:lang w:val="es-ES_tradnl"/>
              </w:rPr>
            </w:pPr>
            <w:r w:rsidRPr="003E6986">
              <w:rPr>
                <w:rFonts w:asciiTheme="minorHAnsi" w:hAnsiTheme="minorHAnsi" w:cstheme="minorHAnsi"/>
                <w:sz w:val="20"/>
                <w:lang w:val="es-ES_tradnl"/>
              </w:rPr>
              <w:t>Temas generales</w:t>
            </w:r>
          </w:p>
        </w:tc>
      </w:tr>
      <w:tr w:rsidR="00C15E0F" w:rsidRPr="003E6986" w14:paraId="535DAE3D" w14:textId="77777777" w:rsidTr="008B73E9">
        <w:trPr>
          <w:gridAfter w:val="1"/>
          <w:wAfter w:w="12" w:type="dxa"/>
          <w:cantSplit/>
          <w:jc w:val="center"/>
        </w:trPr>
        <w:tc>
          <w:tcPr>
            <w:tcW w:w="1410" w:type="dxa"/>
          </w:tcPr>
          <w:p w14:paraId="26B8C56D"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2</w:t>
            </w:r>
          </w:p>
        </w:tc>
        <w:tc>
          <w:tcPr>
            <w:tcW w:w="992" w:type="dxa"/>
          </w:tcPr>
          <w:p w14:paraId="197AB2A7"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5/2</w:t>
            </w:r>
          </w:p>
        </w:tc>
        <w:tc>
          <w:tcPr>
            <w:tcW w:w="5387" w:type="dxa"/>
          </w:tcPr>
          <w:p w14:paraId="13247229" w14:textId="77777777" w:rsidR="00C15E0F" w:rsidRPr="003E6986" w:rsidRDefault="00C15E0F" w:rsidP="003C7B4E">
            <w:pPr>
              <w:pStyle w:val="TableText0"/>
              <w:jc w:val="both"/>
              <w:rPr>
                <w:rFonts w:asciiTheme="minorHAnsi" w:hAnsiTheme="minorHAnsi" w:cstheme="minorHAnsi"/>
                <w:sz w:val="20"/>
                <w:highlight w:val="yellow"/>
                <w:lang w:val="es-ES_tradnl"/>
              </w:rPr>
            </w:pPr>
            <w:r w:rsidRPr="003E6986">
              <w:rPr>
                <w:rFonts w:asciiTheme="minorHAnsi" w:hAnsiTheme="minorHAnsi" w:cstheme="minorHAnsi"/>
                <w:sz w:val="20"/>
                <w:lang w:val="es-ES_tradnl"/>
              </w:rPr>
              <w:t>examinar las Recomendaciones del Sector de Radiocomunicaciones de la UIT incorporadas por referencia en el Reglamento de Radiocomunicaciones, comunicadas por la Asamblea de Radiocomunicaciones de acuerdo con la Resolución </w:t>
            </w:r>
            <w:r w:rsidRPr="003E6986">
              <w:rPr>
                <w:rFonts w:asciiTheme="minorHAnsi" w:hAnsiTheme="minorHAnsi" w:cstheme="minorHAnsi"/>
                <w:b/>
                <w:bCs/>
                <w:sz w:val="20"/>
                <w:lang w:val="es-ES_tradnl"/>
              </w:rPr>
              <w:t>27 (Rev.CMR-19),</w:t>
            </w:r>
            <w:r w:rsidRPr="003E6986">
              <w:rPr>
                <w:rFonts w:asciiTheme="minorHAnsi" w:hAnsiTheme="minorHAnsi" w:cstheme="minorHAnsi"/>
                <w:sz w:val="20"/>
                <w:lang w:val="es-ES_tradnl"/>
              </w:rPr>
              <w:t xml:space="preserve"> y decidir si se actualizan o no las referencias correspondientes en el Reglamento de Radiocomunicaciones, con arreglo a los principios contenidos en los resuelves de dicha Resolución</w:t>
            </w:r>
          </w:p>
        </w:tc>
        <w:tc>
          <w:tcPr>
            <w:tcW w:w="1701" w:type="dxa"/>
          </w:tcPr>
          <w:p w14:paraId="783C38ED"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 </w:t>
            </w:r>
            <w:r w:rsidRPr="003E6986">
              <w:rPr>
                <w:rFonts w:asciiTheme="minorHAnsi" w:hAnsiTheme="minorHAnsi" w:cstheme="minorHAnsi"/>
                <w:b/>
                <w:bCs/>
                <w:sz w:val="20"/>
                <w:lang w:val="es-ES_tradnl"/>
              </w:rPr>
              <w:t>27 (Rev.CMR-19)</w:t>
            </w:r>
          </w:p>
        </w:tc>
        <w:tc>
          <w:tcPr>
            <w:tcW w:w="1352" w:type="dxa"/>
          </w:tcPr>
          <w:p w14:paraId="3960D87B"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RPC27</w:t>
            </w:r>
            <w:r w:rsidRPr="003E6986">
              <w:rPr>
                <w:rFonts w:asciiTheme="minorHAnsi" w:hAnsiTheme="minorHAnsi" w:cstheme="minorHAnsi"/>
                <w:b/>
                <w:bCs/>
                <w:sz w:val="20"/>
                <w:lang w:val="es-ES_tradnl"/>
              </w:rPr>
              <w:noBreakHyphen/>
              <w:t>2</w:t>
            </w:r>
          </w:p>
        </w:tc>
      </w:tr>
      <w:tr w:rsidR="00C15E0F" w:rsidRPr="003E6986" w14:paraId="7A3E8FCA" w14:textId="77777777" w:rsidTr="008B73E9">
        <w:trPr>
          <w:gridAfter w:val="1"/>
          <w:wAfter w:w="12" w:type="dxa"/>
          <w:cantSplit/>
          <w:jc w:val="center"/>
        </w:trPr>
        <w:tc>
          <w:tcPr>
            <w:tcW w:w="1410" w:type="dxa"/>
          </w:tcPr>
          <w:p w14:paraId="4BF245E8"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4</w:t>
            </w:r>
          </w:p>
        </w:tc>
        <w:tc>
          <w:tcPr>
            <w:tcW w:w="992" w:type="dxa"/>
          </w:tcPr>
          <w:p w14:paraId="2870B6C4"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5/4</w:t>
            </w:r>
          </w:p>
        </w:tc>
        <w:tc>
          <w:tcPr>
            <w:tcW w:w="5387" w:type="dxa"/>
          </w:tcPr>
          <w:p w14:paraId="07203CBF" w14:textId="77777777" w:rsidR="00C15E0F" w:rsidRPr="003E6986" w:rsidRDefault="00C15E0F" w:rsidP="003C7B4E">
            <w:pPr>
              <w:pStyle w:val="TableText0"/>
              <w:jc w:val="both"/>
              <w:rPr>
                <w:rFonts w:asciiTheme="minorHAnsi" w:hAnsiTheme="minorHAnsi" w:cstheme="minorHAnsi"/>
                <w:sz w:val="20"/>
                <w:highlight w:val="yellow"/>
                <w:lang w:val="es-ES_tradnl"/>
              </w:rPr>
            </w:pPr>
            <w:r w:rsidRPr="003E6986">
              <w:rPr>
                <w:rFonts w:asciiTheme="minorHAnsi" w:hAnsiTheme="minorHAnsi" w:cstheme="minorHAnsi"/>
                <w:sz w:val="20"/>
                <w:lang w:val="es-ES_tradnl"/>
              </w:rPr>
              <w:t>considerar, de conformidad con la Resolución </w:t>
            </w:r>
            <w:r w:rsidRPr="003E6986">
              <w:rPr>
                <w:rFonts w:asciiTheme="minorHAnsi" w:hAnsiTheme="minorHAnsi" w:cstheme="minorHAnsi"/>
                <w:b/>
                <w:bCs/>
                <w:sz w:val="20"/>
                <w:lang w:val="es-ES_tradnl"/>
              </w:rPr>
              <w:t>95 (Rev.CMR-19)</w:t>
            </w:r>
            <w:r w:rsidRPr="003E6986">
              <w:rPr>
                <w:rFonts w:asciiTheme="minorHAnsi" w:hAnsiTheme="minorHAnsi" w:cstheme="minorHAnsi"/>
                <w:sz w:val="20"/>
                <w:lang w:val="es-ES_tradnl"/>
              </w:rPr>
              <w:t>, las Resoluciones y Recomendaciones de las Conferencias anteriores para su posible revisión, sustitución o supresión</w:t>
            </w:r>
          </w:p>
        </w:tc>
        <w:tc>
          <w:tcPr>
            <w:tcW w:w="1701" w:type="dxa"/>
          </w:tcPr>
          <w:p w14:paraId="7AC7200F" w14:textId="77777777" w:rsidR="00C15E0F" w:rsidRPr="003E6986" w:rsidRDefault="00C15E0F" w:rsidP="00EA10AE">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 </w:t>
            </w:r>
            <w:r w:rsidRPr="003E6986">
              <w:rPr>
                <w:rFonts w:asciiTheme="minorHAnsi" w:hAnsiTheme="minorHAnsi" w:cstheme="minorHAnsi"/>
                <w:b/>
                <w:bCs/>
                <w:sz w:val="20"/>
                <w:lang w:val="es-ES_tradnl"/>
              </w:rPr>
              <w:t>95 (Rev.CMR-19)</w:t>
            </w:r>
          </w:p>
        </w:tc>
        <w:tc>
          <w:tcPr>
            <w:tcW w:w="1352" w:type="dxa"/>
          </w:tcPr>
          <w:p w14:paraId="4425D3E3"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RPC27</w:t>
            </w:r>
            <w:r w:rsidRPr="003E6986">
              <w:rPr>
                <w:rFonts w:asciiTheme="minorHAnsi" w:hAnsiTheme="minorHAnsi" w:cstheme="minorHAnsi"/>
                <w:b/>
                <w:bCs/>
                <w:sz w:val="20"/>
                <w:lang w:val="es-ES_tradnl"/>
              </w:rPr>
              <w:noBreakHyphen/>
              <w:t>2</w:t>
            </w:r>
          </w:p>
        </w:tc>
      </w:tr>
      <w:tr w:rsidR="00C15E0F" w:rsidRPr="008653C7" w14:paraId="66966240" w14:textId="77777777" w:rsidTr="00C15E0F">
        <w:trPr>
          <w:cantSplit/>
          <w:jc w:val="center"/>
        </w:trPr>
        <w:tc>
          <w:tcPr>
            <w:tcW w:w="10854" w:type="dxa"/>
            <w:gridSpan w:val="6"/>
          </w:tcPr>
          <w:p w14:paraId="4D1F40E7" w14:textId="77777777" w:rsidR="00C15E0F" w:rsidRPr="003E6986" w:rsidRDefault="00C15E0F" w:rsidP="00C15E0F">
            <w:pPr>
              <w:pStyle w:val="TableHead0"/>
              <w:rPr>
                <w:rFonts w:asciiTheme="minorHAnsi" w:hAnsiTheme="minorHAnsi" w:cstheme="minorHAnsi"/>
                <w:sz w:val="20"/>
                <w:lang w:val="es-ES_tradnl"/>
              </w:rPr>
            </w:pPr>
            <w:r w:rsidRPr="003E6986">
              <w:rPr>
                <w:rFonts w:asciiTheme="minorHAnsi" w:hAnsiTheme="minorHAnsi" w:cstheme="minorHAnsi"/>
                <w:sz w:val="20"/>
                <w:lang w:val="es-ES_tradnl"/>
              </w:rPr>
              <w:lastRenderedPageBreak/>
              <w:t>ANEXO 1</w:t>
            </w:r>
          </w:p>
          <w:p w14:paraId="4309B5F5" w14:textId="77777777" w:rsidR="00C15E0F" w:rsidRPr="003E6986" w:rsidRDefault="00C15E0F" w:rsidP="00C15E0F">
            <w:pPr>
              <w:pStyle w:val="TableHead0"/>
              <w:rPr>
                <w:rFonts w:asciiTheme="minorHAnsi" w:hAnsiTheme="minorHAnsi" w:cstheme="minorHAnsi"/>
                <w:sz w:val="20"/>
                <w:lang w:val="es-ES_tradnl"/>
              </w:rPr>
            </w:pPr>
            <w:r w:rsidRPr="003E6986">
              <w:rPr>
                <w:rFonts w:asciiTheme="minorHAnsi" w:hAnsiTheme="minorHAnsi" w:cstheme="minorHAnsi"/>
                <w:sz w:val="20"/>
                <w:lang w:val="es-ES_tradnl"/>
              </w:rPr>
              <w:t>Información relativa al punto 10 del orden del día de la CMR-27</w:t>
            </w:r>
          </w:p>
        </w:tc>
      </w:tr>
      <w:tr w:rsidR="00C15E0F" w:rsidRPr="008653C7" w14:paraId="1E60BE25" w14:textId="77777777" w:rsidTr="008B73E9">
        <w:trPr>
          <w:gridAfter w:val="1"/>
          <w:wAfter w:w="12" w:type="dxa"/>
          <w:cantSplit/>
          <w:jc w:val="center"/>
        </w:trPr>
        <w:tc>
          <w:tcPr>
            <w:tcW w:w="1410" w:type="dxa"/>
          </w:tcPr>
          <w:p w14:paraId="324420D2"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10</w:t>
            </w:r>
          </w:p>
        </w:tc>
        <w:tc>
          <w:tcPr>
            <w:tcW w:w="992" w:type="dxa"/>
          </w:tcPr>
          <w:p w14:paraId="7AABDD85" w14:textId="2FA53D84" w:rsidR="00C15E0F" w:rsidRPr="003E6986" w:rsidRDefault="00EA10AE"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w:t>
            </w:r>
          </w:p>
        </w:tc>
        <w:tc>
          <w:tcPr>
            <w:tcW w:w="5387" w:type="dxa"/>
          </w:tcPr>
          <w:p w14:paraId="2E5E313A" w14:textId="77777777" w:rsidR="00C15E0F" w:rsidRPr="003E6986" w:rsidRDefault="00C15E0F" w:rsidP="00E33D09">
            <w:pPr>
              <w:pStyle w:val="TableText0"/>
              <w:spacing w:before="20" w:after="20"/>
              <w:jc w:val="both"/>
              <w:rPr>
                <w:rFonts w:asciiTheme="minorHAnsi" w:hAnsiTheme="minorHAnsi" w:cstheme="minorHAnsi"/>
                <w:sz w:val="20"/>
                <w:highlight w:val="yellow"/>
                <w:lang w:val="es-ES_tradnl"/>
              </w:rPr>
            </w:pPr>
            <w:r w:rsidRPr="003E6986">
              <w:rPr>
                <w:rFonts w:asciiTheme="minorHAnsi" w:hAnsiTheme="minorHAnsi" w:cstheme="minorHAnsi"/>
                <w:sz w:val="20"/>
                <w:lang w:val="es-ES_tradnl"/>
              </w:rPr>
              <w:t>recomendar al Consejo los puntos que han de incluirse en el orden del día de la próxima CMR, así como los puntos del orden del día preliminar de futuras Conferencias, teniendo en cuenta el Artículo 7 del Convenio de la UIT y la Resolución </w:t>
            </w:r>
            <w:r w:rsidRPr="003E6986">
              <w:rPr>
                <w:rFonts w:asciiTheme="minorHAnsi" w:hAnsiTheme="minorHAnsi" w:cstheme="minorHAnsi"/>
                <w:b/>
                <w:bCs/>
                <w:sz w:val="20"/>
                <w:lang w:val="es-ES_tradnl"/>
              </w:rPr>
              <w:t>804 (Rev.CMR-23)</w:t>
            </w:r>
          </w:p>
        </w:tc>
        <w:tc>
          <w:tcPr>
            <w:tcW w:w="1701" w:type="dxa"/>
          </w:tcPr>
          <w:p w14:paraId="6E9345ED" w14:textId="3F19A654"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 </w:t>
            </w:r>
            <w:r w:rsidRPr="003E6986">
              <w:rPr>
                <w:rFonts w:asciiTheme="minorHAnsi" w:hAnsiTheme="minorHAnsi" w:cstheme="minorHAnsi"/>
                <w:b/>
                <w:bCs/>
                <w:sz w:val="20"/>
                <w:lang w:val="es-ES_tradnl"/>
              </w:rPr>
              <w:t>804 (Rev.</w:t>
            </w:r>
            <w:r w:rsidR="00A15E31" w:rsidRPr="003E6986">
              <w:rPr>
                <w:rFonts w:asciiTheme="minorHAnsi" w:hAnsiTheme="minorHAnsi" w:cstheme="minorHAnsi"/>
                <w:b/>
                <w:bCs/>
                <w:sz w:val="20"/>
                <w:lang w:val="es-ES_tradnl"/>
              </w:rPr>
              <w:t>CMR</w:t>
            </w:r>
            <w:r w:rsidRPr="003E6986">
              <w:rPr>
                <w:rFonts w:asciiTheme="minorHAnsi" w:hAnsiTheme="minorHAnsi" w:cstheme="minorHAnsi"/>
                <w:b/>
                <w:bCs/>
                <w:sz w:val="20"/>
                <w:lang w:val="es-ES_tradnl"/>
              </w:rPr>
              <w:noBreakHyphen/>
              <w:t>23)</w:t>
            </w:r>
          </w:p>
          <w:p w14:paraId="313F5235" w14:textId="7AE671D9"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eastAsia="ko-KR"/>
              </w:rPr>
              <w:t>Resolución</w:t>
            </w:r>
            <w:r w:rsidR="00105970" w:rsidRPr="003E6986">
              <w:rPr>
                <w:rFonts w:asciiTheme="minorHAnsi" w:hAnsiTheme="minorHAnsi" w:cstheme="minorHAnsi"/>
                <w:sz w:val="20"/>
                <w:lang w:val="es-ES_tradnl" w:eastAsia="ko-KR"/>
              </w:rPr>
              <w:t xml:space="preserve"> </w:t>
            </w:r>
            <w:r w:rsidRPr="003E6986">
              <w:rPr>
                <w:rFonts w:asciiTheme="minorHAnsi" w:hAnsiTheme="minorHAnsi" w:cstheme="minorHAnsi"/>
                <w:b/>
                <w:bCs/>
                <w:sz w:val="20"/>
                <w:lang w:val="es-ES_tradnl" w:eastAsia="ko-KR"/>
              </w:rPr>
              <w:t xml:space="preserve">814 </w:t>
            </w:r>
            <w:r w:rsidRPr="003E6986">
              <w:rPr>
                <w:rFonts w:asciiTheme="minorHAnsi" w:hAnsiTheme="minorHAnsi" w:cstheme="minorHAnsi"/>
                <w:b/>
                <w:bCs/>
                <w:sz w:val="20"/>
                <w:lang w:val="es-ES_tradnl"/>
              </w:rPr>
              <w:t>(CMR</w:t>
            </w:r>
            <w:r w:rsidRPr="003E6986">
              <w:rPr>
                <w:rFonts w:asciiTheme="minorHAnsi" w:hAnsiTheme="minorHAnsi" w:cstheme="minorHAnsi"/>
                <w:b/>
                <w:bCs/>
                <w:sz w:val="20"/>
                <w:lang w:val="es-ES_tradnl"/>
              </w:rPr>
              <w:noBreakHyphen/>
              <w:t>23</w:t>
            </w:r>
            <w:r w:rsidRPr="003E6986">
              <w:rPr>
                <w:rFonts w:asciiTheme="minorHAnsi" w:hAnsiTheme="minorHAnsi" w:cstheme="minorHAnsi"/>
                <w:sz w:val="20"/>
                <w:lang w:val="es-ES_tradnl" w:eastAsia="ko-KR"/>
              </w:rPr>
              <w:t>)</w:t>
            </w:r>
          </w:p>
        </w:tc>
        <w:tc>
          <w:tcPr>
            <w:tcW w:w="1352" w:type="dxa"/>
          </w:tcPr>
          <w:p w14:paraId="65418A3A" w14:textId="77777777" w:rsidR="00C15E0F" w:rsidRPr="003E6986" w:rsidRDefault="00C15E0F" w:rsidP="00E33D09">
            <w:pPr>
              <w:pStyle w:val="TableText0"/>
              <w:spacing w:before="20" w:after="2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RPC27-2 a título informativo únicamente</w:t>
            </w:r>
          </w:p>
        </w:tc>
      </w:tr>
      <w:tr w:rsidR="00C15E0F" w:rsidRPr="003E6986" w14:paraId="64ACCCAD" w14:textId="77777777" w:rsidTr="008B73E9">
        <w:trPr>
          <w:gridAfter w:val="1"/>
          <w:wAfter w:w="12" w:type="dxa"/>
          <w:cantSplit/>
          <w:jc w:val="center"/>
        </w:trPr>
        <w:tc>
          <w:tcPr>
            <w:tcW w:w="1410" w:type="dxa"/>
          </w:tcPr>
          <w:p w14:paraId="006B5A93" w14:textId="77777777" w:rsidR="00C15E0F" w:rsidRPr="003E6986" w:rsidRDefault="00C15E0F" w:rsidP="00E33D09">
            <w:pPr>
              <w:pStyle w:val="TableText0"/>
              <w:spacing w:before="20" w:after="20"/>
              <w:jc w:val="center"/>
              <w:rPr>
                <w:rFonts w:asciiTheme="minorHAnsi" w:hAnsiTheme="minorHAnsi" w:cstheme="minorHAnsi"/>
                <w:sz w:val="20"/>
                <w:lang w:val="es-ES_tradnl"/>
              </w:rPr>
            </w:pPr>
            <w:bookmarkStart w:id="38" w:name="_Hlk156228609"/>
            <w:r w:rsidRPr="003E6986">
              <w:rPr>
                <w:rFonts w:asciiTheme="minorHAnsi" w:hAnsiTheme="minorHAnsi" w:cstheme="minorHAnsi"/>
                <w:sz w:val="20"/>
                <w:lang w:val="es-ES_tradnl"/>
              </w:rPr>
              <w:t>10</w:t>
            </w:r>
          </w:p>
        </w:tc>
        <w:tc>
          <w:tcPr>
            <w:tcW w:w="992" w:type="dxa"/>
          </w:tcPr>
          <w:p w14:paraId="317E77AB"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A1/2.1</w:t>
            </w:r>
          </w:p>
        </w:tc>
        <w:tc>
          <w:tcPr>
            <w:tcW w:w="5387" w:type="dxa"/>
          </w:tcPr>
          <w:p w14:paraId="5BC1B2C9" w14:textId="77777777" w:rsidR="00C15E0F" w:rsidRPr="003E6986" w:rsidRDefault="00C15E0F" w:rsidP="00E33D09">
            <w:pPr>
              <w:pStyle w:val="TableText0"/>
              <w:spacing w:before="20" w:after="20"/>
              <w:jc w:val="both"/>
              <w:rPr>
                <w:rFonts w:asciiTheme="minorHAnsi" w:hAnsiTheme="minorHAnsi" w:cstheme="minorHAnsi"/>
                <w:sz w:val="20"/>
                <w:highlight w:val="yellow"/>
                <w:lang w:val="es-ES_tradnl"/>
              </w:rPr>
            </w:pPr>
            <w:r w:rsidRPr="003E6986">
              <w:rPr>
                <w:rFonts w:asciiTheme="minorHAnsi" w:hAnsiTheme="minorHAnsi" w:cstheme="minorHAnsi"/>
                <w:sz w:val="20"/>
                <w:lang w:val="es-ES_tradnl"/>
              </w:rPr>
              <w:t>considerar la posibilidad de efectuar nuevas atribuciones a los servicios fijo, móvil, de radiolocalización, de aficionados, de aficionados por satélite, de radioastronomía, de exploración de la Tierra por satélite (pasivo y activo) y de investigación espacial (pasiva) en la gama de frecuencias 275-325 GHz en el Cuadro de atribución de bandas de frecuencias del Reglamento de Radiocomunicaciones, con la consiguiente actualización de los números </w:t>
            </w:r>
            <w:r w:rsidRPr="00E33D09">
              <w:rPr>
                <w:rFonts w:asciiTheme="minorHAnsi" w:hAnsiTheme="minorHAnsi" w:cstheme="minorHAnsi"/>
                <w:b/>
                <w:bCs/>
                <w:sz w:val="20"/>
                <w:lang w:val="es-ES_tradnl"/>
              </w:rPr>
              <w:t>5.149</w:t>
            </w:r>
            <w:r w:rsidRPr="003E6986">
              <w:rPr>
                <w:rFonts w:asciiTheme="minorHAnsi" w:hAnsiTheme="minorHAnsi" w:cstheme="minorHAnsi"/>
                <w:sz w:val="20"/>
                <w:lang w:val="es-ES_tradnl"/>
              </w:rPr>
              <w:t xml:space="preserve">, </w:t>
            </w:r>
            <w:r w:rsidRPr="00E33D09">
              <w:rPr>
                <w:rFonts w:asciiTheme="minorHAnsi" w:hAnsiTheme="minorHAnsi" w:cstheme="minorHAnsi"/>
                <w:b/>
                <w:bCs/>
                <w:sz w:val="20"/>
                <w:lang w:val="es-ES_tradnl"/>
              </w:rPr>
              <w:t>5.340</w:t>
            </w:r>
            <w:r w:rsidRPr="003E6986">
              <w:rPr>
                <w:rFonts w:asciiTheme="minorHAnsi" w:hAnsiTheme="minorHAnsi" w:cstheme="minorHAnsi"/>
                <w:sz w:val="20"/>
                <w:lang w:val="es-ES_tradnl"/>
              </w:rPr>
              <w:t xml:space="preserve">, </w:t>
            </w:r>
            <w:r w:rsidRPr="00E33D09">
              <w:rPr>
                <w:rFonts w:asciiTheme="minorHAnsi" w:hAnsiTheme="minorHAnsi" w:cstheme="minorHAnsi"/>
                <w:b/>
                <w:bCs/>
                <w:sz w:val="20"/>
                <w:lang w:val="es-ES_tradnl"/>
              </w:rPr>
              <w:t>5.564A</w:t>
            </w:r>
            <w:r w:rsidRPr="003E6986">
              <w:rPr>
                <w:rFonts w:asciiTheme="minorHAnsi" w:hAnsiTheme="minorHAnsi" w:cstheme="minorHAnsi"/>
                <w:sz w:val="20"/>
                <w:lang w:val="es-ES_tradnl"/>
              </w:rPr>
              <w:t xml:space="preserve"> y </w:t>
            </w:r>
            <w:r w:rsidRPr="00E33D09">
              <w:rPr>
                <w:rFonts w:asciiTheme="minorHAnsi" w:hAnsiTheme="minorHAnsi" w:cstheme="minorHAnsi"/>
                <w:b/>
                <w:bCs/>
                <w:sz w:val="20"/>
                <w:lang w:val="es-ES_tradnl"/>
              </w:rPr>
              <w:t>5.565</w:t>
            </w:r>
            <w:r w:rsidRPr="003E6986">
              <w:rPr>
                <w:rFonts w:asciiTheme="minorHAnsi" w:hAnsiTheme="minorHAnsi" w:cstheme="minorHAnsi"/>
                <w:sz w:val="20"/>
                <w:lang w:val="es-ES_tradnl"/>
              </w:rPr>
              <w:t xml:space="preserve">, de conformidad con la Resolución </w:t>
            </w:r>
            <w:r w:rsidRPr="003E6986">
              <w:rPr>
                <w:rFonts w:asciiTheme="minorHAnsi" w:hAnsiTheme="minorHAnsi" w:cstheme="minorHAnsi"/>
                <w:b/>
                <w:bCs/>
                <w:sz w:val="20"/>
                <w:lang w:val="es-ES_tradnl"/>
              </w:rPr>
              <w:t>721 (CMR-23)</w:t>
            </w:r>
          </w:p>
        </w:tc>
        <w:tc>
          <w:tcPr>
            <w:tcW w:w="1701" w:type="dxa"/>
          </w:tcPr>
          <w:p w14:paraId="30F4C24B"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721 (CMR</w:t>
            </w:r>
            <w:r w:rsidRPr="003E6986">
              <w:rPr>
                <w:rFonts w:asciiTheme="minorHAnsi" w:hAnsiTheme="minorHAnsi" w:cstheme="minorHAnsi"/>
                <w:b/>
                <w:bCs/>
                <w:sz w:val="20"/>
                <w:lang w:val="es-ES_tradnl"/>
              </w:rPr>
              <w:noBreakHyphen/>
              <w:t>23)</w:t>
            </w:r>
          </w:p>
        </w:tc>
        <w:tc>
          <w:tcPr>
            <w:tcW w:w="1352" w:type="dxa"/>
          </w:tcPr>
          <w:p w14:paraId="38CE7D61" w14:textId="77777777" w:rsidR="00C15E0F" w:rsidRPr="003E6986" w:rsidRDefault="00C15E0F" w:rsidP="00E33D09">
            <w:pPr>
              <w:pStyle w:val="TableText0"/>
              <w:spacing w:before="20" w:after="2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1A</w:t>
            </w:r>
          </w:p>
        </w:tc>
      </w:tr>
      <w:tr w:rsidR="00C15E0F" w:rsidRPr="003E6986" w14:paraId="358D3796" w14:textId="77777777" w:rsidTr="008B73E9">
        <w:trPr>
          <w:gridAfter w:val="1"/>
          <w:wAfter w:w="12" w:type="dxa"/>
          <w:cantSplit/>
          <w:jc w:val="center"/>
        </w:trPr>
        <w:tc>
          <w:tcPr>
            <w:tcW w:w="1410" w:type="dxa"/>
          </w:tcPr>
          <w:p w14:paraId="5434EBE7"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10</w:t>
            </w:r>
          </w:p>
        </w:tc>
        <w:tc>
          <w:tcPr>
            <w:tcW w:w="992" w:type="dxa"/>
          </w:tcPr>
          <w:p w14:paraId="0D4ADBB5"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A1/2.2</w:t>
            </w:r>
          </w:p>
        </w:tc>
        <w:tc>
          <w:tcPr>
            <w:tcW w:w="5387" w:type="dxa"/>
          </w:tcPr>
          <w:p w14:paraId="0BDB599E" w14:textId="77777777" w:rsidR="00C15E0F" w:rsidRPr="003E6986" w:rsidRDefault="00C15E0F" w:rsidP="00E33D09">
            <w:pPr>
              <w:pStyle w:val="TableText0"/>
              <w:spacing w:before="20" w:after="20"/>
              <w:jc w:val="both"/>
              <w:rPr>
                <w:rFonts w:asciiTheme="minorHAnsi" w:hAnsiTheme="minorHAnsi" w:cstheme="minorHAnsi"/>
                <w:sz w:val="20"/>
                <w:highlight w:val="yellow"/>
                <w:lang w:val="es-ES_tradnl"/>
              </w:rPr>
            </w:pPr>
            <w:r w:rsidRPr="003E6986">
              <w:rPr>
                <w:rFonts w:asciiTheme="minorHAnsi" w:hAnsiTheme="minorHAnsi" w:cstheme="minorHAnsi"/>
                <w:sz w:val="20"/>
                <w:lang w:val="es-ES_tradnl"/>
              </w:rPr>
              <w:t xml:space="preserve">[considerar la posibilidad de asignar [bandas de frecuencias] para la transmisión inalámbrica de potencia [mediante haces y sin haces] a fin de evitar la interferencia perjudicial causada por la transmisión inalámbrica de potencia a los servicios de radiocomunicaciones, de conformidad con la Resolución </w:t>
            </w:r>
            <w:r w:rsidRPr="003E6986">
              <w:rPr>
                <w:rFonts w:asciiTheme="minorHAnsi" w:hAnsiTheme="minorHAnsi" w:cstheme="minorHAnsi"/>
                <w:b/>
                <w:bCs/>
                <w:sz w:val="20"/>
                <w:lang w:val="es-ES_tradnl"/>
              </w:rPr>
              <w:t>910 (CMR-23)</w:t>
            </w:r>
            <w:r w:rsidRPr="003E6986">
              <w:rPr>
                <w:rFonts w:asciiTheme="minorHAnsi" w:hAnsiTheme="minorHAnsi" w:cstheme="minorHAnsi"/>
                <w:sz w:val="20"/>
                <w:lang w:val="es-ES_tradnl"/>
              </w:rPr>
              <w:t>]</w:t>
            </w:r>
          </w:p>
        </w:tc>
        <w:tc>
          <w:tcPr>
            <w:tcW w:w="1701" w:type="dxa"/>
          </w:tcPr>
          <w:p w14:paraId="7909B1FA"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910 (CMR-23)</w:t>
            </w:r>
          </w:p>
        </w:tc>
        <w:tc>
          <w:tcPr>
            <w:tcW w:w="1352" w:type="dxa"/>
          </w:tcPr>
          <w:p w14:paraId="03FDAAC7" w14:textId="77777777" w:rsidR="00C15E0F" w:rsidRPr="003E6986" w:rsidRDefault="00C15E0F" w:rsidP="00E33D09">
            <w:pPr>
              <w:pStyle w:val="TableText0"/>
              <w:spacing w:before="20" w:after="2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1A</w:t>
            </w:r>
          </w:p>
        </w:tc>
      </w:tr>
      <w:tr w:rsidR="00C15E0F" w:rsidRPr="003E6986" w14:paraId="1CC5F946" w14:textId="77777777" w:rsidTr="008B73E9">
        <w:trPr>
          <w:gridAfter w:val="1"/>
          <w:wAfter w:w="12" w:type="dxa"/>
          <w:cantSplit/>
          <w:jc w:val="center"/>
        </w:trPr>
        <w:tc>
          <w:tcPr>
            <w:tcW w:w="1410" w:type="dxa"/>
          </w:tcPr>
          <w:p w14:paraId="059A3E2D"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10</w:t>
            </w:r>
          </w:p>
        </w:tc>
        <w:tc>
          <w:tcPr>
            <w:tcW w:w="992" w:type="dxa"/>
          </w:tcPr>
          <w:p w14:paraId="094FFF2C"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A1/2.3</w:t>
            </w:r>
          </w:p>
        </w:tc>
        <w:tc>
          <w:tcPr>
            <w:tcW w:w="5387" w:type="dxa"/>
          </w:tcPr>
          <w:p w14:paraId="5CFCDEA6" w14:textId="77777777" w:rsidR="00C15E0F" w:rsidRPr="003E6986" w:rsidRDefault="00C15E0F" w:rsidP="00E33D09">
            <w:pPr>
              <w:pStyle w:val="TableText0"/>
              <w:spacing w:before="20" w:after="20"/>
              <w:jc w:val="both"/>
              <w:rPr>
                <w:rFonts w:asciiTheme="minorHAnsi" w:hAnsiTheme="minorHAnsi" w:cstheme="minorHAnsi"/>
                <w:sz w:val="20"/>
                <w:lang w:val="es-ES_tradnl"/>
              </w:rPr>
            </w:pPr>
            <w:r w:rsidRPr="003E6986">
              <w:rPr>
                <w:rFonts w:asciiTheme="minorHAnsi" w:hAnsiTheme="minorHAnsi" w:cstheme="minorHAnsi"/>
                <w:sz w:val="20"/>
                <w:lang w:val="es-ES_tradnl"/>
              </w:rPr>
              <w:t>considerar la utilización de estaciones terrenas en movimiento aeronáuticas y marítimas que se comunican con estaciones espaciales no geoestacionarias del servicio fijo por satélite (Tierra</w:t>
            </w:r>
            <w:r w:rsidRPr="003E6986">
              <w:rPr>
                <w:rFonts w:asciiTheme="minorHAnsi" w:hAnsiTheme="minorHAnsi" w:cstheme="minorHAnsi"/>
                <w:sz w:val="20"/>
                <w:lang w:val="es-ES_tradnl"/>
              </w:rPr>
              <w:noBreakHyphen/>
              <w:t>espacio) en la banda de frecuencias12,75</w:t>
            </w:r>
            <w:r w:rsidRPr="003E6986">
              <w:rPr>
                <w:rFonts w:asciiTheme="minorHAnsi" w:hAnsiTheme="minorHAnsi" w:cstheme="minorHAnsi"/>
                <w:sz w:val="20"/>
                <w:lang w:val="es-ES_tradnl"/>
              </w:rPr>
              <w:noBreakHyphen/>
              <w:t xml:space="preserve">13,25 GHz, de conformidad con la Resolución </w:t>
            </w:r>
            <w:r w:rsidRPr="003E6986">
              <w:rPr>
                <w:rFonts w:asciiTheme="minorHAnsi" w:hAnsiTheme="minorHAnsi" w:cstheme="minorHAnsi"/>
                <w:b/>
                <w:bCs/>
                <w:sz w:val="20"/>
                <w:lang w:val="es-ES_tradnl"/>
              </w:rPr>
              <w:t>133 (CMR-23)</w:t>
            </w:r>
          </w:p>
        </w:tc>
        <w:tc>
          <w:tcPr>
            <w:tcW w:w="1701" w:type="dxa"/>
          </w:tcPr>
          <w:p w14:paraId="6BF671D3"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133 (CMR</w:t>
            </w:r>
            <w:r w:rsidRPr="003E6986">
              <w:rPr>
                <w:rFonts w:asciiTheme="minorHAnsi" w:hAnsiTheme="minorHAnsi" w:cstheme="minorHAnsi"/>
                <w:b/>
                <w:bCs/>
                <w:sz w:val="20"/>
                <w:lang w:val="es-ES_tradnl"/>
              </w:rPr>
              <w:noBreakHyphen/>
              <w:t>23)</w:t>
            </w:r>
          </w:p>
        </w:tc>
        <w:tc>
          <w:tcPr>
            <w:tcW w:w="1352" w:type="dxa"/>
          </w:tcPr>
          <w:p w14:paraId="68799E97" w14:textId="77777777" w:rsidR="00C15E0F" w:rsidRPr="003E6986" w:rsidRDefault="00C15E0F" w:rsidP="00E33D09">
            <w:pPr>
              <w:pStyle w:val="TableText0"/>
              <w:spacing w:before="20" w:after="2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4A</w:t>
            </w:r>
          </w:p>
        </w:tc>
      </w:tr>
      <w:tr w:rsidR="00C15E0F" w:rsidRPr="003E6986" w14:paraId="5785406E" w14:textId="77777777" w:rsidTr="008B73E9">
        <w:trPr>
          <w:gridAfter w:val="1"/>
          <w:wAfter w:w="12" w:type="dxa"/>
          <w:cantSplit/>
          <w:jc w:val="center"/>
        </w:trPr>
        <w:tc>
          <w:tcPr>
            <w:tcW w:w="1410" w:type="dxa"/>
          </w:tcPr>
          <w:p w14:paraId="71F8B3EA"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10</w:t>
            </w:r>
          </w:p>
        </w:tc>
        <w:tc>
          <w:tcPr>
            <w:tcW w:w="992" w:type="dxa"/>
          </w:tcPr>
          <w:p w14:paraId="6D1B0EC4"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A1/2.4</w:t>
            </w:r>
          </w:p>
        </w:tc>
        <w:tc>
          <w:tcPr>
            <w:tcW w:w="5387" w:type="dxa"/>
          </w:tcPr>
          <w:p w14:paraId="421271A9" w14:textId="77777777" w:rsidR="00C15E0F" w:rsidRPr="003E6986" w:rsidRDefault="00C15E0F" w:rsidP="00E33D09">
            <w:pPr>
              <w:pStyle w:val="TableText0"/>
              <w:spacing w:before="20" w:after="20"/>
              <w:jc w:val="both"/>
              <w:rPr>
                <w:rFonts w:asciiTheme="minorHAnsi" w:hAnsiTheme="minorHAnsi" w:cstheme="minorHAnsi"/>
                <w:sz w:val="20"/>
                <w:lang w:val="es-ES_tradnl"/>
              </w:rPr>
            </w:pPr>
            <w:r w:rsidRPr="003E6986">
              <w:rPr>
                <w:rFonts w:asciiTheme="minorHAnsi" w:hAnsiTheme="minorHAnsi" w:cstheme="minorHAnsi"/>
                <w:sz w:val="20"/>
                <w:lang w:val="es-ES_tradnl"/>
              </w:rPr>
              <w:t>considerar, basándose en los resultados de los estudios del Sector de Radiocomunicaciones de la UIT, la posibilidad de apoyar la concesión de atribuciones al servicio entre satélites en las bandas de frecuencias 3 700-4 200 MHz y 5 925-6 425 MHz, y las disposiciones reglamentarias conexas, para permitir el funcionamiento de enlaces entre satélites en órbita no geoestacionaria y satélites en órbita geoestacionaria de conformidad con la Resolución </w:t>
            </w:r>
            <w:r w:rsidRPr="003E6986">
              <w:rPr>
                <w:rFonts w:asciiTheme="minorHAnsi" w:hAnsiTheme="minorHAnsi" w:cstheme="minorHAnsi"/>
                <w:b/>
                <w:bCs/>
                <w:sz w:val="20"/>
                <w:lang w:val="es-ES_tradnl"/>
              </w:rPr>
              <w:t>683 (CMR-23)</w:t>
            </w:r>
          </w:p>
        </w:tc>
        <w:tc>
          <w:tcPr>
            <w:tcW w:w="1701" w:type="dxa"/>
          </w:tcPr>
          <w:p w14:paraId="6DDAB4DD" w14:textId="247A63FC"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w:t>
            </w:r>
            <w:r w:rsidR="00105970" w:rsidRPr="003E6986">
              <w:rPr>
                <w:rFonts w:asciiTheme="minorHAnsi" w:hAnsiTheme="minorHAnsi" w:cstheme="minorHAnsi"/>
                <w:sz w:val="20"/>
                <w:lang w:val="es-ES_tradnl"/>
              </w:rPr>
              <w:t xml:space="preserve"> </w:t>
            </w:r>
            <w:r w:rsidRPr="003E6986">
              <w:rPr>
                <w:rFonts w:asciiTheme="minorHAnsi" w:hAnsiTheme="minorHAnsi" w:cstheme="minorHAnsi"/>
                <w:b/>
                <w:bCs/>
                <w:sz w:val="20"/>
                <w:lang w:val="es-ES_tradnl"/>
              </w:rPr>
              <w:t>683 (CMR</w:t>
            </w:r>
            <w:r w:rsidRPr="003E6986">
              <w:rPr>
                <w:rFonts w:asciiTheme="minorHAnsi" w:hAnsiTheme="minorHAnsi" w:cstheme="minorHAnsi"/>
                <w:b/>
                <w:bCs/>
                <w:sz w:val="20"/>
                <w:lang w:val="es-ES_tradnl"/>
              </w:rPr>
              <w:noBreakHyphen/>
              <w:t>23)</w:t>
            </w:r>
          </w:p>
        </w:tc>
        <w:tc>
          <w:tcPr>
            <w:tcW w:w="1352" w:type="dxa"/>
          </w:tcPr>
          <w:p w14:paraId="7A598661" w14:textId="77777777" w:rsidR="00C15E0F" w:rsidRPr="003E6986" w:rsidRDefault="00C15E0F" w:rsidP="00E33D09">
            <w:pPr>
              <w:pStyle w:val="TableText0"/>
              <w:spacing w:before="20" w:after="2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4A</w:t>
            </w:r>
          </w:p>
        </w:tc>
      </w:tr>
      <w:tr w:rsidR="00C15E0F" w:rsidRPr="003E6986" w14:paraId="48B697B9" w14:textId="77777777" w:rsidTr="008B73E9">
        <w:trPr>
          <w:gridAfter w:val="1"/>
          <w:wAfter w:w="12" w:type="dxa"/>
          <w:cantSplit/>
          <w:jc w:val="center"/>
        </w:trPr>
        <w:tc>
          <w:tcPr>
            <w:tcW w:w="1410" w:type="dxa"/>
            <w:tcBorders>
              <w:bottom w:val="single" w:sz="6" w:space="0" w:color="auto"/>
            </w:tcBorders>
          </w:tcPr>
          <w:p w14:paraId="2E05AC48"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10</w:t>
            </w:r>
          </w:p>
        </w:tc>
        <w:tc>
          <w:tcPr>
            <w:tcW w:w="992" w:type="dxa"/>
            <w:tcBorders>
              <w:bottom w:val="single" w:sz="6" w:space="0" w:color="auto"/>
            </w:tcBorders>
          </w:tcPr>
          <w:p w14:paraId="2AAF0459"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A1/2.5</w:t>
            </w:r>
          </w:p>
        </w:tc>
        <w:tc>
          <w:tcPr>
            <w:tcW w:w="5387" w:type="dxa"/>
            <w:tcBorders>
              <w:bottom w:val="single" w:sz="6" w:space="0" w:color="auto"/>
            </w:tcBorders>
          </w:tcPr>
          <w:p w14:paraId="17469B08" w14:textId="77777777" w:rsidR="00C15E0F" w:rsidRPr="003E6986" w:rsidRDefault="00C15E0F" w:rsidP="00E33D09">
            <w:pPr>
              <w:pStyle w:val="TableText0"/>
              <w:spacing w:before="20" w:after="20"/>
              <w:jc w:val="both"/>
              <w:rPr>
                <w:rFonts w:asciiTheme="minorHAnsi" w:hAnsiTheme="minorHAnsi" w:cstheme="minorHAnsi"/>
                <w:sz w:val="20"/>
                <w:highlight w:val="yellow"/>
                <w:lang w:val="es-ES_tradnl"/>
              </w:rPr>
            </w:pPr>
            <w:r w:rsidRPr="003E6986">
              <w:rPr>
                <w:rFonts w:asciiTheme="minorHAnsi" w:hAnsiTheme="minorHAnsi" w:cstheme="minorHAnsi"/>
                <w:sz w:val="20"/>
                <w:lang w:val="es-ES_tradnl"/>
              </w:rPr>
              <w:t>considerar la posibilidad de atribuir a título primario las bandas de frecuencias [694</w:t>
            </w:r>
            <w:r w:rsidRPr="003E6986">
              <w:rPr>
                <w:rFonts w:asciiTheme="minorHAnsi" w:hAnsiTheme="minorHAnsi" w:cstheme="minorHAnsi"/>
                <w:sz w:val="20"/>
                <w:lang w:val="es-ES_tradnl"/>
              </w:rPr>
              <w:noBreakHyphen/>
              <w:t>960 MHz o partes de la misma, en la Región 1], 890-942 MHz, o partes de la misma, en la Región 2, [3 400-3 700 MHz, o partes de la misma, en la Región 3] al servicio móvil aeronáutico para la utilización de equipos de usuario de las Telecomunicaciones Móviles Internacionales (IMT) en las redes de las IMT terrenales por aplicaciones no relacionadas con la seguridad, de conformidad con la Resolución </w:t>
            </w:r>
            <w:r w:rsidRPr="003E6986">
              <w:rPr>
                <w:rFonts w:asciiTheme="minorHAnsi" w:hAnsiTheme="minorHAnsi" w:cstheme="minorHAnsi"/>
                <w:b/>
                <w:bCs/>
                <w:sz w:val="20"/>
                <w:lang w:val="es-ES_tradnl"/>
              </w:rPr>
              <w:t>251 (Rev.CMR</w:t>
            </w:r>
            <w:r w:rsidRPr="003E6986">
              <w:rPr>
                <w:rFonts w:asciiTheme="minorHAnsi" w:hAnsiTheme="minorHAnsi" w:cstheme="minorHAnsi"/>
                <w:b/>
                <w:bCs/>
                <w:sz w:val="20"/>
                <w:lang w:val="es-ES_tradnl"/>
              </w:rPr>
              <w:noBreakHyphen/>
              <w:t>23)</w:t>
            </w:r>
          </w:p>
        </w:tc>
        <w:tc>
          <w:tcPr>
            <w:tcW w:w="1701" w:type="dxa"/>
            <w:tcBorders>
              <w:bottom w:val="single" w:sz="6" w:space="0" w:color="auto"/>
            </w:tcBorders>
          </w:tcPr>
          <w:p w14:paraId="0AB64D70"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 </w:t>
            </w:r>
            <w:r w:rsidRPr="003E6986">
              <w:rPr>
                <w:rFonts w:asciiTheme="minorHAnsi" w:hAnsiTheme="minorHAnsi" w:cstheme="minorHAnsi"/>
                <w:b/>
                <w:bCs/>
                <w:sz w:val="20"/>
                <w:lang w:val="es-ES_tradnl"/>
              </w:rPr>
              <w:t>251 (Rev.CMR</w:t>
            </w:r>
            <w:r w:rsidRPr="003E6986">
              <w:rPr>
                <w:rFonts w:asciiTheme="minorHAnsi" w:hAnsiTheme="minorHAnsi" w:cstheme="minorHAnsi"/>
                <w:b/>
                <w:bCs/>
                <w:sz w:val="20"/>
                <w:lang w:val="es-ES_tradnl"/>
              </w:rPr>
              <w:noBreakHyphen/>
              <w:t>23)</w:t>
            </w:r>
          </w:p>
        </w:tc>
        <w:tc>
          <w:tcPr>
            <w:tcW w:w="1352" w:type="dxa"/>
            <w:tcBorders>
              <w:bottom w:val="single" w:sz="6" w:space="0" w:color="auto"/>
            </w:tcBorders>
          </w:tcPr>
          <w:p w14:paraId="0EC578C3" w14:textId="77777777" w:rsidR="00C15E0F" w:rsidRPr="003E6986" w:rsidRDefault="00C15E0F" w:rsidP="00E33D09">
            <w:pPr>
              <w:pStyle w:val="TableText0"/>
              <w:spacing w:before="20" w:after="2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5D</w:t>
            </w:r>
          </w:p>
        </w:tc>
      </w:tr>
      <w:tr w:rsidR="00C15E0F" w:rsidRPr="003E6986" w14:paraId="613B2C3C" w14:textId="77777777" w:rsidTr="008B73E9">
        <w:trPr>
          <w:gridAfter w:val="1"/>
          <w:wAfter w:w="12" w:type="dxa"/>
          <w:cantSplit/>
          <w:jc w:val="center"/>
        </w:trPr>
        <w:tc>
          <w:tcPr>
            <w:tcW w:w="1410" w:type="dxa"/>
            <w:tcBorders>
              <w:bottom w:val="nil"/>
            </w:tcBorders>
          </w:tcPr>
          <w:p w14:paraId="1FE7679B"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10</w:t>
            </w:r>
          </w:p>
        </w:tc>
        <w:tc>
          <w:tcPr>
            <w:tcW w:w="992" w:type="dxa"/>
            <w:tcBorders>
              <w:bottom w:val="nil"/>
            </w:tcBorders>
          </w:tcPr>
          <w:p w14:paraId="0B7E5F28"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A1/2.6</w:t>
            </w:r>
          </w:p>
        </w:tc>
        <w:tc>
          <w:tcPr>
            <w:tcW w:w="5387" w:type="dxa"/>
            <w:tcBorders>
              <w:bottom w:val="nil"/>
            </w:tcBorders>
          </w:tcPr>
          <w:p w14:paraId="0A153DB4" w14:textId="77777777" w:rsidR="00C15E0F" w:rsidRPr="003E6986" w:rsidRDefault="00C15E0F" w:rsidP="00E33D09">
            <w:pPr>
              <w:pStyle w:val="TableText0"/>
              <w:spacing w:before="20" w:after="20"/>
              <w:jc w:val="both"/>
              <w:rPr>
                <w:rFonts w:asciiTheme="minorHAnsi" w:hAnsiTheme="minorHAnsi" w:cstheme="minorHAnsi"/>
                <w:sz w:val="20"/>
                <w:lang w:val="es-ES_tradnl"/>
              </w:rPr>
            </w:pPr>
            <w:r w:rsidRPr="003E6986">
              <w:rPr>
                <w:rFonts w:asciiTheme="minorHAnsi" w:hAnsiTheme="minorHAnsi" w:cstheme="minorHAnsi"/>
                <w:sz w:val="20"/>
                <w:lang w:val="es-ES_tradnl"/>
              </w:rPr>
              <w:t>considerar la identificación de las bandas de frecuencias [102-109,5 GHz, 151,5</w:t>
            </w:r>
            <w:r w:rsidRPr="003E6986">
              <w:rPr>
                <w:rFonts w:asciiTheme="minorHAnsi" w:hAnsiTheme="minorHAnsi" w:cstheme="minorHAnsi"/>
                <w:sz w:val="20"/>
                <w:lang w:val="es-ES_tradnl"/>
              </w:rPr>
              <w:noBreakHyphen/>
              <w:t>164 GHz, 167</w:t>
            </w:r>
            <w:r w:rsidRPr="003E6986">
              <w:rPr>
                <w:rFonts w:asciiTheme="minorHAnsi" w:hAnsiTheme="minorHAnsi" w:cstheme="minorHAnsi"/>
                <w:sz w:val="20"/>
                <w:lang w:val="es-ES_tradnl"/>
              </w:rPr>
              <w:noBreakHyphen/>
              <w:t xml:space="preserve">174,8 GHz, 209-226 GHz y 252-275 GHz] para las Telecomunicaciones Móviles Internacionales (IMT), de conformidad con la Resolución </w:t>
            </w:r>
            <w:r w:rsidRPr="003E6986">
              <w:rPr>
                <w:rFonts w:asciiTheme="minorHAnsi" w:hAnsiTheme="minorHAnsi" w:cstheme="minorHAnsi"/>
                <w:b/>
                <w:bCs/>
                <w:sz w:val="20"/>
                <w:lang w:val="es-ES_tradnl"/>
              </w:rPr>
              <w:t>255 (CMR</w:t>
            </w:r>
            <w:r w:rsidRPr="003E6986">
              <w:rPr>
                <w:rFonts w:asciiTheme="minorHAnsi" w:hAnsiTheme="minorHAnsi" w:cstheme="minorHAnsi"/>
                <w:b/>
                <w:bCs/>
                <w:sz w:val="20"/>
                <w:lang w:val="es-ES_tradnl"/>
              </w:rPr>
              <w:noBreakHyphen/>
              <w:t>23)</w:t>
            </w:r>
          </w:p>
        </w:tc>
        <w:tc>
          <w:tcPr>
            <w:tcW w:w="1701" w:type="dxa"/>
            <w:tcBorders>
              <w:bottom w:val="nil"/>
            </w:tcBorders>
          </w:tcPr>
          <w:p w14:paraId="6BECD065" w14:textId="77777777" w:rsidR="00C15E0F" w:rsidRPr="003E6986" w:rsidRDefault="00C15E0F" w:rsidP="00E33D09">
            <w:pPr>
              <w:pStyle w:val="TableText0"/>
              <w:spacing w:before="20" w:after="20"/>
              <w:jc w:val="center"/>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255 (CMR</w:t>
            </w:r>
            <w:r w:rsidRPr="003E6986">
              <w:rPr>
                <w:rFonts w:asciiTheme="minorHAnsi" w:hAnsiTheme="minorHAnsi" w:cstheme="minorHAnsi"/>
                <w:b/>
                <w:bCs/>
                <w:sz w:val="20"/>
                <w:lang w:val="es-ES_tradnl"/>
              </w:rPr>
              <w:noBreakHyphen/>
              <w:t>23)</w:t>
            </w:r>
          </w:p>
        </w:tc>
        <w:tc>
          <w:tcPr>
            <w:tcW w:w="1352" w:type="dxa"/>
            <w:tcBorders>
              <w:bottom w:val="nil"/>
            </w:tcBorders>
          </w:tcPr>
          <w:p w14:paraId="7703A0C2" w14:textId="77777777" w:rsidR="00C15E0F" w:rsidRPr="003E6986" w:rsidRDefault="00C15E0F" w:rsidP="00E33D09">
            <w:pPr>
              <w:pStyle w:val="TableText0"/>
              <w:spacing w:before="20" w:after="2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5D **</w:t>
            </w:r>
          </w:p>
        </w:tc>
      </w:tr>
      <w:tr w:rsidR="00C15E0F" w:rsidRPr="008653C7" w14:paraId="0BE71AC5" w14:textId="77777777" w:rsidTr="00C15E0F">
        <w:trPr>
          <w:cantSplit/>
          <w:jc w:val="center"/>
        </w:trPr>
        <w:tc>
          <w:tcPr>
            <w:tcW w:w="10854" w:type="dxa"/>
            <w:gridSpan w:val="6"/>
            <w:tcBorders>
              <w:top w:val="nil"/>
            </w:tcBorders>
          </w:tcPr>
          <w:p w14:paraId="361CDA15" w14:textId="38001DE0" w:rsidR="00C15E0F" w:rsidRPr="003E6986" w:rsidRDefault="00105970" w:rsidP="00E33D09">
            <w:pPr>
              <w:pStyle w:val="TableText0"/>
              <w:spacing w:before="20" w:after="20"/>
              <w:jc w:val="both"/>
              <w:rPr>
                <w:rFonts w:asciiTheme="minorHAnsi" w:hAnsiTheme="minorHAnsi" w:cstheme="minorHAnsi"/>
                <w:sz w:val="20"/>
                <w:lang w:val="es-ES_tradnl"/>
              </w:rPr>
            </w:pPr>
            <w:r w:rsidRPr="003E6986">
              <w:rPr>
                <w:rFonts w:asciiTheme="minorHAnsi" w:hAnsiTheme="minorHAnsi" w:cstheme="minorHAnsi"/>
                <w:sz w:val="20"/>
                <w:lang w:val="es-ES_tradnl"/>
              </w:rPr>
              <w:t>**</w:t>
            </w:r>
            <w:r w:rsidRPr="003E6986">
              <w:rPr>
                <w:rFonts w:asciiTheme="minorHAnsi" w:hAnsiTheme="minorHAnsi" w:cstheme="minorHAnsi"/>
                <w:sz w:val="20"/>
                <w:lang w:val="es-ES_tradnl"/>
              </w:rPr>
              <w:tab/>
            </w:r>
            <w:r w:rsidR="00C15E0F" w:rsidRPr="003E6986">
              <w:rPr>
                <w:rFonts w:asciiTheme="minorHAnsi" w:hAnsiTheme="minorHAnsi" w:cstheme="minorHAnsi"/>
                <w:sz w:val="20"/>
                <w:lang w:val="es-ES_tradnl"/>
              </w:rPr>
              <w:t>Los trabajos preparatorios relacionados con este punto del orden del día preliminar requerirán de amplias actividades de investigación, medición y elaboración de modelos, para poder aplicar los métodos de predicción de la propagación de las ondas radioeléctricas a los estudios de compartición y compatibilidad que se lleven a cabo en las bandas de frecuencias hasta 275 GHz. Se alienta a los miembros a apoyar estas actividades en el seno de los Grupos de Trabajo 3J y 3K, ya que es esencial iniciar esta labor durante el periodo de estudios 202</w:t>
            </w:r>
            <w:r w:rsidR="006B2598" w:rsidRPr="003E6986">
              <w:rPr>
                <w:rFonts w:asciiTheme="minorHAnsi" w:hAnsiTheme="minorHAnsi" w:cstheme="minorHAnsi"/>
                <w:sz w:val="20"/>
                <w:lang w:val="es-ES_tradnl"/>
              </w:rPr>
              <w:t>3</w:t>
            </w:r>
            <w:r w:rsidR="00C15E0F" w:rsidRPr="003E6986">
              <w:rPr>
                <w:rFonts w:asciiTheme="minorHAnsi" w:hAnsiTheme="minorHAnsi" w:cstheme="minorHAnsi"/>
                <w:sz w:val="20"/>
                <w:lang w:val="es-ES_tradnl"/>
              </w:rPr>
              <w:t>-2027.</w:t>
            </w:r>
          </w:p>
        </w:tc>
      </w:tr>
      <w:tr w:rsidR="00C15E0F" w:rsidRPr="003E6986" w14:paraId="5360EE2A" w14:textId="77777777" w:rsidTr="008B73E9">
        <w:trPr>
          <w:gridAfter w:val="1"/>
          <w:wAfter w:w="12" w:type="dxa"/>
          <w:cantSplit/>
          <w:jc w:val="center"/>
        </w:trPr>
        <w:tc>
          <w:tcPr>
            <w:tcW w:w="1410" w:type="dxa"/>
          </w:tcPr>
          <w:p w14:paraId="3BFAA174"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lastRenderedPageBreak/>
              <w:t>10</w:t>
            </w:r>
          </w:p>
        </w:tc>
        <w:tc>
          <w:tcPr>
            <w:tcW w:w="992" w:type="dxa"/>
          </w:tcPr>
          <w:p w14:paraId="1910A739"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A1/2.7</w:t>
            </w:r>
          </w:p>
        </w:tc>
        <w:tc>
          <w:tcPr>
            <w:tcW w:w="5387" w:type="dxa"/>
          </w:tcPr>
          <w:p w14:paraId="2EEC0582" w14:textId="1B35F660"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 xml:space="preserve">considerar la posibilidad de mejorar la utilización de la radiocomunicación marítima en ondas métricas, de conformidad con la Resolución </w:t>
            </w:r>
            <w:r w:rsidR="00CC514C">
              <w:rPr>
                <w:rFonts w:asciiTheme="minorHAnsi" w:hAnsiTheme="minorHAnsi" w:cstheme="minorHAnsi"/>
                <w:b/>
                <w:bCs/>
                <w:sz w:val="20"/>
                <w:lang w:val="es-ES_tradnl"/>
              </w:rPr>
              <w:t>363 (Rev.</w:t>
            </w:r>
            <w:r w:rsidRPr="003E6986">
              <w:rPr>
                <w:rFonts w:asciiTheme="minorHAnsi" w:hAnsiTheme="minorHAnsi" w:cstheme="minorHAnsi"/>
                <w:b/>
                <w:bCs/>
                <w:sz w:val="20"/>
                <w:lang w:val="es-ES_tradnl"/>
              </w:rPr>
              <w:t>CMR</w:t>
            </w:r>
            <w:r w:rsidRPr="003E6986">
              <w:rPr>
                <w:rFonts w:asciiTheme="minorHAnsi" w:hAnsiTheme="minorHAnsi" w:cstheme="minorHAnsi"/>
                <w:b/>
                <w:bCs/>
                <w:sz w:val="20"/>
                <w:lang w:val="es-ES_tradnl"/>
              </w:rPr>
              <w:noBreakHyphen/>
              <w:t>23)</w:t>
            </w:r>
          </w:p>
        </w:tc>
        <w:tc>
          <w:tcPr>
            <w:tcW w:w="1701" w:type="dxa"/>
          </w:tcPr>
          <w:p w14:paraId="2F9C10DD" w14:textId="2C91EF8A"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00CC514C">
              <w:rPr>
                <w:rFonts w:asciiTheme="minorHAnsi" w:hAnsiTheme="minorHAnsi" w:cstheme="minorHAnsi"/>
                <w:b/>
                <w:bCs/>
                <w:sz w:val="20"/>
                <w:lang w:val="es-ES_tradnl"/>
              </w:rPr>
              <w:t>363 (Rev.</w:t>
            </w:r>
            <w:r w:rsidRPr="003E6986">
              <w:rPr>
                <w:rFonts w:asciiTheme="minorHAnsi" w:hAnsiTheme="minorHAnsi" w:cstheme="minorHAnsi"/>
                <w:b/>
                <w:bCs/>
                <w:sz w:val="20"/>
                <w:lang w:val="es-ES_tradnl"/>
              </w:rPr>
              <w:t>CMR-23)</w:t>
            </w:r>
          </w:p>
        </w:tc>
        <w:tc>
          <w:tcPr>
            <w:tcW w:w="1352" w:type="dxa"/>
          </w:tcPr>
          <w:p w14:paraId="113FB073"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5B</w:t>
            </w:r>
          </w:p>
        </w:tc>
      </w:tr>
      <w:tr w:rsidR="00C15E0F" w:rsidRPr="003E6986" w14:paraId="7B940467" w14:textId="77777777" w:rsidTr="008B73E9">
        <w:trPr>
          <w:gridAfter w:val="1"/>
          <w:wAfter w:w="12" w:type="dxa"/>
          <w:cantSplit/>
          <w:jc w:val="center"/>
        </w:trPr>
        <w:tc>
          <w:tcPr>
            <w:tcW w:w="1410" w:type="dxa"/>
          </w:tcPr>
          <w:p w14:paraId="489D988D"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10</w:t>
            </w:r>
          </w:p>
        </w:tc>
        <w:tc>
          <w:tcPr>
            <w:tcW w:w="992" w:type="dxa"/>
          </w:tcPr>
          <w:p w14:paraId="60F22426"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A1/2.8</w:t>
            </w:r>
          </w:p>
        </w:tc>
        <w:tc>
          <w:tcPr>
            <w:tcW w:w="5387" w:type="dxa"/>
          </w:tcPr>
          <w:p w14:paraId="4461B838" w14:textId="77777777"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 xml:space="preserve">considerar la posibilidad de mejorar la utilización y la disposición de canales de las radiocomunicaciones marítimas en las bandas de ondas hectométricas y </w:t>
            </w:r>
            <w:proofErr w:type="spellStart"/>
            <w:r w:rsidRPr="003E6986">
              <w:rPr>
                <w:rFonts w:asciiTheme="minorHAnsi" w:hAnsiTheme="minorHAnsi" w:cstheme="minorHAnsi"/>
                <w:sz w:val="20"/>
                <w:lang w:val="es-ES_tradnl"/>
              </w:rPr>
              <w:t>decamétricas</w:t>
            </w:r>
            <w:proofErr w:type="spellEnd"/>
            <w:r w:rsidRPr="003E6986">
              <w:rPr>
                <w:rFonts w:asciiTheme="minorHAnsi" w:hAnsiTheme="minorHAnsi" w:cstheme="minorHAnsi"/>
                <w:sz w:val="20"/>
                <w:lang w:val="es-ES_tradnl"/>
              </w:rPr>
              <w:t>, incluida la posible revisión del Artículo </w:t>
            </w:r>
            <w:r w:rsidRPr="00E33D09">
              <w:rPr>
                <w:rFonts w:asciiTheme="minorHAnsi" w:hAnsiTheme="minorHAnsi" w:cstheme="minorHAnsi"/>
                <w:b/>
                <w:bCs/>
                <w:sz w:val="20"/>
                <w:lang w:val="es-ES_tradnl"/>
              </w:rPr>
              <w:t>52</w:t>
            </w:r>
            <w:r w:rsidRPr="003E6986">
              <w:rPr>
                <w:rFonts w:asciiTheme="minorHAnsi" w:hAnsiTheme="minorHAnsi" w:cstheme="minorHAnsi"/>
                <w:sz w:val="20"/>
                <w:lang w:val="es-ES_tradnl"/>
              </w:rPr>
              <w:t xml:space="preserve"> y del Apéndice </w:t>
            </w:r>
            <w:r w:rsidRPr="00E33D09">
              <w:rPr>
                <w:rFonts w:asciiTheme="minorHAnsi" w:hAnsiTheme="minorHAnsi" w:cstheme="minorHAnsi"/>
                <w:b/>
                <w:bCs/>
                <w:sz w:val="20"/>
                <w:lang w:val="es-ES_tradnl"/>
              </w:rPr>
              <w:t>17</w:t>
            </w:r>
            <w:r w:rsidRPr="003E6986">
              <w:rPr>
                <w:rFonts w:asciiTheme="minorHAnsi" w:hAnsiTheme="minorHAnsi" w:cstheme="minorHAnsi"/>
                <w:sz w:val="20"/>
                <w:lang w:val="es-ES_tradnl"/>
              </w:rPr>
              <w:t xml:space="preserve">, de conformidad con la Resolución </w:t>
            </w:r>
            <w:r w:rsidRPr="003E6986">
              <w:rPr>
                <w:rFonts w:asciiTheme="minorHAnsi" w:hAnsiTheme="minorHAnsi" w:cstheme="minorHAnsi"/>
                <w:b/>
                <w:bCs/>
                <w:sz w:val="20"/>
                <w:lang w:val="es-ES_tradnl"/>
              </w:rPr>
              <w:t>366 (CMR</w:t>
            </w:r>
            <w:r w:rsidRPr="003E6986">
              <w:rPr>
                <w:rFonts w:asciiTheme="minorHAnsi" w:hAnsiTheme="minorHAnsi" w:cstheme="minorHAnsi"/>
                <w:b/>
                <w:bCs/>
                <w:sz w:val="20"/>
                <w:lang w:val="es-ES_tradnl"/>
              </w:rPr>
              <w:noBreakHyphen/>
              <w:t>23)</w:t>
            </w:r>
          </w:p>
        </w:tc>
        <w:tc>
          <w:tcPr>
            <w:tcW w:w="1701" w:type="dxa"/>
          </w:tcPr>
          <w:p w14:paraId="73E52431"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366 (CMR</w:t>
            </w:r>
            <w:r w:rsidRPr="003E6986">
              <w:rPr>
                <w:rFonts w:asciiTheme="minorHAnsi" w:hAnsiTheme="minorHAnsi" w:cstheme="minorHAnsi"/>
                <w:b/>
                <w:bCs/>
                <w:sz w:val="20"/>
                <w:lang w:val="es-ES_tradnl"/>
              </w:rPr>
              <w:noBreakHyphen/>
              <w:t>23)</w:t>
            </w:r>
          </w:p>
        </w:tc>
        <w:tc>
          <w:tcPr>
            <w:tcW w:w="1352" w:type="dxa"/>
          </w:tcPr>
          <w:p w14:paraId="38AA6290"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5B</w:t>
            </w:r>
          </w:p>
        </w:tc>
      </w:tr>
      <w:tr w:rsidR="00C15E0F" w:rsidRPr="003E6986" w14:paraId="3BAFB66D" w14:textId="77777777" w:rsidTr="008B73E9">
        <w:trPr>
          <w:gridAfter w:val="1"/>
          <w:wAfter w:w="12" w:type="dxa"/>
          <w:cantSplit/>
          <w:jc w:val="center"/>
        </w:trPr>
        <w:tc>
          <w:tcPr>
            <w:tcW w:w="1410" w:type="dxa"/>
          </w:tcPr>
          <w:p w14:paraId="7879D84E"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10</w:t>
            </w:r>
          </w:p>
        </w:tc>
        <w:tc>
          <w:tcPr>
            <w:tcW w:w="992" w:type="dxa"/>
          </w:tcPr>
          <w:p w14:paraId="756C0FF5"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A1/2.9</w:t>
            </w:r>
          </w:p>
        </w:tc>
        <w:tc>
          <w:tcPr>
            <w:tcW w:w="5387" w:type="dxa"/>
          </w:tcPr>
          <w:p w14:paraId="4DAD324C" w14:textId="77777777"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considerar la posibilidad de efectuar atribuciones al servicio de radionavegación por satélite (espacio</w:t>
            </w:r>
            <w:r w:rsidRPr="003E6986">
              <w:rPr>
                <w:rFonts w:asciiTheme="minorHAnsi" w:hAnsiTheme="minorHAnsi" w:cstheme="minorHAnsi"/>
                <w:sz w:val="20"/>
                <w:lang w:val="es-ES_tradnl"/>
              </w:rPr>
              <w:noBreakHyphen/>
              <w:t>Tierra) en las bandas de frecuencias [5 030</w:t>
            </w:r>
            <w:r w:rsidRPr="003E6986">
              <w:rPr>
                <w:rFonts w:asciiTheme="minorHAnsi" w:hAnsiTheme="minorHAnsi" w:cstheme="minorHAnsi"/>
                <w:sz w:val="20"/>
                <w:lang w:val="es-ES_tradnl"/>
              </w:rPr>
              <w:noBreakHyphen/>
              <w:t xml:space="preserve">5 150 MHz y 5 150-5 250 MHz] o partes de </w:t>
            </w:r>
            <w:proofErr w:type="gramStart"/>
            <w:r w:rsidRPr="003E6986">
              <w:rPr>
                <w:rFonts w:asciiTheme="minorHAnsi" w:hAnsiTheme="minorHAnsi" w:cstheme="minorHAnsi"/>
                <w:sz w:val="20"/>
                <w:lang w:val="es-ES_tradnl"/>
              </w:rPr>
              <w:t>las mismas</w:t>
            </w:r>
            <w:proofErr w:type="gramEnd"/>
            <w:r w:rsidRPr="003E6986">
              <w:rPr>
                <w:rFonts w:asciiTheme="minorHAnsi" w:hAnsiTheme="minorHAnsi" w:cstheme="minorHAnsi"/>
                <w:sz w:val="20"/>
                <w:lang w:val="es-ES_tradnl"/>
              </w:rPr>
              <w:t xml:space="preserve">, de conformidad con la Resolución </w:t>
            </w:r>
            <w:r w:rsidRPr="003E6986">
              <w:rPr>
                <w:rFonts w:asciiTheme="minorHAnsi" w:hAnsiTheme="minorHAnsi" w:cstheme="minorHAnsi"/>
                <w:b/>
                <w:bCs/>
                <w:sz w:val="20"/>
                <w:lang w:val="es-ES_tradnl"/>
              </w:rPr>
              <w:t>684 (CMR-23)</w:t>
            </w:r>
          </w:p>
        </w:tc>
        <w:tc>
          <w:tcPr>
            <w:tcW w:w="1701" w:type="dxa"/>
          </w:tcPr>
          <w:p w14:paraId="086F770A"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684 (CMR</w:t>
            </w:r>
            <w:r w:rsidRPr="003E6986">
              <w:rPr>
                <w:rFonts w:asciiTheme="minorHAnsi" w:hAnsiTheme="minorHAnsi" w:cstheme="minorHAnsi"/>
                <w:b/>
                <w:bCs/>
                <w:sz w:val="20"/>
                <w:lang w:val="es-ES_tradnl"/>
              </w:rPr>
              <w:noBreakHyphen/>
              <w:t>23)</w:t>
            </w:r>
          </w:p>
        </w:tc>
        <w:tc>
          <w:tcPr>
            <w:tcW w:w="1352" w:type="dxa"/>
          </w:tcPr>
          <w:p w14:paraId="37365D8D"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4C</w:t>
            </w:r>
          </w:p>
        </w:tc>
      </w:tr>
      <w:tr w:rsidR="00C15E0F" w:rsidRPr="003E6986" w14:paraId="6AD991B2" w14:textId="77777777" w:rsidTr="008B73E9">
        <w:trPr>
          <w:gridAfter w:val="1"/>
          <w:wAfter w:w="12" w:type="dxa"/>
          <w:cantSplit/>
          <w:jc w:val="center"/>
        </w:trPr>
        <w:tc>
          <w:tcPr>
            <w:tcW w:w="1410" w:type="dxa"/>
          </w:tcPr>
          <w:p w14:paraId="5EF64305"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10</w:t>
            </w:r>
          </w:p>
        </w:tc>
        <w:tc>
          <w:tcPr>
            <w:tcW w:w="992" w:type="dxa"/>
          </w:tcPr>
          <w:p w14:paraId="28760556"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A1/2.10</w:t>
            </w:r>
          </w:p>
        </w:tc>
        <w:tc>
          <w:tcPr>
            <w:tcW w:w="5387" w:type="dxa"/>
          </w:tcPr>
          <w:p w14:paraId="52B78B02" w14:textId="77777777"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considerar la posibilidad de efectuar una nueva atribución a título primario al servicio de exploración de la Tierra por satélite (Tierra-espacio) en la banda de frecuencias 22,55</w:t>
            </w:r>
            <w:r w:rsidRPr="003E6986">
              <w:rPr>
                <w:rFonts w:asciiTheme="minorHAnsi" w:hAnsiTheme="minorHAnsi" w:cstheme="minorHAnsi"/>
                <w:sz w:val="20"/>
                <w:lang w:val="es-ES_tradnl"/>
              </w:rPr>
              <w:noBreakHyphen/>
              <w:t xml:space="preserve">23,15 GHz, de conformidad con la Resolución </w:t>
            </w:r>
            <w:r w:rsidRPr="003E6986">
              <w:rPr>
                <w:rFonts w:asciiTheme="minorHAnsi" w:hAnsiTheme="minorHAnsi" w:cstheme="minorHAnsi"/>
                <w:b/>
                <w:bCs/>
                <w:sz w:val="20"/>
                <w:lang w:val="es-ES_tradnl"/>
              </w:rPr>
              <w:t>664 (Rev.CMR-23)</w:t>
            </w:r>
          </w:p>
        </w:tc>
        <w:tc>
          <w:tcPr>
            <w:tcW w:w="1701" w:type="dxa"/>
          </w:tcPr>
          <w:p w14:paraId="665CB29A"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664 (Rev.CMR-23)</w:t>
            </w:r>
          </w:p>
        </w:tc>
        <w:tc>
          <w:tcPr>
            <w:tcW w:w="1352" w:type="dxa"/>
          </w:tcPr>
          <w:p w14:paraId="0D3CA6D9"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7B</w:t>
            </w:r>
          </w:p>
        </w:tc>
      </w:tr>
      <w:tr w:rsidR="00C15E0F" w:rsidRPr="003E6986" w14:paraId="34D01C2D" w14:textId="77777777" w:rsidTr="008B73E9">
        <w:trPr>
          <w:gridAfter w:val="1"/>
          <w:wAfter w:w="12" w:type="dxa"/>
          <w:cantSplit/>
          <w:jc w:val="center"/>
        </w:trPr>
        <w:tc>
          <w:tcPr>
            <w:tcW w:w="1410" w:type="dxa"/>
          </w:tcPr>
          <w:p w14:paraId="37B742B7"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10</w:t>
            </w:r>
          </w:p>
        </w:tc>
        <w:tc>
          <w:tcPr>
            <w:tcW w:w="992" w:type="dxa"/>
          </w:tcPr>
          <w:p w14:paraId="0C87336F"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A1/2.11</w:t>
            </w:r>
          </w:p>
        </w:tc>
        <w:tc>
          <w:tcPr>
            <w:tcW w:w="5387" w:type="dxa"/>
          </w:tcPr>
          <w:p w14:paraId="39CCF1B5" w14:textId="77777777"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considerar la posibilidad de elevar a la categoría primaria la atribución secundaria al servicio de exploración de la Tierra por satélite (SETS) (espacio</w:t>
            </w:r>
            <w:r w:rsidRPr="003E6986">
              <w:rPr>
                <w:rFonts w:asciiTheme="minorHAnsi" w:hAnsiTheme="minorHAnsi" w:cstheme="minorHAnsi"/>
                <w:sz w:val="20"/>
                <w:lang w:val="es-ES_tradnl"/>
              </w:rPr>
              <w:noBreakHyphen/>
              <w:t>Tierra) en la banda de frecuencias [37,5</w:t>
            </w:r>
            <w:r w:rsidRPr="003E6986">
              <w:rPr>
                <w:rFonts w:asciiTheme="minorHAnsi" w:hAnsiTheme="minorHAnsi" w:cstheme="minorHAnsi"/>
                <w:sz w:val="20"/>
                <w:lang w:val="es-ES_tradnl"/>
              </w:rPr>
              <w:noBreakHyphen/>
              <w:t xml:space="preserve">40,5 GHz] o de efectuar nuevas atribuciones de frecuencias a título primario en todo el mundo al servicio de exploración de la Tierra por satélite (espacio-Tierra) en ciertas bandas de frecuencias de la gama de [40,5-52,4 GHz], de conformidad con la Resolución </w:t>
            </w:r>
            <w:r w:rsidRPr="003E6986">
              <w:rPr>
                <w:rFonts w:asciiTheme="minorHAnsi" w:hAnsiTheme="minorHAnsi" w:cstheme="minorHAnsi"/>
                <w:b/>
                <w:bCs/>
                <w:sz w:val="20"/>
                <w:lang w:val="es-ES_tradnl"/>
              </w:rPr>
              <w:t>685 (CMR</w:t>
            </w:r>
            <w:r w:rsidRPr="003E6986">
              <w:rPr>
                <w:rFonts w:asciiTheme="minorHAnsi" w:hAnsiTheme="minorHAnsi" w:cstheme="minorHAnsi"/>
                <w:b/>
                <w:bCs/>
                <w:sz w:val="20"/>
                <w:lang w:val="es-ES_tradnl"/>
              </w:rPr>
              <w:noBreakHyphen/>
              <w:t>23)</w:t>
            </w:r>
          </w:p>
        </w:tc>
        <w:tc>
          <w:tcPr>
            <w:tcW w:w="1701" w:type="dxa"/>
          </w:tcPr>
          <w:p w14:paraId="06617211"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685 (CMR</w:t>
            </w:r>
            <w:r w:rsidRPr="003E6986">
              <w:rPr>
                <w:rFonts w:asciiTheme="minorHAnsi" w:hAnsiTheme="minorHAnsi" w:cstheme="minorHAnsi"/>
                <w:b/>
                <w:bCs/>
                <w:sz w:val="20"/>
                <w:lang w:val="es-ES_tradnl"/>
              </w:rPr>
              <w:noBreakHyphen/>
              <w:t>23)</w:t>
            </w:r>
          </w:p>
        </w:tc>
        <w:tc>
          <w:tcPr>
            <w:tcW w:w="1352" w:type="dxa"/>
          </w:tcPr>
          <w:p w14:paraId="6361AA53"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7B</w:t>
            </w:r>
          </w:p>
        </w:tc>
      </w:tr>
      <w:tr w:rsidR="00C15E0F" w:rsidRPr="003E6986" w14:paraId="5A5D9548" w14:textId="77777777" w:rsidTr="008B73E9">
        <w:trPr>
          <w:gridAfter w:val="1"/>
          <w:wAfter w:w="12" w:type="dxa"/>
          <w:cantSplit/>
          <w:jc w:val="center"/>
        </w:trPr>
        <w:tc>
          <w:tcPr>
            <w:tcW w:w="1410" w:type="dxa"/>
          </w:tcPr>
          <w:p w14:paraId="2ED5C503"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10</w:t>
            </w:r>
          </w:p>
        </w:tc>
        <w:tc>
          <w:tcPr>
            <w:tcW w:w="992" w:type="dxa"/>
          </w:tcPr>
          <w:p w14:paraId="59F3D5AF"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A1/2.12</w:t>
            </w:r>
          </w:p>
        </w:tc>
        <w:tc>
          <w:tcPr>
            <w:tcW w:w="5387" w:type="dxa"/>
          </w:tcPr>
          <w:p w14:paraId="7A59935B" w14:textId="7597D0DB"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 xml:space="preserve">considerar la posibilidad de efectuar nuevas atribuciones al servicio de exploración de la Tierra por satélite (activo) en las bandas de frecuencias [3 000-3 100 MHz] y [3 300-3 400 MHz] a título secundario, de conformidad con la Resolución </w:t>
            </w:r>
            <w:r w:rsidRPr="003E6986">
              <w:rPr>
                <w:rFonts w:asciiTheme="minorHAnsi" w:hAnsiTheme="minorHAnsi" w:cstheme="minorHAnsi"/>
                <w:b/>
                <w:bCs/>
                <w:sz w:val="20"/>
                <w:lang w:val="es-ES_tradnl"/>
              </w:rPr>
              <w:t>686 (</w:t>
            </w:r>
            <w:proofErr w:type="spellStart"/>
            <w:r w:rsidRPr="003E6986">
              <w:rPr>
                <w:rFonts w:asciiTheme="minorHAnsi" w:hAnsiTheme="minorHAnsi" w:cstheme="minorHAnsi"/>
                <w:b/>
                <w:bCs/>
                <w:sz w:val="20"/>
                <w:lang w:val="es-ES_tradnl"/>
              </w:rPr>
              <w:t>CMR</w:t>
            </w:r>
            <w:proofErr w:type="spellEnd"/>
            <w:r w:rsidR="00E33D09">
              <w:rPr>
                <w:rFonts w:asciiTheme="minorHAnsi" w:hAnsiTheme="minorHAnsi" w:cstheme="minorHAnsi"/>
                <w:b/>
                <w:bCs/>
                <w:sz w:val="20"/>
                <w:lang w:val="es-ES_tradnl"/>
              </w:rPr>
              <w:noBreakHyphen/>
            </w:r>
            <w:r w:rsidRPr="003E6986">
              <w:rPr>
                <w:rFonts w:asciiTheme="minorHAnsi" w:hAnsiTheme="minorHAnsi" w:cstheme="minorHAnsi"/>
                <w:b/>
                <w:bCs/>
                <w:sz w:val="20"/>
                <w:lang w:val="es-ES_tradnl"/>
              </w:rPr>
              <w:t>23)</w:t>
            </w:r>
          </w:p>
        </w:tc>
        <w:tc>
          <w:tcPr>
            <w:tcW w:w="1701" w:type="dxa"/>
          </w:tcPr>
          <w:p w14:paraId="597702C4"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686 (CMR</w:t>
            </w:r>
            <w:r w:rsidRPr="003E6986">
              <w:rPr>
                <w:rFonts w:asciiTheme="minorHAnsi" w:hAnsiTheme="minorHAnsi" w:cstheme="minorHAnsi"/>
                <w:b/>
                <w:bCs/>
                <w:sz w:val="20"/>
                <w:lang w:val="es-ES_tradnl"/>
              </w:rPr>
              <w:noBreakHyphen/>
              <w:t>23)</w:t>
            </w:r>
          </w:p>
        </w:tc>
        <w:tc>
          <w:tcPr>
            <w:tcW w:w="1352" w:type="dxa"/>
          </w:tcPr>
          <w:p w14:paraId="45B20B05"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7C</w:t>
            </w:r>
          </w:p>
        </w:tc>
      </w:tr>
      <w:tr w:rsidR="00C15E0F" w:rsidRPr="003E6986" w14:paraId="2FF825A6" w14:textId="77777777" w:rsidTr="008B73E9">
        <w:trPr>
          <w:gridAfter w:val="1"/>
          <w:wAfter w:w="12" w:type="dxa"/>
          <w:cantSplit/>
          <w:jc w:val="center"/>
        </w:trPr>
        <w:tc>
          <w:tcPr>
            <w:tcW w:w="1410" w:type="dxa"/>
            <w:tcBorders>
              <w:bottom w:val="nil"/>
            </w:tcBorders>
          </w:tcPr>
          <w:p w14:paraId="5334DC86"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10</w:t>
            </w:r>
          </w:p>
        </w:tc>
        <w:tc>
          <w:tcPr>
            <w:tcW w:w="992" w:type="dxa"/>
            <w:tcBorders>
              <w:bottom w:val="nil"/>
            </w:tcBorders>
          </w:tcPr>
          <w:p w14:paraId="2DFCD3B4"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A1/2.13</w:t>
            </w:r>
          </w:p>
        </w:tc>
        <w:tc>
          <w:tcPr>
            <w:tcW w:w="5387" w:type="dxa"/>
            <w:tcBorders>
              <w:bottom w:val="nil"/>
            </w:tcBorders>
          </w:tcPr>
          <w:p w14:paraId="57525DC1" w14:textId="77777777" w:rsidR="00C15E0F" w:rsidRPr="003E6986" w:rsidRDefault="00C15E0F"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 xml:space="preserve">considerar estudios sobre la coexistencia de los radares de apertura sintética a bordo de vehículos espaciales del servicio de exploración de la Tierra por satélite (activo) con el servicio de radiodeterminación en la banda de frecuencias 9 200-10 400 MHz, y la adopción de otras medidas, según proceda, de conformidad con la Resolución </w:t>
            </w:r>
            <w:r w:rsidRPr="003E6986">
              <w:rPr>
                <w:rFonts w:asciiTheme="minorHAnsi" w:hAnsiTheme="minorHAnsi" w:cstheme="minorHAnsi"/>
                <w:b/>
                <w:bCs/>
                <w:sz w:val="20"/>
                <w:lang w:val="es-ES_tradnl"/>
              </w:rPr>
              <w:t>722 (CMR-23)</w:t>
            </w:r>
          </w:p>
        </w:tc>
        <w:tc>
          <w:tcPr>
            <w:tcW w:w="1701" w:type="dxa"/>
            <w:tcBorders>
              <w:bottom w:val="nil"/>
            </w:tcBorders>
          </w:tcPr>
          <w:p w14:paraId="0DE3AC41" w14:textId="464F8C5F" w:rsidR="00C15E0F" w:rsidRPr="003E6986" w:rsidRDefault="00C15E0F" w:rsidP="00105970">
            <w:pPr>
              <w:pStyle w:val="TableText0"/>
              <w:jc w:val="center"/>
              <w:rPr>
                <w:rFonts w:asciiTheme="minorHAnsi" w:hAnsiTheme="minorHAnsi" w:cstheme="minorHAnsi"/>
                <w:b/>
                <w:bCs/>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722</w:t>
            </w:r>
          </w:p>
          <w:p w14:paraId="7253E5BE"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b/>
                <w:bCs/>
                <w:sz w:val="20"/>
                <w:lang w:val="es-ES_tradnl"/>
              </w:rPr>
              <w:t>(CMR</w:t>
            </w:r>
            <w:r w:rsidRPr="003E6986">
              <w:rPr>
                <w:rFonts w:asciiTheme="minorHAnsi" w:hAnsiTheme="minorHAnsi" w:cstheme="minorHAnsi"/>
                <w:b/>
                <w:bCs/>
                <w:sz w:val="20"/>
                <w:lang w:val="es-ES_tradnl"/>
              </w:rPr>
              <w:noBreakHyphen/>
              <w:t>23)</w:t>
            </w:r>
          </w:p>
        </w:tc>
        <w:tc>
          <w:tcPr>
            <w:tcW w:w="1352" w:type="dxa"/>
            <w:tcBorders>
              <w:bottom w:val="nil"/>
            </w:tcBorders>
          </w:tcPr>
          <w:p w14:paraId="17A1A9B4"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7C**</w:t>
            </w:r>
          </w:p>
        </w:tc>
      </w:tr>
      <w:tr w:rsidR="00C15E0F" w:rsidRPr="008653C7" w14:paraId="080AAD51" w14:textId="77777777" w:rsidTr="00C15E0F">
        <w:trPr>
          <w:cantSplit/>
          <w:jc w:val="center"/>
        </w:trPr>
        <w:tc>
          <w:tcPr>
            <w:tcW w:w="10854" w:type="dxa"/>
            <w:gridSpan w:val="6"/>
            <w:tcBorders>
              <w:top w:val="nil"/>
            </w:tcBorders>
          </w:tcPr>
          <w:p w14:paraId="5DC9212D" w14:textId="2916878E" w:rsidR="00C15E0F" w:rsidRPr="003E6986" w:rsidRDefault="00105970" w:rsidP="003C7B4E">
            <w:pPr>
              <w:pStyle w:val="TableText0"/>
              <w:jc w:val="both"/>
              <w:rPr>
                <w:rFonts w:asciiTheme="minorHAnsi" w:hAnsiTheme="minorHAnsi" w:cstheme="minorHAnsi"/>
                <w:sz w:val="20"/>
                <w:lang w:val="es-ES_tradnl"/>
              </w:rPr>
            </w:pPr>
            <w:r w:rsidRPr="003E6986">
              <w:rPr>
                <w:rFonts w:asciiTheme="minorHAnsi" w:hAnsiTheme="minorHAnsi" w:cstheme="minorHAnsi"/>
                <w:sz w:val="20"/>
                <w:lang w:val="es-ES_tradnl"/>
              </w:rPr>
              <w:t>**</w:t>
            </w:r>
            <w:r w:rsidRPr="003E6986">
              <w:rPr>
                <w:rFonts w:asciiTheme="minorHAnsi" w:hAnsiTheme="minorHAnsi" w:cstheme="minorHAnsi"/>
                <w:sz w:val="20"/>
                <w:lang w:val="es-ES_tradnl"/>
              </w:rPr>
              <w:tab/>
            </w:r>
            <w:r w:rsidR="00C15E0F" w:rsidRPr="003E6986">
              <w:rPr>
                <w:rFonts w:asciiTheme="minorHAnsi" w:hAnsiTheme="minorHAnsi" w:cstheme="minorHAnsi"/>
                <w:sz w:val="20"/>
                <w:lang w:val="es-ES_tradnl"/>
              </w:rPr>
              <w:t>Este punto del orden del día, propuesto inicialmente por su promotor como punto del orden del día de la CMR-27, se ha incluido en el proyecto de atribución provisional de los trabajos preparatorios del UIT-R para la CMR-31. Cabe señalar que, en el marco de este punto, se solicitan estudios sobre la coexistencia entre los sistemas de radiodeterminación (GT 5B) y los sistemas del SETS (activo) (GT 7C). La decisión final sobre el grupo encargado se tomará en una fase posterior (RPC31-1).</w:t>
            </w:r>
          </w:p>
        </w:tc>
      </w:tr>
      <w:tr w:rsidR="00C15E0F" w:rsidRPr="003E6986" w14:paraId="201C4BAC" w14:textId="77777777" w:rsidTr="008B73E9">
        <w:trPr>
          <w:gridAfter w:val="1"/>
          <w:wAfter w:w="12" w:type="dxa"/>
          <w:cantSplit/>
          <w:jc w:val="center"/>
        </w:trPr>
        <w:tc>
          <w:tcPr>
            <w:tcW w:w="1410" w:type="dxa"/>
          </w:tcPr>
          <w:p w14:paraId="1CA7BA78"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10</w:t>
            </w:r>
          </w:p>
        </w:tc>
        <w:tc>
          <w:tcPr>
            <w:tcW w:w="992" w:type="dxa"/>
          </w:tcPr>
          <w:p w14:paraId="69A9505A"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A1/2.14</w:t>
            </w:r>
          </w:p>
        </w:tc>
        <w:tc>
          <w:tcPr>
            <w:tcW w:w="5387" w:type="dxa"/>
          </w:tcPr>
          <w:p w14:paraId="5E52A1B5" w14:textId="77777777" w:rsidR="00C15E0F" w:rsidRDefault="00C15E0F" w:rsidP="003C7B4E">
            <w:pPr>
              <w:pStyle w:val="TableText0"/>
              <w:jc w:val="both"/>
              <w:rPr>
                <w:rFonts w:asciiTheme="minorHAnsi" w:hAnsiTheme="minorHAnsi" w:cstheme="minorHAnsi"/>
                <w:b/>
                <w:bCs/>
                <w:sz w:val="20"/>
                <w:lang w:val="es-ES_tradnl"/>
              </w:rPr>
            </w:pPr>
            <w:r w:rsidRPr="003E6986">
              <w:rPr>
                <w:rFonts w:asciiTheme="minorHAnsi" w:hAnsiTheme="minorHAnsi" w:cstheme="minorHAnsi"/>
                <w:sz w:val="20"/>
                <w:lang w:val="es-ES_tradnl"/>
              </w:rPr>
              <w:t xml:space="preserve">examinar la utilización y las necesidades de espectro de las aplicaciones de los servicios móvil y de radiodifusión y considerar posibles medidas reglamentarias aplicables a la banda de frecuencias 470-694 MHz, o partes de </w:t>
            </w:r>
            <w:proofErr w:type="gramStart"/>
            <w:r w:rsidRPr="003E6986">
              <w:rPr>
                <w:rFonts w:asciiTheme="minorHAnsi" w:hAnsiTheme="minorHAnsi" w:cstheme="minorHAnsi"/>
                <w:sz w:val="20"/>
                <w:lang w:val="es-ES_tradnl"/>
              </w:rPr>
              <w:t>la misma</w:t>
            </w:r>
            <w:proofErr w:type="gramEnd"/>
            <w:r w:rsidRPr="003E6986">
              <w:rPr>
                <w:rFonts w:asciiTheme="minorHAnsi" w:hAnsiTheme="minorHAnsi" w:cstheme="minorHAnsi"/>
                <w:sz w:val="20"/>
                <w:lang w:val="es-ES_tradnl"/>
              </w:rPr>
              <w:t xml:space="preserve">, de conformidad con la Resolución </w:t>
            </w:r>
            <w:r w:rsidR="00105970" w:rsidRPr="003E6986">
              <w:rPr>
                <w:rFonts w:asciiTheme="minorHAnsi" w:hAnsiTheme="minorHAnsi" w:cstheme="minorHAnsi"/>
                <w:b/>
                <w:bCs/>
                <w:sz w:val="20"/>
                <w:lang w:val="es-ES_tradnl"/>
              </w:rPr>
              <w:t>235 (Rev.CMR</w:t>
            </w:r>
            <w:r w:rsidR="00105970" w:rsidRPr="003E6986">
              <w:rPr>
                <w:rFonts w:asciiTheme="minorHAnsi" w:hAnsiTheme="minorHAnsi" w:cstheme="minorHAnsi"/>
                <w:b/>
                <w:bCs/>
                <w:sz w:val="20"/>
                <w:lang w:val="es-ES_tradnl"/>
              </w:rPr>
              <w:noBreakHyphen/>
            </w:r>
            <w:r w:rsidRPr="003E6986">
              <w:rPr>
                <w:rFonts w:asciiTheme="minorHAnsi" w:hAnsiTheme="minorHAnsi" w:cstheme="minorHAnsi"/>
                <w:b/>
                <w:bCs/>
                <w:sz w:val="20"/>
                <w:lang w:val="es-ES_tradnl"/>
              </w:rPr>
              <w:t>23)</w:t>
            </w:r>
          </w:p>
          <w:p w14:paraId="1B5B9D58" w14:textId="77777777" w:rsidR="00E33D09" w:rsidRDefault="00E33D09" w:rsidP="003C7B4E">
            <w:pPr>
              <w:pStyle w:val="TableText0"/>
              <w:jc w:val="both"/>
              <w:rPr>
                <w:rFonts w:asciiTheme="minorHAnsi" w:hAnsiTheme="minorHAnsi" w:cstheme="minorHAnsi"/>
                <w:b/>
                <w:bCs/>
                <w:sz w:val="20"/>
                <w:lang w:val="es-ES_tradnl"/>
              </w:rPr>
            </w:pPr>
          </w:p>
          <w:p w14:paraId="0D1FB6CE" w14:textId="77777777" w:rsidR="00E33D09" w:rsidRDefault="00E33D09" w:rsidP="003C7B4E">
            <w:pPr>
              <w:pStyle w:val="TableText0"/>
              <w:jc w:val="both"/>
              <w:rPr>
                <w:rFonts w:asciiTheme="minorHAnsi" w:hAnsiTheme="minorHAnsi" w:cstheme="minorHAnsi"/>
                <w:b/>
                <w:bCs/>
                <w:sz w:val="20"/>
                <w:lang w:val="es-ES_tradnl"/>
              </w:rPr>
            </w:pPr>
          </w:p>
          <w:p w14:paraId="1F7C86D5" w14:textId="02F786AB" w:rsidR="00E33D09" w:rsidRPr="003E6986" w:rsidRDefault="00E33D09" w:rsidP="003C7B4E">
            <w:pPr>
              <w:pStyle w:val="TableText0"/>
              <w:jc w:val="both"/>
              <w:rPr>
                <w:rFonts w:asciiTheme="minorHAnsi" w:hAnsiTheme="minorHAnsi" w:cstheme="minorHAnsi"/>
                <w:sz w:val="20"/>
                <w:highlight w:val="yellow"/>
                <w:lang w:val="es-ES_tradnl"/>
              </w:rPr>
            </w:pPr>
          </w:p>
        </w:tc>
        <w:tc>
          <w:tcPr>
            <w:tcW w:w="1701" w:type="dxa"/>
          </w:tcPr>
          <w:p w14:paraId="074D4FB5"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 xml:space="preserve">Resolución </w:t>
            </w:r>
            <w:r w:rsidRPr="003E6986">
              <w:rPr>
                <w:rFonts w:asciiTheme="minorHAnsi" w:hAnsiTheme="minorHAnsi" w:cstheme="minorHAnsi"/>
                <w:b/>
                <w:bCs/>
                <w:sz w:val="20"/>
                <w:lang w:val="es-ES_tradnl"/>
              </w:rPr>
              <w:t>235 (Rev.CMR-23)</w:t>
            </w:r>
          </w:p>
        </w:tc>
        <w:tc>
          <w:tcPr>
            <w:tcW w:w="1352" w:type="dxa"/>
          </w:tcPr>
          <w:p w14:paraId="3BF77A51"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GT 6A</w:t>
            </w:r>
          </w:p>
        </w:tc>
      </w:tr>
      <w:bookmarkEnd w:id="38"/>
      <w:tr w:rsidR="00C15E0F" w:rsidRPr="008653C7" w14:paraId="7B64DE44" w14:textId="77777777" w:rsidTr="00C15E0F">
        <w:trPr>
          <w:cantSplit/>
          <w:jc w:val="center"/>
        </w:trPr>
        <w:tc>
          <w:tcPr>
            <w:tcW w:w="10854" w:type="dxa"/>
            <w:gridSpan w:val="6"/>
            <w:tcBorders>
              <w:top w:val="single" w:sz="6" w:space="0" w:color="auto"/>
              <w:left w:val="single" w:sz="6" w:space="0" w:color="auto"/>
              <w:bottom w:val="single" w:sz="6" w:space="0" w:color="auto"/>
              <w:right w:val="single" w:sz="6" w:space="0" w:color="auto"/>
            </w:tcBorders>
          </w:tcPr>
          <w:p w14:paraId="788FBB94" w14:textId="77777777" w:rsidR="00C15E0F" w:rsidRPr="003E6986" w:rsidRDefault="00C15E0F" w:rsidP="00C15E0F">
            <w:pPr>
              <w:pStyle w:val="TableHead0"/>
              <w:rPr>
                <w:rFonts w:asciiTheme="minorHAnsi" w:hAnsiTheme="minorHAnsi" w:cstheme="minorHAnsi"/>
                <w:sz w:val="20"/>
                <w:lang w:val="es-ES_tradnl"/>
              </w:rPr>
            </w:pPr>
            <w:r w:rsidRPr="003E6986">
              <w:rPr>
                <w:rFonts w:asciiTheme="minorHAnsi" w:hAnsiTheme="minorHAnsi" w:cstheme="minorHAnsi"/>
                <w:sz w:val="20"/>
                <w:lang w:val="es-ES_tradnl"/>
              </w:rPr>
              <w:lastRenderedPageBreak/>
              <w:t>ANEXO 2</w:t>
            </w:r>
          </w:p>
          <w:p w14:paraId="3D1C2283" w14:textId="77777777" w:rsidR="00C15E0F" w:rsidRPr="003E6986" w:rsidRDefault="00C15E0F" w:rsidP="00C15E0F">
            <w:pPr>
              <w:pStyle w:val="TableHead0"/>
              <w:rPr>
                <w:rFonts w:asciiTheme="minorHAnsi" w:hAnsiTheme="minorHAnsi" w:cstheme="minorHAnsi"/>
                <w:sz w:val="20"/>
                <w:lang w:val="es-ES_tradnl"/>
              </w:rPr>
            </w:pPr>
            <w:r w:rsidRPr="003E6986">
              <w:rPr>
                <w:rFonts w:asciiTheme="minorHAnsi" w:hAnsiTheme="minorHAnsi" w:cstheme="minorHAnsi"/>
                <w:sz w:val="20"/>
                <w:lang w:val="es-ES_tradnl"/>
              </w:rPr>
              <w:t>Información relativa al punto 8 del orden del día de la CMR-27</w:t>
            </w:r>
          </w:p>
        </w:tc>
      </w:tr>
      <w:tr w:rsidR="00C15E0F" w:rsidRPr="008653C7" w14:paraId="6BCBD236" w14:textId="77777777" w:rsidTr="008B73E9">
        <w:trPr>
          <w:gridAfter w:val="1"/>
          <w:wAfter w:w="12" w:type="dxa"/>
          <w:cantSplit/>
          <w:jc w:val="center"/>
        </w:trPr>
        <w:tc>
          <w:tcPr>
            <w:tcW w:w="1410" w:type="dxa"/>
          </w:tcPr>
          <w:p w14:paraId="67AFDF5F"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8</w:t>
            </w:r>
          </w:p>
        </w:tc>
        <w:tc>
          <w:tcPr>
            <w:tcW w:w="992" w:type="dxa"/>
          </w:tcPr>
          <w:p w14:paraId="61192556" w14:textId="101AB6AC" w:rsidR="00C15E0F" w:rsidRPr="003E6986" w:rsidRDefault="00105970"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w:t>
            </w:r>
          </w:p>
        </w:tc>
        <w:tc>
          <w:tcPr>
            <w:tcW w:w="5387" w:type="dxa"/>
          </w:tcPr>
          <w:p w14:paraId="1CBA4EAD" w14:textId="77777777" w:rsidR="00C15E0F" w:rsidRPr="003E6986" w:rsidRDefault="00C15E0F" w:rsidP="003C7B4E">
            <w:pPr>
              <w:pStyle w:val="TableText0"/>
              <w:jc w:val="both"/>
              <w:rPr>
                <w:rFonts w:asciiTheme="minorHAnsi" w:hAnsiTheme="minorHAnsi" w:cstheme="minorHAnsi"/>
                <w:sz w:val="20"/>
                <w:highlight w:val="yellow"/>
                <w:lang w:val="es-ES_tradnl"/>
              </w:rPr>
            </w:pPr>
            <w:r w:rsidRPr="003E6986">
              <w:rPr>
                <w:rFonts w:asciiTheme="minorHAnsi" w:hAnsiTheme="minorHAnsi" w:cstheme="minorHAnsi"/>
                <w:sz w:val="20"/>
                <w:lang w:val="es-ES_tradnl"/>
              </w:rPr>
              <w:t>examinar las peticiones de las administraciones de suprimir las notas de sus países o de suprimir el nombre de sus países de las notas, cuando ya no sea necesario, teniendo en cuenta la Resolución </w:t>
            </w:r>
            <w:r w:rsidRPr="003E6986">
              <w:rPr>
                <w:rFonts w:asciiTheme="minorHAnsi" w:hAnsiTheme="minorHAnsi" w:cstheme="minorHAnsi"/>
                <w:b/>
                <w:bCs/>
                <w:sz w:val="20"/>
                <w:lang w:val="es-ES_tradnl"/>
              </w:rPr>
              <w:t>26 (Rev.CMR-23)</w:t>
            </w:r>
            <w:r w:rsidRPr="003E6986">
              <w:rPr>
                <w:rFonts w:asciiTheme="minorHAnsi" w:hAnsiTheme="minorHAnsi" w:cstheme="minorHAnsi"/>
                <w:sz w:val="20"/>
                <w:lang w:val="es-ES_tradnl"/>
              </w:rPr>
              <w:t>, y adoptar las medidas oportunas al respecto</w:t>
            </w:r>
          </w:p>
        </w:tc>
        <w:tc>
          <w:tcPr>
            <w:tcW w:w="1701" w:type="dxa"/>
          </w:tcPr>
          <w:p w14:paraId="3269150C" w14:textId="77777777" w:rsidR="00C15E0F" w:rsidRPr="003E6986" w:rsidRDefault="00C15E0F" w:rsidP="00105970">
            <w:pPr>
              <w:pStyle w:val="TableText0"/>
              <w:jc w:val="center"/>
              <w:rPr>
                <w:rFonts w:asciiTheme="minorHAnsi" w:hAnsiTheme="minorHAnsi" w:cstheme="minorHAnsi"/>
                <w:sz w:val="20"/>
                <w:lang w:val="es-ES_tradnl"/>
              </w:rPr>
            </w:pPr>
            <w:r w:rsidRPr="003E6986">
              <w:rPr>
                <w:rFonts w:asciiTheme="minorHAnsi" w:hAnsiTheme="minorHAnsi" w:cstheme="minorHAnsi"/>
                <w:sz w:val="20"/>
                <w:lang w:val="es-ES_tradnl"/>
              </w:rPr>
              <w:t>Resolución </w:t>
            </w:r>
            <w:r w:rsidRPr="003E6986">
              <w:rPr>
                <w:rFonts w:asciiTheme="minorHAnsi" w:hAnsiTheme="minorHAnsi" w:cstheme="minorHAnsi"/>
                <w:b/>
                <w:bCs/>
                <w:sz w:val="20"/>
                <w:lang w:val="es-ES_tradnl"/>
              </w:rPr>
              <w:t>26 (Rev.CMR-23)</w:t>
            </w:r>
          </w:p>
        </w:tc>
        <w:tc>
          <w:tcPr>
            <w:tcW w:w="1352" w:type="dxa"/>
          </w:tcPr>
          <w:p w14:paraId="04592ACE" w14:textId="77777777" w:rsidR="00C15E0F" w:rsidRPr="003E6986" w:rsidRDefault="00C15E0F" w:rsidP="00C15E0F">
            <w:pPr>
              <w:pStyle w:val="TableText0"/>
              <w:jc w:val="center"/>
              <w:rPr>
                <w:rFonts w:asciiTheme="minorHAnsi" w:hAnsiTheme="minorHAnsi" w:cstheme="minorHAnsi"/>
                <w:b/>
                <w:bCs/>
                <w:sz w:val="20"/>
                <w:lang w:val="es-ES_tradnl"/>
              </w:rPr>
            </w:pPr>
            <w:r w:rsidRPr="003E6986">
              <w:rPr>
                <w:rFonts w:asciiTheme="minorHAnsi" w:hAnsiTheme="minorHAnsi" w:cstheme="minorHAnsi"/>
                <w:b/>
                <w:bCs/>
                <w:sz w:val="20"/>
                <w:lang w:val="es-ES_tradnl"/>
              </w:rPr>
              <w:t>RPC27-2 a título informativo únicamente</w:t>
            </w:r>
          </w:p>
        </w:tc>
      </w:tr>
      <w:bookmarkEnd w:id="37"/>
    </w:tbl>
    <w:p w14:paraId="054C565C" w14:textId="77777777" w:rsidR="00C15E0F" w:rsidRPr="003E6986" w:rsidRDefault="00C15E0F" w:rsidP="00C15E0F">
      <w:pPr>
        <w:pStyle w:val="Tablefin"/>
        <w:rPr>
          <w:rFonts w:asciiTheme="minorHAnsi" w:hAnsiTheme="minorHAnsi" w:cstheme="minorHAnsi"/>
          <w:lang w:val="es-ES_tradnl"/>
        </w:rPr>
      </w:pPr>
    </w:p>
    <w:p w14:paraId="5C99BAE5" w14:textId="77777777" w:rsidR="00C15E0F" w:rsidRPr="003E6986" w:rsidRDefault="00C15E0F" w:rsidP="00C15E0F">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Cs/>
          <w:sz w:val="20"/>
          <w:szCs w:val="20"/>
          <w:lang w:val="es-ES_tradnl"/>
        </w:rPr>
      </w:pPr>
      <w:r w:rsidRPr="003E6986">
        <w:rPr>
          <w:rFonts w:asciiTheme="minorHAnsi" w:hAnsiTheme="minorHAnsi" w:cstheme="minorHAnsi"/>
          <w:b/>
          <w:bCs/>
          <w:sz w:val="20"/>
          <w:szCs w:val="20"/>
          <w:lang w:val="es-ES_tradnl"/>
        </w:rPr>
        <w:br w:type="page"/>
      </w:r>
    </w:p>
    <w:p w14:paraId="10A3DB3B" w14:textId="2A3854C8" w:rsidR="00C15E0F" w:rsidRPr="003E6986" w:rsidRDefault="003C7B4E" w:rsidP="003C7B4E">
      <w:pPr>
        <w:pStyle w:val="AnnexNo"/>
        <w:spacing w:before="600"/>
        <w:rPr>
          <w:highlight w:val="yellow"/>
          <w:lang w:val="es-ES_tradnl"/>
        </w:rPr>
      </w:pPr>
      <w:r>
        <w:rPr>
          <w:rFonts w:asciiTheme="minorHAnsi" w:hAnsiTheme="minorHAnsi" w:cstheme="minorHAnsi"/>
          <w:lang w:val="es-ES_tradnl"/>
        </w:rPr>
        <w:lastRenderedPageBreak/>
        <w:br/>
      </w:r>
      <w:r w:rsidR="00C15E0F" w:rsidRPr="003E6986">
        <w:rPr>
          <w:rFonts w:asciiTheme="minorHAnsi" w:hAnsiTheme="minorHAnsi" w:cstheme="minorHAnsi"/>
          <w:lang w:val="es-ES_tradnl"/>
        </w:rPr>
        <w:t>ANEXO</w:t>
      </w:r>
      <w:r w:rsidR="00C15E0F" w:rsidRPr="003E6986">
        <w:rPr>
          <w:lang w:val="es-ES_tradnl"/>
        </w:rPr>
        <w:t xml:space="preserve"> 10</w:t>
      </w:r>
    </w:p>
    <w:p w14:paraId="791E1975" w14:textId="77777777" w:rsidR="00C15E0F" w:rsidRPr="003E6986" w:rsidRDefault="00C15E0F" w:rsidP="00C15E0F">
      <w:pPr>
        <w:pStyle w:val="Annextitle0"/>
        <w:rPr>
          <w:rFonts w:asciiTheme="minorHAnsi" w:hAnsiTheme="minorHAnsi" w:cstheme="minorHAnsi"/>
          <w:lang w:val="es-ES_tradnl"/>
        </w:rPr>
      </w:pPr>
      <w:r w:rsidRPr="003E6986">
        <w:rPr>
          <w:rFonts w:asciiTheme="minorHAnsi" w:hAnsiTheme="minorHAnsi" w:cstheme="minorHAnsi"/>
          <w:lang w:val="es-ES_tradnl"/>
        </w:rPr>
        <w:t>Estructura detallada propuesta para el proyecto de Informe de la RPC a la CMR</w:t>
      </w:r>
      <w:r w:rsidRPr="003E6986">
        <w:rPr>
          <w:rFonts w:asciiTheme="minorHAnsi" w:hAnsiTheme="minorHAnsi" w:cstheme="minorHAnsi"/>
          <w:lang w:val="es-ES_tradnl"/>
        </w:rPr>
        <w:noBreakHyphen/>
        <w:t>27</w:t>
      </w:r>
    </w:p>
    <w:p w14:paraId="12C39218" w14:textId="77777777" w:rsidR="00C15E0F" w:rsidRPr="003E6986" w:rsidRDefault="00C15E0F" w:rsidP="003C7B4E">
      <w:pPr>
        <w:spacing w:before="600" w:line="240" w:lineRule="auto"/>
        <w:rPr>
          <w:rFonts w:asciiTheme="minorHAnsi" w:hAnsiTheme="minorHAnsi"/>
          <w:lang w:val="es-ES_tradnl"/>
        </w:rPr>
      </w:pPr>
      <w:r w:rsidRPr="003E6986">
        <w:rPr>
          <w:lang w:val="es-ES_tradnl"/>
        </w:rPr>
        <w:t xml:space="preserve">Véase el documento en </w:t>
      </w:r>
      <w:hyperlink r:id="rId52" w:history="1">
        <w:r w:rsidRPr="003E6986">
          <w:rPr>
            <w:rStyle w:val="Hyperlink"/>
            <w:lang w:val="es-ES_tradnl"/>
          </w:rPr>
          <w:t>https://</w:t>
        </w:r>
        <w:proofErr w:type="spellStart"/>
        <w:r w:rsidRPr="003E6986">
          <w:rPr>
            <w:rStyle w:val="Hyperlink"/>
            <w:lang w:val="es-ES_tradnl"/>
          </w:rPr>
          <w:t>www.itu.int</w:t>
        </w:r>
        <w:proofErr w:type="spellEnd"/>
        <w:r w:rsidRPr="003E6986">
          <w:rPr>
            <w:rStyle w:val="Hyperlink"/>
            <w:lang w:val="es-ES_tradnl"/>
          </w:rPr>
          <w:t>/</w:t>
        </w:r>
        <w:proofErr w:type="spellStart"/>
        <w:r w:rsidRPr="003E6986">
          <w:rPr>
            <w:rStyle w:val="Hyperlink"/>
            <w:lang w:val="es-ES_tradnl"/>
          </w:rPr>
          <w:t>oth</w:t>
        </w:r>
        <w:proofErr w:type="spellEnd"/>
        <w:r w:rsidRPr="003E6986">
          <w:rPr>
            <w:rStyle w:val="Hyperlink"/>
            <w:lang w:val="es-ES_tradnl"/>
          </w:rPr>
          <w:t>/</w:t>
        </w:r>
        <w:proofErr w:type="spellStart"/>
        <w:r w:rsidRPr="003E6986">
          <w:rPr>
            <w:rStyle w:val="Hyperlink"/>
            <w:lang w:val="es-ES_tradnl"/>
          </w:rPr>
          <w:t>R0A0A000023</w:t>
        </w:r>
        <w:proofErr w:type="spellEnd"/>
        <w:r w:rsidRPr="003E6986">
          <w:rPr>
            <w:rStyle w:val="Hyperlink"/>
            <w:lang w:val="es-ES_tradnl"/>
          </w:rPr>
          <w:t>/es</w:t>
        </w:r>
      </w:hyperlink>
      <w:r w:rsidRPr="003E6986">
        <w:rPr>
          <w:lang w:val="es-ES_tradnl"/>
        </w:rPr>
        <w:t>.</w:t>
      </w:r>
    </w:p>
    <w:p w14:paraId="73C86E78" w14:textId="77777777" w:rsidR="00C15E0F" w:rsidRPr="003E6986" w:rsidRDefault="00C15E0F" w:rsidP="003C7B4E">
      <w:pPr>
        <w:pStyle w:val="AnnexNo"/>
        <w:spacing w:before="1080"/>
        <w:rPr>
          <w:rFonts w:asciiTheme="minorHAnsi" w:hAnsiTheme="minorHAnsi" w:cstheme="minorHAnsi"/>
          <w:lang w:val="es-ES_tradnl"/>
        </w:rPr>
      </w:pPr>
      <w:r w:rsidRPr="003E6986">
        <w:rPr>
          <w:rFonts w:asciiTheme="minorHAnsi" w:hAnsiTheme="minorHAnsi" w:cstheme="minorHAnsi"/>
          <w:lang w:val="es-ES_tradnl"/>
        </w:rPr>
        <w:t>ANEXO 11</w:t>
      </w:r>
    </w:p>
    <w:p w14:paraId="6B42E3EF" w14:textId="77777777" w:rsidR="00C15E0F" w:rsidRPr="003E6986" w:rsidRDefault="00C15E0F" w:rsidP="00C15E0F">
      <w:pPr>
        <w:pStyle w:val="Annextitle0"/>
        <w:rPr>
          <w:rFonts w:asciiTheme="minorHAnsi" w:hAnsiTheme="minorHAnsi" w:cstheme="minorHAnsi"/>
          <w:lang w:val="es-ES_tradnl"/>
        </w:rPr>
      </w:pPr>
      <w:r w:rsidRPr="003E6986">
        <w:rPr>
          <w:rFonts w:asciiTheme="minorHAnsi" w:hAnsiTheme="minorHAnsi" w:cstheme="minorHAnsi"/>
          <w:lang w:val="es-ES_tradnl"/>
        </w:rPr>
        <w:t xml:space="preserve">Información de contacto del Presidente, los Vicepresidentes </w:t>
      </w:r>
      <w:r w:rsidRPr="003E6986">
        <w:rPr>
          <w:rFonts w:asciiTheme="minorHAnsi" w:hAnsiTheme="minorHAnsi" w:cstheme="minorHAnsi"/>
          <w:lang w:val="es-ES_tradnl"/>
        </w:rPr>
        <w:br/>
        <w:t>y los Relatores de Capítulo de la RPC-27</w:t>
      </w:r>
    </w:p>
    <w:p w14:paraId="002F28DC" w14:textId="77777777" w:rsidR="00C15E0F" w:rsidRPr="003E6986" w:rsidRDefault="00C15E0F" w:rsidP="003C7B4E">
      <w:pPr>
        <w:spacing w:before="600" w:line="240" w:lineRule="auto"/>
        <w:rPr>
          <w:lang w:val="es-ES_tradnl"/>
        </w:rPr>
      </w:pPr>
      <w:r w:rsidRPr="003E6986">
        <w:rPr>
          <w:lang w:val="es-ES_tradnl"/>
        </w:rPr>
        <w:t>Para el Presidente y los Vicepresidentes de la RPC-27, véase:</w:t>
      </w:r>
    </w:p>
    <w:p w14:paraId="2C3F3C17" w14:textId="77777777" w:rsidR="00C15E0F" w:rsidRPr="003E6986" w:rsidRDefault="00E33D09" w:rsidP="00C15E0F">
      <w:pPr>
        <w:spacing w:line="240" w:lineRule="auto"/>
        <w:rPr>
          <w:lang w:val="es-ES_tradnl"/>
        </w:rPr>
      </w:pPr>
      <w:hyperlink r:id="rId53" w:history="1">
        <w:proofErr w:type="spellStart"/>
        <w:r w:rsidR="00C15E0F" w:rsidRPr="003E6986">
          <w:rPr>
            <w:rStyle w:val="Hyperlink"/>
            <w:lang w:val="es-ES_tradnl"/>
          </w:rPr>
          <w:t>www.itu.int</w:t>
        </w:r>
        <w:proofErr w:type="spellEnd"/>
        <w:r w:rsidR="00C15E0F" w:rsidRPr="003E6986">
          <w:rPr>
            <w:rStyle w:val="Hyperlink"/>
            <w:lang w:val="es-ES_tradnl"/>
          </w:rPr>
          <w:t>/</w:t>
        </w:r>
        <w:proofErr w:type="spellStart"/>
        <w:r w:rsidR="00C15E0F" w:rsidRPr="003E6986">
          <w:rPr>
            <w:rStyle w:val="Hyperlink"/>
            <w:lang w:val="es-ES_tradnl"/>
          </w:rPr>
          <w:t>go</w:t>
        </w:r>
        <w:proofErr w:type="spellEnd"/>
        <w:r w:rsidR="00C15E0F" w:rsidRPr="003E6986">
          <w:rPr>
            <w:rStyle w:val="Hyperlink"/>
            <w:lang w:val="es-ES_tradnl"/>
          </w:rPr>
          <w:t>/ITU-R/</w:t>
        </w:r>
        <w:proofErr w:type="spellStart"/>
        <w:r w:rsidR="00C15E0F" w:rsidRPr="003E6986">
          <w:rPr>
            <w:rStyle w:val="Hyperlink"/>
            <w:lang w:val="es-ES_tradnl"/>
          </w:rPr>
          <w:t>cvc</w:t>
        </w:r>
        <w:proofErr w:type="spellEnd"/>
        <w:r w:rsidR="00C15E0F" w:rsidRPr="003E6986">
          <w:rPr>
            <w:rStyle w:val="Hyperlink"/>
            <w:lang w:val="es-ES_tradnl"/>
          </w:rPr>
          <w:t>/</w:t>
        </w:r>
        <w:proofErr w:type="spellStart"/>
        <w:r w:rsidR="00C15E0F" w:rsidRPr="003E6986">
          <w:rPr>
            <w:rStyle w:val="Hyperlink"/>
            <w:lang w:val="es-ES_tradnl"/>
          </w:rPr>
          <w:t>CPM</w:t>
        </w:r>
        <w:proofErr w:type="spellEnd"/>
      </w:hyperlink>
    </w:p>
    <w:p w14:paraId="10F112BB" w14:textId="77777777" w:rsidR="00C15E0F" w:rsidRPr="003E6986" w:rsidRDefault="00C15E0F" w:rsidP="00C15E0F">
      <w:pPr>
        <w:spacing w:line="240" w:lineRule="auto"/>
        <w:rPr>
          <w:lang w:val="es-ES_tradnl"/>
        </w:rPr>
      </w:pPr>
      <w:r w:rsidRPr="003E6986">
        <w:rPr>
          <w:lang w:val="es-ES_tradnl"/>
        </w:rPr>
        <w:t>Para los Relatores de Capítulo de la RPC-27, véase:</w:t>
      </w:r>
    </w:p>
    <w:p w14:paraId="0B683FAB" w14:textId="77777777" w:rsidR="00C15E0F" w:rsidRPr="003E6986" w:rsidRDefault="00E33D09" w:rsidP="00C15E0F">
      <w:pPr>
        <w:spacing w:line="240" w:lineRule="auto"/>
        <w:rPr>
          <w:rStyle w:val="Hyperlink"/>
          <w:lang w:val="es-ES_tradnl"/>
        </w:rPr>
      </w:pPr>
      <w:hyperlink r:id="rId54" w:history="1">
        <w:r w:rsidR="00C15E0F" w:rsidRPr="003E6986">
          <w:rPr>
            <w:rStyle w:val="Hyperlink"/>
            <w:lang w:val="es-ES_tradnl"/>
          </w:rPr>
          <w:t>https://www.itu.int/en/ITU-R/study-groups/rcpm/Pages/cpm-23-chp-rapporteurs.aspx</w:t>
        </w:r>
      </w:hyperlink>
      <w:r w:rsidR="00C15E0F" w:rsidRPr="003E6986">
        <w:rPr>
          <w:lang w:val="es-ES_tradnl"/>
        </w:rPr>
        <w:t>.</w:t>
      </w:r>
    </w:p>
    <w:p w14:paraId="05DB9E2B" w14:textId="77777777" w:rsidR="00105970" w:rsidRPr="003E6986" w:rsidRDefault="00105970" w:rsidP="003C7B4E">
      <w:pPr>
        <w:rPr>
          <w:lang w:val="es-ES_tradnl"/>
        </w:rPr>
      </w:pPr>
    </w:p>
    <w:p w14:paraId="2160DCA6" w14:textId="374DDBA4" w:rsidR="00B71365" w:rsidRPr="003E6986" w:rsidRDefault="00105970" w:rsidP="00105970">
      <w:pPr>
        <w:jc w:val="center"/>
        <w:rPr>
          <w:lang w:val="es-ES_tradnl"/>
        </w:rPr>
      </w:pPr>
      <w:r w:rsidRPr="003E6986">
        <w:rPr>
          <w:lang w:val="es-ES_tradnl"/>
        </w:rPr>
        <w:t>______________</w:t>
      </w:r>
    </w:p>
    <w:sectPr w:rsidR="00B71365" w:rsidRPr="003E6986" w:rsidSect="00C15E0F">
      <w:headerReference w:type="even" r:id="rId55"/>
      <w:headerReference w:type="default" r:id="rId56"/>
      <w:footerReference w:type="even" r:id="rId57"/>
      <w:footerReference w:type="default" r:id="rId58"/>
      <w:headerReference w:type="first" r:id="rId59"/>
      <w:footerReference w:type="first" r:id="rId60"/>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E10AC" w14:textId="77777777" w:rsidR="00A527DC" w:rsidRDefault="00A527DC">
      <w:r>
        <w:separator/>
      </w:r>
    </w:p>
  </w:endnote>
  <w:endnote w:type="continuationSeparator" w:id="0">
    <w:p w14:paraId="2D68F0FF" w14:textId="77777777" w:rsidR="00A527DC" w:rsidRDefault="00A5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BBEC" w14:textId="4B344049" w:rsidR="00A527DC" w:rsidRPr="00257BE7" w:rsidRDefault="00A527DC" w:rsidP="005370F0">
    <w:pPr>
      <w:pStyle w:val="FirstFooter"/>
      <w:spacing w:line="240" w:lineRule="auto"/>
      <w:ind w:left="-397" w:right="-397"/>
      <w:jc w:val="center"/>
      <w:rPr>
        <w:sz w:val="18"/>
        <w:szCs w:val="18"/>
        <w:lang w:val="es-ES"/>
      </w:rPr>
    </w:pPr>
    <w:r w:rsidRPr="008653C7">
      <w:rPr>
        <w:color w:val="4F81BD"/>
        <w:sz w:val="19"/>
        <w:szCs w:val="19"/>
        <w:lang w:val="es-ES"/>
      </w:rPr>
      <w:t xml:space="preserve">Unión Internacional de Telecomunicaciones • Place des </w:t>
    </w:r>
    <w:proofErr w:type="spellStart"/>
    <w:r w:rsidRPr="008653C7">
      <w:rPr>
        <w:color w:val="4F81BD"/>
        <w:sz w:val="19"/>
        <w:szCs w:val="19"/>
        <w:lang w:val="es-ES"/>
      </w:rPr>
      <w:t>Nations</w:t>
    </w:r>
    <w:proofErr w:type="spellEnd"/>
    <w:r w:rsidRPr="008653C7">
      <w:rPr>
        <w:color w:val="4F81BD"/>
        <w:sz w:val="19"/>
        <w:szCs w:val="19"/>
        <w:lang w:val="es-ES"/>
      </w:rPr>
      <w:t xml:space="preserve"> • CH</w:t>
    </w:r>
    <w:r w:rsidRPr="008653C7">
      <w:rPr>
        <w:color w:val="4F81BD"/>
        <w:sz w:val="19"/>
        <w:szCs w:val="19"/>
        <w:lang w:val="es-ES"/>
      </w:rPr>
      <w:noBreakHyphen/>
      <w:t>1211 Ginebra 20 • Suiza</w:t>
    </w:r>
    <w:r w:rsidRPr="008653C7">
      <w:rPr>
        <w:color w:val="4F81BD"/>
        <w:sz w:val="19"/>
        <w:szCs w:val="19"/>
        <w:lang w:val="es-ES"/>
      </w:rPr>
      <w:br/>
      <w:t>Tel.: +41 22 730 5111 • Fax: +41 22 733 7256 • Correo-e:</w:t>
    </w:r>
    <w:r w:rsidRPr="00257BE7">
      <w:rPr>
        <w:sz w:val="18"/>
        <w:szCs w:val="18"/>
        <w:lang w:val="es-ES"/>
      </w:rPr>
      <w:t xml:space="preserve"> </w:t>
    </w:r>
    <w:hyperlink r:id="rId1" w:history="1">
      <w:proofErr w:type="spellStart"/>
      <w:r w:rsidRPr="00257BE7">
        <w:rPr>
          <w:rStyle w:val="Hyperlink"/>
          <w:sz w:val="18"/>
          <w:szCs w:val="18"/>
          <w:lang w:val="es-ES"/>
        </w:rPr>
        <w:t>itumail@itu.int</w:t>
      </w:r>
      <w:proofErr w:type="spellEnd"/>
    </w:hyperlink>
    <w:r w:rsidRPr="00257BE7">
      <w:rPr>
        <w:sz w:val="18"/>
        <w:szCs w:val="18"/>
        <w:lang w:val="es-ES"/>
      </w:rPr>
      <w:t xml:space="preserve"> </w:t>
    </w:r>
    <w:r w:rsidR="008653C7" w:rsidRPr="008653C7">
      <w:rPr>
        <w:color w:val="4F81BD"/>
        <w:sz w:val="19"/>
        <w:szCs w:val="19"/>
        <w:lang w:val="es-ES"/>
      </w:rPr>
      <w:t xml:space="preserve">• </w:t>
    </w:r>
    <w:hyperlink r:id="rId2" w:history="1">
      <w:proofErr w:type="spellStart"/>
      <w:r w:rsidRPr="00257BE7">
        <w:rPr>
          <w:rStyle w:val="Hyperlink"/>
          <w:sz w:val="18"/>
          <w:szCs w:val="18"/>
          <w:lang w:val="es-ES"/>
        </w:rPr>
        <w:t>www.itu.int</w:t>
      </w:r>
      <w:proofErr w:type="spellEnd"/>
    </w:hyperlink>
    <w:r w:rsidRPr="00257BE7">
      <w:rPr>
        <w:sz w:val="18"/>
        <w:szCs w:val="18"/>
        <w:lang w:val="es-ES"/>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0621" w14:textId="77777777" w:rsidR="008653C7" w:rsidRPr="008653C7" w:rsidRDefault="008653C7" w:rsidP="008653C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E335" w14:textId="1B540131" w:rsidR="00A527DC" w:rsidRPr="008653C7" w:rsidRDefault="00A527DC" w:rsidP="00865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63A4" w14:textId="77777777" w:rsidR="008653C7" w:rsidRPr="008653C7" w:rsidRDefault="008653C7" w:rsidP="00865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C4CD" w14:textId="0723A683" w:rsidR="00A527DC" w:rsidRPr="008653C7" w:rsidRDefault="00A527DC" w:rsidP="008653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15C0" w14:textId="197CF03A" w:rsidR="00A527DC" w:rsidRPr="008653C7" w:rsidRDefault="00A527DC" w:rsidP="008653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2166" w14:textId="2E49D590" w:rsidR="00A527DC" w:rsidRPr="008653C7" w:rsidRDefault="00A527DC" w:rsidP="008653C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3CBD" w14:textId="612C9A2D" w:rsidR="00A527DC" w:rsidRPr="008653C7" w:rsidRDefault="00A527DC" w:rsidP="008653C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26DD" w14:textId="77777777" w:rsidR="008653C7" w:rsidRPr="008653C7" w:rsidRDefault="008653C7" w:rsidP="008653C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B75B" w14:textId="77777777" w:rsidR="008653C7" w:rsidRPr="008653C7" w:rsidRDefault="008653C7" w:rsidP="008653C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A6EC" w14:textId="77777777" w:rsidR="008653C7" w:rsidRPr="008653C7" w:rsidRDefault="008653C7" w:rsidP="00865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C36F" w14:textId="77777777" w:rsidR="00A527DC" w:rsidRDefault="00A527DC">
      <w:r>
        <w:t>____________________</w:t>
      </w:r>
    </w:p>
  </w:footnote>
  <w:footnote w:type="continuationSeparator" w:id="0">
    <w:p w14:paraId="41A7EAC9" w14:textId="77777777" w:rsidR="00A527DC" w:rsidRDefault="00A527DC">
      <w:r>
        <w:continuationSeparator/>
      </w:r>
    </w:p>
  </w:footnote>
  <w:footnote w:id="1">
    <w:p w14:paraId="404A078C" w14:textId="41DD6693" w:rsidR="00A527DC" w:rsidRPr="00E51DF7" w:rsidRDefault="00A527DC" w:rsidP="001457F5">
      <w:pPr>
        <w:pStyle w:val="FootnoteText"/>
        <w:rPr>
          <w:rFonts w:ascii="Times New Roman" w:hAnsi="Times New Roman" w:cs="Times New Roman"/>
          <w:sz w:val="20"/>
          <w:szCs w:val="20"/>
          <w:lang w:val="es-ES_tradnl"/>
        </w:rPr>
      </w:pPr>
      <w:r w:rsidRPr="00E51DF7">
        <w:rPr>
          <w:rStyle w:val="FootnoteReference"/>
          <w:rFonts w:ascii="Times New Roman" w:hAnsi="Times New Roman" w:cs="Times New Roman"/>
          <w:sz w:val="20"/>
          <w:szCs w:val="20"/>
          <w:lang w:val="es-ES_tradnl"/>
        </w:rPr>
        <w:t>*</w:t>
      </w:r>
      <w:r w:rsidRPr="00E51DF7">
        <w:rPr>
          <w:rFonts w:ascii="Times New Roman" w:hAnsi="Times New Roman" w:cs="Times New Roman"/>
          <w:sz w:val="20"/>
          <w:szCs w:val="20"/>
          <w:lang w:val="es-ES_tradnl"/>
        </w:rPr>
        <w:tab/>
        <w:t>Los textos de la Resoluciones reproducidos en este Anexo proceden de las Actas Finales provisionales de la CMR-23. Los números asignados por la COM4 y la COM6 a las nuevas Resoluciones de la CMR-23 se han sustituido por los números de Resolución provisionales indicados en el Anexo 3 a esta Circular Administrativa.</w:t>
      </w:r>
    </w:p>
  </w:footnote>
  <w:footnote w:id="2">
    <w:p w14:paraId="5D8ACD7E" w14:textId="77777777" w:rsidR="00A527DC" w:rsidRPr="00E51DF7" w:rsidRDefault="00A527DC" w:rsidP="002C42EE">
      <w:pPr>
        <w:pStyle w:val="FootnoteText"/>
        <w:rPr>
          <w:lang w:val="es-ES_tradnl"/>
        </w:rPr>
      </w:pPr>
      <w:r w:rsidRPr="00E51DF7">
        <w:rPr>
          <w:rStyle w:val="FootnoteReference"/>
          <w:rFonts w:ascii="Times New Roman" w:hAnsi="Times New Roman" w:cs="Times New Roman"/>
          <w:lang w:val="es-ES_tradnl"/>
        </w:rPr>
        <w:t>1</w:t>
      </w:r>
      <w:r w:rsidRPr="00E51DF7">
        <w:rPr>
          <w:lang w:val="es-ES_tradnl"/>
        </w:rPr>
        <w:tab/>
      </w:r>
      <w:r w:rsidRPr="00E51DF7">
        <w:rPr>
          <w:rFonts w:ascii="Times New Roman" w:hAnsi="Times New Roman" w:cs="Times New Roman"/>
          <w:sz w:val="20"/>
          <w:szCs w:val="20"/>
          <w:lang w:val="es-ES_tradnl"/>
        </w:rPr>
        <w:t>Este subpunto del orden del día permanente de la CMR se limita estrictamente al Informe del Director sobre las actividades del UIT-R desde la última CMR; y se evitará rigurosamente cualquier tema que no figure en los puntos 1.1-1.19 indicados anteriormente, particularmente los temas que requieran algún cambio/enmienda al Reglamento de Radiocomunicaciones.</w:t>
      </w:r>
    </w:p>
  </w:footnote>
  <w:footnote w:id="3">
    <w:p w14:paraId="30FA49AB" w14:textId="77777777" w:rsidR="00A527DC" w:rsidRPr="00E51DF7" w:rsidRDefault="00A527DC" w:rsidP="002C42EE">
      <w:pPr>
        <w:pStyle w:val="FootnoteText"/>
        <w:rPr>
          <w:iCs/>
          <w:lang w:val="es-ES_tradnl"/>
        </w:rPr>
      </w:pPr>
      <w:r w:rsidRPr="00E51DF7">
        <w:rPr>
          <w:rStyle w:val="FootnoteReference"/>
          <w:rFonts w:ascii="Times New Roman" w:hAnsi="Times New Roman" w:cs="Times New Roman"/>
          <w:lang w:val="es-ES_tradnl"/>
        </w:rPr>
        <w:t>2</w:t>
      </w:r>
      <w:r w:rsidRPr="00E51DF7">
        <w:rPr>
          <w:sz w:val="18"/>
          <w:szCs w:val="18"/>
          <w:lang w:val="es-ES_tradnl"/>
        </w:rPr>
        <w:tab/>
      </w:r>
      <w:r w:rsidRPr="00E51DF7">
        <w:rPr>
          <w:rFonts w:ascii="Times New Roman" w:hAnsi="Times New Roman" w:cs="Times New Roman"/>
          <w:sz w:val="20"/>
          <w:szCs w:val="20"/>
          <w:lang w:val="es-ES_tradnl"/>
        </w:rPr>
        <w:t>Este subpunto del orden del día de la CMR se limita estrictamente al Informe del Director, en relación con las dificultades o incoherencias observadas en la aplicación del Reglamento de Radiocomunicaciones y las observaciones de las administraciones. Se invita a las administraciones a que informen al Director de la Oficina de Radiocomunicaciones de las dificultades o incoherencias observadas en el Reglamento de Radiocomunicaciones.</w:t>
      </w:r>
    </w:p>
  </w:footnote>
  <w:footnote w:id="4">
    <w:p w14:paraId="5E5E72A7" w14:textId="75D20C8F" w:rsidR="00A527DC" w:rsidRPr="00E51DF7" w:rsidRDefault="00A527DC" w:rsidP="002E7525">
      <w:pPr>
        <w:pStyle w:val="FootnoteText"/>
        <w:rPr>
          <w:sz w:val="20"/>
          <w:szCs w:val="20"/>
          <w:lang w:val="es-ES_tradnl"/>
        </w:rPr>
      </w:pPr>
      <w:r w:rsidRPr="00E51DF7">
        <w:rPr>
          <w:rStyle w:val="FootnoteReference"/>
          <w:sz w:val="20"/>
          <w:szCs w:val="20"/>
          <w:lang w:val="es-ES_tradnl"/>
        </w:rPr>
        <w:t>**</w:t>
      </w:r>
      <w:r w:rsidRPr="00E51DF7">
        <w:rPr>
          <w:sz w:val="20"/>
          <w:szCs w:val="20"/>
          <w:lang w:val="es-ES_tradnl"/>
        </w:rPr>
        <w:tab/>
      </w:r>
      <w:r w:rsidRPr="00E51DF7">
        <w:rPr>
          <w:rFonts w:ascii="Times New Roman" w:hAnsi="Times New Roman" w:cs="Times New Roman"/>
          <w:sz w:val="20"/>
          <w:szCs w:val="20"/>
          <w:lang w:val="es-ES_tradnl"/>
        </w:rPr>
        <w:t>Los textos de la Resoluciones reproducidos en este Anexo proceden de las Actas Finales provisionales de la CMR-23. Los números asignados por la COM6 a las nuevas Resoluciones de la CMR-23 se han sustituido por los números de Resolución provisionales indicados en el Anexo 3 a esta Circular Administrativa.</w:t>
      </w:r>
    </w:p>
  </w:footnote>
  <w:footnote w:id="5">
    <w:p w14:paraId="520AD449" w14:textId="44483DBC" w:rsidR="00A527DC" w:rsidRPr="00E51DF7" w:rsidRDefault="00A527DC" w:rsidP="002C42EE">
      <w:pPr>
        <w:pStyle w:val="FootnoteText"/>
        <w:rPr>
          <w:lang w:val="es-ES_tradnl"/>
        </w:rPr>
      </w:pPr>
      <w:r w:rsidRPr="00E51DF7">
        <w:rPr>
          <w:rStyle w:val="FootnoteReference"/>
          <w:lang w:val="es-ES_tradnl"/>
        </w:rPr>
        <w:t>*</w:t>
      </w:r>
      <w:r w:rsidRPr="00E51DF7">
        <w:rPr>
          <w:sz w:val="17"/>
          <w:szCs w:val="17"/>
          <w:lang w:val="es-ES_tradnl" w:eastAsia="zh-CN"/>
        </w:rPr>
        <w:tab/>
      </w:r>
      <w:r w:rsidRPr="00E51DF7">
        <w:rPr>
          <w:rFonts w:ascii="Times New Roman" w:hAnsi="Times New Roman" w:cs="Times New Roman"/>
          <w:sz w:val="20"/>
          <w:szCs w:val="20"/>
          <w:lang w:val="es-ES_tradnl"/>
        </w:rPr>
        <w:t>La CMR-27 ahondará en esta cuestión, dada la divergencia de opiniones en cuanto a las bandas de frecuencias que se han de estudiar y los medios para garantizar la plena protección de todos los servicios existentes afectados.</w:t>
      </w:r>
    </w:p>
  </w:footnote>
  <w:footnote w:id="6">
    <w:p w14:paraId="047ED9C0" w14:textId="77777777" w:rsidR="00A527DC" w:rsidRPr="00E51DF7" w:rsidRDefault="00A527DC" w:rsidP="002C42EE">
      <w:pPr>
        <w:pStyle w:val="FootnoteText"/>
        <w:rPr>
          <w:rFonts w:ascii="Times New Roman" w:hAnsi="Times New Roman" w:cs="Times New Roman"/>
          <w:sz w:val="20"/>
          <w:szCs w:val="20"/>
          <w:lang w:val="es-ES_tradnl"/>
        </w:rPr>
      </w:pPr>
      <w:r w:rsidRPr="00E51DF7">
        <w:rPr>
          <w:rStyle w:val="FootnoteReference"/>
          <w:rFonts w:ascii="Times New Roman" w:hAnsi="Times New Roman" w:cs="Times New Roman"/>
          <w:lang w:val="es-ES_tradnl"/>
        </w:rPr>
        <w:t>1</w:t>
      </w:r>
      <w:r w:rsidRPr="00E51DF7">
        <w:rPr>
          <w:lang w:val="es-ES_tradnl"/>
        </w:rPr>
        <w:tab/>
      </w:r>
      <w:r w:rsidRPr="00E51DF7">
        <w:rPr>
          <w:rFonts w:ascii="Times New Roman" w:hAnsi="Times New Roman" w:cs="Times New Roman"/>
          <w:sz w:val="20"/>
          <w:szCs w:val="20"/>
          <w:lang w:val="es-ES_tradnl"/>
        </w:rPr>
        <w:t>Este subpunto del orden del día permanente de la CMR se limita estrictamente al Informe del Director sobre las actividades del UIT-R desde la última CMR, y se debe evitar la consideración de otros temas ajenos al punto 2.1-2.14 según se indica más arriba, en particular los que requieren cambios/enmiendas del Reglamento de Radiocomunicaciones.</w:t>
      </w:r>
    </w:p>
  </w:footnote>
  <w:footnote w:id="7">
    <w:p w14:paraId="11745D70" w14:textId="77777777" w:rsidR="00A527DC" w:rsidRPr="00E51DF7" w:rsidRDefault="00A527DC" w:rsidP="002C42EE">
      <w:pPr>
        <w:pStyle w:val="FootnoteText"/>
        <w:rPr>
          <w:rFonts w:ascii="Times New Roman" w:hAnsi="Times New Roman" w:cs="Times New Roman"/>
          <w:sz w:val="20"/>
          <w:szCs w:val="20"/>
          <w:lang w:val="es-ES_tradnl"/>
        </w:rPr>
      </w:pPr>
      <w:r w:rsidRPr="00E51DF7">
        <w:rPr>
          <w:rStyle w:val="FootnoteReference"/>
          <w:rFonts w:ascii="Times New Roman" w:hAnsi="Times New Roman" w:cs="Times New Roman"/>
          <w:lang w:val="es-ES_tradnl"/>
        </w:rPr>
        <w:t>2</w:t>
      </w:r>
      <w:r w:rsidRPr="00E51DF7">
        <w:rPr>
          <w:lang w:val="es-ES_tradnl"/>
        </w:rPr>
        <w:tab/>
      </w:r>
      <w:r w:rsidRPr="00E51DF7">
        <w:rPr>
          <w:rFonts w:ascii="Times New Roman" w:hAnsi="Times New Roman" w:cs="Times New Roman"/>
          <w:sz w:val="20"/>
          <w:szCs w:val="20"/>
          <w:lang w:val="es-ES_tradnl"/>
        </w:rPr>
        <w:t>Este subpunto del orden del día se limita estrictamente al Informe del Director, en relación con las dificultades o incoherencias observadas en la aplicación del Reglamento de Radiocomunicaciones y las observaciones de las administraciones. Se invita a las administraciones a que informen al Director de la Oficina de Radiocomunicaciones de las dificultades o incoherencias observadas en el Reglamento de Radiocomunicaciones.</w:t>
      </w:r>
    </w:p>
  </w:footnote>
  <w:footnote w:id="8">
    <w:p w14:paraId="35E84639" w14:textId="3FD2ACAB" w:rsidR="00A527DC" w:rsidRPr="00E51DF7" w:rsidRDefault="00A527DC" w:rsidP="00B842F9">
      <w:pPr>
        <w:pStyle w:val="FootnoteText"/>
        <w:spacing w:before="0"/>
        <w:rPr>
          <w:lang w:val="es-ES_tradnl"/>
        </w:rPr>
      </w:pPr>
      <w:r w:rsidRPr="00E51DF7">
        <w:rPr>
          <w:rStyle w:val="FootnoteReference"/>
          <w:lang w:val="es-ES_tradnl"/>
        </w:rPr>
        <w:sym w:font="Symbol" w:char="F02A"/>
      </w:r>
      <w:r w:rsidRPr="00E51DF7">
        <w:rPr>
          <w:lang w:val="es-ES_tradnl"/>
        </w:rPr>
        <w:tab/>
      </w:r>
      <w:r w:rsidRPr="00E51DF7">
        <w:rPr>
          <w:rFonts w:asciiTheme="minorHAnsi" w:hAnsiTheme="minorHAnsi" w:cstheme="minorHAnsi"/>
          <w:lang w:val="es-ES_tradnl"/>
        </w:rPr>
        <w:t xml:space="preserve">Resolución </w:t>
      </w:r>
      <w:r w:rsidRPr="00E51DF7">
        <w:rPr>
          <w:rFonts w:asciiTheme="minorHAnsi" w:hAnsiTheme="minorHAnsi" w:cstheme="minorHAnsi"/>
          <w:b/>
          <w:lang w:val="es-ES_tradnl"/>
        </w:rPr>
        <w:t>813 (CMR-23</w:t>
      </w:r>
      <w:r w:rsidRPr="00E51DF7">
        <w:rPr>
          <w:rFonts w:asciiTheme="minorHAnsi" w:hAnsiTheme="minorHAnsi" w:cstheme="minorHAnsi"/>
          <w:b/>
          <w:color w:val="000000" w:themeColor="text1"/>
          <w:lang w:val="es-ES_tradnl"/>
        </w:rPr>
        <w:t>)</w:t>
      </w:r>
      <w:r w:rsidRPr="00E51DF7">
        <w:rPr>
          <w:lang w:val="es-ES_tradnl"/>
        </w:rPr>
        <w:t xml:space="preserve">. </w:t>
      </w:r>
    </w:p>
  </w:footnote>
  <w:footnote w:id="9">
    <w:p w14:paraId="2ADAC237" w14:textId="1E131D37" w:rsidR="00A527DC" w:rsidRPr="00E51DF7" w:rsidRDefault="00A527DC" w:rsidP="00B842F9">
      <w:pPr>
        <w:pStyle w:val="FootnoteText"/>
        <w:rPr>
          <w:lang w:val="es-ES_tradnl"/>
        </w:rPr>
      </w:pPr>
      <w:r w:rsidRPr="00E51DF7">
        <w:rPr>
          <w:rStyle w:val="FootnoteReference"/>
          <w:lang w:val="es-ES_tradnl"/>
        </w:rPr>
        <w:t>**</w:t>
      </w:r>
      <w:r w:rsidRPr="00E51DF7">
        <w:rPr>
          <w:lang w:val="es-ES_tradnl"/>
        </w:rPr>
        <w:tab/>
        <w:t xml:space="preserve">Resolución </w:t>
      </w:r>
      <w:r w:rsidRPr="00E51DF7">
        <w:rPr>
          <w:b/>
          <w:bCs/>
          <w:lang w:val="es-ES_tradnl"/>
        </w:rPr>
        <w:t>814 (CMR-23)</w:t>
      </w:r>
      <w:r w:rsidRPr="00E51DF7">
        <w:rPr>
          <w:lang w:val="es-ES_tradnl"/>
        </w:rPr>
        <w:t>.</w:t>
      </w:r>
    </w:p>
  </w:footnote>
  <w:footnote w:id="10">
    <w:p w14:paraId="255972BA" w14:textId="01A62075" w:rsidR="00A527DC" w:rsidRPr="00E51DF7" w:rsidRDefault="00A527DC" w:rsidP="00B842F9">
      <w:pPr>
        <w:pStyle w:val="FootnoteText"/>
        <w:rPr>
          <w:szCs w:val="20"/>
          <w:lang w:val="es-ES_tradnl"/>
        </w:rPr>
      </w:pPr>
      <w:r w:rsidRPr="00E51DF7">
        <w:rPr>
          <w:rStyle w:val="FootnoteReference"/>
          <w:sz w:val="20"/>
          <w:szCs w:val="20"/>
          <w:lang w:val="es-ES_tradnl"/>
        </w:rPr>
        <w:t>*</w:t>
      </w:r>
      <w:r w:rsidRPr="00E51DF7">
        <w:rPr>
          <w:szCs w:val="20"/>
          <w:lang w:val="es-ES_tradnl"/>
        </w:rPr>
        <w:tab/>
      </w:r>
      <w:r>
        <w:rPr>
          <w:szCs w:val="20"/>
          <w:lang w:val="es-ES_tradnl"/>
        </w:rPr>
        <w:t>Parte pertinente</w:t>
      </w:r>
      <w:r w:rsidRPr="00E51DF7">
        <w:rPr>
          <w:szCs w:val="20"/>
          <w:lang w:val="es-ES_tradnl"/>
        </w:rPr>
        <w:t>.</w:t>
      </w:r>
    </w:p>
  </w:footnote>
  <w:footnote w:id="11">
    <w:p w14:paraId="5B5D5281" w14:textId="4DC601B1" w:rsidR="00A527DC" w:rsidRPr="00E51DF7" w:rsidRDefault="00A527DC" w:rsidP="00E90AF1">
      <w:pPr>
        <w:pStyle w:val="FootnoteText"/>
        <w:rPr>
          <w:lang w:val="es-ES_tradnl"/>
        </w:rPr>
      </w:pPr>
      <w:r w:rsidRPr="00E51DF7">
        <w:rPr>
          <w:rStyle w:val="FootnoteReference"/>
          <w:lang w:val="es-ES_tradnl"/>
        </w:rPr>
        <w:t>1</w:t>
      </w:r>
      <w:r w:rsidRPr="00E51DF7">
        <w:rPr>
          <w:lang w:val="es-ES_tradnl"/>
        </w:rPr>
        <w:tab/>
      </w:r>
      <w:r w:rsidRPr="00E51DF7">
        <w:rPr>
          <w:sz w:val="20"/>
          <w:lang w:val="es-ES_tradnl"/>
        </w:rPr>
        <w:t>No se incluirá información de carácter publicitario, promocional o comercial.</w:t>
      </w:r>
    </w:p>
  </w:footnote>
  <w:footnote w:id="12">
    <w:p w14:paraId="04B74FF0" w14:textId="0C650DDF" w:rsidR="00A527DC" w:rsidRPr="00E51DF7" w:rsidRDefault="00A527DC" w:rsidP="00561013">
      <w:pPr>
        <w:pStyle w:val="FootnoteText"/>
        <w:rPr>
          <w:rFonts w:asciiTheme="minorHAnsi" w:hAnsiTheme="minorHAnsi"/>
          <w:bCs/>
          <w:szCs w:val="20"/>
          <w:lang w:val="es-ES_tradnl"/>
        </w:rPr>
      </w:pPr>
      <w:r w:rsidRPr="00E51DF7">
        <w:rPr>
          <w:rStyle w:val="FootnoteReference"/>
          <w:sz w:val="22"/>
          <w:szCs w:val="20"/>
          <w:lang w:val="es-ES_tradnl"/>
        </w:rPr>
        <w:t>**</w:t>
      </w:r>
      <w:r w:rsidRPr="00E51DF7">
        <w:rPr>
          <w:sz w:val="20"/>
          <w:szCs w:val="20"/>
          <w:lang w:val="es-ES_tradnl"/>
        </w:rPr>
        <w:tab/>
      </w:r>
      <w:r w:rsidRPr="00E51DF7">
        <w:rPr>
          <w:rFonts w:asciiTheme="minorHAnsi" w:hAnsiTheme="minorHAnsi" w:cs="Times New Roman"/>
          <w:sz w:val="20"/>
          <w:szCs w:val="20"/>
          <w:lang w:val="es-ES_tradnl"/>
        </w:rPr>
        <w:t>Los textos de la Resoluciones reproducidos en este Anexo proceden de las Actas Finales provisionales de la CMR-23. Los números asignados por la COM4 y la COM6 a las nuevas Resoluciones de la CMR-23 se han sustituido por los números de Resolución provisionales indicados en el Anexo 3 a esta Circular Administrativa.</w:t>
      </w:r>
    </w:p>
  </w:footnote>
  <w:footnote w:id="13">
    <w:p w14:paraId="7BEFA9DB" w14:textId="7DD11878" w:rsidR="00A527DC" w:rsidRPr="00E51DF7" w:rsidRDefault="00A527DC" w:rsidP="008653C7">
      <w:pPr>
        <w:pStyle w:val="FootnoteText"/>
        <w:spacing w:before="0" w:line="240" w:lineRule="auto"/>
        <w:rPr>
          <w:sz w:val="20"/>
          <w:szCs w:val="20"/>
          <w:lang w:val="es-ES_tradnl"/>
        </w:rPr>
      </w:pPr>
      <w:r w:rsidRPr="00E51DF7">
        <w:rPr>
          <w:rStyle w:val="FootnoteReference"/>
          <w:lang w:val="es-ES_tradnl"/>
        </w:rPr>
        <w:sym w:font="Symbol" w:char="F02A"/>
      </w:r>
      <w:r w:rsidRPr="00E51DF7">
        <w:rPr>
          <w:lang w:val="es-ES_tradnl"/>
        </w:rPr>
        <w:tab/>
      </w:r>
      <w:r w:rsidRPr="00E51DF7">
        <w:rPr>
          <w:bCs/>
          <w:sz w:val="20"/>
          <w:szCs w:val="20"/>
          <w:lang w:val="es-ES_tradnl"/>
        </w:rPr>
        <w:t xml:space="preserve">Dada la experiencia pasada en lo que respecta a los estudios sobre esta banda de frecuencias y a la complejidad de los temas conexos, conviene prestar especial atención a la interacción entre el GT 4A y el GT 5B. Por tanto, el GT 4A debe tener en cuenta, tal y como se reciba, la posible actualización de la información y las características relativas a la protección y el funcionamiento del servicio de radiolocalización que le facilite el GT 5B, con objeto de realizar los estudios de compartición pertinentes. Según avancen los estudios del GT 4A, si fuera necesario, deberían organizarse reuniones conjuntas de los GT 4A y 5B para facilitar la </w:t>
      </w:r>
      <w:proofErr w:type="gramStart"/>
      <w:r w:rsidRPr="00E51DF7">
        <w:rPr>
          <w:bCs/>
          <w:sz w:val="20"/>
          <w:szCs w:val="20"/>
          <w:lang w:val="es-ES_tradnl"/>
        </w:rPr>
        <w:t>colaboración mutua</w:t>
      </w:r>
      <w:proofErr w:type="gramEnd"/>
      <w:r w:rsidRPr="00E51DF7">
        <w:rPr>
          <w:bCs/>
          <w:sz w:val="20"/>
          <w:szCs w:val="20"/>
          <w:lang w:val="es-ES_tradnl"/>
        </w:rPr>
        <w:t xml:space="preserve"> en torno a los temas relacionados con la protección del servicio de radiolocalización.</w:t>
      </w:r>
    </w:p>
  </w:footnote>
  <w:footnote w:id="14">
    <w:p w14:paraId="5DA0FD82" w14:textId="28A0EAE4" w:rsidR="00A527DC" w:rsidRPr="00E51DF7" w:rsidRDefault="00A527DC">
      <w:pPr>
        <w:pStyle w:val="FootnoteText"/>
        <w:rPr>
          <w:lang w:val="es-ES_tradnl"/>
        </w:rPr>
      </w:pPr>
      <w:r w:rsidRPr="00E51DF7">
        <w:rPr>
          <w:rStyle w:val="FootnoteReference"/>
          <w:lang w:val="es-ES_tradnl"/>
        </w:rPr>
        <w:t>*</w:t>
      </w:r>
      <w:r w:rsidRPr="00E51DF7">
        <w:rPr>
          <w:lang w:val="es-ES_tradnl"/>
        </w:rPr>
        <w:tab/>
      </w:r>
      <w:r w:rsidRPr="00E51DF7">
        <w:rPr>
          <w:sz w:val="20"/>
          <w:lang w:val="es-ES_tradnl"/>
        </w:rPr>
        <w:t>Los GT indicados deberían realizar los estudios en estrecha colaboración.</w:t>
      </w:r>
    </w:p>
  </w:footnote>
  <w:footnote w:id="15">
    <w:p w14:paraId="5922BFAF" w14:textId="6125E50C" w:rsidR="00A527DC" w:rsidRPr="00E51DF7" w:rsidRDefault="00A527DC" w:rsidP="00206CD7">
      <w:pPr>
        <w:pStyle w:val="FootnoteText"/>
        <w:spacing w:line="240" w:lineRule="auto"/>
        <w:rPr>
          <w:sz w:val="20"/>
          <w:szCs w:val="24"/>
          <w:lang w:val="es-ES_tradnl"/>
        </w:rPr>
      </w:pPr>
      <w:r w:rsidRPr="00E51DF7">
        <w:rPr>
          <w:rStyle w:val="FootnoteReference"/>
          <w:lang w:val="es-ES_tradnl"/>
        </w:rPr>
        <w:sym w:font="Symbol" w:char="F02A"/>
      </w:r>
      <w:r w:rsidRPr="00E51DF7">
        <w:rPr>
          <w:lang w:val="es-ES_tradnl"/>
        </w:rPr>
        <w:tab/>
      </w:r>
      <w:r w:rsidRPr="00E51DF7">
        <w:rPr>
          <w:rStyle w:val="FootnoteReference"/>
          <w:sz w:val="20"/>
          <w:szCs w:val="24"/>
          <w:lang w:val="es-ES_tradnl"/>
        </w:rPr>
        <w:t xml:space="preserve">El GT 4C llevará a cabo los estudios sobre las posibles atribuciones al SMS en las bandas de frecuencias comprendidas entre 694/698 MHz y 2,7 GHz de acuerdo con las contribuciones recibidas, incluidas las del GT 5D, que se basan en las disposiciones de frecuencias IMT incluidas en la última versión de la Recomendación UIT-R M.1036. </w:t>
      </w:r>
    </w:p>
    <w:p w14:paraId="29CEE912" w14:textId="77777777" w:rsidR="00A527DC" w:rsidRPr="00E51DF7" w:rsidRDefault="00A527DC" w:rsidP="00206CD7">
      <w:pPr>
        <w:pStyle w:val="FootnoteText"/>
        <w:spacing w:line="240" w:lineRule="auto"/>
        <w:rPr>
          <w:sz w:val="20"/>
          <w:szCs w:val="24"/>
          <w:lang w:val="es-ES_tradnl"/>
        </w:rPr>
      </w:pPr>
      <w:r w:rsidRPr="00E51DF7">
        <w:rPr>
          <w:sz w:val="20"/>
          <w:szCs w:val="24"/>
          <w:lang w:val="es-ES_tradnl"/>
        </w:rPr>
        <w:tab/>
      </w:r>
      <w:r w:rsidRPr="00E51DF7">
        <w:rPr>
          <w:rStyle w:val="FootnoteReference"/>
          <w:sz w:val="20"/>
          <w:szCs w:val="24"/>
          <w:lang w:val="es-ES_tradnl"/>
        </w:rPr>
        <w:t xml:space="preserve">El GT 4C, en estrecha colaboración con el GT 5D, llevará a cabo los estudios a que se hace referencia en el </w:t>
      </w:r>
      <w:r w:rsidRPr="00E51DF7">
        <w:rPr>
          <w:rStyle w:val="FootnoteReference"/>
          <w:i/>
          <w:iCs/>
          <w:sz w:val="20"/>
          <w:szCs w:val="24"/>
          <w:lang w:val="es-ES_tradnl"/>
        </w:rPr>
        <w:t>resuelve invitar al Sector de Radiocomunicaciones de la UIT a finalizar a tiempo para la Conferencia Mundial de Radiocomunicaciones de 2027</w:t>
      </w:r>
      <w:r w:rsidRPr="00E51DF7">
        <w:rPr>
          <w:rStyle w:val="FootnoteReference"/>
          <w:sz w:val="20"/>
          <w:szCs w:val="24"/>
          <w:lang w:val="es-ES_tradnl"/>
        </w:rPr>
        <w:t xml:space="preserve"> 2. </w:t>
      </w:r>
    </w:p>
    <w:p w14:paraId="5D1EDE0C" w14:textId="77777777" w:rsidR="00A527DC" w:rsidRPr="00E51DF7" w:rsidRDefault="00A527DC" w:rsidP="00206CD7">
      <w:pPr>
        <w:pStyle w:val="FootnoteText"/>
        <w:spacing w:line="240" w:lineRule="auto"/>
        <w:rPr>
          <w:sz w:val="20"/>
          <w:szCs w:val="24"/>
          <w:lang w:val="es-ES_tradnl"/>
        </w:rPr>
      </w:pPr>
      <w:r w:rsidRPr="00E51DF7">
        <w:rPr>
          <w:sz w:val="20"/>
          <w:szCs w:val="24"/>
          <w:lang w:val="es-ES_tradnl"/>
        </w:rPr>
        <w:tab/>
      </w:r>
      <w:r w:rsidRPr="00E51DF7">
        <w:rPr>
          <w:rStyle w:val="FootnoteReference"/>
          <w:sz w:val="20"/>
          <w:szCs w:val="24"/>
          <w:lang w:val="es-ES_tradnl"/>
        </w:rPr>
        <w:t xml:space="preserve">El GT 4C se encargará de los estudios solicitados en los </w:t>
      </w:r>
      <w:r w:rsidRPr="00E51DF7">
        <w:rPr>
          <w:rStyle w:val="FootnoteReference"/>
          <w:i/>
          <w:iCs/>
          <w:sz w:val="20"/>
          <w:szCs w:val="24"/>
          <w:lang w:val="es-ES_tradnl"/>
        </w:rPr>
        <w:t>resuelve además</w:t>
      </w:r>
      <w:r w:rsidRPr="00E51DF7">
        <w:rPr>
          <w:rStyle w:val="FootnoteReference"/>
          <w:sz w:val="20"/>
          <w:szCs w:val="24"/>
          <w:lang w:val="es-ES_tradnl"/>
        </w:rPr>
        <w:t xml:space="preserve"> 1 y 2. Cabe prever que el GT 5D elabore estudios que incluyan consideraciones reglamentarias relativas a la protección de la componente terrenal de las IMT. </w:t>
      </w:r>
    </w:p>
    <w:p w14:paraId="07EA5FCD" w14:textId="0D9C1EA8" w:rsidR="00A527DC" w:rsidRPr="00E51DF7" w:rsidRDefault="00A527DC" w:rsidP="00476609">
      <w:pPr>
        <w:pStyle w:val="FootnoteText"/>
        <w:spacing w:line="240" w:lineRule="auto"/>
        <w:rPr>
          <w:rStyle w:val="FootnoteReference"/>
          <w:position w:val="0"/>
          <w:sz w:val="22"/>
          <w:lang w:val="es-ES_tradnl"/>
        </w:rPr>
      </w:pPr>
      <w:r w:rsidRPr="00E51DF7">
        <w:rPr>
          <w:sz w:val="20"/>
          <w:szCs w:val="24"/>
          <w:lang w:val="es-ES_tradnl"/>
        </w:rPr>
        <w:tab/>
      </w:r>
      <w:r w:rsidRPr="00E51DF7">
        <w:rPr>
          <w:rStyle w:val="FootnoteReference"/>
          <w:sz w:val="20"/>
          <w:szCs w:val="24"/>
          <w:lang w:val="es-ES_tradnl"/>
        </w:rPr>
        <w:t>El GT 4C debería tomar la iniciativa en lo que respecta a la elaboración del proyecto de texto de la RPC incluyendo los resultados del GT 5D sobre las consideraciones reglamentarias relativas a la protección de la componente terrenal de las IMT. Para facilitar el trabajo, los Presidentes de ambos GT deberían coordinar el calendario de reuniones de los grupos en cuestión, según proceda, y proporcionar una nota a ambos GT a este respecto.</w:t>
      </w:r>
    </w:p>
  </w:footnote>
  <w:footnote w:id="16">
    <w:p w14:paraId="04B3C777" w14:textId="3575EFB2" w:rsidR="00A527DC" w:rsidRPr="00E51DF7" w:rsidRDefault="00A527DC" w:rsidP="00EF3D59">
      <w:pPr>
        <w:pStyle w:val="FootnoteText"/>
        <w:rPr>
          <w:lang w:val="es-ES_tradnl"/>
        </w:rPr>
      </w:pPr>
      <w:r w:rsidRPr="00E51DF7">
        <w:rPr>
          <w:rStyle w:val="FootnoteReference"/>
          <w:lang w:val="es-ES_tradnl"/>
        </w:rPr>
        <w:sym w:font="Symbol" w:char="F02A"/>
      </w:r>
      <w:r w:rsidRPr="00E51DF7">
        <w:rPr>
          <w:lang w:val="es-ES_tradnl"/>
        </w:rPr>
        <w:tab/>
      </w:r>
      <w:r w:rsidRPr="00E51DF7">
        <w:rPr>
          <w:sz w:val="20"/>
          <w:lang w:val="es-ES_tradnl"/>
        </w:rPr>
        <w:t>Los trabajos preparatorios relacionados con este punto del orden del día requerirán de esfuerzos encaminados a ampliar la aplicabilidad de los actuales métodos de predicción de la propagación de las ondas radioeléctricas a los estudios de compartición y compatibilidad que se lleven a cabo en las bandas de frecuencias hasta 235 GHz. Se alienta a los miembros a apoyar estas decisivas actividades en el seno de los Grupos de Trabajo 3J y 3M, con miras a su compleción en 2025.</w:t>
      </w:r>
    </w:p>
  </w:footnote>
  <w:footnote w:id="17">
    <w:p w14:paraId="362B5FA6" w14:textId="7A7DBFFF" w:rsidR="00A527DC" w:rsidRPr="00E51DF7" w:rsidRDefault="00A527DC">
      <w:pPr>
        <w:pStyle w:val="FootnoteText"/>
        <w:rPr>
          <w:lang w:val="es-ES_tradnl"/>
        </w:rPr>
      </w:pPr>
      <w:r w:rsidRPr="00E51DF7">
        <w:rPr>
          <w:rStyle w:val="FootnoteReference"/>
          <w:lang w:val="es-ES_tradnl"/>
        </w:rPr>
        <w:t>1</w:t>
      </w:r>
      <w:r w:rsidRPr="00E51DF7">
        <w:rPr>
          <w:lang w:val="es-ES_tradnl"/>
        </w:rPr>
        <w:tab/>
      </w:r>
      <w:r w:rsidRPr="00E51DF7">
        <w:rPr>
          <w:sz w:val="20"/>
          <w:lang w:val="es-ES_tradnl"/>
        </w:rPr>
        <w:t>Véase también el Anexo 1 a esta Resolución.</w:t>
      </w:r>
    </w:p>
  </w:footnote>
  <w:footnote w:id="18">
    <w:p w14:paraId="6F6D0978" w14:textId="77777777" w:rsidR="00A527DC" w:rsidRPr="00E51DF7" w:rsidRDefault="00A527DC" w:rsidP="00C068E7">
      <w:pPr>
        <w:pStyle w:val="FootnoteText"/>
        <w:rPr>
          <w:lang w:val="es-ES_tradnl"/>
        </w:rPr>
      </w:pPr>
      <w:r w:rsidRPr="00E51DF7">
        <w:rPr>
          <w:rStyle w:val="FootnoteReference"/>
          <w:lang w:val="es-ES_tradnl"/>
        </w:rPr>
        <w:t>1</w:t>
      </w:r>
      <w:r w:rsidRPr="00E51DF7">
        <w:rPr>
          <w:lang w:val="es-ES_tradnl"/>
        </w:rPr>
        <w:tab/>
      </w:r>
      <w:r w:rsidRPr="00E51DF7">
        <w:rPr>
          <w:sz w:val="20"/>
          <w:lang w:val="es-ES_tradnl"/>
        </w:rPr>
        <w:t>Este subpunto del orden del día permanente de la CMR se limita estrictamente al Informe del Director sobre las actividades del UIT-R desde la última CMR; y se evitará rigurosamente cualquier tema que no figure en los puntos 1.1-1.19 indicados anteriormente, particularmente los temas que requieran algún cambio/enmienda al Reglamento de Radiocomunicaciones.</w:t>
      </w:r>
    </w:p>
  </w:footnote>
  <w:footnote w:id="19">
    <w:p w14:paraId="4A60C4BB" w14:textId="77777777" w:rsidR="00A527DC" w:rsidRPr="00E51DF7" w:rsidRDefault="00A527DC" w:rsidP="00C068E7">
      <w:pPr>
        <w:pStyle w:val="FootnoteText"/>
        <w:rPr>
          <w:lang w:val="es-ES_tradnl"/>
        </w:rPr>
      </w:pPr>
      <w:r w:rsidRPr="00E51DF7">
        <w:rPr>
          <w:rStyle w:val="FootnoteReference"/>
          <w:lang w:val="es-ES_tradnl"/>
        </w:rPr>
        <w:t>2</w:t>
      </w:r>
      <w:r w:rsidRPr="00E51DF7">
        <w:rPr>
          <w:lang w:val="es-ES_tradnl"/>
        </w:rPr>
        <w:tab/>
      </w:r>
      <w:r w:rsidRPr="00E51DF7">
        <w:rPr>
          <w:rFonts w:cs="Times New Roman"/>
          <w:sz w:val="20"/>
          <w:szCs w:val="20"/>
          <w:lang w:val="es-ES_tradnl"/>
        </w:rPr>
        <w:t>Este punto del orden del día se limita estrictamente al Informe del Director, en relación con las dificultades o incoherencias observadas en la aplicación del Reglamento de Radiocomunicaciones y las observaciones de las administraciones. Se invita a las administraciones a que informen al Director de la Oficina de Radiocomunicaciones de las dificultades o incoherencias observadas en el Reglamento de Radiocomunicaciones.</w:t>
      </w:r>
    </w:p>
  </w:footnote>
  <w:footnote w:id="20">
    <w:p w14:paraId="5A83EA83" w14:textId="31B7F0FC" w:rsidR="00A527DC" w:rsidRPr="00E51DF7" w:rsidRDefault="00A527DC" w:rsidP="00C15E0F">
      <w:pPr>
        <w:pStyle w:val="FootnoteText"/>
        <w:rPr>
          <w:szCs w:val="20"/>
          <w:lang w:val="es-ES_tradnl"/>
        </w:rPr>
      </w:pPr>
      <w:r w:rsidRPr="00E51DF7">
        <w:rPr>
          <w:rStyle w:val="FootnoteReference"/>
          <w:sz w:val="20"/>
          <w:szCs w:val="20"/>
          <w:lang w:val="es-ES_tradnl"/>
        </w:rPr>
        <w:t>**</w:t>
      </w:r>
      <w:r w:rsidRPr="00E51DF7">
        <w:rPr>
          <w:szCs w:val="20"/>
          <w:lang w:val="es-ES_tradnl"/>
        </w:rPr>
        <w:tab/>
      </w:r>
      <w:r w:rsidRPr="00E51DF7">
        <w:rPr>
          <w:color w:val="000000"/>
          <w:sz w:val="20"/>
          <w:szCs w:val="20"/>
          <w:lang w:val="es-ES_tradnl"/>
        </w:rPr>
        <w:t>Los textos de las Resoluciones reproducidos en este Anexo proceden de las Actas Finales provisionales de la CMR</w:t>
      </w:r>
      <w:r w:rsidRPr="00E51DF7">
        <w:rPr>
          <w:sz w:val="20"/>
          <w:szCs w:val="20"/>
          <w:lang w:val="es-ES_tradnl"/>
        </w:rPr>
        <w:t xml:space="preserve">-23 </w:t>
      </w:r>
      <w:r w:rsidRPr="00E51DF7">
        <w:rPr>
          <w:color w:val="000000"/>
          <w:sz w:val="20"/>
          <w:szCs w:val="20"/>
          <w:lang w:val="es-ES_tradnl"/>
        </w:rPr>
        <w:t>Los números asignados por la COM6 a las nuevas Resoluciones de la CMR-</w:t>
      </w:r>
      <w:r w:rsidRPr="00E51DF7">
        <w:rPr>
          <w:sz w:val="20"/>
          <w:szCs w:val="20"/>
          <w:lang w:val="es-ES_tradnl"/>
        </w:rPr>
        <w:t xml:space="preserve">23 </w:t>
      </w:r>
      <w:r w:rsidRPr="00E51DF7">
        <w:rPr>
          <w:color w:val="000000"/>
          <w:sz w:val="20"/>
          <w:szCs w:val="20"/>
          <w:lang w:val="es-ES_tradnl"/>
        </w:rPr>
        <w:t>se han sustituido por los números de Resolución provisionales indicados en el Anexo 3 a esta Circular Administrativa.</w:t>
      </w:r>
    </w:p>
  </w:footnote>
  <w:footnote w:id="21">
    <w:p w14:paraId="11C885F9" w14:textId="77777777" w:rsidR="00A527DC" w:rsidRPr="00E51DF7" w:rsidRDefault="00A527DC" w:rsidP="00C15E0F">
      <w:pPr>
        <w:pStyle w:val="FootnoteText"/>
        <w:rPr>
          <w:lang w:val="es-ES_tradnl"/>
        </w:rPr>
      </w:pPr>
      <w:r w:rsidRPr="00E51DF7">
        <w:rPr>
          <w:rStyle w:val="FootnoteReference"/>
          <w:lang w:val="es-ES_tradnl"/>
        </w:rPr>
        <w:t>1</w:t>
      </w:r>
      <w:r w:rsidRPr="00E51DF7">
        <w:rPr>
          <w:lang w:val="es-ES_tradnl"/>
        </w:rPr>
        <w:tab/>
      </w:r>
      <w:r w:rsidRPr="00E51DF7">
        <w:rPr>
          <w:sz w:val="20"/>
          <w:lang w:val="es-ES_tradnl"/>
        </w:rPr>
        <w:t>Es preciso examinar con más detenimiento el alcance de este punto del orden del día.</w:t>
      </w:r>
    </w:p>
  </w:footnote>
  <w:footnote w:id="22">
    <w:p w14:paraId="38D59ACB" w14:textId="67A08FE6" w:rsidR="00A527DC" w:rsidRPr="00E51DF7" w:rsidRDefault="00A527DC">
      <w:pPr>
        <w:pStyle w:val="FootnoteText"/>
        <w:rPr>
          <w:lang w:val="es-ES_tradnl"/>
        </w:rPr>
      </w:pPr>
      <w:r w:rsidRPr="00E51DF7">
        <w:rPr>
          <w:sz w:val="20"/>
          <w:lang w:val="es-ES_tradnl"/>
        </w:rPr>
        <w:t>[</w:t>
      </w:r>
      <w:r w:rsidRPr="00E51DF7">
        <w:rPr>
          <w:rStyle w:val="FootnoteReference"/>
          <w:lang w:val="es-ES_tradnl"/>
        </w:rPr>
        <w:t>*</w:t>
      </w:r>
      <w:r w:rsidRPr="00E51DF7">
        <w:rPr>
          <w:lang w:val="es-ES_tradnl"/>
        </w:rPr>
        <w:tab/>
      </w:r>
      <w:r w:rsidRPr="00E51DF7">
        <w:rPr>
          <w:sz w:val="20"/>
          <w:lang w:val="es-ES_tradnl"/>
        </w:rPr>
        <w:t xml:space="preserve">Esta atribución de la Región 1 para los servicios fijo y móvil está pendiente del resultado de la CMR-23, y este </w:t>
      </w:r>
      <w:r w:rsidRPr="00052350">
        <w:rPr>
          <w:i/>
          <w:iCs/>
          <w:sz w:val="20"/>
          <w:lang w:val="es-ES_tradnl"/>
        </w:rPr>
        <w:t>reconociendo además</w:t>
      </w:r>
      <w:r w:rsidRPr="00E51DF7">
        <w:rPr>
          <w:sz w:val="20"/>
          <w:lang w:val="es-ES_tradnl"/>
        </w:rPr>
        <w:t xml:space="preserve"> deberá revisarse o eliminarse en función de la conclusión del punto 1.2/1.3 del orden del día de la CMR 23.]</w:t>
      </w:r>
    </w:p>
  </w:footnote>
  <w:footnote w:id="23">
    <w:p w14:paraId="61F79AE1" w14:textId="0F16349D" w:rsidR="00A527DC" w:rsidRPr="00E51DF7" w:rsidRDefault="00A527DC">
      <w:pPr>
        <w:pStyle w:val="FootnoteText"/>
        <w:rPr>
          <w:lang w:val="es-ES_tradnl"/>
        </w:rPr>
      </w:pPr>
      <w:r w:rsidRPr="00E51DF7">
        <w:rPr>
          <w:sz w:val="20"/>
          <w:lang w:val="es-ES_tradnl"/>
        </w:rPr>
        <w:t>[</w:t>
      </w:r>
      <w:r w:rsidRPr="00E51DF7">
        <w:rPr>
          <w:rStyle w:val="FootnoteReference"/>
          <w:lang w:val="es-ES_tradnl"/>
        </w:rPr>
        <w:t>**</w:t>
      </w:r>
      <w:r w:rsidRPr="00E51DF7">
        <w:rPr>
          <w:lang w:val="es-ES_tradnl"/>
        </w:rPr>
        <w:tab/>
      </w:r>
      <w:r w:rsidRPr="00E51DF7">
        <w:rPr>
          <w:sz w:val="20"/>
          <w:lang w:val="es-ES_tradnl"/>
        </w:rPr>
        <w:t xml:space="preserve">Estas identificaciones de la Región 2 para las IMT están pendientes del resultado de la CMR-23, y este </w:t>
      </w:r>
      <w:r w:rsidRPr="00052350">
        <w:rPr>
          <w:i/>
          <w:iCs/>
          <w:sz w:val="20"/>
          <w:lang w:val="es-ES_tradnl"/>
        </w:rPr>
        <w:t>reconociendo además</w:t>
      </w:r>
      <w:r w:rsidRPr="00E51DF7">
        <w:rPr>
          <w:sz w:val="20"/>
          <w:lang w:val="es-ES_tradnl"/>
        </w:rPr>
        <w:t xml:space="preserve"> deberá revisarse o eliminarse en función de la conclusión del punto 1.2 del orden del día de la CMR-23.]</w:t>
      </w:r>
    </w:p>
  </w:footnote>
  <w:footnote w:id="24">
    <w:p w14:paraId="54C867E4" w14:textId="77777777" w:rsidR="00A527DC" w:rsidRPr="00E51DF7" w:rsidRDefault="00A527DC" w:rsidP="00C15E0F">
      <w:pPr>
        <w:pStyle w:val="FootnoteText"/>
        <w:tabs>
          <w:tab w:val="left" w:pos="284"/>
        </w:tabs>
        <w:rPr>
          <w:lang w:val="es-ES_tradnl"/>
        </w:rPr>
      </w:pPr>
      <w:r w:rsidRPr="00E51DF7">
        <w:rPr>
          <w:rStyle w:val="FootnoteReference"/>
          <w:lang w:val="es-ES_tradnl"/>
        </w:rPr>
        <w:t>*</w:t>
      </w:r>
      <w:r w:rsidRPr="00E51DF7">
        <w:rPr>
          <w:lang w:val="es-ES_tradnl"/>
        </w:rPr>
        <w:tab/>
      </w:r>
      <w:r w:rsidRPr="00E51DF7">
        <w:rPr>
          <w:sz w:val="20"/>
          <w:lang w:val="es-ES_tradnl"/>
        </w:rPr>
        <w:t>La presencia de corchetes alrededor de determinadas bandas de frecuencias en esta Resolución significa que la CMR</w:t>
      </w:r>
      <w:r w:rsidRPr="00E51DF7">
        <w:rPr>
          <w:sz w:val="20"/>
          <w:lang w:val="es-ES_tradnl"/>
        </w:rPr>
        <w:noBreakHyphen/>
        <w:t>27 examinará y revisará la inclusión de esas bandas de frecuencias entre corchetes y tomará una decisión al respecto, según proceda.</w:t>
      </w:r>
    </w:p>
  </w:footnote>
  <w:footnote w:id="25">
    <w:p w14:paraId="274665C7" w14:textId="77777777" w:rsidR="00A527DC" w:rsidRPr="00B11EE6" w:rsidRDefault="00A527DC" w:rsidP="00B11EE6">
      <w:pPr>
        <w:pStyle w:val="FootnoteText"/>
        <w:spacing w:before="0"/>
        <w:rPr>
          <w:sz w:val="22"/>
          <w:szCs w:val="20"/>
          <w:lang w:val="es-ES_tradnl"/>
        </w:rPr>
      </w:pPr>
      <w:r w:rsidRPr="00E51DF7">
        <w:rPr>
          <w:rStyle w:val="FootnoteReference"/>
          <w:lang w:val="es-ES_tradnl"/>
        </w:rPr>
        <w:t>*</w:t>
      </w:r>
      <w:r w:rsidRPr="00E51DF7">
        <w:rPr>
          <w:lang w:val="es-ES_tradnl"/>
        </w:rPr>
        <w:tab/>
      </w:r>
      <w:r w:rsidRPr="00B11EE6">
        <w:rPr>
          <w:rStyle w:val="ui-provider"/>
          <w:sz w:val="18"/>
          <w:szCs w:val="20"/>
          <w:lang w:val="es-ES_tradnl"/>
        </w:rPr>
        <w:t>La presencia de corchetes alrededor de determinadas bandas de frecuencias en esta Resolución significa que la CMR-23 examinará y revisará la inclusión de esas bandas de frecuencias entre corchetes y tomará una decisión al respecto, según proceda.</w:t>
      </w:r>
    </w:p>
  </w:footnote>
  <w:footnote w:id="26">
    <w:p w14:paraId="52BB55DD" w14:textId="22B70D75" w:rsidR="00A527DC" w:rsidRPr="00B11EE6" w:rsidRDefault="00A527DC" w:rsidP="00B11EE6">
      <w:pPr>
        <w:pStyle w:val="FootnoteText"/>
        <w:spacing w:before="0"/>
        <w:rPr>
          <w:sz w:val="22"/>
          <w:szCs w:val="20"/>
          <w:lang w:val="es-ES_tradnl"/>
        </w:rPr>
      </w:pPr>
      <w:r w:rsidRPr="00E51DF7">
        <w:rPr>
          <w:rStyle w:val="FootnoteReference"/>
          <w:lang w:val="es-ES_tradnl"/>
        </w:rPr>
        <w:sym w:font="Symbol" w:char="F02A"/>
      </w:r>
      <w:r w:rsidRPr="00E51DF7">
        <w:rPr>
          <w:rStyle w:val="FootnoteReference"/>
          <w:lang w:val="es-ES_tradnl"/>
        </w:rPr>
        <w:sym w:font="Symbol" w:char="F02A"/>
      </w:r>
      <w:r w:rsidRPr="00E51DF7">
        <w:rPr>
          <w:lang w:val="es-ES_tradnl"/>
        </w:rPr>
        <w:tab/>
      </w:r>
      <w:r w:rsidRPr="00B11EE6">
        <w:rPr>
          <w:rFonts w:asciiTheme="minorHAnsi" w:hAnsiTheme="minorHAnsi" w:cstheme="minorHAnsi"/>
          <w:sz w:val="18"/>
          <w:szCs w:val="18"/>
          <w:lang w:val="es-ES_tradnl"/>
        </w:rPr>
        <w:t>Los trabajos preparatorios relacionados con este punto del orden del día preliminar requerirán de amplias actividades de investigación, medición y elaboración de modelos, para poder aplicar los métodos de predicción de la propagación de las ondas radioeléctricas a los estudios de compartición y compatibilidad que se lleven a cabo en las bandas de frecuencias hasta 275 GHz. Se alienta a los miembros a apoyar estas actividades en el seno de los Grupos de Trabajo 3J y 3K, ya que es esencial iniciar esta labor durante el periodo de estudios 2023-2027.</w:t>
      </w:r>
    </w:p>
  </w:footnote>
  <w:footnote w:id="27">
    <w:p w14:paraId="77D9DF91" w14:textId="77777777" w:rsidR="00A527DC" w:rsidRPr="00E51DF7" w:rsidRDefault="00A527DC" w:rsidP="00B11EE6">
      <w:pPr>
        <w:pStyle w:val="FootnoteText"/>
        <w:spacing w:before="0"/>
        <w:rPr>
          <w:lang w:val="es-ES_tradnl"/>
        </w:rPr>
      </w:pPr>
      <w:r w:rsidRPr="00E51DF7">
        <w:rPr>
          <w:rStyle w:val="FootnoteReference"/>
          <w:lang w:val="es-ES_tradnl"/>
        </w:rPr>
        <w:t>1</w:t>
      </w:r>
      <w:r w:rsidRPr="00E51DF7">
        <w:rPr>
          <w:lang w:val="es-ES_tradnl"/>
        </w:rPr>
        <w:tab/>
      </w:r>
      <w:r w:rsidRPr="00B11EE6">
        <w:rPr>
          <w:rFonts w:eastAsia="SimSun"/>
          <w:sz w:val="18"/>
          <w:szCs w:val="20"/>
          <w:lang w:val="es-ES_tradnl"/>
        </w:rPr>
        <w:t>Incluidos los estudios relativos a los servicios de las bandas adyacentes, según corresponda.</w:t>
      </w:r>
    </w:p>
  </w:footnote>
  <w:footnote w:id="28">
    <w:p w14:paraId="7C62A72C" w14:textId="77777777" w:rsidR="00A527DC" w:rsidRPr="00E51DF7" w:rsidRDefault="00A527DC" w:rsidP="00C15E0F">
      <w:pPr>
        <w:pStyle w:val="FootnoteText"/>
        <w:tabs>
          <w:tab w:val="left" w:pos="284"/>
        </w:tabs>
        <w:rPr>
          <w:lang w:val="es-ES_tradnl"/>
        </w:rPr>
      </w:pPr>
      <w:r w:rsidRPr="00E51DF7">
        <w:rPr>
          <w:rStyle w:val="FootnoteReference"/>
          <w:lang w:val="es-ES_tradnl"/>
        </w:rPr>
        <w:t>*</w:t>
      </w:r>
      <w:r w:rsidRPr="00E51DF7">
        <w:rPr>
          <w:lang w:val="es-ES_tradnl"/>
        </w:rPr>
        <w:tab/>
      </w:r>
      <w:r w:rsidRPr="00E51DF7">
        <w:rPr>
          <w:sz w:val="20"/>
          <w:lang w:val="es-ES_tradnl"/>
        </w:rPr>
        <w:t>La presencia de corchetes alrededor de determinadas bandas de frecuencias en esta Resolución significa que la CMR</w:t>
      </w:r>
      <w:r w:rsidRPr="00E51DF7">
        <w:rPr>
          <w:sz w:val="20"/>
          <w:lang w:val="es-ES_tradnl"/>
        </w:rPr>
        <w:noBreakHyphen/>
        <w:t>27 examinará y revisará la inclusión de esas bandas de frecuencias entre corchetes y tomará una decisión al respecto, según proceda.</w:t>
      </w:r>
    </w:p>
  </w:footnote>
  <w:footnote w:id="29">
    <w:p w14:paraId="6FB43998" w14:textId="77777777" w:rsidR="00A527DC" w:rsidRPr="00E51DF7" w:rsidRDefault="00A527DC" w:rsidP="00C15E0F">
      <w:pPr>
        <w:pStyle w:val="FootnoteText"/>
        <w:tabs>
          <w:tab w:val="left" w:pos="284"/>
        </w:tabs>
        <w:rPr>
          <w:lang w:val="es-ES_tradnl"/>
        </w:rPr>
      </w:pPr>
      <w:r w:rsidRPr="00E51DF7">
        <w:rPr>
          <w:rStyle w:val="FootnoteReference"/>
          <w:lang w:val="es-ES_tradnl"/>
        </w:rPr>
        <w:t>*</w:t>
      </w:r>
      <w:r w:rsidRPr="00E51DF7">
        <w:rPr>
          <w:lang w:val="es-ES_tradnl"/>
        </w:rPr>
        <w:tab/>
      </w:r>
      <w:r w:rsidRPr="00E51DF7">
        <w:rPr>
          <w:sz w:val="20"/>
          <w:lang w:val="es-ES_tradnl"/>
        </w:rPr>
        <w:t>La presencia de corchetes alrededor de determinadas bandas de frecuencias en esta Resolución significa que la CMR</w:t>
      </w:r>
      <w:r w:rsidRPr="00E51DF7">
        <w:rPr>
          <w:sz w:val="20"/>
          <w:lang w:val="es-ES_tradnl"/>
        </w:rPr>
        <w:noBreakHyphen/>
        <w:t>27 examinará y revisará la inclusión de esas bandas de frecuencias entre corchetes y tomará una decisión al respecto, según proceda.</w:t>
      </w:r>
    </w:p>
  </w:footnote>
  <w:footnote w:id="30">
    <w:p w14:paraId="70126ABC" w14:textId="77777777" w:rsidR="00A527DC" w:rsidRPr="00E51DF7" w:rsidRDefault="00A527DC" w:rsidP="00C15E0F">
      <w:pPr>
        <w:pStyle w:val="FootnoteText"/>
        <w:tabs>
          <w:tab w:val="left" w:pos="284"/>
        </w:tabs>
        <w:rPr>
          <w:lang w:val="es-ES_tradnl"/>
        </w:rPr>
      </w:pPr>
      <w:r w:rsidRPr="00E51DF7">
        <w:rPr>
          <w:rStyle w:val="FootnoteReference"/>
          <w:lang w:val="es-ES_tradnl"/>
        </w:rPr>
        <w:t>*</w:t>
      </w:r>
      <w:r w:rsidRPr="00E51DF7">
        <w:rPr>
          <w:lang w:val="es-ES_tradnl"/>
        </w:rPr>
        <w:tab/>
      </w:r>
      <w:r w:rsidRPr="00E51DF7">
        <w:rPr>
          <w:sz w:val="20"/>
          <w:lang w:val="es-ES_tradnl"/>
        </w:rPr>
        <w:t>La presencia de corchetes alrededor de determinadas bandas de frecuencias en esta Resolución significa que la CMR</w:t>
      </w:r>
      <w:r w:rsidRPr="00E51DF7">
        <w:rPr>
          <w:sz w:val="20"/>
          <w:lang w:val="es-ES_tradnl"/>
        </w:rPr>
        <w:noBreakHyphen/>
        <w:t>27 examinará y revisará la inclusión de esas bandas de frecuencias entre corchetes y tomará una decisión al respecto, según proceda.</w:t>
      </w:r>
    </w:p>
  </w:footnote>
  <w:footnote w:id="31">
    <w:p w14:paraId="0D95AB81" w14:textId="77777777" w:rsidR="00A527DC" w:rsidRPr="00E51DF7" w:rsidRDefault="00A527DC" w:rsidP="00C15E0F">
      <w:pPr>
        <w:pStyle w:val="FootnoteText"/>
        <w:tabs>
          <w:tab w:val="left" w:pos="284"/>
        </w:tabs>
        <w:rPr>
          <w:lang w:val="es-ES_tradnl"/>
        </w:rPr>
      </w:pPr>
      <w:r w:rsidRPr="00E51DF7">
        <w:rPr>
          <w:rStyle w:val="FootnoteReference"/>
          <w:lang w:val="es-ES_tradnl"/>
        </w:rPr>
        <w:t>*</w:t>
      </w:r>
      <w:r w:rsidRPr="00E51DF7">
        <w:rPr>
          <w:lang w:val="es-ES_tradnl"/>
        </w:rPr>
        <w:tab/>
      </w:r>
      <w:r w:rsidRPr="00E51DF7">
        <w:rPr>
          <w:sz w:val="20"/>
          <w:lang w:val="es-ES_tradnl"/>
        </w:rPr>
        <w:t>La presencia de corchetes alrededor de determinadas bandas de frecuencias en esta Resolución significa que la CMR</w:t>
      </w:r>
      <w:r w:rsidRPr="00E51DF7">
        <w:rPr>
          <w:sz w:val="20"/>
          <w:lang w:val="es-ES_tradnl"/>
        </w:rPr>
        <w:noBreakHyphen/>
        <w:t>27 examinará y revisará la inclusión de esas bandas de frecuencias entre corchetes y tomará una decisión al respecto, según proceda.</w:t>
      </w:r>
    </w:p>
  </w:footnote>
  <w:footnote w:id="32">
    <w:p w14:paraId="41E13B6C" w14:textId="77777777" w:rsidR="00A527DC" w:rsidRPr="00E51DF7" w:rsidRDefault="00A527DC">
      <w:pPr>
        <w:pStyle w:val="FootnoteText"/>
        <w:rPr>
          <w:lang w:val="es-ES_tradnl"/>
        </w:rPr>
      </w:pPr>
      <w:r w:rsidRPr="00E51DF7">
        <w:rPr>
          <w:rStyle w:val="FootnoteReference"/>
          <w:lang w:val="es-ES_tradnl"/>
        </w:rPr>
        <w:sym w:font="Symbol" w:char="F02A"/>
      </w:r>
      <w:r w:rsidRPr="00E51DF7">
        <w:rPr>
          <w:rStyle w:val="FootnoteReference"/>
          <w:lang w:val="es-ES_tradnl"/>
        </w:rPr>
        <w:sym w:font="Symbol" w:char="F02A"/>
      </w:r>
      <w:r w:rsidRPr="00E51DF7">
        <w:rPr>
          <w:lang w:val="es-ES_tradnl"/>
        </w:rPr>
        <w:tab/>
      </w:r>
      <w:r w:rsidRPr="00E51DF7">
        <w:rPr>
          <w:rFonts w:asciiTheme="minorHAnsi" w:eastAsia="MS Mincho" w:hAnsiTheme="minorHAnsi" w:cstheme="minorHAnsi"/>
          <w:sz w:val="20"/>
          <w:szCs w:val="20"/>
          <w:lang w:val="es-ES_tradnl"/>
        </w:rPr>
        <w:t>Este punto del orden del día, propuesto inicialmente por su promotor como punto del orden del día de la CMR-27, se ha incluido en el proyecto de atribución provisional de los trabajos preparatorios del UIT-R para la CMR-31. Cabe señalar que, en el marco de este punto, se solicitan estudios sobre la coexistencia entre los sistemas de radiodeterminación (GT 5B) y los sistemas del SETS (activo) (GT 7C). La decisión final sobre el grupo encargado se tomará en una fase posterior (RPC31-1).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DC94" w14:textId="3D6E2799" w:rsidR="00A527DC" w:rsidRPr="00D239B4" w:rsidRDefault="00A527DC" w:rsidP="00100121">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sidR="00DC5CEA">
      <w:rPr>
        <w:rStyle w:val="PageNumber"/>
        <w:noProof/>
        <w:sz w:val="18"/>
        <w:szCs w:val="16"/>
      </w:rPr>
      <w:t>60</w:t>
    </w:r>
    <w:r w:rsidRPr="00D239B4">
      <w:rPr>
        <w:rStyle w:val="PageNumber"/>
        <w:sz w:val="18"/>
        <w:szCs w:val="16"/>
      </w:rPr>
      <w:fldChar w:fldCharType="end"/>
    </w:r>
    <w:r>
      <w:rPr>
        <w:rStyle w:val="PageNumber"/>
        <w:sz w:val="18"/>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3F22" w14:textId="1C083706" w:rsidR="00A527DC" w:rsidRPr="00446956" w:rsidRDefault="00A527DC" w:rsidP="00C15E0F">
    <w:pPr>
      <w:pStyle w:val="Header"/>
      <w:jc w:val="center"/>
      <w:rPr>
        <w:sz w:val="18"/>
        <w:szCs w:val="16"/>
      </w:rPr>
    </w:pPr>
    <w:r w:rsidRPr="00446956">
      <w:rPr>
        <w:sz w:val="18"/>
        <w:szCs w:val="16"/>
      </w:rPr>
      <w:t xml:space="preserve">- </w:t>
    </w:r>
    <w:sdt>
      <w:sdtPr>
        <w:rPr>
          <w:sz w:val="18"/>
          <w:szCs w:val="16"/>
        </w:rPr>
        <w:id w:val="-1966419496"/>
        <w:docPartObj>
          <w:docPartGallery w:val="Page Numbers (Top of Page)"/>
          <w:docPartUnique/>
        </w:docPartObj>
      </w:sdtPr>
      <w:sdtEndPr>
        <w:rPr>
          <w:noProof/>
        </w:rPr>
      </w:sdtEndPr>
      <w:sdtContent>
        <w:r w:rsidRPr="00446956">
          <w:rPr>
            <w:sz w:val="18"/>
            <w:szCs w:val="16"/>
          </w:rPr>
          <w:fldChar w:fldCharType="begin"/>
        </w:r>
        <w:r w:rsidRPr="00446956">
          <w:rPr>
            <w:sz w:val="18"/>
            <w:szCs w:val="16"/>
          </w:rPr>
          <w:instrText xml:space="preserve"> PAGE   \* MERGEFORMAT </w:instrText>
        </w:r>
        <w:r w:rsidRPr="00446956">
          <w:rPr>
            <w:sz w:val="18"/>
            <w:szCs w:val="16"/>
          </w:rPr>
          <w:fldChar w:fldCharType="separate"/>
        </w:r>
        <w:r w:rsidR="00DC5CEA">
          <w:rPr>
            <w:noProof/>
            <w:sz w:val="18"/>
            <w:szCs w:val="16"/>
          </w:rPr>
          <w:t>73</w:t>
        </w:r>
        <w:r w:rsidRPr="00446956">
          <w:rPr>
            <w:noProof/>
            <w:sz w:val="18"/>
            <w:szCs w:val="16"/>
          </w:rPr>
          <w:fldChar w:fldCharType="end"/>
        </w:r>
        <w:r w:rsidRPr="00446956">
          <w:rPr>
            <w:noProof/>
            <w:sz w:val="18"/>
            <w:szCs w:val="16"/>
          </w:rPr>
          <w:t xml:space="preserve"> -</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47671960"/>
      <w:docPartObj>
        <w:docPartGallery w:val="Page Numbers (Top of Page)"/>
        <w:docPartUnique/>
      </w:docPartObj>
    </w:sdtPr>
    <w:sdtEndPr>
      <w:rPr>
        <w:noProof/>
      </w:rPr>
    </w:sdtEndPr>
    <w:sdtContent>
      <w:p w14:paraId="13099AE2" w14:textId="6C5F294D" w:rsidR="00A527DC" w:rsidRPr="00C15E0F" w:rsidRDefault="00A527DC" w:rsidP="00C15E0F">
        <w:pPr>
          <w:pStyle w:val="Header"/>
          <w:jc w:val="center"/>
          <w:rPr>
            <w:sz w:val="18"/>
            <w:szCs w:val="18"/>
          </w:rPr>
        </w:pPr>
        <w:r w:rsidRPr="00152DD6">
          <w:rPr>
            <w:sz w:val="18"/>
            <w:szCs w:val="18"/>
          </w:rPr>
          <w:t xml:space="preserve">- </w:t>
        </w:r>
        <w:r w:rsidRPr="00152DD6">
          <w:rPr>
            <w:sz w:val="18"/>
            <w:szCs w:val="18"/>
          </w:rPr>
          <w:fldChar w:fldCharType="begin"/>
        </w:r>
        <w:r w:rsidRPr="00152DD6">
          <w:rPr>
            <w:sz w:val="18"/>
            <w:szCs w:val="18"/>
          </w:rPr>
          <w:instrText xml:space="preserve"> PAGE   \* MERGEFORMAT </w:instrText>
        </w:r>
        <w:r w:rsidRPr="00152DD6">
          <w:rPr>
            <w:sz w:val="18"/>
            <w:szCs w:val="18"/>
          </w:rPr>
          <w:fldChar w:fldCharType="separate"/>
        </w:r>
        <w:r w:rsidR="00DC5CEA">
          <w:rPr>
            <w:noProof/>
            <w:sz w:val="18"/>
            <w:szCs w:val="18"/>
          </w:rPr>
          <w:t>82</w:t>
        </w:r>
        <w:r w:rsidRPr="00152DD6">
          <w:rPr>
            <w:noProof/>
            <w:sz w:val="18"/>
            <w:szCs w:val="18"/>
          </w:rPr>
          <w:fldChar w:fldCharType="end"/>
        </w:r>
        <w:r w:rsidRPr="00152DD6">
          <w:rPr>
            <w:noProof/>
            <w:sz w:val="18"/>
            <w:szCs w:val="18"/>
          </w:rPr>
          <w:t xml:space="preserve"> -</w:t>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C71F" w14:textId="11C36CB9" w:rsidR="00A527DC" w:rsidRPr="00AF3325" w:rsidRDefault="00A527DC" w:rsidP="00C15E0F">
    <w:pPr>
      <w:pStyle w:val="Header"/>
      <w:jc w:val="center"/>
    </w:pPr>
    <w:r w:rsidRPr="00446956">
      <w:rPr>
        <w:sz w:val="18"/>
        <w:szCs w:val="16"/>
      </w:rPr>
      <w:t xml:space="preserve">- </w:t>
    </w:r>
    <w:sdt>
      <w:sdtPr>
        <w:rPr>
          <w:sz w:val="18"/>
          <w:szCs w:val="16"/>
        </w:rPr>
        <w:id w:val="2093353324"/>
        <w:docPartObj>
          <w:docPartGallery w:val="Page Numbers (Top of Page)"/>
          <w:docPartUnique/>
        </w:docPartObj>
      </w:sdtPr>
      <w:sdtEndPr>
        <w:rPr>
          <w:noProof/>
        </w:rPr>
      </w:sdtEndPr>
      <w:sdtContent>
        <w:r w:rsidRPr="00446956">
          <w:rPr>
            <w:sz w:val="18"/>
            <w:szCs w:val="16"/>
          </w:rPr>
          <w:fldChar w:fldCharType="begin"/>
        </w:r>
        <w:r w:rsidRPr="00446956">
          <w:rPr>
            <w:sz w:val="18"/>
            <w:szCs w:val="16"/>
          </w:rPr>
          <w:instrText xml:space="preserve"> PAGE   \* MERGEFORMAT </w:instrText>
        </w:r>
        <w:r w:rsidRPr="00446956">
          <w:rPr>
            <w:sz w:val="18"/>
            <w:szCs w:val="16"/>
          </w:rPr>
          <w:fldChar w:fldCharType="separate"/>
        </w:r>
        <w:r w:rsidR="00DC5CEA">
          <w:rPr>
            <w:noProof/>
            <w:sz w:val="18"/>
            <w:szCs w:val="16"/>
          </w:rPr>
          <w:t>75</w:t>
        </w:r>
        <w:r w:rsidRPr="00446956">
          <w:rPr>
            <w:noProof/>
            <w:sz w:val="18"/>
            <w:szCs w:val="16"/>
          </w:rPr>
          <w:fldChar w:fldCharType="end"/>
        </w:r>
        <w:r w:rsidRPr="00446956">
          <w:rPr>
            <w:noProof/>
            <w:sz w:val="18"/>
            <w:szCs w:val="16"/>
          </w:rPr>
          <w:t xml:space="preserve"> -</w:t>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794" w14:textId="77777777" w:rsidR="008653C7" w:rsidRPr="00C15E0F" w:rsidRDefault="008653C7" w:rsidP="00C15E0F">
    <w:pPr>
      <w:pStyle w:val="Header"/>
      <w:jc w:val="center"/>
      <w:rPr>
        <w:sz w:val="18"/>
        <w:szCs w:val="16"/>
      </w:rPr>
    </w:pPr>
    <w:r w:rsidRPr="00446956">
      <w:rPr>
        <w:sz w:val="18"/>
        <w:szCs w:val="16"/>
      </w:rPr>
      <w:t xml:space="preserve">- </w:t>
    </w:r>
    <w:sdt>
      <w:sdtPr>
        <w:rPr>
          <w:sz w:val="18"/>
          <w:szCs w:val="16"/>
        </w:rPr>
        <w:id w:val="-1323269396"/>
        <w:docPartObj>
          <w:docPartGallery w:val="Page Numbers (Top of Page)"/>
          <w:docPartUnique/>
        </w:docPartObj>
      </w:sdtPr>
      <w:sdtEndPr>
        <w:rPr>
          <w:noProof/>
        </w:rPr>
      </w:sdtEndPr>
      <w:sdtContent>
        <w:r w:rsidRPr="00446956">
          <w:rPr>
            <w:sz w:val="18"/>
            <w:szCs w:val="16"/>
          </w:rPr>
          <w:fldChar w:fldCharType="begin"/>
        </w:r>
        <w:r w:rsidRPr="00446956">
          <w:rPr>
            <w:sz w:val="18"/>
            <w:szCs w:val="16"/>
          </w:rPr>
          <w:instrText xml:space="preserve"> PAGE   \* MERGEFORMAT </w:instrText>
        </w:r>
        <w:r w:rsidRPr="00446956">
          <w:rPr>
            <w:sz w:val="18"/>
            <w:szCs w:val="16"/>
          </w:rPr>
          <w:fldChar w:fldCharType="separate"/>
        </w:r>
        <w:r>
          <w:rPr>
            <w:noProof/>
            <w:sz w:val="18"/>
            <w:szCs w:val="16"/>
          </w:rPr>
          <w:t>61</w:t>
        </w:r>
        <w:r w:rsidRPr="00446956">
          <w:rPr>
            <w:noProof/>
            <w:sz w:val="18"/>
            <w:szCs w:val="16"/>
          </w:rPr>
          <w:fldChar w:fldCharType="end"/>
        </w:r>
        <w:r w:rsidRPr="00446956">
          <w:rPr>
            <w:noProof/>
            <w:sz w:val="18"/>
            <w:szCs w:val="16"/>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145883394"/>
      <w:docPartObj>
        <w:docPartGallery w:val="Page Numbers (Top of Page)"/>
        <w:docPartUnique/>
      </w:docPartObj>
    </w:sdtPr>
    <w:sdtEndPr>
      <w:rPr>
        <w:noProof/>
      </w:rPr>
    </w:sdtEndPr>
    <w:sdtContent>
      <w:p w14:paraId="18DF89EE" w14:textId="7FFA43B4" w:rsidR="00A527DC" w:rsidRPr="00152DD6" w:rsidRDefault="00A527DC" w:rsidP="00350B18">
        <w:pPr>
          <w:pStyle w:val="Header"/>
          <w:jc w:val="center"/>
          <w:rPr>
            <w:sz w:val="18"/>
            <w:szCs w:val="18"/>
          </w:rPr>
        </w:pPr>
        <w:r w:rsidRPr="00152DD6">
          <w:rPr>
            <w:sz w:val="18"/>
            <w:szCs w:val="18"/>
          </w:rPr>
          <w:t xml:space="preserve">- </w:t>
        </w:r>
        <w:r w:rsidRPr="00152DD6">
          <w:rPr>
            <w:sz w:val="18"/>
            <w:szCs w:val="18"/>
          </w:rPr>
          <w:fldChar w:fldCharType="begin"/>
        </w:r>
        <w:r w:rsidRPr="00152DD6">
          <w:rPr>
            <w:sz w:val="18"/>
            <w:szCs w:val="18"/>
          </w:rPr>
          <w:instrText xml:space="preserve"> PAGE   \* MERGEFORMAT </w:instrText>
        </w:r>
        <w:r w:rsidRPr="00152DD6">
          <w:rPr>
            <w:sz w:val="18"/>
            <w:szCs w:val="18"/>
          </w:rPr>
          <w:fldChar w:fldCharType="separate"/>
        </w:r>
        <w:r w:rsidR="00DC5CEA">
          <w:rPr>
            <w:noProof/>
            <w:sz w:val="18"/>
            <w:szCs w:val="18"/>
          </w:rPr>
          <w:t>35</w:t>
        </w:r>
        <w:r w:rsidRPr="00152DD6">
          <w:rPr>
            <w:noProof/>
            <w:sz w:val="18"/>
            <w:szCs w:val="18"/>
          </w:rPr>
          <w:fldChar w:fldCharType="end"/>
        </w:r>
        <w:r w:rsidRPr="00152DD6">
          <w:rPr>
            <w:noProof/>
            <w:sz w:val="18"/>
            <w:szCs w:val="18"/>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A527DC" w14:paraId="30652703" w14:textId="77777777" w:rsidTr="00D739F9">
      <w:tc>
        <w:tcPr>
          <w:tcW w:w="9923" w:type="dxa"/>
          <w:tcMar>
            <w:left w:w="0" w:type="dxa"/>
          </w:tcMar>
        </w:tcPr>
        <w:p w14:paraId="19ECE6F6" w14:textId="4568E1A4" w:rsidR="00A527DC" w:rsidRDefault="00A527DC" w:rsidP="008653C7">
          <w:pPr>
            <w:pStyle w:val="Header"/>
            <w:spacing w:before="120" w:line="360" w:lineRule="auto"/>
            <w:jc w:val="center"/>
          </w:pPr>
          <w:r w:rsidRPr="008E52B1">
            <w:rPr>
              <w:noProof/>
              <w:color w:val="3399FF"/>
            </w:rPr>
            <w:drawing>
              <wp:inline distT="0" distB="0" distL="0" distR="0" wp14:anchorId="1CD05C2D" wp14:editId="006CFDBF">
                <wp:extent cx="838200" cy="838200"/>
                <wp:effectExtent l="0" t="0" r="0" b="0"/>
                <wp:docPr id="4" name="Picture 4"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bl>
  <w:p w14:paraId="3396680C" w14:textId="77777777" w:rsidR="00A527DC" w:rsidRPr="001B3D4D" w:rsidRDefault="00A527DC" w:rsidP="001B3D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DF2D" w14:textId="77777777" w:rsidR="008653C7" w:rsidRPr="00D239B4" w:rsidRDefault="008653C7" w:rsidP="00100121">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noProof/>
        <w:sz w:val="18"/>
        <w:szCs w:val="16"/>
      </w:rPr>
      <w:t>60</w:t>
    </w:r>
    <w:r w:rsidRPr="00D239B4">
      <w:rPr>
        <w:rStyle w:val="PageNumber"/>
        <w:sz w:val="18"/>
        <w:szCs w:val="16"/>
      </w:rPr>
      <w:fldChar w:fldCharType="end"/>
    </w:r>
    <w:r>
      <w:rPr>
        <w:rStyle w:val="PageNumber"/>
        <w:sz w:val="18"/>
        <w:szCs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04392813"/>
      <w:docPartObj>
        <w:docPartGallery w:val="Page Numbers (Top of Page)"/>
        <w:docPartUnique/>
      </w:docPartObj>
    </w:sdtPr>
    <w:sdtEndPr>
      <w:rPr>
        <w:noProof/>
      </w:rPr>
    </w:sdtEndPr>
    <w:sdtContent>
      <w:p w14:paraId="7992E59E" w14:textId="77777777" w:rsidR="008653C7" w:rsidRPr="00152DD6" w:rsidRDefault="008653C7" w:rsidP="00350B18">
        <w:pPr>
          <w:pStyle w:val="Header"/>
          <w:jc w:val="center"/>
          <w:rPr>
            <w:sz w:val="18"/>
            <w:szCs w:val="18"/>
          </w:rPr>
        </w:pPr>
        <w:r w:rsidRPr="00152DD6">
          <w:rPr>
            <w:sz w:val="18"/>
            <w:szCs w:val="18"/>
          </w:rPr>
          <w:t xml:space="preserve">- </w:t>
        </w:r>
        <w:r w:rsidRPr="00152DD6">
          <w:rPr>
            <w:sz w:val="18"/>
            <w:szCs w:val="18"/>
          </w:rPr>
          <w:fldChar w:fldCharType="begin"/>
        </w:r>
        <w:r w:rsidRPr="00152DD6">
          <w:rPr>
            <w:sz w:val="18"/>
            <w:szCs w:val="18"/>
          </w:rPr>
          <w:instrText xml:space="preserve"> PAGE   \* MERGEFORMAT </w:instrText>
        </w:r>
        <w:r w:rsidRPr="00152DD6">
          <w:rPr>
            <w:sz w:val="18"/>
            <w:szCs w:val="18"/>
          </w:rPr>
          <w:fldChar w:fldCharType="separate"/>
        </w:r>
        <w:r>
          <w:rPr>
            <w:noProof/>
            <w:sz w:val="18"/>
            <w:szCs w:val="18"/>
          </w:rPr>
          <w:t>35</w:t>
        </w:r>
        <w:r w:rsidRPr="00152DD6">
          <w:rPr>
            <w:noProof/>
            <w:sz w:val="18"/>
            <w:szCs w:val="18"/>
          </w:rPr>
          <w:fldChar w:fldCharType="end"/>
        </w:r>
        <w:r w:rsidRPr="00152DD6">
          <w:rPr>
            <w:noProof/>
            <w:sz w:val="18"/>
            <w:szCs w:val="18"/>
          </w:rPr>
          <w:t xml:space="preserve"> -</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83081221"/>
      <w:docPartObj>
        <w:docPartGallery w:val="Page Numbers (Top of Page)"/>
        <w:docPartUnique/>
      </w:docPartObj>
    </w:sdtPr>
    <w:sdtEndPr>
      <w:rPr>
        <w:noProof/>
      </w:rPr>
    </w:sdtEndPr>
    <w:sdtContent>
      <w:p w14:paraId="01D78057" w14:textId="00DC1FDB" w:rsidR="00A527DC" w:rsidRPr="00152DD6" w:rsidRDefault="00A527DC" w:rsidP="00152DD6">
        <w:pPr>
          <w:pStyle w:val="Header"/>
          <w:jc w:val="center"/>
          <w:rPr>
            <w:sz w:val="18"/>
            <w:szCs w:val="18"/>
          </w:rPr>
        </w:pPr>
        <w:r w:rsidRPr="00152DD6">
          <w:rPr>
            <w:sz w:val="18"/>
            <w:szCs w:val="18"/>
          </w:rPr>
          <w:t xml:space="preserve">- </w:t>
        </w:r>
        <w:r w:rsidRPr="00152DD6">
          <w:rPr>
            <w:sz w:val="18"/>
            <w:szCs w:val="18"/>
          </w:rPr>
          <w:fldChar w:fldCharType="begin"/>
        </w:r>
        <w:r w:rsidRPr="00152DD6">
          <w:rPr>
            <w:sz w:val="18"/>
            <w:szCs w:val="18"/>
          </w:rPr>
          <w:instrText xml:space="preserve"> PAGE   \* MERGEFORMAT </w:instrText>
        </w:r>
        <w:r w:rsidRPr="00152DD6">
          <w:rPr>
            <w:sz w:val="18"/>
            <w:szCs w:val="18"/>
          </w:rPr>
          <w:fldChar w:fldCharType="separate"/>
        </w:r>
        <w:r w:rsidR="00DC5CEA">
          <w:rPr>
            <w:noProof/>
            <w:sz w:val="18"/>
            <w:szCs w:val="18"/>
          </w:rPr>
          <w:t>23</w:t>
        </w:r>
        <w:r w:rsidRPr="00152DD6">
          <w:rPr>
            <w:noProof/>
            <w:sz w:val="18"/>
            <w:szCs w:val="18"/>
          </w:rPr>
          <w:fldChar w:fldCharType="end"/>
        </w:r>
        <w:r w:rsidRPr="00152DD6">
          <w:rPr>
            <w:noProof/>
            <w:sz w:val="18"/>
            <w:szCs w:val="18"/>
          </w:rPr>
          <w:t xml:space="preserve"> -</w: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A354C" w14:textId="6B781926" w:rsidR="00A527DC" w:rsidRPr="00446956" w:rsidRDefault="00A527DC" w:rsidP="00C15E0F">
    <w:pPr>
      <w:pStyle w:val="Header"/>
      <w:jc w:val="center"/>
      <w:rPr>
        <w:sz w:val="18"/>
        <w:szCs w:val="16"/>
      </w:rPr>
    </w:pPr>
    <w:r w:rsidRPr="00446956">
      <w:rPr>
        <w:sz w:val="18"/>
        <w:szCs w:val="16"/>
      </w:rPr>
      <w:t xml:space="preserve">- </w:t>
    </w:r>
    <w:sdt>
      <w:sdtPr>
        <w:rPr>
          <w:sz w:val="18"/>
          <w:szCs w:val="16"/>
        </w:rPr>
        <w:id w:val="1443412819"/>
        <w:docPartObj>
          <w:docPartGallery w:val="Page Numbers (Top of Page)"/>
          <w:docPartUnique/>
        </w:docPartObj>
      </w:sdtPr>
      <w:sdtEndPr>
        <w:rPr>
          <w:noProof/>
        </w:rPr>
      </w:sdtEndPr>
      <w:sdtContent>
        <w:r w:rsidRPr="00446956">
          <w:rPr>
            <w:sz w:val="18"/>
            <w:szCs w:val="16"/>
          </w:rPr>
          <w:fldChar w:fldCharType="begin"/>
        </w:r>
        <w:r w:rsidRPr="00446956">
          <w:rPr>
            <w:sz w:val="18"/>
            <w:szCs w:val="16"/>
          </w:rPr>
          <w:instrText xml:space="preserve"> PAGE   \* MERGEFORMAT </w:instrText>
        </w:r>
        <w:r w:rsidRPr="00446956">
          <w:rPr>
            <w:sz w:val="18"/>
            <w:szCs w:val="16"/>
          </w:rPr>
          <w:fldChar w:fldCharType="separate"/>
        </w:r>
        <w:r>
          <w:rPr>
            <w:sz w:val="18"/>
            <w:szCs w:val="16"/>
          </w:rPr>
          <w:t>2</w:t>
        </w:r>
        <w:r w:rsidRPr="00446956">
          <w:rPr>
            <w:noProof/>
            <w:sz w:val="18"/>
            <w:szCs w:val="16"/>
          </w:rPr>
          <w:fldChar w:fldCharType="end"/>
        </w:r>
        <w:r w:rsidRPr="00446956">
          <w:rPr>
            <w:noProof/>
            <w:sz w:val="18"/>
            <w:szCs w:val="16"/>
          </w:rPr>
          <w:t xml:space="preserve"> -</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6F3C" w14:textId="2522C705" w:rsidR="00A527DC" w:rsidRPr="00C15E0F" w:rsidRDefault="00A527DC" w:rsidP="00C15E0F">
    <w:pPr>
      <w:pStyle w:val="Header"/>
      <w:jc w:val="center"/>
      <w:rPr>
        <w:sz w:val="18"/>
        <w:szCs w:val="16"/>
      </w:rPr>
    </w:pPr>
    <w:r w:rsidRPr="00446956">
      <w:rPr>
        <w:sz w:val="18"/>
        <w:szCs w:val="16"/>
      </w:rPr>
      <w:t xml:space="preserve">- </w:t>
    </w:r>
    <w:sdt>
      <w:sdtPr>
        <w:rPr>
          <w:sz w:val="18"/>
          <w:szCs w:val="16"/>
        </w:rPr>
        <w:id w:val="898248273"/>
        <w:docPartObj>
          <w:docPartGallery w:val="Page Numbers (Top of Page)"/>
          <w:docPartUnique/>
        </w:docPartObj>
      </w:sdtPr>
      <w:sdtEndPr>
        <w:rPr>
          <w:noProof/>
        </w:rPr>
      </w:sdtEndPr>
      <w:sdtContent>
        <w:r w:rsidRPr="00446956">
          <w:rPr>
            <w:sz w:val="18"/>
            <w:szCs w:val="16"/>
          </w:rPr>
          <w:fldChar w:fldCharType="begin"/>
        </w:r>
        <w:r w:rsidRPr="00446956">
          <w:rPr>
            <w:sz w:val="18"/>
            <w:szCs w:val="16"/>
          </w:rPr>
          <w:instrText xml:space="preserve"> PAGE   \* MERGEFORMAT </w:instrText>
        </w:r>
        <w:r w:rsidRPr="00446956">
          <w:rPr>
            <w:sz w:val="18"/>
            <w:szCs w:val="16"/>
          </w:rPr>
          <w:fldChar w:fldCharType="separate"/>
        </w:r>
        <w:r w:rsidR="00DC5CEA">
          <w:rPr>
            <w:noProof/>
            <w:sz w:val="18"/>
            <w:szCs w:val="16"/>
          </w:rPr>
          <w:t>61</w:t>
        </w:r>
        <w:r w:rsidRPr="00446956">
          <w:rPr>
            <w:noProof/>
            <w:sz w:val="18"/>
            <w:szCs w:val="16"/>
          </w:rPr>
          <w:fldChar w:fldCharType="end"/>
        </w:r>
        <w:r w:rsidRPr="00446956">
          <w:rPr>
            <w:noProof/>
            <w:sz w:val="18"/>
            <w:szCs w:val="16"/>
          </w:rPr>
          <w:t xml:space="preserve"> -</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31D1" w14:textId="77777777" w:rsidR="008653C7" w:rsidRPr="00D239B4" w:rsidRDefault="008653C7" w:rsidP="00100121">
    <w:pPr>
      <w:pStyle w:val="Header"/>
      <w:jc w:val="center"/>
      <w:rPr>
        <w:sz w:val="18"/>
        <w:szCs w:val="16"/>
      </w:rPr>
    </w:pP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noProof/>
        <w:sz w:val="18"/>
        <w:szCs w:val="16"/>
      </w:rPr>
      <w:t>60</w:t>
    </w:r>
    <w:r w:rsidRPr="00D239B4">
      <w:rPr>
        <w:rStyle w:val="PageNumber"/>
        <w:sz w:val="18"/>
        <w:szCs w:val="16"/>
      </w:rPr>
      <w:fldChar w:fldCharType="end"/>
    </w:r>
    <w:r>
      <w:rPr>
        <w:rStyle w:val="PageNumber"/>
        <w:sz w:val="18"/>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C433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1A1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BC79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F4DE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0AB7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646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4CCF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24BA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1C4C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3BD18B6"/>
    <w:multiLevelType w:val="hybridMultilevel"/>
    <w:tmpl w:val="6D92D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05B777AF"/>
    <w:multiLevelType w:val="hybridMultilevel"/>
    <w:tmpl w:val="9B0A4FC4"/>
    <w:lvl w:ilvl="0" w:tplc="BCA2213E">
      <w:start w:val="1"/>
      <w:numFmt w:val="lowerRoman"/>
      <w:lvlText w:val="%1)"/>
      <w:lvlJc w:val="left"/>
      <w:pPr>
        <w:tabs>
          <w:tab w:val="num" w:pos="780"/>
        </w:tabs>
        <w:ind w:left="780" w:hanging="72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6" w15:restartNumberingAfterBreak="0">
    <w:nsid w:val="068019D4"/>
    <w:multiLevelType w:val="hybridMultilevel"/>
    <w:tmpl w:val="62CCA5E2"/>
    <w:lvl w:ilvl="0" w:tplc="0F8A6AE6">
      <w:start w:val="1"/>
      <w:numFmt w:val="decimal"/>
      <w:lvlText w:val="%1"/>
      <w:lvlJc w:val="left"/>
      <w:pPr>
        <w:ind w:left="1490" w:hanging="1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9A55F6"/>
    <w:multiLevelType w:val="hybridMultilevel"/>
    <w:tmpl w:val="EAB0140A"/>
    <w:lvl w:ilvl="0" w:tplc="BAB66550">
      <w:start w:val="1"/>
      <w:numFmt w:val="decimal"/>
      <w:lvlText w:val="%1."/>
      <w:lvlJc w:val="left"/>
      <w:pPr>
        <w:ind w:left="720" w:hanging="363"/>
      </w:pPr>
      <w:rPr>
        <w:b/>
        <w:color w:val="4472C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D367AFB"/>
    <w:multiLevelType w:val="hybridMultilevel"/>
    <w:tmpl w:val="B97A0C68"/>
    <w:lvl w:ilvl="0" w:tplc="6834FA24">
      <w:start w:val="1"/>
      <w:numFmt w:val="decimal"/>
      <w:lvlText w:val="%1"/>
      <w:lvlJc w:val="left"/>
      <w:pPr>
        <w:ind w:left="1130" w:hanging="113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0DE71431"/>
    <w:multiLevelType w:val="hybridMultilevel"/>
    <w:tmpl w:val="2006093A"/>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0" w15:restartNumberingAfterBreak="0">
    <w:nsid w:val="17B65D09"/>
    <w:multiLevelType w:val="hybridMultilevel"/>
    <w:tmpl w:val="2FA06236"/>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1" w15:restartNumberingAfterBreak="0">
    <w:nsid w:val="1D63175D"/>
    <w:multiLevelType w:val="hybridMultilevel"/>
    <w:tmpl w:val="435A452C"/>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2" w15:restartNumberingAfterBreak="0">
    <w:nsid w:val="24DE0BA0"/>
    <w:multiLevelType w:val="hybridMultilevel"/>
    <w:tmpl w:val="A8EE44F8"/>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3" w15:restartNumberingAfterBreak="0">
    <w:nsid w:val="34F71FAA"/>
    <w:multiLevelType w:val="hybridMultilevel"/>
    <w:tmpl w:val="7D001046"/>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4" w15:restartNumberingAfterBreak="0">
    <w:nsid w:val="35A52CCD"/>
    <w:multiLevelType w:val="hybridMultilevel"/>
    <w:tmpl w:val="C38C4C76"/>
    <w:lvl w:ilvl="0" w:tplc="8E3E7EB8">
      <w:start w:val="2"/>
      <w:numFmt w:val="bullet"/>
      <w:lvlText w:val="﷐"/>
      <w:lvlJc w:val="left"/>
      <w:pPr>
        <w:ind w:left="610" w:hanging="360"/>
      </w:pPr>
      <w:rPr>
        <w:rFonts w:ascii="Times New Roman" w:eastAsia="Times New Roman" w:hAnsi="Times New Roman" w:cs="Times New Roman" w:hint="default"/>
      </w:rPr>
    </w:lvl>
    <w:lvl w:ilvl="1" w:tplc="08090003" w:tentative="1">
      <w:start w:val="1"/>
      <w:numFmt w:val="bullet"/>
      <w:lvlText w:val="o"/>
      <w:lvlJc w:val="left"/>
      <w:pPr>
        <w:ind w:left="1330" w:hanging="360"/>
      </w:pPr>
      <w:rPr>
        <w:rFonts w:ascii="Courier New" w:hAnsi="Courier New" w:cs="Courier New" w:hint="default"/>
      </w:rPr>
    </w:lvl>
    <w:lvl w:ilvl="2" w:tplc="08090005" w:tentative="1">
      <w:start w:val="1"/>
      <w:numFmt w:val="bullet"/>
      <w:lvlText w:val=""/>
      <w:lvlJc w:val="left"/>
      <w:pPr>
        <w:ind w:left="2050" w:hanging="360"/>
      </w:pPr>
      <w:rPr>
        <w:rFonts w:ascii="Wingdings" w:hAnsi="Wingdings" w:hint="default"/>
      </w:rPr>
    </w:lvl>
    <w:lvl w:ilvl="3" w:tplc="08090001" w:tentative="1">
      <w:start w:val="1"/>
      <w:numFmt w:val="bullet"/>
      <w:lvlText w:val=""/>
      <w:lvlJc w:val="left"/>
      <w:pPr>
        <w:ind w:left="2770" w:hanging="360"/>
      </w:pPr>
      <w:rPr>
        <w:rFonts w:ascii="Symbol" w:hAnsi="Symbol" w:hint="default"/>
      </w:rPr>
    </w:lvl>
    <w:lvl w:ilvl="4" w:tplc="08090003" w:tentative="1">
      <w:start w:val="1"/>
      <w:numFmt w:val="bullet"/>
      <w:lvlText w:val="o"/>
      <w:lvlJc w:val="left"/>
      <w:pPr>
        <w:ind w:left="3490" w:hanging="360"/>
      </w:pPr>
      <w:rPr>
        <w:rFonts w:ascii="Courier New" w:hAnsi="Courier New" w:cs="Courier New" w:hint="default"/>
      </w:rPr>
    </w:lvl>
    <w:lvl w:ilvl="5" w:tplc="08090005" w:tentative="1">
      <w:start w:val="1"/>
      <w:numFmt w:val="bullet"/>
      <w:lvlText w:val=""/>
      <w:lvlJc w:val="left"/>
      <w:pPr>
        <w:ind w:left="4210" w:hanging="360"/>
      </w:pPr>
      <w:rPr>
        <w:rFonts w:ascii="Wingdings" w:hAnsi="Wingdings" w:hint="default"/>
      </w:rPr>
    </w:lvl>
    <w:lvl w:ilvl="6" w:tplc="08090001" w:tentative="1">
      <w:start w:val="1"/>
      <w:numFmt w:val="bullet"/>
      <w:lvlText w:val=""/>
      <w:lvlJc w:val="left"/>
      <w:pPr>
        <w:ind w:left="4930" w:hanging="360"/>
      </w:pPr>
      <w:rPr>
        <w:rFonts w:ascii="Symbol" w:hAnsi="Symbol" w:hint="default"/>
      </w:rPr>
    </w:lvl>
    <w:lvl w:ilvl="7" w:tplc="08090003" w:tentative="1">
      <w:start w:val="1"/>
      <w:numFmt w:val="bullet"/>
      <w:lvlText w:val="o"/>
      <w:lvlJc w:val="left"/>
      <w:pPr>
        <w:ind w:left="5650" w:hanging="360"/>
      </w:pPr>
      <w:rPr>
        <w:rFonts w:ascii="Courier New" w:hAnsi="Courier New" w:cs="Courier New" w:hint="default"/>
      </w:rPr>
    </w:lvl>
    <w:lvl w:ilvl="8" w:tplc="08090005" w:tentative="1">
      <w:start w:val="1"/>
      <w:numFmt w:val="bullet"/>
      <w:lvlText w:val=""/>
      <w:lvlJc w:val="left"/>
      <w:pPr>
        <w:ind w:left="6370" w:hanging="360"/>
      </w:pPr>
      <w:rPr>
        <w:rFonts w:ascii="Wingdings" w:hAnsi="Wingdings" w:hint="default"/>
      </w:rPr>
    </w:lvl>
  </w:abstractNum>
  <w:abstractNum w:abstractNumId="25" w15:restartNumberingAfterBreak="0">
    <w:nsid w:val="3E24357B"/>
    <w:multiLevelType w:val="hybridMultilevel"/>
    <w:tmpl w:val="68CCB64C"/>
    <w:lvl w:ilvl="0" w:tplc="D480EDA4">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E811701"/>
    <w:multiLevelType w:val="singleLevel"/>
    <w:tmpl w:val="B2362DC4"/>
    <w:lvl w:ilvl="0">
      <w:start w:val="1"/>
      <w:numFmt w:val="lowerRoman"/>
      <w:lvlText w:val="%1)"/>
      <w:lvlJc w:val="left"/>
      <w:pPr>
        <w:tabs>
          <w:tab w:val="num" w:pos="720"/>
        </w:tabs>
        <w:ind w:left="360" w:hanging="360"/>
      </w:pPr>
      <w:rPr>
        <w:rFonts w:cs="Times New Roman"/>
      </w:rPr>
    </w:lvl>
  </w:abstractNum>
  <w:abstractNum w:abstractNumId="27" w15:restartNumberingAfterBreak="0">
    <w:nsid w:val="40140FC3"/>
    <w:multiLevelType w:val="hybridMultilevel"/>
    <w:tmpl w:val="8C30AD5E"/>
    <w:lvl w:ilvl="0" w:tplc="04090001">
      <w:start w:val="1"/>
      <w:numFmt w:val="bullet"/>
      <w:lvlText w:val=""/>
      <w:lvlJc w:val="left"/>
      <w:pPr>
        <w:tabs>
          <w:tab w:val="num" w:pos="590"/>
        </w:tabs>
        <w:ind w:left="590" w:hanging="360"/>
      </w:pPr>
      <w:rPr>
        <w:rFonts w:ascii="Symbol" w:hAnsi="Symbol" w:hint="default"/>
      </w:rPr>
    </w:lvl>
    <w:lvl w:ilvl="1" w:tplc="04090003">
      <w:start w:val="1"/>
      <w:numFmt w:val="bullet"/>
      <w:lvlText w:val="o"/>
      <w:lvlJc w:val="left"/>
      <w:pPr>
        <w:tabs>
          <w:tab w:val="num" w:pos="1310"/>
        </w:tabs>
        <w:ind w:left="1310" w:hanging="360"/>
      </w:pPr>
      <w:rPr>
        <w:rFonts w:ascii="Courier New" w:hAnsi="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28" w15:restartNumberingAfterBreak="0">
    <w:nsid w:val="430B3948"/>
    <w:multiLevelType w:val="hybridMultilevel"/>
    <w:tmpl w:val="D130C37C"/>
    <w:lvl w:ilvl="0" w:tplc="4E3CEB20">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30" w15:restartNumberingAfterBreak="0">
    <w:nsid w:val="4B8D2A02"/>
    <w:multiLevelType w:val="hybridMultilevel"/>
    <w:tmpl w:val="186E9E46"/>
    <w:lvl w:ilvl="0" w:tplc="2D8CCA30">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711B5A16"/>
    <w:multiLevelType w:val="hybridMultilevel"/>
    <w:tmpl w:val="FCBC4FE2"/>
    <w:lvl w:ilvl="0" w:tplc="C6EE0B8A">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946D3A"/>
    <w:multiLevelType w:val="hybridMultilevel"/>
    <w:tmpl w:val="2252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B14A0"/>
    <w:multiLevelType w:val="hybridMultilevel"/>
    <w:tmpl w:val="CF082358"/>
    <w:lvl w:ilvl="0" w:tplc="F176CBC6">
      <w:start w:val="1"/>
      <w:numFmt w:val="decimal"/>
      <w:lvlText w:val="%1."/>
      <w:lvlJc w:val="left"/>
      <w:pPr>
        <w:ind w:left="720" w:hanging="363"/>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6491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9593534">
    <w:abstractNumId w:val="31"/>
  </w:num>
  <w:num w:numId="3" w16cid:durableId="1451625487">
    <w:abstractNumId w:val="24"/>
  </w:num>
  <w:num w:numId="4" w16cid:durableId="230626001">
    <w:abstractNumId w:val="34"/>
  </w:num>
  <w:num w:numId="5" w16cid:durableId="147861921">
    <w:abstractNumId w:val="28"/>
  </w:num>
  <w:num w:numId="6" w16cid:durableId="12731214">
    <w:abstractNumId w:val="32"/>
  </w:num>
  <w:num w:numId="7" w16cid:durableId="1704986960">
    <w:abstractNumId w:val="14"/>
  </w:num>
  <w:num w:numId="8" w16cid:durableId="805927736">
    <w:abstractNumId w:val="26"/>
  </w:num>
  <w:num w:numId="9" w16cid:durableId="1042513529">
    <w:abstractNumId w:val="15"/>
  </w:num>
  <w:num w:numId="10" w16cid:durableId="136191994">
    <w:abstractNumId w:val="25"/>
  </w:num>
  <w:num w:numId="11" w16cid:durableId="1193418911">
    <w:abstractNumId w:val="23"/>
  </w:num>
  <w:num w:numId="12" w16cid:durableId="2041391449">
    <w:abstractNumId w:val="22"/>
  </w:num>
  <w:num w:numId="13" w16cid:durableId="209609811">
    <w:abstractNumId w:val="27"/>
  </w:num>
  <w:num w:numId="14" w16cid:durableId="1964075117">
    <w:abstractNumId w:val="20"/>
  </w:num>
  <w:num w:numId="15" w16cid:durableId="1800688950">
    <w:abstractNumId w:val="19"/>
  </w:num>
  <w:num w:numId="16" w16cid:durableId="762142965">
    <w:abstractNumId w:val="21"/>
  </w:num>
  <w:num w:numId="17" w16cid:durableId="2118256813">
    <w:abstractNumId w:val="30"/>
  </w:num>
  <w:num w:numId="18" w16cid:durableId="222642376">
    <w:abstractNumId w:val="18"/>
  </w:num>
  <w:num w:numId="19" w16cid:durableId="1521431543">
    <w:abstractNumId w:val="33"/>
  </w:num>
  <w:num w:numId="20" w16cid:durableId="2061174234">
    <w:abstractNumId w:val="16"/>
  </w:num>
  <w:num w:numId="21" w16cid:durableId="2062437758">
    <w:abstractNumId w:val="9"/>
  </w:num>
  <w:num w:numId="22" w16cid:durableId="2028213035">
    <w:abstractNumId w:val="7"/>
  </w:num>
  <w:num w:numId="23" w16cid:durableId="1525632841">
    <w:abstractNumId w:val="6"/>
  </w:num>
  <w:num w:numId="24" w16cid:durableId="852845580">
    <w:abstractNumId w:val="5"/>
  </w:num>
  <w:num w:numId="25" w16cid:durableId="1935623194">
    <w:abstractNumId w:val="4"/>
  </w:num>
  <w:num w:numId="26" w16cid:durableId="613827134">
    <w:abstractNumId w:val="8"/>
  </w:num>
  <w:num w:numId="27" w16cid:durableId="1545363878">
    <w:abstractNumId w:val="3"/>
  </w:num>
  <w:num w:numId="28" w16cid:durableId="2081442775">
    <w:abstractNumId w:val="2"/>
  </w:num>
  <w:num w:numId="29" w16cid:durableId="753357291">
    <w:abstractNumId w:val="1"/>
  </w:num>
  <w:num w:numId="30" w16cid:durableId="246499503">
    <w:abstractNumId w:val="0"/>
  </w:num>
  <w:num w:numId="31" w16cid:durableId="4132802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activeWritingStyle w:appName="MSWord" w:lang="es-ES"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n-GB"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1457F5"/>
    <w:rsid w:val="0000132B"/>
    <w:rsid w:val="00006A31"/>
    <w:rsid w:val="00006C82"/>
    <w:rsid w:val="00010E30"/>
    <w:rsid w:val="00015C76"/>
    <w:rsid w:val="00016635"/>
    <w:rsid w:val="00026CF8"/>
    <w:rsid w:val="00030BD7"/>
    <w:rsid w:val="00031E64"/>
    <w:rsid w:val="00032484"/>
    <w:rsid w:val="00032AC7"/>
    <w:rsid w:val="00034340"/>
    <w:rsid w:val="00035CB3"/>
    <w:rsid w:val="00045A8D"/>
    <w:rsid w:val="0005167A"/>
    <w:rsid w:val="00051770"/>
    <w:rsid w:val="00052350"/>
    <w:rsid w:val="00053AF3"/>
    <w:rsid w:val="00054956"/>
    <w:rsid w:val="00054C7D"/>
    <w:rsid w:val="00054E5D"/>
    <w:rsid w:val="0006092D"/>
    <w:rsid w:val="00060E19"/>
    <w:rsid w:val="000675DD"/>
    <w:rsid w:val="00070258"/>
    <w:rsid w:val="0007323C"/>
    <w:rsid w:val="00086D03"/>
    <w:rsid w:val="00096595"/>
    <w:rsid w:val="0009743A"/>
    <w:rsid w:val="000A096A"/>
    <w:rsid w:val="000A1D4C"/>
    <w:rsid w:val="000A375E"/>
    <w:rsid w:val="000A398E"/>
    <w:rsid w:val="000A4F64"/>
    <w:rsid w:val="000A60D5"/>
    <w:rsid w:val="000A67FE"/>
    <w:rsid w:val="000A7051"/>
    <w:rsid w:val="000A7B42"/>
    <w:rsid w:val="000B0AF6"/>
    <w:rsid w:val="000B0E9B"/>
    <w:rsid w:val="000B2CAE"/>
    <w:rsid w:val="000B353C"/>
    <w:rsid w:val="000C03C7"/>
    <w:rsid w:val="000C2AD0"/>
    <w:rsid w:val="000C45A6"/>
    <w:rsid w:val="000D0B20"/>
    <w:rsid w:val="000D3F3B"/>
    <w:rsid w:val="000E3DEE"/>
    <w:rsid w:val="000E4BCD"/>
    <w:rsid w:val="000F36BF"/>
    <w:rsid w:val="000F517C"/>
    <w:rsid w:val="00100121"/>
    <w:rsid w:val="00100929"/>
    <w:rsid w:val="00100B72"/>
    <w:rsid w:val="00101F7D"/>
    <w:rsid w:val="00103C76"/>
    <w:rsid w:val="00105970"/>
    <w:rsid w:val="00105A37"/>
    <w:rsid w:val="0011265F"/>
    <w:rsid w:val="00117282"/>
    <w:rsid w:val="00117389"/>
    <w:rsid w:val="00121789"/>
    <w:rsid w:val="00121C2D"/>
    <w:rsid w:val="001261DF"/>
    <w:rsid w:val="00134404"/>
    <w:rsid w:val="00136D73"/>
    <w:rsid w:val="0014314B"/>
    <w:rsid w:val="00144DFB"/>
    <w:rsid w:val="001457F5"/>
    <w:rsid w:val="00152DD6"/>
    <w:rsid w:val="0015772C"/>
    <w:rsid w:val="0018251C"/>
    <w:rsid w:val="00187CA3"/>
    <w:rsid w:val="00195EB7"/>
    <w:rsid w:val="00196710"/>
    <w:rsid w:val="00196770"/>
    <w:rsid w:val="00197324"/>
    <w:rsid w:val="001B351B"/>
    <w:rsid w:val="001B3D4D"/>
    <w:rsid w:val="001B42C9"/>
    <w:rsid w:val="001C06DB"/>
    <w:rsid w:val="001C20F2"/>
    <w:rsid w:val="001C6971"/>
    <w:rsid w:val="001D2785"/>
    <w:rsid w:val="001D7070"/>
    <w:rsid w:val="001E2EFF"/>
    <w:rsid w:val="001F2170"/>
    <w:rsid w:val="001F3948"/>
    <w:rsid w:val="001F5A49"/>
    <w:rsid w:val="00201097"/>
    <w:rsid w:val="00201B6E"/>
    <w:rsid w:val="00202510"/>
    <w:rsid w:val="00204F99"/>
    <w:rsid w:val="00206CD7"/>
    <w:rsid w:val="00207DE5"/>
    <w:rsid w:val="00216765"/>
    <w:rsid w:val="00222BB9"/>
    <w:rsid w:val="002232AC"/>
    <w:rsid w:val="0022340A"/>
    <w:rsid w:val="00225DC0"/>
    <w:rsid w:val="00227689"/>
    <w:rsid w:val="002302B3"/>
    <w:rsid w:val="00230C66"/>
    <w:rsid w:val="00235A29"/>
    <w:rsid w:val="00237061"/>
    <w:rsid w:val="00241526"/>
    <w:rsid w:val="002443A2"/>
    <w:rsid w:val="00257BE7"/>
    <w:rsid w:val="002603D5"/>
    <w:rsid w:val="00266E2D"/>
    <w:rsid w:val="00266E74"/>
    <w:rsid w:val="0027145A"/>
    <w:rsid w:val="00283C3B"/>
    <w:rsid w:val="00284251"/>
    <w:rsid w:val="002861E6"/>
    <w:rsid w:val="00287D18"/>
    <w:rsid w:val="002A052F"/>
    <w:rsid w:val="002A2618"/>
    <w:rsid w:val="002A5DD7"/>
    <w:rsid w:val="002B0CAC"/>
    <w:rsid w:val="002B7957"/>
    <w:rsid w:val="002C1307"/>
    <w:rsid w:val="002C42EE"/>
    <w:rsid w:val="002D1CF7"/>
    <w:rsid w:val="002D5A15"/>
    <w:rsid w:val="002D5BDD"/>
    <w:rsid w:val="002E0571"/>
    <w:rsid w:val="002E3D27"/>
    <w:rsid w:val="002E670F"/>
    <w:rsid w:val="002E7525"/>
    <w:rsid w:val="002F0890"/>
    <w:rsid w:val="002F0CD8"/>
    <w:rsid w:val="002F0E7B"/>
    <w:rsid w:val="002F2531"/>
    <w:rsid w:val="002F4967"/>
    <w:rsid w:val="0030356F"/>
    <w:rsid w:val="0030443D"/>
    <w:rsid w:val="00306452"/>
    <w:rsid w:val="00311970"/>
    <w:rsid w:val="00316935"/>
    <w:rsid w:val="00321BC7"/>
    <w:rsid w:val="00323644"/>
    <w:rsid w:val="003266ED"/>
    <w:rsid w:val="00326C68"/>
    <w:rsid w:val="0033029C"/>
    <w:rsid w:val="00331D32"/>
    <w:rsid w:val="00334DED"/>
    <w:rsid w:val="003370B8"/>
    <w:rsid w:val="003419ED"/>
    <w:rsid w:val="00342DAA"/>
    <w:rsid w:val="00343213"/>
    <w:rsid w:val="00345D38"/>
    <w:rsid w:val="0034632B"/>
    <w:rsid w:val="00350B18"/>
    <w:rsid w:val="00352097"/>
    <w:rsid w:val="003528DA"/>
    <w:rsid w:val="00352F17"/>
    <w:rsid w:val="003600D8"/>
    <w:rsid w:val="00361282"/>
    <w:rsid w:val="003666FF"/>
    <w:rsid w:val="00370E74"/>
    <w:rsid w:val="003721DD"/>
    <w:rsid w:val="0037309C"/>
    <w:rsid w:val="00380A6E"/>
    <w:rsid w:val="003836D4"/>
    <w:rsid w:val="003974CD"/>
    <w:rsid w:val="003A18B1"/>
    <w:rsid w:val="003A1F49"/>
    <w:rsid w:val="003A55ED"/>
    <w:rsid w:val="003A5D52"/>
    <w:rsid w:val="003B11B7"/>
    <w:rsid w:val="003B2BDA"/>
    <w:rsid w:val="003B55EC"/>
    <w:rsid w:val="003B5935"/>
    <w:rsid w:val="003C2EA7"/>
    <w:rsid w:val="003C4471"/>
    <w:rsid w:val="003C61BC"/>
    <w:rsid w:val="003C7B4E"/>
    <w:rsid w:val="003C7D41"/>
    <w:rsid w:val="003D4A69"/>
    <w:rsid w:val="003D61AB"/>
    <w:rsid w:val="003D6356"/>
    <w:rsid w:val="003E2213"/>
    <w:rsid w:val="003E504F"/>
    <w:rsid w:val="003E6986"/>
    <w:rsid w:val="003E78D6"/>
    <w:rsid w:val="003E7D98"/>
    <w:rsid w:val="003F05FF"/>
    <w:rsid w:val="003F0E9F"/>
    <w:rsid w:val="00400573"/>
    <w:rsid w:val="004007A3"/>
    <w:rsid w:val="0040471B"/>
    <w:rsid w:val="00406D71"/>
    <w:rsid w:val="00413B58"/>
    <w:rsid w:val="00415F52"/>
    <w:rsid w:val="0042126E"/>
    <w:rsid w:val="00422A03"/>
    <w:rsid w:val="004326DB"/>
    <w:rsid w:val="0043682E"/>
    <w:rsid w:val="0044004E"/>
    <w:rsid w:val="00446611"/>
    <w:rsid w:val="004476BE"/>
    <w:rsid w:val="00447ECB"/>
    <w:rsid w:val="0045115F"/>
    <w:rsid w:val="00460ED5"/>
    <w:rsid w:val="004623F7"/>
    <w:rsid w:val="00472816"/>
    <w:rsid w:val="00476609"/>
    <w:rsid w:val="00480F51"/>
    <w:rsid w:val="00481124"/>
    <w:rsid w:val="004815EB"/>
    <w:rsid w:val="00486CD9"/>
    <w:rsid w:val="00487569"/>
    <w:rsid w:val="00490E07"/>
    <w:rsid w:val="00493208"/>
    <w:rsid w:val="00494563"/>
    <w:rsid w:val="00496864"/>
    <w:rsid w:val="00496920"/>
    <w:rsid w:val="004A2293"/>
    <w:rsid w:val="004A4496"/>
    <w:rsid w:val="004A5136"/>
    <w:rsid w:val="004A5F47"/>
    <w:rsid w:val="004A6070"/>
    <w:rsid w:val="004A7B85"/>
    <w:rsid w:val="004B11AB"/>
    <w:rsid w:val="004B1F8A"/>
    <w:rsid w:val="004B4C74"/>
    <w:rsid w:val="004B59DA"/>
    <w:rsid w:val="004B7C9A"/>
    <w:rsid w:val="004C6779"/>
    <w:rsid w:val="004D733B"/>
    <w:rsid w:val="004E0DC4"/>
    <w:rsid w:val="004E0FB5"/>
    <w:rsid w:val="004E43BB"/>
    <w:rsid w:val="004E460D"/>
    <w:rsid w:val="004E66B6"/>
    <w:rsid w:val="004F178E"/>
    <w:rsid w:val="004F4543"/>
    <w:rsid w:val="004F57BB"/>
    <w:rsid w:val="00500B55"/>
    <w:rsid w:val="00502C6A"/>
    <w:rsid w:val="00505309"/>
    <w:rsid w:val="0050789B"/>
    <w:rsid w:val="00513B2F"/>
    <w:rsid w:val="005224A1"/>
    <w:rsid w:val="0052547B"/>
    <w:rsid w:val="005254D8"/>
    <w:rsid w:val="00534372"/>
    <w:rsid w:val="00535FEF"/>
    <w:rsid w:val="00536980"/>
    <w:rsid w:val="005370F0"/>
    <w:rsid w:val="00537CF6"/>
    <w:rsid w:val="005429A9"/>
    <w:rsid w:val="00543DF8"/>
    <w:rsid w:val="00546101"/>
    <w:rsid w:val="005471E9"/>
    <w:rsid w:val="005514B6"/>
    <w:rsid w:val="00553884"/>
    <w:rsid w:val="00553DD7"/>
    <w:rsid w:val="00561013"/>
    <w:rsid w:val="005638CF"/>
    <w:rsid w:val="00564FF1"/>
    <w:rsid w:val="0056741E"/>
    <w:rsid w:val="0057325A"/>
    <w:rsid w:val="0057469A"/>
    <w:rsid w:val="00580814"/>
    <w:rsid w:val="00583A0B"/>
    <w:rsid w:val="00585B00"/>
    <w:rsid w:val="00595847"/>
    <w:rsid w:val="005A03A3"/>
    <w:rsid w:val="005A0575"/>
    <w:rsid w:val="005A2B92"/>
    <w:rsid w:val="005A3F66"/>
    <w:rsid w:val="005A6CA0"/>
    <w:rsid w:val="005A79E9"/>
    <w:rsid w:val="005B01A7"/>
    <w:rsid w:val="005B2110"/>
    <w:rsid w:val="005B214C"/>
    <w:rsid w:val="005B4CDA"/>
    <w:rsid w:val="005B6339"/>
    <w:rsid w:val="005C25C7"/>
    <w:rsid w:val="005C4BDF"/>
    <w:rsid w:val="005D3669"/>
    <w:rsid w:val="005D6279"/>
    <w:rsid w:val="005E5EB3"/>
    <w:rsid w:val="005E66A6"/>
    <w:rsid w:val="005F0DA1"/>
    <w:rsid w:val="005F3CB6"/>
    <w:rsid w:val="005F523E"/>
    <w:rsid w:val="005F657C"/>
    <w:rsid w:val="005F6DF3"/>
    <w:rsid w:val="00602CD9"/>
    <w:rsid w:val="00602D53"/>
    <w:rsid w:val="006047E5"/>
    <w:rsid w:val="006229CD"/>
    <w:rsid w:val="006269FE"/>
    <w:rsid w:val="006339B8"/>
    <w:rsid w:val="00634FC8"/>
    <w:rsid w:val="00640113"/>
    <w:rsid w:val="0064371D"/>
    <w:rsid w:val="00643FC9"/>
    <w:rsid w:val="00650050"/>
    <w:rsid w:val="00650543"/>
    <w:rsid w:val="00650B2A"/>
    <w:rsid w:val="00651777"/>
    <w:rsid w:val="00654E78"/>
    <w:rsid w:val="006550F8"/>
    <w:rsid w:val="00655284"/>
    <w:rsid w:val="00661014"/>
    <w:rsid w:val="00662F69"/>
    <w:rsid w:val="006644AB"/>
    <w:rsid w:val="0066769F"/>
    <w:rsid w:val="006742B0"/>
    <w:rsid w:val="006829F3"/>
    <w:rsid w:val="00690016"/>
    <w:rsid w:val="006A276C"/>
    <w:rsid w:val="006A27E9"/>
    <w:rsid w:val="006A4D0F"/>
    <w:rsid w:val="006A518B"/>
    <w:rsid w:val="006B0590"/>
    <w:rsid w:val="006B10FF"/>
    <w:rsid w:val="006B12DC"/>
    <w:rsid w:val="006B2598"/>
    <w:rsid w:val="006B49DA"/>
    <w:rsid w:val="006C2C14"/>
    <w:rsid w:val="006C53F8"/>
    <w:rsid w:val="006C7CDE"/>
    <w:rsid w:val="006D5A70"/>
    <w:rsid w:val="006F1107"/>
    <w:rsid w:val="006F3031"/>
    <w:rsid w:val="0070298D"/>
    <w:rsid w:val="007115A4"/>
    <w:rsid w:val="00712442"/>
    <w:rsid w:val="007125ED"/>
    <w:rsid w:val="00715CAA"/>
    <w:rsid w:val="007234B1"/>
    <w:rsid w:val="00723D08"/>
    <w:rsid w:val="00725FDA"/>
    <w:rsid w:val="0072693E"/>
    <w:rsid w:val="00727816"/>
    <w:rsid w:val="00730B9A"/>
    <w:rsid w:val="00734817"/>
    <w:rsid w:val="00734A5A"/>
    <w:rsid w:val="007363B5"/>
    <w:rsid w:val="00744486"/>
    <w:rsid w:val="00750CFA"/>
    <w:rsid w:val="007553DA"/>
    <w:rsid w:val="007712F2"/>
    <w:rsid w:val="00775DB8"/>
    <w:rsid w:val="00782354"/>
    <w:rsid w:val="007921A7"/>
    <w:rsid w:val="007967D3"/>
    <w:rsid w:val="007A7DF3"/>
    <w:rsid w:val="007B248D"/>
    <w:rsid w:val="007B3DB1"/>
    <w:rsid w:val="007B5873"/>
    <w:rsid w:val="007B5CBC"/>
    <w:rsid w:val="007C4F84"/>
    <w:rsid w:val="007C7311"/>
    <w:rsid w:val="007D183E"/>
    <w:rsid w:val="007D43D0"/>
    <w:rsid w:val="007D52CC"/>
    <w:rsid w:val="007E1658"/>
    <w:rsid w:val="007E1833"/>
    <w:rsid w:val="007E3F13"/>
    <w:rsid w:val="007E7912"/>
    <w:rsid w:val="007F751A"/>
    <w:rsid w:val="00800012"/>
    <w:rsid w:val="0080261F"/>
    <w:rsid w:val="00805A02"/>
    <w:rsid w:val="00806160"/>
    <w:rsid w:val="008143A4"/>
    <w:rsid w:val="0081513E"/>
    <w:rsid w:val="00816C3D"/>
    <w:rsid w:val="0082044F"/>
    <w:rsid w:val="00821AB2"/>
    <w:rsid w:val="00826E16"/>
    <w:rsid w:val="00833A59"/>
    <w:rsid w:val="00851867"/>
    <w:rsid w:val="00854131"/>
    <w:rsid w:val="00855045"/>
    <w:rsid w:val="0085652D"/>
    <w:rsid w:val="008653C7"/>
    <w:rsid w:val="0087694B"/>
    <w:rsid w:val="00876E70"/>
    <w:rsid w:val="00880F4D"/>
    <w:rsid w:val="00882A01"/>
    <w:rsid w:val="00883C2A"/>
    <w:rsid w:val="00893E8B"/>
    <w:rsid w:val="008974BA"/>
    <w:rsid w:val="008A3741"/>
    <w:rsid w:val="008B35A3"/>
    <w:rsid w:val="008B37E1"/>
    <w:rsid w:val="008B45F8"/>
    <w:rsid w:val="008B73E9"/>
    <w:rsid w:val="008C2E74"/>
    <w:rsid w:val="008D1C1F"/>
    <w:rsid w:val="008D5409"/>
    <w:rsid w:val="008D60CF"/>
    <w:rsid w:val="008D6955"/>
    <w:rsid w:val="008E006D"/>
    <w:rsid w:val="008E1B78"/>
    <w:rsid w:val="008E2D0D"/>
    <w:rsid w:val="008E38B4"/>
    <w:rsid w:val="008E4AA5"/>
    <w:rsid w:val="008F3050"/>
    <w:rsid w:val="008F4F21"/>
    <w:rsid w:val="0090457D"/>
    <w:rsid w:val="00904D4A"/>
    <w:rsid w:val="0090572C"/>
    <w:rsid w:val="009076D7"/>
    <w:rsid w:val="00912DAB"/>
    <w:rsid w:val="009151BA"/>
    <w:rsid w:val="00925023"/>
    <w:rsid w:val="00926925"/>
    <w:rsid w:val="009277BC"/>
    <w:rsid w:val="00927D57"/>
    <w:rsid w:val="00931A51"/>
    <w:rsid w:val="00943213"/>
    <w:rsid w:val="00947185"/>
    <w:rsid w:val="009518B3"/>
    <w:rsid w:val="00963B5A"/>
    <w:rsid w:val="00963D9D"/>
    <w:rsid w:val="0098013E"/>
    <w:rsid w:val="00981B54"/>
    <w:rsid w:val="0098280D"/>
    <w:rsid w:val="009842C3"/>
    <w:rsid w:val="00986559"/>
    <w:rsid w:val="00987416"/>
    <w:rsid w:val="00991DDE"/>
    <w:rsid w:val="00993418"/>
    <w:rsid w:val="009966AD"/>
    <w:rsid w:val="00997307"/>
    <w:rsid w:val="00997DE8"/>
    <w:rsid w:val="009A009A"/>
    <w:rsid w:val="009A2C11"/>
    <w:rsid w:val="009A5544"/>
    <w:rsid w:val="009A67E7"/>
    <w:rsid w:val="009A6BB6"/>
    <w:rsid w:val="009B296B"/>
    <w:rsid w:val="009B3F43"/>
    <w:rsid w:val="009B4CFB"/>
    <w:rsid w:val="009B5CFA"/>
    <w:rsid w:val="009C161F"/>
    <w:rsid w:val="009C56B4"/>
    <w:rsid w:val="009D1077"/>
    <w:rsid w:val="009D152F"/>
    <w:rsid w:val="009D51A2"/>
    <w:rsid w:val="009E04A8"/>
    <w:rsid w:val="009E1AFD"/>
    <w:rsid w:val="009E4595"/>
    <w:rsid w:val="009E4AEC"/>
    <w:rsid w:val="009E58DC"/>
    <w:rsid w:val="009E5BD8"/>
    <w:rsid w:val="009E681E"/>
    <w:rsid w:val="009E6C92"/>
    <w:rsid w:val="009F21F8"/>
    <w:rsid w:val="009F336E"/>
    <w:rsid w:val="00A119E6"/>
    <w:rsid w:val="00A15E31"/>
    <w:rsid w:val="00A172B6"/>
    <w:rsid w:val="00A20FBC"/>
    <w:rsid w:val="00A26A6D"/>
    <w:rsid w:val="00A31370"/>
    <w:rsid w:val="00A34D6F"/>
    <w:rsid w:val="00A41F91"/>
    <w:rsid w:val="00A527DC"/>
    <w:rsid w:val="00A5775C"/>
    <w:rsid w:val="00A63355"/>
    <w:rsid w:val="00A65E95"/>
    <w:rsid w:val="00A665BE"/>
    <w:rsid w:val="00A66ACE"/>
    <w:rsid w:val="00A7596D"/>
    <w:rsid w:val="00A7694B"/>
    <w:rsid w:val="00A80EFE"/>
    <w:rsid w:val="00A86BE2"/>
    <w:rsid w:val="00A91BD9"/>
    <w:rsid w:val="00A92266"/>
    <w:rsid w:val="00A923A9"/>
    <w:rsid w:val="00A93568"/>
    <w:rsid w:val="00A96272"/>
    <w:rsid w:val="00A963DF"/>
    <w:rsid w:val="00A96D3A"/>
    <w:rsid w:val="00AA3DC8"/>
    <w:rsid w:val="00AA6D1B"/>
    <w:rsid w:val="00AB29DA"/>
    <w:rsid w:val="00AB3FE9"/>
    <w:rsid w:val="00AB516B"/>
    <w:rsid w:val="00AC0C22"/>
    <w:rsid w:val="00AC0C80"/>
    <w:rsid w:val="00AC0ECF"/>
    <w:rsid w:val="00AC121C"/>
    <w:rsid w:val="00AC28F4"/>
    <w:rsid w:val="00AC3896"/>
    <w:rsid w:val="00AC3B61"/>
    <w:rsid w:val="00AD2CF2"/>
    <w:rsid w:val="00AD6F54"/>
    <w:rsid w:val="00AE1563"/>
    <w:rsid w:val="00AE2D88"/>
    <w:rsid w:val="00AE695C"/>
    <w:rsid w:val="00AE6CB2"/>
    <w:rsid w:val="00AE6F6F"/>
    <w:rsid w:val="00AF3325"/>
    <w:rsid w:val="00AF34D9"/>
    <w:rsid w:val="00AF5B37"/>
    <w:rsid w:val="00AF70DA"/>
    <w:rsid w:val="00B019D3"/>
    <w:rsid w:val="00B01B9C"/>
    <w:rsid w:val="00B01F52"/>
    <w:rsid w:val="00B03162"/>
    <w:rsid w:val="00B11EE6"/>
    <w:rsid w:val="00B211E1"/>
    <w:rsid w:val="00B34CF9"/>
    <w:rsid w:val="00B37559"/>
    <w:rsid w:val="00B4054B"/>
    <w:rsid w:val="00B579B0"/>
    <w:rsid w:val="00B57D11"/>
    <w:rsid w:val="00B649D7"/>
    <w:rsid w:val="00B65796"/>
    <w:rsid w:val="00B71365"/>
    <w:rsid w:val="00B81C2F"/>
    <w:rsid w:val="00B84217"/>
    <w:rsid w:val="00B842F9"/>
    <w:rsid w:val="00B90743"/>
    <w:rsid w:val="00B90C45"/>
    <w:rsid w:val="00B93155"/>
    <w:rsid w:val="00B933BE"/>
    <w:rsid w:val="00BA02E0"/>
    <w:rsid w:val="00BA60FA"/>
    <w:rsid w:val="00BC0E33"/>
    <w:rsid w:val="00BC0FC3"/>
    <w:rsid w:val="00BC5546"/>
    <w:rsid w:val="00BD2741"/>
    <w:rsid w:val="00BD3E06"/>
    <w:rsid w:val="00BD6738"/>
    <w:rsid w:val="00BD7E5E"/>
    <w:rsid w:val="00BE63DB"/>
    <w:rsid w:val="00BE6482"/>
    <w:rsid w:val="00BE6574"/>
    <w:rsid w:val="00C04CEA"/>
    <w:rsid w:val="00C068E7"/>
    <w:rsid w:val="00C07319"/>
    <w:rsid w:val="00C10E36"/>
    <w:rsid w:val="00C1313A"/>
    <w:rsid w:val="00C15E0F"/>
    <w:rsid w:val="00C163BA"/>
    <w:rsid w:val="00C16FD2"/>
    <w:rsid w:val="00C3277D"/>
    <w:rsid w:val="00C34691"/>
    <w:rsid w:val="00C4395E"/>
    <w:rsid w:val="00C43F30"/>
    <w:rsid w:val="00C47A62"/>
    <w:rsid w:val="00C47FFD"/>
    <w:rsid w:val="00C51E92"/>
    <w:rsid w:val="00C52998"/>
    <w:rsid w:val="00C57E2C"/>
    <w:rsid w:val="00C608B7"/>
    <w:rsid w:val="00C642A5"/>
    <w:rsid w:val="00C648ED"/>
    <w:rsid w:val="00C6600E"/>
    <w:rsid w:val="00C66F24"/>
    <w:rsid w:val="00C671F5"/>
    <w:rsid w:val="00C76D7F"/>
    <w:rsid w:val="00C813AA"/>
    <w:rsid w:val="00C90ECE"/>
    <w:rsid w:val="00C9291E"/>
    <w:rsid w:val="00CA0570"/>
    <w:rsid w:val="00CA21E0"/>
    <w:rsid w:val="00CA3F44"/>
    <w:rsid w:val="00CA4E58"/>
    <w:rsid w:val="00CA7347"/>
    <w:rsid w:val="00CB13B5"/>
    <w:rsid w:val="00CB3771"/>
    <w:rsid w:val="00CB44BF"/>
    <w:rsid w:val="00CB45C6"/>
    <w:rsid w:val="00CB5153"/>
    <w:rsid w:val="00CC3223"/>
    <w:rsid w:val="00CC4A65"/>
    <w:rsid w:val="00CC514C"/>
    <w:rsid w:val="00CD0DD6"/>
    <w:rsid w:val="00CD5CE4"/>
    <w:rsid w:val="00CE076A"/>
    <w:rsid w:val="00CE1586"/>
    <w:rsid w:val="00CE463D"/>
    <w:rsid w:val="00CE4C34"/>
    <w:rsid w:val="00CE4E08"/>
    <w:rsid w:val="00CE56D9"/>
    <w:rsid w:val="00CE7687"/>
    <w:rsid w:val="00CF1B41"/>
    <w:rsid w:val="00CF4A59"/>
    <w:rsid w:val="00D0248C"/>
    <w:rsid w:val="00D02BC7"/>
    <w:rsid w:val="00D02C16"/>
    <w:rsid w:val="00D10BA0"/>
    <w:rsid w:val="00D173FC"/>
    <w:rsid w:val="00D21694"/>
    <w:rsid w:val="00D22982"/>
    <w:rsid w:val="00D239B4"/>
    <w:rsid w:val="00D24EB5"/>
    <w:rsid w:val="00D2720C"/>
    <w:rsid w:val="00D2790C"/>
    <w:rsid w:val="00D30147"/>
    <w:rsid w:val="00D3280D"/>
    <w:rsid w:val="00D349BD"/>
    <w:rsid w:val="00D35AB9"/>
    <w:rsid w:val="00D371FE"/>
    <w:rsid w:val="00D41571"/>
    <w:rsid w:val="00D416A0"/>
    <w:rsid w:val="00D47672"/>
    <w:rsid w:val="00D5123C"/>
    <w:rsid w:val="00D55560"/>
    <w:rsid w:val="00D61C5A"/>
    <w:rsid w:val="00D63BFF"/>
    <w:rsid w:val="00D66D09"/>
    <w:rsid w:val="00D674A2"/>
    <w:rsid w:val="00D6790C"/>
    <w:rsid w:val="00D7162A"/>
    <w:rsid w:val="00D73277"/>
    <w:rsid w:val="00D739F9"/>
    <w:rsid w:val="00D755CD"/>
    <w:rsid w:val="00D76586"/>
    <w:rsid w:val="00D76B42"/>
    <w:rsid w:val="00D82657"/>
    <w:rsid w:val="00D8270A"/>
    <w:rsid w:val="00D87E20"/>
    <w:rsid w:val="00D96C79"/>
    <w:rsid w:val="00D97EF5"/>
    <w:rsid w:val="00DA4037"/>
    <w:rsid w:val="00DA5CCB"/>
    <w:rsid w:val="00DA7899"/>
    <w:rsid w:val="00DB1E2B"/>
    <w:rsid w:val="00DC27D7"/>
    <w:rsid w:val="00DC5CEA"/>
    <w:rsid w:val="00DC7096"/>
    <w:rsid w:val="00DD275E"/>
    <w:rsid w:val="00DE1381"/>
    <w:rsid w:val="00DE66A5"/>
    <w:rsid w:val="00DF2B50"/>
    <w:rsid w:val="00DF4DBA"/>
    <w:rsid w:val="00E01059"/>
    <w:rsid w:val="00E04C86"/>
    <w:rsid w:val="00E17344"/>
    <w:rsid w:val="00E20F30"/>
    <w:rsid w:val="00E2112F"/>
    <w:rsid w:val="00E2189C"/>
    <w:rsid w:val="00E2199B"/>
    <w:rsid w:val="00E25BB1"/>
    <w:rsid w:val="00E27A85"/>
    <w:rsid w:val="00E27BBA"/>
    <w:rsid w:val="00E30E3F"/>
    <w:rsid w:val="00E310FB"/>
    <w:rsid w:val="00E33D09"/>
    <w:rsid w:val="00E35E8F"/>
    <w:rsid w:val="00E36EC4"/>
    <w:rsid w:val="00E4145D"/>
    <w:rsid w:val="00E428AB"/>
    <w:rsid w:val="00E438E8"/>
    <w:rsid w:val="00E43DCC"/>
    <w:rsid w:val="00E453A3"/>
    <w:rsid w:val="00E47839"/>
    <w:rsid w:val="00E51DF7"/>
    <w:rsid w:val="00E520E2"/>
    <w:rsid w:val="00E530C4"/>
    <w:rsid w:val="00E53DCE"/>
    <w:rsid w:val="00E55996"/>
    <w:rsid w:val="00E55F50"/>
    <w:rsid w:val="00E56659"/>
    <w:rsid w:val="00E621A0"/>
    <w:rsid w:val="00E64254"/>
    <w:rsid w:val="00E67928"/>
    <w:rsid w:val="00E703DD"/>
    <w:rsid w:val="00E70FB5"/>
    <w:rsid w:val="00E71DEC"/>
    <w:rsid w:val="00E772DA"/>
    <w:rsid w:val="00E90AF1"/>
    <w:rsid w:val="00E915AF"/>
    <w:rsid w:val="00E95AE3"/>
    <w:rsid w:val="00E96415"/>
    <w:rsid w:val="00E97C92"/>
    <w:rsid w:val="00EA10AE"/>
    <w:rsid w:val="00EA15B3"/>
    <w:rsid w:val="00EA1E6E"/>
    <w:rsid w:val="00EA1F31"/>
    <w:rsid w:val="00EA7324"/>
    <w:rsid w:val="00EB2358"/>
    <w:rsid w:val="00EB337E"/>
    <w:rsid w:val="00EB3EB8"/>
    <w:rsid w:val="00EC00EF"/>
    <w:rsid w:val="00EC02FE"/>
    <w:rsid w:val="00EC1C3C"/>
    <w:rsid w:val="00EC4A96"/>
    <w:rsid w:val="00ED185C"/>
    <w:rsid w:val="00ED293C"/>
    <w:rsid w:val="00ED3016"/>
    <w:rsid w:val="00ED4AC0"/>
    <w:rsid w:val="00ED553F"/>
    <w:rsid w:val="00EE03A0"/>
    <w:rsid w:val="00EE68C8"/>
    <w:rsid w:val="00EF2329"/>
    <w:rsid w:val="00EF3D59"/>
    <w:rsid w:val="00F17650"/>
    <w:rsid w:val="00F20FDD"/>
    <w:rsid w:val="00F23365"/>
    <w:rsid w:val="00F25B01"/>
    <w:rsid w:val="00F40734"/>
    <w:rsid w:val="00F424BF"/>
    <w:rsid w:val="00F44FC3"/>
    <w:rsid w:val="00F46107"/>
    <w:rsid w:val="00F468C5"/>
    <w:rsid w:val="00F52F39"/>
    <w:rsid w:val="00F6184F"/>
    <w:rsid w:val="00F67CAA"/>
    <w:rsid w:val="00F7279F"/>
    <w:rsid w:val="00F80B2E"/>
    <w:rsid w:val="00F8310E"/>
    <w:rsid w:val="00F8544C"/>
    <w:rsid w:val="00F914DD"/>
    <w:rsid w:val="00F9617B"/>
    <w:rsid w:val="00FA2358"/>
    <w:rsid w:val="00FB2592"/>
    <w:rsid w:val="00FB264C"/>
    <w:rsid w:val="00FB2810"/>
    <w:rsid w:val="00FB4EE1"/>
    <w:rsid w:val="00FB7A2C"/>
    <w:rsid w:val="00FB7EF7"/>
    <w:rsid w:val="00FC2947"/>
    <w:rsid w:val="00FC5DEE"/>
    <w:rsid w:val="00FD0ADD"/>
    <w:rsid w:val="00FD39FB"/>
    <w:rsid w:val="00FD58BD"/>
    <w:rsid w:val="00FE0818"/>
    <w:rsid w:val="00FE37E7"/>
    <w:rsid w:val="00FE4822"/>
    <w:rsid w:val="00FE4A02"/>
    <w:rsid w:val="00FE6FB1"/>
    <w:rsid w:val="00FE6FFC"/>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BB93C1B"/>
  <w15:docId w15:val="{8EDEDBC8-3CA4-4053-8A82-A8559573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1"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h1,Section of paper"/>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te"/>
    <w:link w:val="FootnoteTextChar"/>
    <w:qFormat/>
    <w:rsid w:val="004326DB"/>
    <w:pPr>
      <w:keepLines/>
      <w:tabs>
        <w:tab w:val="left" w:pos="255"/>
      </w:tabs>
      <w:ind w:left="255" w:hanging="255"/>
    </w:pPr>
  </w:style>
  <w:style w:type="paragraph" w:customStyle="1" w:styleId="Note">
    <w:name w:val="Note"/>
    <w:basedOn w:val="Normal"/>
    <w:rsid w:val="00494563"/>
    <w:pPr>
      <w:spacing w:before="80"/>
    </w:p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qFormat/>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rsid w:val="004326DB"/>
    <w:pPr>
      <w:keepNext/>
      <w:spacing w:before="240"/>
      <w:ind w:left="794" w:hanging="794"/>
    </w:pPr>
    <w:rPr>
      <w:b/>
    </w:rPr>
  </w:style>
  <w:style w:type="paragraph" w:customStyle="1" w:styleId="Headingi">
    <w:name w:val="Heading_i"/>
    <w:basedOn w:val="Normal"/>
    <w:next w:val="Normal"/>
    <w:qFormat/>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link w:val="ResNoChar"/>
    <w:rsid w:val="0015772C"/>
    <w:pPr>
      <w:tabs>
        <w:tab w:val="clear" w:pos="794"/>
        <w:tab w:val="clear" w:pos="1191"/>
        <w:tab w:val="clear" w:pos="1588"/>
        <w:tab w:val="clear" w:pos="1985"/>
      </w:tabs>
      <w:spacing w:before="480"/>
      <w:jc w:val="center"/>
    </w:pPr>
    <w:rPr>
      <w:b w:val="0"/>
      <w:caps/>
    </w:rPr>
  </w:style>
  <w:style w:type="paragraph" w:customStyle="1" w:styleId="Restitle">
    <w:name w:val="Res_title"/>
    <w:basedOn w:val="Rectitle"/>
    <w:next w:val="Resref"/>
    <w:link w:val="RestitleChar"/>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uiPriority w:val="99"/>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1"/>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aliases w:val="ECC HL bold"/>
    <w:basedOn w:val="DefaultParagraphFont"/>
    <w:uiPriority w:val="1"/>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aliases w:val="encabezado Char"/>
    <w:basedOn w:val="DefaultParagraphFont"/>
    <w:link w:val="Header"/>
    <w:rsid w:val="001B3D4D"/>
    <w:rPr>
      <w:sz w:val="24"/>
      <w:szCs w:val="22"/>
      <w:lang w:val="en-US" w:eastAsia="en-US"/>
    </w:rPr>
  </w:style>
  <w:style w:type="character" w:customStyle="1" w:styleId="HeadingbChar">
    <w:name w:val="Heading_b Char"/>
    <w:link w:val="Headingb"/>
    <w:locked/>
    <w:rsid w:val="001457F5"/>
    <w:rPr>
      <w:b/>
      <w:sz w:val="24"/>
      <w:szCs w:val="22"/>
      <w:lang w:val="en-US" w:eastAsia="en-US"/>
    </w:rPr>
  </w:style>
  <w:style w:type="character" w:styleId="FollowedHyperlink">
    <w:name w:val="FollowedHyperlink"/>
    <w:basedOn w:val="DefaultParagraphFont"/>
    <w:uiPriority w:val="99"/>
    <w:unhideWhenUsed/>
    <w:rsid w:val="00EE68C8"/>
    <w:rPr>
      <w:color w:val="800080" w:themeColor="followedHyperlink"/>
      <w:u w:val="single"/>
    </w:rPr>
  </w:style>
  <w:style w:type="character" w:customStyle="1" w:styleId="UnresolvedMention1">
    <w:name w:val="Unresolved Mention1"/>
    <w:basedOn w:val="DefaultParagraphFont"/>
    <w:uiPriority w:val="99"/>
    <w:semiHidden/>
    <w:unhideWhenUsed/>
    <w:rsid w:val="007B248D"/>
    <w:rPr>
      <w:color w:val="605E5C"/>
      <w:shd w:val="clear" w:color="auto" w:fill="E1DFDD"/>
    </w:rPr>
  </w:style>
  <w:style w:type="paragraph" w:customStyle="1" w:styleId="AnnexNotitle0">
    <w:name w:val="Annex_No &amp; title"/>
    <w:basedOn w:val="Normal"/>
    <w:next w:val="Normalaftertitle"/>
    <w:rsid w:val="00D7162A"/>
    <w:pPr>
      <w:keepNext/>
      <w:keepLines/>
      <w:spacing w:before="480" w:line="240" w:lineRule="auto"/>
      <w:jc w:val="center"/>
    </w:pPr>
    <w:rPr>
      <w:rFonts w:ascii="Times New Roman" w:hAnsi="Times New Roman" w:cs="Times New Roman"/>
      <w:b/>
      <w:sz w:val="28"/>
      <w:szCs w:val="20"/>
      <w:lang w:val="es-ES_tradnl"/>
    </w:rPr>
  </w:style>
  <w:style w:type="paragraph" w:customStyle="1" w:styleId="AnnexTitle">
    <w:name w:val="Annex_Title"/>
    <w:basedOn w:val="Normal"/>
    <w:next w:val="Normal"/>
    <w:rsid w:val="00D7162A"/>
    <w:pPr>
      <w:keepNext/>
      <w:keepLines/>
      <w:spacing w:before="240" w:after="280" w:line="240" w:lineRule="auto"/>
      <w:jc w:val="center"/>
    </w:pPr>
    <w:rPr>
      <w:rFonts w:ascii="Times New Roman" w:hAnsi="Times New Roman" w:cs="Times New Roman"/>
      <w:b/>
      <w:sz w:val="28"/>
      <w:szCs w:val="20"/>
      <w:lang w:val="en-GB"/>
    </w:rPr>
  </w:style>
  <w:style w:type="table" w:customStyle="1" w:styleId="TableGrid1">
    <w:name w:val="Table Grid1"/>
    <w:basedOn w:val="TableNormal"/>
    <w:next w:val="TableGrid"/>
    <w:uiPriority w:val="59"/>
    <w:rsid w:val="00EB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3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096595"/>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customStyle="1" w:styleId="AnnexNo">
    <w:name w:val="Annex_No"/>
    <w:basedOn w:val="Normal"/>
    <w:next w:val="AnnexTitle"/>
    <w:uiPriority w:val="99"/>
    <w:rsid w:val="0015772C"/>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cs="Times New Roman"/>
      <w:caps/>
      <w:sz w:val="28"/>
      <w:szCs w:val="20"/>
      <w:lang w:val="en-GB"/>
    </w:rPr>
  </w:style>
  <w:style w:type="numbering" w:customStyle="1" w:styleId="NoList1">
    <w:name w:val="No List1"/>
    <w:next w:val="NoList"/>
    <w:uiPriority w:val="99"/>
    <w:semiHidden/>
    <w:unhideWhenUsed/>
    <w:rsid w:val="004A7B85"/>
  </w:style>
  <w:style w:type="character" w:customStyle="1" w:styleId="Heading1Char">
    <w:name w:val="Heading 1 Char"/>
    <w:aliases w:val="h1 Char,Section of paper Char"/>
    <w:basedOn w:val="DefaultParagraphFont"/>
    <w:link w:val="Heading1"/>
    <w:rsid w:val="004A7B85"/>
    <w:rPr>
      <w:b/>
      <w:sz w:val="24"/>
      <w:szCs w:val="22"/>
      <w:lang w:val="en-US" w:eastAsia="en-US"/>
    </w:rPr>
  </w:style>
  <w:style w:type="character" w:customStyle="1" w:styleId="Heading2Char">
    <w:name w:val="Heading 2 Char"/>
    <w:basedOn w:val="DefaultParagraphFont"/>
    <w:link w:val="Heading2"/>
    <w:rsid w:val="004A7B85"/>
    <w:rPr>
      <w:b/>
      <w:sz w:val="24"/>
      <w:szCs w:val="22"/>
      <w:lang w:val="en-US" w:eastAsia="en-US"/>
    </w:rPr>
  </w:style>
  <w:style w:type="character" w:customStyle="1" w:styleId="Heading3Char">
    <w:name w:val="Heading 3 Char"/>
    <w:basedOn w:val="DefaultParagraphFont"/>
    <w:link w:val="Heading3"/>
    <w:rsid w:val="004A7B85"/>
    <w:rPr>
      <w:b/>
      <w:sz w:val="24"/>
      <w:szCs w:val="22"/>
      <w:lang w:val="en-US" w:eastAsia="en-US"/>
    </w:rPr>
  </w:style>
  <w:style w:type="character" w:customStyle="1" w:styleId="Heading4Char">
    <w:name w:val="Heading 4 Char"/>
    <w:basedOn w:val="DefaultParagraphFont"/>
    <w:link w:val="Heading4"/>
    <w:rsid w:val="004A7B85"/>
    <w:rPr>
      <w:b/>
      <w:sz w:val="24"/>
      <w:szCs w:val="22"/>
      <w:lang w:val="en-US" w:eastAsia="en-US"/>
    </w:rPr>
  </w:style>
  <w:style w:type="character" w:customStyle="1" w:styleId="Heading5Char">
    <w:name w:val="Heading 5 Char"/>
    <w:basedOn w:val="DefaultParagraphFont"/>
    <w:link w:val="Heading5"/>
    <w:rsid w:val="004A7B85"/>
    <w:rPr>
      <w:b/>
      <w:sz w:val="24"/>
      <w:szCs w:val="22"/>
      <w:lang w:val="en-US" w:eastAsia="en-US"/>
    </w:rPr>
  </w:style>
  <w:style w:type="character" w:customStyle="1" w:styleId="Heading6Char">
    <w:name w:val="Heading 6 Char"/>
    <w:basedOn w:val="DefaultParagraphFont"/>
    <w:link w:val="Heading6"/>
    <w:rsid w:val="004A7B85"/>
    <w:rPr>
      <w:b/>
      <w:sz w:val="24"/>
      <w:szCs w:val="22"/>
      <w:lang w:val="en-US" w:eastAsia="en-US"/>
    </w:rPr>
  </w:style>
  <w:style w:type="character" w:customStyle="1" w:styleId="Heading7Char">
    <w:name w:val="Heading 7 Char"/>
    <w:basedOn w:val="DefaultParagraphFont"/>
    <w:link w:val="Heading7"/>
    <w:rsid w:val="004A7B85"/>
    <w:rPr>
      <w:b/>
      <w:sz w:val="24"/>
      <w:szCs w:val="22"/>
      <w:lang w:val="en-US" w:eastAsia="en-US"/>
    </w:rPr>
  </w:style>
  <w:style w:type="character" w:customStyle="1" w:styleId="Heading8Char">
    <w:name w:val="Heading 8 Char"/>
    <w:basedOn w:val="DefaultParagraphFont"/>
    <w:link w:val="Heading8"/>
    <w:rsid w:val="004A7B85"/>
    <w:rPr>
      <w:b/>
      <w:sz w:val="24"/>
      <w:szCs w:val="22"/>
      <w:lang w:val="en-US" w:eastAsia="en-US"/>
    </w:rPr>
  </w:style>
  <w:style w:type="character" w:customStyle="1" w:styleId="Heading9Char">
    <w:name w:val="Heading 9 Char"/>
    <w:basedOn w:val="DefaultParagraphFont"/>
    <w:link w:val="Heading9"/>
    <w:rsid w:val="004A7B85"/>
    <w:rPr>
      <w:b/>
      <w:sz w:val="24"/>
      <w:szCs w:val="22"/>
      <w:lang w:val="en-US" w:eastAsia="en-US"/>
    </w:rPr>
  </w:style>
  <w:style w:type="character" w:customStyle="1" w:styleId="FooterChar">
    <w:name w:val="Footer Char"/>
    <w:aliases w:val="pie de página Char"/>
    <w:basedOn w:val="DefaultParagraphFont"/>
    <w:link w:val="Footer"/>
    <w:rsid w:val="004A7B85"/>
    <w:rPr>
      <w:sz w:val="24"/>
      <w:szCs w:val="22"/>
      <w:lang w:val="en-U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4A7B85"/>
    <w:rPr>
      <w:szCs w:val="22"/>
      <w:lang w:val="en-US" w:eastAsia="en-US"/>
    </w:rPr>
  </w:style>
  <w:style w:type="character" w:customStyle="1" w:styleId="enumlev1Char">
    <w:name w:val="enumlev1 Char"/>
    <w:basedOn w:val="DefaultParagraphFont"/>
    <w:link w:val="enumlev1"/>
    <w:qFormat/>
    <w:rsid w:val="004A7B85"/>
    <w:rPr>
      <w:sz w:val="24"/>
      <w:szCs w:val="22"/>
      <w:lang w:val="en-US" w:eastAsia="en-US"/>
    </w:rPr>
  </w:style>
  <w:style w:type="character" w:customStyle="1" w:styleId="NormalaftertitleChar">
    <w:name w:val="Normal_after_title Char"/>
    <w:basedOn w:val="DefaultParagraphFont"/>
    <w:link w:val="Normalaftertitle"/>
    <w:locked/>
    <w:rsid w:val="004A7B85"/>
    <w:rPr>
      <w:sz w:val="24"/>
      <w:szCs w:val="22"/>
      <w:lang w:val="en-US" w:eastAsia="en-US"/>
    </w:rPr>
  </w:style>
  <w:style w:type="character" w:customStyle="1" w:styleId="CallChar">
    <w:name w:val="Call Char"/>
    <w:basedOn w:val="DefaultParagraphFont"/>
    <w:link w:val="Call"/>
    <w:qFormat/>
    <w:locked/>
    <w:rsid w:val="004A7B85"/>
    <w:rPr>
      <w:i/>
      <w:sz w:val="24"/>
      <w:szCs w:val="22"/>
      <w:lang w:val="en-US" w:eastAsia="en-US"/>
    </w:rPr>
  </w:style>
  <w:style w:type="character" w:customStyle="1" w:styleId="RestitleChar">
    <w:name w:val="Res_title Char"/>
    <w:link w:val="Restitle"/>
    <w:locked/>
    <w:rsid w:val="004A7B85"/>
    <w:rPr>
      <w:b/>
      <w:sz w:val="28"/>
      <w:szCs w:val="22"/>
      <w:lang w:val="en-US" w:eastAsia="en-US"/>
    </w:rPr>
  </w:style>
  <w:style w:type="character" w:customStyle="1" w:styleId="TabletextChar">
    <w:name w:val="Table_text Char"/>
    <w:basedOn w:val="DefaultParagraphFont"/>
    <w:link w:val="Tabletext"/>
    <w:locked/>
    <w:rsid w:val="004A7B85"/>
    <w:rPr>
      <w:szCs w:val="22"/>
      <w:lang w:val="en-US" w:eastAsia="en-US"/>
    </w:rPr>
  </w:style>
  <w:style w:type="character" w:customStyle="1" w:styleId="CommentTextChar">
    <w:name w:val="Comment Text Char"/>
    <w:basedOn w:val="DefaultParagraphFont"/>
    <w:rsid w:val="004A7B85"/>
    <w:rPr>
      <w:szCs w:val="22"/>
      <w:lang w:val="en-US" w:eastAsia="en-US"/>
    </w:rPr>
  </w:style>
  <w:style w:type="table" w:customStyle="1" w:styleId="TableGrid3">
    <w:name w:val="Table Grid3"/>
    <w:basedOn w:val="TableNormal"/>
    <w:next w:val="TableGrid"/>
    <w:uiPriority w:val="59"/>
    <w:rsid w:val="004A7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
    <w:name w:val="Figure_No"/>
    <w:basedOn w:val="Normal"/>
    <w:next w:val="Normal"/>
    <w:link w:val="FigureNoChar"/>
    <w:rsid w:val="004A7B85"/>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character" w:customStyle="1" w:styleId="FigureNoChar">
    <w:name w:val="Figure_No Char"/>
    <w:link w:val="FigureNo"/>
    <w:locked/>
    <w:rsid w:val="004A7B85"/>
    <w:rPr>
      <w:rFonts w:ascii="Times New Roman" w:hAnsi="Times New Roman" w:cs="Times New Roman"/>
      <w:caps/>
      <w:lang w:val="en-GB" w:eastAsia="en-US"/>
    </w:rPr>
  </w:style>
  <w:style w:type="paragraph" w:customStyle="1" w:styleId="Figuretitle">
    <w:name w:val="Figure_title"/>
    <w:basedOn w:val="Normal"/>
    <w:next w:val="Normal"/>
    <w:link w:val="FiguretitleChar"/>
    <w:rsid w:val="004A7B85"/>
    <w:pPr>
      <w:keepNext/>
      <w:keepLines/>
      <w:tabs>
        <w:tab w:val="clear" w:pos="794"/>
        <w:tab w:val="clear" w:pos="1191"/>
        <w:tab w:val="clear" w:pos="1588"/>
        <w:tab w:val="clear" w:pos="1985"/>
        <w:tab w:val="left" w:pos="1134"/>
        <w:tab w:val="left" w:pos="1871"/>
        <w:tab w:val="left" w:pos="2268"/>
      </w:tabs>
      <w:spacing w:before="0" w:after="480" w:line="240" w:lineRule="auto"/>
      <w:jc w:val="center"/>
    </w:pPr>
    <w:rPr>
      <w:rFonts w:ascii="Times New Roman Bold" w:hAnsi="Times New Roman Bold" w:cs="Times New Roman"/>
      <w:b/>
      <w:sz w:val="20"/>
      <w:szCs w:val="20"/>
      <w:lang w:val="en-GB"/>
    </w:rPr>
  </w:style>
  <w:style w:type="character" w:customStyle="1" w:styleId="FiguretitleChar">
    <w:name w:val="Figure_title Char"/>
    <w:link w:val="Figuretitle"/>
    <w:locked/>
    <w:rsid w:val="004A7B85"/>
    <w:rPr>
      <w:rFonts w:ascii="Times New Roman Bold" w:hAnsi="Times New Roman Bold" w:cs="Times New Roman"/>
      <w:b/>
      <w:lang w:val="en-GB" w:eastAsia="en-US"/>
    </w:rPr>
  </w:style>
  <w:style w:type="character" w:customStyle="1" w:styleId="hps">
    <w:name w:val="hps"/>
    <w:basedOn w:val="DefaultParagraphFont"/>
    <w:rsid w:val="004A7B85"/>
  </w:style>
  <w:style w:type="paragraph" w:customStyle="1" w:styleId="Annextitle0">
    <w:name w:val="Annex_title"/>
    <w:basedOn w:val="Normal"/>
    <w:next w:val="Normal"/>
    <w:rsid w:val="0015772C"/>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cs="Times New Roman"/>
      <w:b/>
      <w:sz w:val="28"/>
      <w:szCs w:val="20"/>
      <w:lang w:val="en-GB"/>
    </w:rPr>
  </w:style>
  <w:style w:type="paragraph" w:customStyle="1" w:styleId="Normalaftertitle0">
    <w:name w:val="Normal after title"/>
    <w:basedOn w:val="Normal"/>
    <w:next w:val="Normal"/>
    <w:link w:val="NormalaftertitleChar0"/>
    <w:qFormat/>
    <w:rsid w:val="004A7B85"/>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locked/>
    <w:rsid w:val="004A7B85"/>
    <w:rPr>
      <w:rFonts w:ascii="Times New Roman" w:hAnsi="Times New Roman" w:cs="Times New Roman"/>
      <w:sz w:val="24"/>
      <w:lang w:val="en-GB" w:eastAsia="en-US"/>
    </w:rPr>
  </w:style>
  <w:style w:type="character" w:customStyle="1" w:styleId="Appdef">
    <w:name w:val="App_def"/>
    <w:basedOn w:val="DefaultParagraphFont"/>
    <w:rsid w:val="004A7B85"/>
    <w:rPr>
      <w:rFonts w:ascii="Times New Roman" w:hAnsi="Times New Roman"/>
      <w:b/>
    </w:rPr>
  </w:style>
  <w:style w:type="character" w:customStyle="1" w:styleId="Appref">
    <w:name w:val="App_ref"/>
    <w:basedOn w:val="DefaultParagraphFont"/>
    <w:rsid w:val="004A7B85"/>
  </w:style>
  <w:style w:type="paragraph" w:customStyle="1" w:styleId="AppendixNotitle0">
    <w:name w:val="Appendix_No &amp; title"/>
    <w:basedOn w:val="AnnexNotitle0"/>
    <w:next w:val="Normal"/>
    <w:uiPriority w:val="99"/>
    <w:rsid w:val="004A7B85"/>
    <w:rPr>
      <w:lang w:val="en-GB"/>
    </w:rPr>
  </w:style>
  <w:style w:type="character" w:customStyle="1" w:styleId="Artdef">
    <w:name w:val="Art_def"/>
    <w:basedOn w:val="DefaultParagraphFont"/>
    <w:rsid w:val="004A7B85"/>
    <w:rPr>
      <w:rFonts w:ascii="Times New Roman" w:hAnsi="Times New Roman"/>
      <w:b/>
    </w:rPr>
  </w:style>
  <w:style w:type="character" w:customStyle="1" w:styleId="Artref">
    <w:name w:val="Art_ref"/>
    <w:basedOn w:val="DefaultParagraphFont"/>
    <w:qFormat/>
    <w:rsid w:val="004A7B85"/>
  </w:style>
  <w:style w:type="character" w:styleId="EndnoteReference">
    <w:name w:val="endnote reference"/>
    <w:basedOn w:val="DefaultParagraphFont"/>
    <w:rsid w:val="004A7B85"/>
    <w:rPr>
      <w:vertAlign w:val="superscript"/>
    </w:rPr>
  </w:style>
  <w:style w:type="paragraph" w:customStyle="1" w:styleId="FigureNotitle0">
    <w:name w:val="Figure_No &amp; title"/>
    <w:basedOn w:val="Normal"/>
    <w:next w:val="Normal"/>
    <w:rsid w:val="004A7B85"/>
    <w:pPr>
      <w:keepLines/>
      <w:spacing w:before="240" w:after="120" w:line="240" w:lineRule="auto"/>
      <w:jc w:val="center"/>
    </w:pPr>
    <w:rPr>
      <w:rFonts w:ascii="Times New Roman" w:hAnsi="Times New Roman" w:cs="Times New Roman"/>
      <w:b/>
      <w:szCs w:val="20"/>
      <w:lang w:val="en-GB"/>
    </w:rPr>
  </w:style>
  <w:style w:type="paragraph" w:customStyle="1" w:styleId="FigureNoBR">
    <w:name w:val="Figure_No_BR"/>
    <w:basedOn w:val="Normal"/>
    <w:next w:val="Normal"/>
    <w:uiPriority w:val="99"/>
    <w:rsid w:val="004A7B85"/>
    <w:pPr>
      <w:keepNext/>
      <w:keepLines/>
      <w:spacing w:before="480" w:after="120" w:line="240" w:lineRule="auto"/>
      <w:jc w:val="center"/>
    </w:pPr>
    <w:rPr>
      <w:rFonts w:ascii="Times New Roman" w:hAnsi="Times New Roman" w:cs="Times New Roman"/>
      <w:caps/>
      <w:szCs w:val="20"/>
      <w:lang w:val="en-GB"/>
    </w:rPr>
  </w:style>
  <w:style w:type="paragraph" w:customStyle="1" w:styleId="TabletitleBR">
    <w:name w:val="Table_title_BR"/>
    <w:basedOn w:val="Normal"/>
    <w:next w:val="Normal"/>
    <w:uiPriority w:val="99"/>
    <w:rsid w:val="004A7B85"/>
    <w:pPr>
      <w:keepNext/>
      <w:keepLines/>
      <w:spacing w:before="0" w:after="120" w:line="240" w:lineRule="auto"/>
      <w:jc w:val="center"/>
    </w:pPr>
    <w:rPr>
      <w:rFonts w:ascii="Times New Roman" w:hAnsi="Times New Roman" w:cs="Times New Roman"/>
      <w:b/>
      <w:szCs w:val="20"/>
      <w:lang w:val="en-GB"/>
    </w:rPr>
  </w:style>
  <w:style w:type="paragraph" w:customStyle="1" w:styleId="FiguretitleBR">
    <w:name w:val="Figure_title_BR"/>
    <w:basedOn w:val="TabletitleBR"/>
    <w:next w:val="Normal"/>
    <w:uiPriority w:val="99"/>
    <w:rsid w:val="004A7B85"/>
    <w:pPr>
      <w:keepNext w:val="0"/>
      <w:spacing w:after="480"/>
    </w:pPr>
  </w:style>
  <w:style w:type="paragraph" w:customStyle="1" w:styleId="RecNoBR">
    <w:name w:val="Rec_No_BR"/>
    <w:basedOn w:val="Normal"/>
    <w:next w:val="Normal"/>
    <w:uiPriority w:val="99"/>
    <w:rsid w:val="004A7B85"/>
    <w:pPr>
      <w:keepNext/>
      <w:keepLines/>
      <w:spacing w:before="480" w:line="240" w:lineRule="auto"/>
      <w:jc w:val="center"/>
    </w:pPr>
    <w:rPr>
      <w:rFonts w:ascii="Times New Roman" w:hAnsi="Times New Roman" w:cs="Times New Roman"/>
      <w:caps/>
      <w:sz w:val="28"/>
      <w:szCs w:val="20"/>
      <w:lang w:val="en-GB"/>
    </w:rPr>
  </w:style>
  <w:style w:type="paragraph" w:customStyle="1" w:styleId="QuestionNoBR">
    <w:name w:val="Question_No_BR"/>
    <w:basedOn w:val="RecNoBR"/>
    <w:next w:val="Normal"/>
    <w:uiPriority w:val="99"/>
    <w:rsid w:val="004A7B85"/>
  </w:style>
  <w:style w:type="character" w:customStyle="1" w:styleId="Recdef">
    <w:name w:val="Rec_def"/>
    <w:basedOn w:val="DefaultParagraphFont"/>
    <w:rsid w:val="004A7B85"/>
    <w:rPr>
      <w:b/>
    </w:rPr>
  </w:style>
  <w:style w:type="paragraph" w:customStyle="1" w:styleId="RepNoBR">
    <w:name w:val="Rep_No_BR"/>
    <w:basedOn w:val="RecNoBR"/>
    <w:next w:val="Normal"/>
    <w:uiPriority w:val="99"/>
    <w:rsid w:val="004A7B85"/>
  </w:style>
  <w:style w:type="character" w:customStyle="1" w:styleId="Resdef">
    <w:name w:val="Res_def"/>
    <w:basedOn w:val="DefaultParagraphFont"/>
    <w:rsid w:val="004A7B85"/>
    <w:rPr>
      <w:rFonts w:ascii="Times New Roman" w:hAnsi="Times New Roman"/>
      <w:b/>
    </w:rPr>
  </w:style>
  <w:style w:type="paragraph" w:customStyle="1" w:styleId="ResNoBR">
    <w:name w:val="Res_No_BR"/>
    <w:basedOn w:val="RecNoBR"/>
    <w:next w:val="Normal"/>
    <w:uiPriority w:val="99"/>
    <w:rsid w:val="004A7B85"/>
  </w:style>
  <w:style w:type="character" w:customStyle="1" w:styleId="Tablefreq">
    <w:name w:val="Table_freq"/>
    <w:basedOn w:val="DefaultParagraphFont"/>
    <w:rsid w:val="004A7B85"/>
    <w:rPr>
      <w:b/>
      <w:color w:val="auto"/>
    </w:rPr>
  </w:style>
  <w:style w:type="paragraph" w:customStyle="1" w:styleId="TableNotitle0">
    <w:name w:val="Table_No &amp; title"/>
    <w:basedOn w:val="Normal"/>
    <w:next w:val="Tablehead"/>
    <w:rsid w:val="004A7B85"/>
    <w:pPr>
      <w:keepNext/>
      <w:keepLines/>
      <w:spacing w:before="360" w:after="120" w:line="240" w:lineRule="auto"/>
      <w:jc w:val="center"/>
    </w:pPr>
    <w:rPr>
      <w:rFonts w:ascii="Times New Roman" w:hAnsi="Times New Roman" w:cs="Times New Roman"/>
      <w:b/>
      <w:szCs w:val="20"/>
      <w:lang w:val="en-GB"/>
    </w:rPr>
  </w:style>
  <w:style w:type="paragraph" w:customStyle="1" w:styleId="TableNoBR">
    <w:name w:val="Table_No_BR"/>
    <w:basedOn w:val="Normal"/>
    <w:next w:val="TabletitleBR"/>
    <w:uiPriority w:val="99"/>
    <w:rsid w:val="004A7B85"/>
    <w:pPr>
      <w:keepNext/>
      <w:spacing w:before="560" w:after="120" w:line="240" w:lineRule="auto"/>
      <w:jc w:val="center"/>
    </w:pPr>
    <w:rPr>
      <w:rFonts w:ascii="Times New Roman" w:hAnsi="Times New Roman" w:cs="Times New Roman"/>
      <w:caps/>
      <w:szCs w:val="20"/>
      <w:lang w:val="en-GB"/>
    </w:rPr>
  </w:style>
  <w:style w:type="paragraph" w:customStyle="1" w:styleId="Tableref">
    <w:name w:val="Table_ref"/>
    <w:basedOn w:val="Normal"/>
    <w:next w:val="TabletitleBR"/>
    <w:rsid w:val="004A7B85"/>
    <w:pPr>
      <w:keepNext/>
      <w:spacing w:before="0" w:after="120" w:line="240" w:lineRule="auto"/>
      <w:jc w:val="center"/>
    </w:pPr>
    <w:rPr>
      <w:rFonts w:ascii="Times New Roman" w:hAnsi="Times New Roman" w:cs="Times New Roman"/>
      <w:szCs w:val="20"/>
      <w:lang w:val="en-GB"/>
    </w:rPr>
  </w:style>
  <w:style w:type="paragraph" w:customStyle="1" w:styleId="TableNo">
    <w:name w:val="Table_No"/>
    <w:basedOn w:val="Normal"/>
    <w:next w:val="Normal"/>
    <w:link w:val="TableNoChar"/>
    <w:rsid w:val="00C90ECE"/>
    <w:pPr>
      <w:keepNext/>
      <w:tabs>
        <w:tab w:val="clear" w:pos="794"/>
        <w:tab w:val="clear" w:pos="1191"/>
        <w:tab w:val="clear" w:pos="1588"/>
        <w:tab w:val="clear" w:pos="1985"/>
        <w:tab w:val="left" w:pos="1134"/>
        <w:tab w:val="left" w:pos="1871"/>
        <w:tab w:val="left" w:pos="2268"/>
      </w:tabs>
      <w:spacing w:before="560" w:after="120" w:line="240" w:lineRule="auto"/>
      <w:jc w:val="center"/>
    </w:pPr>
    <w:rPr>
      <w:rFonts w:cs="Times New Roman"/>
      <w:caps/>
      <w:sz w:val="20"/>
      <w:szCs w:val="20"/>
      <w:lang w:val="en-GB"/>
    </w:rPr>
  </w:style>
  <w:style w:type="character" w:customStyle="1" w:styleId="TableNoChar">
    <w:name w:val="Table_No Char"/>
    <w:link w:val="TableNo"/>
    <w:locked/>
    <w:rsid w:val="00C90ECE"/>
    <w:rPr>
      <w:rFonts w:cs="Times New Roman"/>
      <w:caps/>
      <w:lang w:val="en-GB" w:eastAsia="en-US"/>
    </w:rPr>
  </w:style>
  <w:style w:type="paragraph" w:customStyle="1" w:styleId="Tabletitle">
    <w:name w:val="Table_title"/>
    <w:basedOn w:val="Normal"/>
    <w:next w:val="Tabletext"/>
    <w:link w:val="TabletitleChar"/>
    <w:rsid w:val="004A7B85"/>
    <w:pPr>
      <w:keepNext/>
      <w:keepLines/>
      <w:tabs>
        <w:tab w:val="clear" w:pos="794"/>
        <w:tab w:val="clear" w:pos="1191"/>
        <w:tab w:val="clear" w:pos="1588"/>
        <w:tab w:val="clear" w:pos="1985"/>
        <w:tab w:val="left" w:pos="1134"/>
        <w:tab w:val="left" w:pos="1871"/>
        <w:tab w:val="left" w:pos="2268"/>
      </w:tabs>
      <w:spacing w:before="0" w:after="120" w:line="240" w:lineRule="auto"/>
      <w:jc w:val="center"/>
    </w:pPr>
    <w:rPr>
      <w:rFonts w:ascii="Times New Roman Bold" w:hAnsi="Times New Roman Bold" w:cs="Times New Roman"/>
      <w:b/>
      <w:sz w:val="20"/>
      <w:szCs w:val="20"/>
      <w:lang w:val="en-GB"/>
    </w:rPr>
  </w:style>
  <w:style w:type="character" w:customStyle="1" w:styleId="TabletitleChar">
    <w:name w:val="Table_title Char"/>
    <w:basedOn w:val="DefaultParagraphFont"/>
    <w:link w:val="Tabletitle"/>
    <w:uiPriority w:val="99"/>
    <w:locked/>
    <w:rsid w:val="004A7B85"/>
    <w:rPr>
      <w:rFonts w:ascii="Times New Roman Bold" w:hAnsi="Times New Roman Bold" w:cs="Times New Roman"/>
      <w:b/>
      <w:lang w:val="en-GB" w:eastAsia="en-US"/>
    </w:rPr>
  </w:style>
  <w:style w:type="paragraph" w:customStyle="1" w:styleId="2">
    <w:name w:val="2"/>
    <w:basedOn w:val="Heading1"/>
    <w:rsid w:val="004A7B85"/>
    <w:pPr>
      <w:spacing w:before="360" w:line="240" w:lineRule="auto"/>
      <w:jc w:val="left"/>
    </w:pPr>
    <w:rPr>
      <w:rFonts w:ascii="Times New Roman" w:hAnsi="Times New Roman" w:cs="Times New Roman"/>
      <w:szCs w:val="20"/>
      <w:lang w:val="en-GB"/>
    </w:rPr>
  </w:style>
  <w:style w:type="paragraph" w:styleId="ListBullet">
    <w:name w:val="List Bullet"/>
    <w:basedOn w:val="Normal"/>
    <w:rsid w:val="004A7B85"/>
    <w:pPr>
      <w:tabs>
        <w:tab w:val="num" w:pos="360"/>
      </w:tabs>
      <w:spacing w:before="120" w:line="240" w:lineRule="auto"/>
      <w:ind w:left="360" w:hanging="360"/>
      <w:contextualSpacing/>
      <w:jc w:val="left"/>
    </w:pPr>
    <w:rPr>
      <w:rFonts w:ascii="Times New Roman" w:hAnsi="Times New Roman" w:cs="Times New Roman"/>
      <w:szCs w:val="20"/>
      <w:lang w:val="en-GB"/>
    </w:rPr>
  </w:style>
  <w:style w:type="character" w:customStyle="1" w:styleId="EndnoteTextChar">
    <w:name w:val="Endnote Text Char"/>
    <w:basedOn w:val="DefaultParagraphFont"/>
    <w:link w:val="EndnoteText"/>
    <w:semiHidden/>
    <w:rsid w:val="004A7B85"/>
    <w:rPr>
      <w:rFonts w:ascii="Times New Roman" w:hAnsi="Times New Roman" w:cs="Times New Roman"/>
      <w:lang w:val="en-GB" w:eastAsia="en-US"/>
    </w:rPr>
  </w:style>
  <w:style w:type="paragraph" w:styleId="EndnoteText">
    <w:name w:val="endnote text"/>
    <w:basedOn w:val="Normal"/>
    <w:link w:val="EndnoteTextChar"/>
    <w:semiHidden/>
    <w:unhideWhenUsed/>
    <w:rsid w:val="004A7B85"/>
    <w:pPr>
      <w:spacing w:before="0" w:line="240" w:lineRule="auto"/>
      <w:jc w:val="left"/>
    </w:pPr>
    <w:rPr>
      <w:rFonts w:ascii="Times New Roman" w:hAnsi="Times New Roman" w:cs="Times New Roman"/>
      <w:sz w:val="20"/>
      <w:szCs w:val="20"/>
      <w:lang w:val="en-GB"/>
    </w:rPr>
  </w:style>
  <w:style w:type="character" w:customStyle="1" w:styleId="EndnoteTextChar1">
    <w:name w:val="Endnote Text Char1"/>
    <w:basedOn w:val="DefaultParagraphFont"/>
    <w:semiHidden/>
    <w:rsid w:val="004A7B85"/>
    <w:rPr>
      <w:lang w:val="en-US" w:eastAsia="en-US"/>
    </w:rPr>
  </w:style>
  <w:style w:type="paragraph" w:customStyle="1" w:styleId="Annexref">
    <w:name w:val="Annex_ref"/>
    <w:basedOn w:val="Normal"/>
    <w:next w:val="Normal"/>
    <w:rsid w:val="004A7B85"/>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Cs w:val="20"/>
      <w:lang w:val="en-GB"/>
    </w:rPr>
  </w:style>
  <w:style w:type="paragraph" w:customStyle="1" w:styleId="AppendixNo">
    <w:name w:val="Appendix_No"/>
    <w:basedOn w:val="AnnexNo"/>
    <w:next w:val="Annexref"/>
    <w:rsid w:val="004A7B85"/>
  </w:style>
  <w:style w:type="paragraph" w:customStyle="1" w:styleId="Appendixref">
    <w:name w:val="Appendix_ref"/>
    <w:basedOn w:val="Annexref"/>
    <w:next w:val="Annextitle0"/>
    <w:rsid w:val="004A7B85"/>
  </w:style>
  <w:style w:type="paragraph" w:customStyle="1" w:styleId="Appendixtitle">
    <w:name w:val="Appendix_title"/>
    <w:basedOn w:val="Annextitle0"/>
    <w:next w:val="Normal"/>
    <w:rsid w:val="004A7B85"/>
  </w:style>
  <w:style w:type="paragraph" w:customStyle="1" w:styleId="Border">
    <w:name w:val="Border"/>
    <w:basedOn w:val="Tabletext"/>
    <w:rsid w:val="004A7B85"/>
    <w:pPr>
      <w:pBdr>
        <w:bottom w:val="single" w:sz="6" w:space="0" w:color="auto"/>
      </w:pBd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hAnsi="Times New Roman" w:cs="Times New Roman"/>
      <w:b/>
      <w:noProof/>
      <w:szCs w:val="20"/>
      <w:lang w:val="en-GB" w:eastAsia="nl-NL"/>
    </w:rPr>
  </w:style>
  <w:style w:type="paragraph" w:styleId="NormalIndent0">
    <w:name w:val="Normal Indent"/>
    <w:basedOn w:val="Normal"/>
    <w:rsid w:val="004A7B85"/>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Cs w:val="20"/>
      <w:lang w:val="en-GB"/>
    </w:rPr>
  </w:style>
  <w:style w:type="paragraph" w:styleId="Index4">
    <w:name w:val="index 4"/>
    <w:basedOn w:val="Normal"/>
    <w:next w:val="Normal"/>
    <w:rsid w:val="004A7B85"/>
    <w:pPr>
      <w:tabs>
        <w:tab w:val="clear" w:pos="794"/>
        <w:tab w:val="clear" w:pos="1191"/>
        <w:tab w:val="clear" w:pos="1588"/>
        <w:tab w:val="clear" w:pos="1985"/>
        <w:tab w:val="left" w:pos="1134"/>
        <w:tab w:val="left" w:pos="1871"/>
        <w:tab w:val="left" w:pos="2268"/>
      </w:tabs>
      <w:spacing w:before="120" w:line="240" w:lineRule="auto"/>
      <w:ind w:left="849"/>
      <w:jc w:val="left"/>
    </w:pPr>
    <w:rPr>
      <w:rFonts w:ascii="Times New Roman" w:hAnsi="Times New Roman" w:cs="Times New Roman"/>
      <w:szCs w:val="20"/>
      <w:lang w:val="en-GB"/>
    </w:rPr>
  </w:style>
  <w:style w:type="paragraph" w:styleId="Index5">
    <w:name w:val="index 5"/>
    <w:basedOn w:val="Normal"/>
    <w:next w:val="Normal"/>
    <w:rsid w:val="004A7B85"/>
    <w:pPr>
      <w:tabs>
        <w:tab w:val="clear" w:pos="794"/>
        <w:tab w:val="clear" w:pos="1191"/>
        <w:tab w:val="clear" w:pos="1588"/>
        <w:tab w:val="clear" w:pos="1985"/>
        <w:tab w:val="left" w:pos="1134"/>
        <w:tab w:val="left" w:pos="1871"/>
        <w:tab w:val="left" w:pos="2268"/>
      </w:tabs>
      <w:spacing w:before="120" w:line="240" w:lineRule="auto"/>
      <w:ind w:left="1132"/>
      <w:jc w:val="left"/>
    </w:pPr>
    <w:rPr>
      <w:rFonts w:ascii="Times New Roman" w:hAnsi="Times New Roman" w:cs="Times New Roman"/>
      <w:szCs w:val="20"/>
      <w:lang w:val="en-GB"/>
    </w:rPr>
  </w:style>
  <w:style w:type="paragraph" w:styleId="Index6">
    <w:name w:val="index 6"/>
    <w:basedOn w:val="Normal"/>
    <w:next w:val="Normal"/>
    <w:rsid w:val="004A7B85"/>
    <w:pPr>
      <w:tabs>
        <w:tab w:val="clear" w:pos="794"/>
        <w:tab w:val="clear" w:pos="1191"/>
        <w:tab w:val="clear" w:pos="1588"/>
        <w:tab w:val="clear" w:pos="1985"/>
        <w:tab w:val="left" w:pos="1134"/>
        <w:tab w:val="left" w:pos="1871"/>
        <w:tab w:val="left" w:pos="2268"/>
      </w:tabs>
      <w:spacing w:before="120" w:line="240" w:lineRule="auto"/>
      <w:ind w:left="1415"/>
      <w:jc w:val="left"/>
    </w:pPr>
    <w:rPr>
      <w:rFonts w:ascii="Times New Roman" w:hAnsi="Times New Roman" w:cs="Times New Roman"/>
      <w:szCs w:val="20"/>
      <w:lang w:val="en-GB"/>
    </w:rPr>
  </w:style>
  <w:style w:type="paragraph" w:styleId="Index7">
    <w:name w:val="index 7"/>
    <w:basedOn w:val="Normal"/>
    <w:next w:val="Normal"/>
    <w:rsid w:val="004A7B85"/>
    <w:pPr>
      <w:tabs>
        <w:tab w:val="clear" w:pos="794"/>
        <w:tab w:val="clear" w:pos="1191"/>
        <w:tab w:val="clear" w:pos="1588"/>
        <w:tab w:val="clear" w:pos="1985"/>
        <w:tab w:val="left" w:pos="1134"/>
        <w:tab w:val="left" w:pos="1871"/>
        <w:tab w:val="left" w:pos="2268"/>
      </w:tabs>
      <w:spacing w:before="120" w:line="240" w:lineRule="auto"/>
      <w:ind w:left="1698"/>
      <w:jc w:val="left"/>
    </w:pPr>
    <w:rPr>
      <w:rFonts w:ascii="Times New Roman" w:hAnsi="Times New Roman" w:cs="Times New Roman"/>
      <w:szCs w:val="20"/>
      <w:lang w:val="en-GB"/>
    </w:rPr>
  </w:style>
  <w:style w:type="paragraph" w:styleId="IndexHeading">
    <w:name w:val="index heading"/>
    <w:basedOn w:val="Normal"/>
    <w:next w:val="Index1"/>
    <w:rsid w:val="004A7B85"/>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en-GB"/>
    </w:rPr>
  </w:style>
  <w:style w:type="character" w:styleId="LineNumber">
    <w:name w:val="line number"/>
    <w:basedOn w:val="DefaultParagraphFont"/>
    <w:rsid w:val="004A7B85"/>
  </w:style>
  <w:style w:type="paragraph" w:customStyle="1" w:styleId="Proposal">
    <w:name w:val="Proposal"/>
    <w:basedOn w:val="Normal"/>
    <w:next w:val="Normal"/>
    <w:rsid w:val="004A7B85"/>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szCs w:val="20"/>
      <w:lang w:val="en-GB"/>
    </w:rPr>
  </w:style>
  <w:style w:type="paragraph" w:customStyle="1" w:styleId="Section3">
    <w:name w:val="Section_3"/>
    <w:basedOn w:val="Section1"/>
    <w:rsid w:val="004A7B85"/>
    <w:pPr>
      <w:tabs>
        <w:tab w:val="center" w:pos="4820"/>
      </w:tabs>
      <w:spacing w:before="360" w:line="240" w:lineRule="auto"/>
    </w:pPr>
    <w:rPr>
      <w:rFonts w:ascii="Times New Roman" w:hAnsi="Times New Roman" w:cs="Times New Roman"/>
      <w:b w:val="0"/>
      <w:szCs w:val="20"/>
      <w:lang w:val="en-GB"/>
    </w:rPr>
  </w:style>
  <w:style w:type="paragraph" w:customStyle="1" w:styleId="TableTextS5">
    <w:name w:val="Table_TextS5"/>
    <w:basedOn w:val="Normal"/>
    <w:rsid w:val="004A7B85"/>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hAnsi="Times New Roman" w:cs="Times New Roman"/>
      <w:sz w:val="20"/>
      <w:szCs w:val="20"/>
      <w:lang w:val="en-GB"/>
    </w:rPr>
  </w:style>
  <w:style w:type="paragraph" w:customStyle="1" w:styleId="NoteannexappBR">
    <w:name w:val="Note_annex_app_BR"/>
    <w:basedOn w:val="Note"/>
    <w:uiPriority w:val="99"/>
    <w:rsid w:val="004A7B85"/>
    <w:pPr>
      <w:spacing w:line="240" w:lineRule="auto"/>
      <w:jc w:val="left"/>
    </w:pPr>
    <w:rPr>
      <w:rFonts w:ascii="Times New Roman" w:hAnsi="Times New Roman" w:cs="Times New Roman"/>
      <w:sz w:val="22"/>
      <w:szCs w:val="20"/>
      <w:lang w:val="en-GB"/>
    </w:rPr>
  </w:style>
  <w:style w:type="paragraph" w:styleId="BlockText">
    <w:name w:val="Block Text"/>
    <w:basedOn w:val="Normal"/>
    <w:rsid w:val="004A7B85"/>
    <w:pPr>
      <w:spacing w:before="0" w:after="60" w:line="240" w:lineRule="auto"/>
      <w:ind w:left="567" w:right="567"/>
      <w:jc w:val="left"/>
    </w:pPr>
    <w:rPr>
      <w:rFonts w:ascii="Times New Roman" w:hAnsi="Times New Roman" w:cs="Times New Roman"/>
      <w:bCs/>
      <w:i/>
      <w:iCs/>
      <w:szCs w:val="20"/>
      <w:lang w:val="en-GB"/>
    </w:rPr>
  </w:style>
  <w:style w:type="paragraph" w:styleId="BodyText">
    <w:name w:val="Body Text"/>
    <w:basedOn w:val="Normal"/>
    <w:link w:val="BodyTextChar"/>
    <w:rsid w:val="004A7B85"/>
    <w:pPr>
      <w:spacing w:before="120" w:line="240" w:lineRule="auto"/>
    </w:pPr>
    <w:rPr>
      <w:rFonts w:ascii="Times New Roman" w:hAnsi="Times New Roman" w:cs="Times New Roman"/>
      <w:szCs w:val="20"/>
      <w:lang w:val="en-GB"/>
    </w:rPr>
  </w:style>
  <w:style w:type="character" w:customStyle="1" w:styleId="BodyTextChar">
    <w:name w:val="Body Text Char"/>
    <w:basedOn w:val="DefaultParagraphFont"/>
    <w:link w:val="BodyText"/>
    <w:rsid w:val="004A7B85"/>
    <w:rPr>
      <w:rFonts w:ascii="Times New Roman" w:hAnsi="Times New Roman" w:cs="Times New Roman"/>
      <w:sz w:val="24"/>
      <w:lang w:val="en-GB" w:eastAsia="en-US"/>
    </w:rPr>
  </w:style>
  <w:style w:type="paragraph" w:customStyle="1" w:styleId="Line">
    <w:name w:val="Line"/>
    <w:basedOn w:val="Normal"/>
    <w:next w:val="Normal"/>
    <w:rsid w:val="004A7B85"/>
    <w:pPr>
      <w:tabs>
        <w:tab w:val="clear" w:pos="794"/>
        <w:tab w:val="clear" w:pos="1191"/>
        <w:tab w:val="clear" w:pos="1588"/>
        <w:tab w:val="clear" w:pos="1985"/>
      </w:tabs>
      <w:spacing w:before="159" w:line="240" w:lineRule="auto"/>
      <w:jc w:val="center"/>
      <w:textAlignment w:val="auto"/>
    </w:pPr>
    <w:rPr>
      <w:rFonts w:ascii="Times New Roman" w:hAnsi="Times New Roman" w:cs="Times New Roman"/>
      <w:sz w:val="20"/>
      <w:szCs w:val="20"/>
      <w:lang w:val="es-ES_tradnl"/>
    </w:rPr>
  </w:style>
  <w:style w:type="paragraph" w:styleId="BodyTextIndent">
    <w:name w:val="Body Text Indent"/>
    <w:basedOn w:val="Normal"/>
    <w:link w:val="BodyTextIndentChar"/>
    <w:rsid w:val="004A7B85"/>
    <w:pPr>
      <w:spacing w:before="120" w:line="240" w:lineRule="auto"/>
      <w:ind w:left="360"/>
      <w:jc w:val="left"/>
    </w:pPr>
    <w:rPr>
      <w:rFonts w:ascii="Times New Roman" w:hAnsi="Times New Roman" w:cs="Times New Roman"/>
      <w:szCs w:val="20"/>
      <w:lang w:val="en-GB"/>
    </w:rPr>
  </w:style>
  <w:style w:type="character" w:customStyle="1" w:styleId="BodyTextIndentChar">
    <w:name w:val="Body Text Indent Char"/>
    <w:basedOn w:val="DefaultParagraphFont"/>
    <w:link w:val="BodyTextIndent"/>
    <w:rsid w:val="004A7B85"/>
    <w:rPr>
      <w:rFonts w:ascii="Times New Roman" w:hAnsi="Times New Roman" w:cs="Times New Roman"/>
      <w:sz w:val="24"/>
      <w:lang w:val="en-GB" w:eastAsia="en-US"/>
    </w:rPr>
  </w:style>
  <w:style w:type="paragraph" w:styleId="BodyTextIndent2">
    <w:name w:val="Body Text Indent 2"/>
    <w:basedOn w:val="Normal"/>
    <w:link w:val="BodyTextIndent2Char"/>
    <w:uiPriority w:val="99"/>
    <w:rsid w:val="004A7B85"/>
    <w:pPr>
      <w:spacing w:before="120" w:line="240" w:lineRule="auto"/>
      <w:ind w:left="357"/>
      <w:jc w:val="left"/>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uiPriority w:val="99"/>
    <w:rsid w:val="004A7B85"/>
    <w:rPr>
      <w:rFonts w:ascii="Times New Roman" w:hAnsi="Times New Roman" w:cs="Times New Roman"/>
      <w:sz w:val="24"/>
      <w:lang w:val="en-GB" w:eastAsia="en-US"/>
    </w:rPr>
  </w:style>
  <w:style w:type="paragraph" w:customStyle="1" w:styleId="call0">
    <w:name w:val="call"/>
    <w:basedOn w:val="Normal"/>
    <w:next w:val="Normal"/>
    <w:rsid w:val="004A7B85"/>
    <w:pPr>
      <w:keepNext/>
      <w:keepLines/>
      <w:tabs>
        <w:tab w:val="clear" w:pos="1191"/>
        <w:tab w:val="clear" w:pos="1588"/>
        <w:tab w:val="clear" w:pos="1985"/>
      </w:tabs>
      <w:spacing w:before="227" w:line="240" w:lineRule="auto"/>
      <w:ind w:left="794"/>
      <w:jc w:val="left"/>
    </w:pPr>
    <w:rPr>
      <w:rFonts w:ascii="Times New Roman" w:hAnsi="Times New Roman" w:cs="Times New Roman"/>
      <w:i/>
      <w:sz w:val="20"/>
      <w:szCs w:val="20"/>
      <w:lang w:val="es-ES_tradnl"/>
    </w:rPr>
  </w:style>
  <w:style w:type="paragraph" w:customStyle="1" w:styleId="headfoot">
    <w:name w:val="head_foot"/>
    <w:basedOn w:val="Normal"/>
    <w:next w:val="Normalaftertitle0"/>
    <w:rsid w:val="004A7B85"/>
    <w:pPr>
      <w:tabs>
        <w:tab w:val="clear" w:pos="794"/>
        <w:tab w:val="clear" w:pos="1191"/>
        <w:tab w:val="clear" w:pos="1588"/>
        <w:tab w:val="clear" w:pos="1985"/>
      </w:tabs>
      <w:spacing w:before="0" w:line="240" w:lineRule="auto"/>
    </w:pPr>
    <w:rPr>
      <w:rFonts w:ascii="Times New Roman" w:hAnsi="Times New Roman" w:cs="Times New Roman"/>
      <w:color w:val="FFFFFF"/>
      <w:sz w:val="8"/>
      <w:szCs w:val="20"/>
      <w:lang w:val="es-ES_tradnl"/>
    </w:rPr>
  </w:style>
  <w:style w:type="paragraph" w:customStyle="1" w:styleId="TableText0">
    <w:name w:val="Table_Text"/>
    <w:basedOn w:val="Normal"/>
    <w:rsid w:val="004A7B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57" w:after="57" w:line="240" w:lineRule="auto"/>
      <w:jc w:val="left"/>
    </w:pPr>
    <w:rPr>
      <w:rFonts w:ascii="Times New Roman" w:hAnsi="Times New Roman" w:cs="Times New Roman"/>
      <w:szCs w:val="20"/>
    </w:rPr>
  </w:style>
  <w:style w:type="paragraph" w:customStyle="1" w:styleId="TableHead0">
    <w:name w:val="Table_Head"/>
    <w:basedOn w:val="TableText0"/>
    <w:rsid w:val="004A7B85"/>
    <w:pPr>
      <w:spacing w:before="113" w:after="113"/>
      <w:jc w:val="center"/>
    </w:pPr>
    <w:rPr>
      <w:b/>
    </w:rPr>
  </w:style>
  <w:style w:type="character" w:customStyle="1" w:styleId="CharChar">
    <w:name w:val="Char Char"/>
    <w:basedOn w:val="DefaultParagraphFont"/>
    <w:rsid w:val="004A7B85"/>
    <w:rPr>
      <w:sz w:val="22"/>
      <w:lang w:val="en-GB" w:eastAsia="en-US" w:bidi="ar-SA"/>
    </w:rPr>
  </w:style>
  <w:style w:type="paragraph" w:customStyle="1" w:styleId="toctemp">
    <w:name w:val="toctemp"/>
    <w:basedOn w:val="Normal"/>
    <w:next w:val="FootnoteText"/>
    <w:rsid w:val="004A7B85"/>
    <w:pPr>
      <w:tabs>
        <w:tab w:val="clear" w:pos="794"/>
        <w:tab w:val="clear" w:pos="1191"/>
        <w:tab w:val="clear" w:pos="1588"/>
        <w:tab w:val="clear" w:pos="1985"/>
        <w:tab w:val="left" w:pos="2269"/>
        <w:tab w:val="left" w:leader="dot" w:pos="8789"/>
        <w:tab w:val="right" w:pos="9639"/>
      </w:tabs>
      <w:spacing w:before="136" w:line="240" w:lineRule="auto"/>
      <w:ind w:left="1418" w:right="964" w:hanging="1418"/>
    </w:pPr>
    <w:rPr>
      <w:rFonts w:ascii="Times" w:hAnsi="Times" w:cs="Times New Roman"/>
      <w:sz w:val="20"/>
      <w:szCs w:val="20"/>
      <w:lang w:val="en-GB"/>
    </w:rPr>
  </w:style>
  <w:style w:type="paragraph" w:customStyle="1" w:styleId="Banner">
    <w:name w:val="Banner"/>
    <w:basedOn w:val="Normal"/>
    <w:rsid w:val="004A7B85"/>
    <w:pPr>
      <w:tabs>
        <w:tab w:val="clear" w:pos="794"/>
        <w:tab w:val="clear" w:pos="1191"/>
        <w:tab w:val="clear" w:pos="1588"/>
        <w:tab w:val="clear" w:pos="1985"/>
        <w:tab w:val="left" w:pos="993"/>
      </w:tabs>
      <w:spacing w:before="240" w:line="240" w:lineRule="auto"/>
      <w:ind w:left="993" w:hanging="993"/>
      <w:jc w:val="left"/>
      <w:textAlignment w:val="auto"/>
    </w:pPr>
    <w:rPr>
      <w:rFonts w:ascii="Arial" w:hAnsi="Arial" w:cs="Times New Roman"/>
      <w:sz w:val="22"/>
      <w:lang w:val="en-GB"/>
    </w:rPr>
  </w:style>
  <w:style w:type="character" w:customStyle="1" w:styleId="apple-converted-space">
    <w:name w:val="apple-converted-space"/>
    <w:basedOn w:val="DefaultParagraphFont"/>
    <w:rsid w:val="004A7B85"/>
  </w:style>
  <w:style w:type="paragraph" w:customStyle="1" w:styleId="headingb0">
    <w:name w:val="heading_b"/>
    <w:basedOn w:val="Heading3"/>
    <w:next w:val="Normal"/>
    <w:uiPriority w:val="99"/>
    <w:rsid w:val="004A7B85"/>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Times New Roman" w:hAnsi="Times New Roman" w:cs="Times New Roman"/>
      <w:szCs w:val="20"/>
      <w:lang w:val="en-GB"/>
    </w:rPr>
  </w:style>
  <w:style w:type="character" w:customStyle="1" w:styleId="BRNormal">
    <w:name w:val="BR_Normal"/>
    <w:basedOn w:val="DefaultParagraphFont"/>
    <w:uiPriority w:val="1"/>
    <w:qFormat/>
    <w:rsid w:val="004A7B85"/>
  </w:style>
  <w:style w:type="paragraph" w:customStyle="1" w:styleId="Agendaitem">
    <w:name w:val="Agenda_item"/>
    <w:basedOn w:val="Normal"/>
    <w:next w:val="Normal"/>
    <w:qFormat/>
    <w:rsid w:val="004A7B85"/>
    <w:pPr>
      <w:tabs>
        <w:tab w:val="clear" w:pos="794"/>
        <w:tab w:val="clear" w:pos="1191"/>
        <w:tab w:val="clear" w:pos="1588"/>
        <w:tab w:val="clear" w:pos="1985"/>
        <w:tab w:val="left" w:pos="1134"/>
        <w:tab w:val="left" w:pos="1871"/>
        <w:tab w:val="left" w:pos="2268"/>
      </w:tabs>
      <w:overflowPunct/>
      <w:autoSpaceDE/>
      <w:autoSpaceDN/>
      <w:adjustRightInd/>
      <w:spacing w:before="240" w:line="240" w:lineRule="auto"/>
      <w:jc w:val="center"/>
      <w:textAlignment w:val="auto"/>
    </w:pPr>
    <w:rPr>
      <w:rFonts w:ascii="Times New Roman" w:hAnsi="Times New Roman" w:cs="Times New Roman"/>
      <w:sz w:val="28"/>
      <w:szCs w:val="20"/>
      <w:lang w:val="es-ES_tradnl"/>
    </w:rPr>
  </w:style>
  <w:style w:type="paragraph" w:customStyle="1" w:styleId="ApptoAnnex">
    <w:name w:val="App_to_Annex"/>
    <w:basedOn w:val="AppendixNo"/>
    <w:next w:val="Normal"/>
    <w:qFormat/>
    <w:rsid w:val="004A7B85"/>
  </w:style>
  <w:style w:type="paragraph" w:customStyle="1" w:styleId="Subsection1">
    <w:name w:val="Subsection_1"/>
    <w:basedOn w:val="Section1"/>
    <w:next w:val="Normalaftertitle0"/>
    <w:qFormat/>
    <w:rsid w:val="004A7B85"/>
    <w:pPr>
      <w:tabs>
        <w:tab w:val="center" w:pos="4820"/>
      </w:tabs>
      <w:spacing w:before="360" w:line="240" w:lineRule="auto"/>
    </w:pPr>
    <w:rPr>
      <w:rFonts w:ascii="Times New Roman" w:hAnsi="Times New Roman" w:cs="Times New Roman"/>
      <w:szCs w:val="20"/>
      <w:lang w:val="en-GB"/>
    </w:rPr>
  </w:style>
  <w:style w:type="paragraph" w:customStyle="1" w:styleId="Normalend">
    <w:name w:val="Normal_end"/>
    <w:basedOn w:val="Normal"/>
    <w:next w:val="Normal"/>
    <w:qFormat/>
    <w:rsid w:val="004A7B85"/>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rPr>
  </w:style>
  <w:style w:type="paragraph" w:customStyle="1" w:styleId="Part1">
    <w:name w:val="Part_1"/>
    <w:basedOn w:val="Section1"/>
    <w:next w:val="Section1"/>
    <w:qFormat/>
    <w:rsid w:val="004A7B85"/>
    <w:pPr>
      <w:tabs>
        <w:tab w:val="center" w:pos="4820"/>
      </w:tabs>
      <w:spacing w:before="360" w:line="240" w:lineRule="auto"/>
    </w:pPr>
    <w:rPr>
      <w:rFonts w:ascii="Times New Roman" w:hAnsi="Times New Roman" w:cs="Times New Roman"/>
      <w:szCs w:val="20"/>
      <w:lang w:val="en-GB"/>
    </w:rPr>
  </w:style>
  <w:style w:type="paragraph" w:customStyle="1" w:styleId="AppArtNo">
    <w:name w:val="App_Art_No"/>
    <w:basedOn w:val="ArtNo"/>
    <w:qFormat/>
    <w:rsid w:val="004A7B85"/>
    <w:pPr>
      <w:tabs>
        <w:tab w:val="clear" w:pos="794"/>
        <w:tab w:val="clear" w:pos="1191"/>
        <w:tab w:val="clear" w:pos="1588"/>
        <w:tab w:val="clear" w:pos="1985"/>
        <w:tab w:val="left" w:pos="1134"/>
        <w:tab w:val="left" w:pos="1871"/>
        <w:tab w:val="left" w:pos="2268"/>
      </w:tabs>
      <w:spacing w:line="240" w:lineRule="auto"/>
    </w:pPr>
    <w:rPr>
      <w:rFonts w:ascii="Times New Roman" w:hAnsi="Times New Roman" w:cs="Times New Roman"/>
      <w:szCs w:val="20"/>
      <w:lang w:val="en-GB"/>
    </w:rPr>
  </w:style>
  <w:style w:type="paragraph" w:customStyle="1" w:styleId="AppArttitle">
    <w:name w:val="App_Art_title"/>
    <w:basedOn w:val="Arttitle"/>
    <w:qFormat/>
    <w:rsid w:val="004A7B85"/>
    <w:pPr>
      <w:tabs>
        <w:tab w:val="clear" w:pos="794"/>
        <w:tab w:val="clear" w:pos="1191"/>
        <w:tab w:val="clear" w:pos="1588"/>
        <w:tab w:val="clear" w:pos="1985"/>
        <w:tab w:val="left" w:pos="1134"/>
        <w:tab w:val="left" w:pos="1871"/>
        <w:tab w:val="left" w:pos="2268"/>
      </w:tabs>
      <w:spacing w:line="240" w:lineRule="auto"/>
    </w:pPr>
    <w:rPr>
      <w:rFonts w:ascii="Times New Roman" w:hAnsi="Times New Roman" w:cs="Times New Roman"/>
      <w:szCs w:val="20"/>
      <w:lang w:val="en-GB"/>
    </w:rPr>
  </w:style>
  <w:style w:type="paragraph" w:customStyle="1" w:styleId="Committee">
    <w:name w:val="Committee"/>
    <w:basedOn w:val="Normal"/>
    <w:qFormat/>
    <w:rsid w:val="004A7B85"/>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imes New Roman" w:hAnsi="Times New Roman" w:cstheme="minorHAnsi"/>
      <w:b/>
      <w:szCs w:val="24"/>
      <w:lang w:val="en-GB"/>
    </w:rPr>
  </w:style>
  <w:style w:type="paragraph" w:customStyle="1" w:styleId="Volumetitle">
    <w:name w:val="Volume_title"/>
    <w:basedOn w:val="Normal"/>
    <w:qFormat/>
    <w:rsid w:val="004A7B85"/>
    <w:pPr>
      <w:tabs>
        <w:tab w:val="clear" w:pos="794"/>
        <w:tab w:val="clear" w:pos="1191"/>
        <w:tab w:val="clear" w:pos="1588"/>
        <w:tab w:val="clear" w:pos="1985"/>
        <w:tab w:val="left" w:pos="1134"/>
        <w:tab w:val="left" w:pos="1871"/>
        <w:tab w:val="left" w:pos="2268"/>
      </w:tabs>
      <w:spacing w:before="120" w:line="240" w:lineRule="auto"/>
      <w:jc w:val="center"/>
    </w:pPr>
    <w:rPr>
      <w:rFonts w:ascii="Times New Roman" w:hAnsi="Times New Roman" w:cs="Times New Roman"/>
      <w:b/>
      <w:bCs/>
      <w:sz w:val="28"/>
      <w:szCs w:val="28"/>
      <w:lang w:val="en-GB"/>
    </w:rPr>
  </w:style>
  <w:style w:type="character" w:customStyle="1" w:styleId="ArtrefBold">
    <w:name w:val="Art_ref + Bold"/>
    <w:basedOn w:val="Artref"/>
    <w:rsid w:val="004A7B85"/>
    <w:rPr>
      <w:b/>
      <w:bCs/>
      <w:color w:val="auto"/>
    </w:rPr>
  </w:style>
  <w:style w:type="character" w:customStyle="1" w:styleId="ApprefBold">
    <w:name w:val="App_ref + Bold"/>
    <w:basedOn w:val="Appref"/>
    <w:qFormat/>
    <w:rsid w:val="004A7B85"/>
    <w:rPr>
      <w:b/>
      <w:bCs/>
      <w:color w:val="000000"/>
    </w:rPr>
  </w:style>
  <w:style w:type="character" w:customStyle="1" w:styleId="ECCHLsuperscript">
    <w:name w:val="ECC HL super script"/>
    <w:basedOn w:val="DefaultParagraphFont"/>
    <w:uiPriority w:val="1"/>
    <w:qFormat/>
    <w:rsid w:val="004A7B85"/>
    <w:rPr>
      <w:vertAlign w:val="superscript"/>
    </w:rPr>
  </w:style>
  <w:style w:type="character" w:customStyle="1" w:styleId="ECCHLunderlined">
    <w:name w:val="ECC HL underlined"/>
    <w:uiPriority w:val="1"/>
    <w:qFormat/>
    <w:rsid w:val="004A7B85"/>
    <w:rPr>
      <w:u w:val="single"/>
    </w:rPr>
  </w:style>
  <w:style w:type="paragraph" w:customStyle="1" w:styleId="TabletextHanging0">
    <w:name w:val="Table_text + Hanging:  0"/>
    <w:aliases w:val="5 cm"/>
    <w:basedOn w:val="Tabletext"/>
    <w:rsid w:val="004A7B85"/>
    <w:pPr>
      <w:tabs>
        <w:tab w:val="clear" w:pos="284"/>
        <w:tab w:val="clear" w:pos="567"/>
        <w:tab w:val="left" w:pos="1871"/>
      </w:tabs>
      <w:ind w:left="284" w:hanging="284"/>
    </w:pPr>
    <w:rPr>
      <w:rFonts w:ascii="Times New Roman" w:hAnsi="Times New Roman" w:cs="Times New Roman"/>
      <w:szCs w:val="20"/>
      <w:lang w:eastAsia="nl-NL"/>
    </w:rPr>
  </w:style>
  <w:style w:type="paragraph" w:customStyle="1" w:styleId="Tablefin">
    <w:name w:val="Table_fin"/>
    <w:basedOn w:val="Normal"/>
    <w:qFormat/>
    <w:rsid w:val="004A7B85"/>
    <w:pPr>
      <w:tabs>
        <w:tab w:val="clear" w:pos="794"/>
        <w:tab w:val="clear" w:pos="1191"/>
        <w:tab w:val="clear" w:pos="1588"/>
        <w:tab w:val="clear" w:pos="1985"/>
        <w:tab w:val="left" w:pos="1134"/>
        <w:tab w:val="left" w:pos="1871"/>
        <w:tab w:val="left" w:pos="2268"/>
      </w:tabs>
      <w:spacing w:before="0" w:line="240" w:lineRule="auto"/>
      <w:jc w:val="left"/>
    </w:pPr>
    <w:rPr>
      <w:rFonts w:ascii="Times New Roman" w:hAnsi="Times New Roman" w:cs="Times New Roman"/>
      <w:sz w:val="20"/>
      <w:szCs w:val="20"/>
      <w:lang w:val="en-GB" w:eastAsia="zh-CN"/>
    </w:rPr>
  </w:style>
  <w:style w:type="character" w:customStyle="1" w:styleId="TableitalicZchn">
    <w:name w:val="Table_italic Zchn"/>
    <w:basedOn w:val="DefaultParagraphFont"/>
    <w:rsid w:val="004A7B85"/>
    <w:rPr>
      <w:rFonts w:ascii="Times New Roman" w:hAnsi="Times New Roman"/>
      <w:b/>
      <w:i/>
      <w:sz w:val="24"/>
      <w:lang w:val="en-GB" w:eastAsia="en-US"/>
    </w:rPr>
  </w:style>
  <w:style w:type="character" w:styleId="Emphasis">
    <w:name w:val="Emphasis"/>
    <w:basedOn w:val="DefaultParagraphFont"/>
    <w:uiPriority w:val="20"/>
    <w:qFormat/>
    <w:rsid w:val="004A7B85"/>
    <w:rPr>
      <w:i/>
      <w:iC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1"/>
    <w:basedOn w:val="DefaultParagraphFont"/>
    <w:uiPriority w:val="99"/>
    <w:locked/>
    <w:rsid w:val="004A7B85"/>
    <w:rPr>
      <w:rFonts w:cs="Times New Roman"/>
      <w:sz w:val="24"/>
      <w:lang w:val="en-GB" w:eastAsia="en-US" w:bidi="ar-SA"/>
    </w:rPr>
  </w:style>
  <w:style w:type="paragraph" w:styleId="CommentSubject">
    <w:name w:val="annotation subject"/>
    <w:basedOn w:val="CommentText"/>
    <w:next w:val="CommentText"/>
    <w:link w:val="CommentSubjectChar"/>
    <w:semiHidden/>
    <w:unhideWhenUsed/>
    <w:rsid w:val="004A7B85"/>
    <w:pPr>
      <w:spacing w:line="240" w:lineRule="auto"/>
    </w:pPr>
    <w:rPr>
      <w:b/>
      <w:bCs/>
      <w:szCs w:val="20"/>
    </w:rPr>
  </w:style>
  <w:style w:type="character" w:customStyle="1" w:styleId="CommentTextChar1">
    <w:name w:val="Comment Text Char1"/>
    <w:basedOn w:val="DefaultParagraphFont"/>
    <w:link w:val="CommentText"/>
    <w:rsid w:val="004A7B85"/>
    <w:rPr>
      <w:szCs w:val="22"/>
      <w:lang w:val="en-US" w:eastAsia="en-US"/>
    </w:rPr>
  </w:style>
  <w:style w:type="character" w:customStyle="1" w:styleId="CommentSubjectChar">
    <w:name w:val="Comment Subject Char"/>
    <w:basedOn w:val="CommentTextChar1"/>
    <w:link w:val="CommentSubject"/>
    <w:semiHidden/>
    <w:rsid w:val="004A7B85"/>
    <w:rPr>
      <w:b/>
      <w:bCs/>
      <w:szCs w:val="22"/>
      <w:lang w:val="en-US" w:eastAsia="en-US"/>
    </w:rPr>
  </w:style>
  <w:style w:type="paragraph" w:styleId="Revision">
    <w:name w:val="Revision"/>
    <w:hidden/>
    <w:uiPriority w:val="99"/>
    <w:semiHidden/>
    <w:rsid w:val="004A7B85"/>
    <w:rPr>
      <w:sz w:val="24"/>
      <w:szCs w:val="22"/>
      <w:lang w:val="en-US" w:eastAsia="en-US"/>
    </w:rPr>
  </w:style>
  <w:style w:type="paragraph" w:customStyle="1" w:styleId="Headingsplit">
    <w:name w:val="Heading_split"/>
    <w:basedOn w:val="Headingi"/>
    <w:qFormat/>
    <w:rsid w:val="004A7B85"/>
    <w:pPr>
      <w:keepNext w:val="0"/>
      <w:tabs>
        <w:tab w:val="clear" w:pos="794"/>
        <w:tab w:val="clear" w:pos="1191"/>
        <w:tab w:val="clear" w:pos="1588"/>
        <w:tab w:val="clear" w:pos="1985"/>
        <w:tab w:val="left" w:pos="1134"/>
        <w:tab w:val="left" w:pos="1871"/>
        <w:tab w:val="left" w:pos="2268"/>
      </w:tabs>
      <w:spacing w:before="160" w:line="240" w:lineRule="auto"/>
    </w:pPr>
    <w:rPr>
      <w:rFonts w:ascii="Times New Roman" w:hAnsi="Times New Roman" w:cs="Times New Roman"/>
      <w:szCs w:val="20"/>
    </w:rPr>
  </w:style>
  <w:style w:type="paragraph" w:customStyle="1" w:styleId="Normalsplit">
    <w:name w:val="Normal_split"/>
    <w:basedOn w:val="Normal"/>
    <w:qFormat/>
    <w:rsid w:val="004A7B85"/>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en-GB"/>
    </w:rPr>
  </w:style>
  <w:style w:type="character" w:customStyle="1" w:styleId="Provsplit">
    <w:name w:val="Prov_split"/>
    <w:basedOn w:val="DefaultParagraphFont"/>
    <w:qFormat/>
    <w:rsid w:val="004A7B85"/>
    <w:rPr>
      <w:rFonts w:ascii="Times New Roman" w:hAnsi="Times New Roman"/>
      <w:b w:val="0"/>
    </w:rPr>
  </w:style>
  <w:style w:type="paragraph" w:customStyle="1" w:styleId="Tablesplit">
    <w:name w:val="Table_split"/>
    <w:basedOn w:val="Tabletext"/>
    <w:qFormat/>
    <w:rsid w:val="004A7B85"/>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ascii="Times New Roman" w:hAnsi="Times New Roman" w:cs="Times New Roman"/>
      <w:b/>
      <w:szCs w:val="20"/>
      <w:lang w:val="en-GB" w:eastAsia="nl-NL"/>
    </w:rPr>
  </w:style>
  <w:style w:type="paragraph" w:customStyle="1" w:styleId="Methodheading1">
    <w:name w:val="Method_heading1"/>
    <w:basedOn w:val="Heading1"/>
    <w:next w:val="Normal"/>
    <w:qFormat/>
    <w:rsid w:val="004A7B85"/>
    <w:pPr>
      <w:tabs>
        <w:tab w:val="clear" w:pos="794"/>
        <w:tab w:val="clear" w:pos="1191"/>
        <w:tab w:val="clear" w:pos="1588"/>
        <w:tab w:val="clear" w:pos="1985"/>
        <w:tab w:val="left" w:pos="1134"/>
        <w:tab w:val="left" w:pos="1871"/>
        <w:tab w:val="left" w:pos="2268"/>
      </w:tabs>
      <w:spacing w:before="280" w:line="240" w:lineRule="auto"/>
      <w:ind w:left="1134" w:hanging="1134"/>
      <w:jc w:val="left"/>
    </w:pPr>
    <w:rPr>
      <w:rFonts w:ascii="Times New Roman" w:hAnsi="Times New Roman" w:cs="Times New Roman"/>
      <w:sz w:val="28"/>
      <w:szCs w:val="20"/>
      <w:lang w:val="en-GB"/>
    </w:rPr>
  </w:style>
  <w:style w:type="paragraph" w:customStyle="1" w:styleId="Methodheading2">
    <w:name w:val="Method_heading2"/>
    <w:basedOn w:val="Heading2"/>
    <w:next w:val="Normal"/>
    <w:qFormat/>
    <w:rsid w:val="004A7B85"/>
    <w:pPr>
      <w:tabs>
        <w:tab w:val="clear" w:pos="794"/>
        <w:tab w:val="clear" w:pos="1191"/>
        <w:tab w:val="clear" w:pos="1588"/>
        <w:tab w:val="clear" w:pos="1985"/>
        <w:tab w:val="left" w:pos="1134"/>
        <w:tab w:val="left" w:pos="1871"/>
        <w:tab w:val="left" w:pos="2268"/>
      </w:tabs>
      <w:spacing w:before="200" w:line="240" w:lineRule="auto"/>
      <w:ind w:left="1134" w:hanging="1134"/>
      <w:jc w:val="left"/>
    </w:pPr>
    <w:rPr>
      <w:rFonts w:ascii="Times New Roman" w:hAnsi="Times New Roman" w:cs="Times New Roman"/>
      <w:szCs w:val="20"/>
      <w:lang w:val="en-GB"/>
    </w:rPr>
  </w:style>
  <w:style w:type="paragraph" w:customStyle="1" w:styleId="Methodheading3">
    <w:name w:val="Method_heading3"/>
    <w:basedOn w:val="Heading3"/>
    <w:next w:val="Normal"/>
    <w:qFormat/>
    <w:rsid w:val="004A7B85"/>
    <w:pPr>
      <w:tabs>
        <w:tab w:val="clear" w:pos="794"/>
        <w:tab w:val="clear" w:pos="1191"/>
        <w:tab w:val="clear" w:pos="1588"/>
        <w:tab w:val="clear" w:pos="1985"/>
        <w:tab w:val="left" w:pos="1871"/>
        <w:tab w:val="left" w:pos="2268"/>
      </w:tabs>
      <w:spacing w:before="200" w:line="240" w:lineRule="auto"/>
      <w:ind w:left="1134" w:hanging="1134"/>
      <w:jc w:val="left"/>
    </w:pPr>
    <w:rPr>
      <w:rFonts w:ascii="Times New Roman" w:hAnsi="Times New Roman" w:cs="Times New Roman"/>
      <w:szCs w:val="20"/>
      <w:lang w:val="en-GB"/>
    </w:rPr>
  </w:style>
  <w:style w:type="paragraph" w:customStyle="1" w:styleId="Methodheading4">
    <w:name w:val="Method_heading4"/>
    <w:basedOn w:val="Heading4"/>
    <w:next w:val="Normal"/>
    <w:qFormat/>
    <w:rsid w:val="004A7B85"/>
    <w:pPr>
      <w:tabs>
        <w:tab w:val="clear" w:pos="1021"/>
        <w:tab w:val="clear" w:pos="1191"/>
        <w:tab w:val="clear" w:pos="1588"/>
        <w:tab w:val="clear" w:pos="1985"/>
        <w:tab w:val="left" w:pos="1871"/>
        <w:tab w:val="left" w:pos="2268"/>
      </w:tabs>
      <w:spacing w:before="200" w:line="240" w:lineRule="auto"/>
      <w:ind w:left="1134" w:hanging="1134"/>
      <w:jc w:val="left"/>
    </w:pPr>
    <w:rPr>
      <w:rFonts w:ascii="Times New Roman" w:hAnsi="Times New Roman" w:cs="Times New Roman"/>
      <w:szCs w:val="20"/>
      <w:lang w:val="en-GB"/>
    </w:rPr>
  </w:style>
  <w:style w:type="paragraph" w:customStyle="1" w:styleId="MethodHeadingb">
    <w:name w:val="Method_Headingb"/>
    <w:basedOn w:val="Headingb"/>
    <w:qFormat/>
    <w:rsid w:val="004A7B85"/>
    <w:pPr>
      <w:keepLines/>
      <w:tabs>
        <w:tab w:val="clear" w:pos="794"/>
        <w:tab w:val="clear" w:pos="1191"/>
        <w:tab w:val="clear" w:pos="1588"/>
        <w:tab w:val="clear" w:pos="1985"/>
      </w:tabs>
      <w:overflowPunct/>
      <w:autoSpaceDE/>
      <w:autoSpaceDN/>
      <w:adjustRightInd/>
      <w:spacing w:before="160" w:line="240" w:lineRule="auto"/>
      <w:ind w:left="0" w:firstLine="0"/>
      <w:jc w:val="left"/>
      <w:textAlignment w:val="auto"/>
    </w:pPr>
    <w:rPr>
      <w:rFonts w:ascii="Times New Roman Bold" w:hAnsi="Times New Roman Bold" w:cs="Times New Roman Bold"/>
      <w:szCs w:val="20"/>
      <w:lang w:val="fr-CH"/>
    </w:rPr>
  </w:style>
  <w:style w:type="numbering" w:customStyle="1" w:styleId="NoList11">
    <w:name w:val="No List11"/>
    <w:next w:val="NoList"/>
    <w:uiPriority w:val="99"/>
    <w:semiHidden/>
    <w:unhideWhenUsed/>
    <w:rsid w:val="004A7B85"/>
  </w:style>
  <w:style w:type="paragraph" w:styleId="BodyText2">
    <w:name w:val="Body Text 2"/>
    <w:basedOn w:val="Normal"/>
    <w:link w:val="BodyText2Char"/>
    <w:uiPriority w:val="99"/>
    <w:rsid w:val="004A7B85"/>
    <w:pPr>
      <w:spacing w:before="120" w:line="240" w:lineRule="auto"/>
      <w:jc w:val="left"/>
    </w:pPr>
    <w:rPr>
      <w:rFonts w:ascii="Times New Roman" w:hAnsi="Times New Roman" w:cs="Times New Roman"/>
      <w:color w:val="0000FF"/>
      <w:szCs w:val="20"/>
      <w:lang w:val="en-GB"/>
    </w:rPr>
  </w:style>
  <w:style w:type="character" w:customStyle="1" w:styleId="BodyText2Char">
    <w:name w:val="Body Text 2 Char"/>
    <w:basedOn w:val="DefaultParagraphFont"/>
    <w:link w:val="BodyText2"/>
    <w:uiPriority w:val="99"/>
    <w:rsid w:val="004A7B85"/>
    <w:rPr>
      <w:rFonts w:ascii="Times New Roman" w:hAnsi="Times New Roman" w:cs="Times New Roman"/>
      <w:color w:val="0000FF"/>
      <w:sz w:val="24"/>
      <w:lang w:val="en-GB" w:eastAsia="en-US"/>
    </w:rPr>
  </w:style>
  <w:style w:type="paragraph" w:customStyle="1" w:styleId="RecTitle0">
    <w:name w:val="Rec Title"/>
    <w:basedOn w:val="Normal"/>
    <w:next w:val="Heading1"/>
    <w:uiPriority w:val="99"/>
    <w:rsid w:val="004A7B85"/>
    <w:pPr>
      <w:spacing w:before="240" w:line="240" w:lineRule="auto"/>
      <w:jc w:val="center"/>
    </w:pPr>
    <w:rPr>
      <w:rFonts w:ascii="Times New Roman" w:hAnsi="Times New Roman" w:cs="Times New Roman"/>
      <w:b/>
      <w:sz w:val="22"/>
      <w:szCs w:val="20"/>
      <w:lang w:val="en-GB"/>
    </w:rPr>
  </w:style>
  <w:style w:type="paragraph" w:customStyle="1" w:styleId="Annex">
    <w:name w:val="Annex_#"/>
    <w:basedOn w:val="Normal"/>
    <w:next w:val="AnnexRef0"/>
    <w:uiPriority w:val="99"/>
    <w:rsid w:val="004A7B85"/>
    <w:pPr>
      <w:keepNext/>
      <w:keepLines/>
      <w:spacing w:before="480" w:after="80" w:line="240" w:lineRule="auto"/>
      <w:jc w:val="center"/>
    </w:pPr>
    <w:rPr>
      <w:rFonts w:ascii="Times New Roman" w:hAnsi="Times New Roman" w:cs="Times New Roman"/>
      <w:caps/>
      <w:sz w:val="28"/>
      <w:szCs w:val="20"/>
      <w:lang w:val="en-GB"/>
    </w:rPr>
  </w:style>
  <w:style w:type="paragraph" w:customStyle="1" w:styleId="AnnexRef0">
    <w:name w:val="Annex_Ref"/>
    <w:basedOn w:val="Normal"/>
    <w:next w:val="Normal"/>
    <w:uiPriority w:val="99"/>
    <w:rsid w:val="004A7B85"/>
    <w:pPr>
      <w:keepNext/>
      <w:keepLines/>
      <w:spacing w:before="120" w:line="240" w:lineRule="auto"/>
      <w:jc w:val="center"/>
    </w:pPr>
    <w:rPr>
      <w:rFonts w:ascii="Times New Roman" w:hAnsi="Times New Roman" w:cs="Times New Roman"/>
      <w:szCs w:val="20"/>
      <w:lang w:val="en-GB"/>
    </w:rPr>
  </w:style>
  <w:style w:type="paragraph" w:customStyle="1" w:styleId="dpstylecall">
    <w:name w:val="dpstylecall"/>
    <w:basedOn w:val="Normal"/>
    <w:rsid w:val="004A7B85"/>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val="en-GB" w:eastAsia="zh-CN"/>
    </w:rPr>
  </w:style>
  <w:style w:type="paragraph" w:styleId="NormalWeb">
    <w:name w:val="Normal (Web)"/>
    <w:basedOn w:val="Normal"/>
    <w:uiPriority w:val="99"/>
    <w:unhideWhenUsed/>
    <w:rsid w:val="004A7B85"/>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val="en-GB" w:eastAsia="zh-CN"/>
    </w:rPr>
  </w:style>
  <w:style w:type="paragraph" w:customStyle="1" w:styleId="StyleCall10pt">
    <w:name w:val="Style Call + 10 pt"/>
    <w:basedOn w:val="Call"/>
    <w:rsid w:val="004A7B85"/>
    <w:pPr>
      <w:spacing w:before="40" w:after="40"/>
    </w:pPr>
    <w:rPr>
      <w:iCs/>
      <w:sz w:val="20"/>
    </w:rPr>
  </w:style>
  <w:style w:type="table" w:styleId="GridTable1Light-Accent1">
    <w:name w:val="Grid Table 1 Light Accent 1"/>
    <w:basedOn w:val="TableNormal"/>
    <w:uiPriority w:val="46"/>
    <w:rsid w:val="004A7B8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9966AD"/>
    <w:rPr>
      <w:color w:val="605E5C"/>
      <w:shd w:val="clear" w:color="auto" w:fill="E1DFDD"/>
    </w:rPr>
  </w:style>
  <w:style w:type="character" w:customStyle="1" w:styleId="ui-provider">
    <w:name w:val="ui-provider"/>
    <w:basedOn w:val="DefaultParagraphFont"/>
    <w:rsid w:val="00D96C79"/>
  </w:style>
  <w:style w:type="paragraph" w:customStyle="1" w:styleId="EditorsNote">
    <w:name w:val="EditorsNote"/>
    <w:basedOn w:val="Normal"/>
    <w:qFormat/>
    <w:rsid w:val="00D96C79"/>
    <w:pPr>
      <w:tabs>
        <w:tab w:val="clear" w:pos="794"/>
        <w:tab w:val="clear" w:pos="1191"/>
        <w:tab w:val="clear" w:pos="1588"/>
        <w:tab w:val="clear" w:pos="1985"/>
        <w:tab w:val="left" w:pos="1134"/>
        <w:tab w:val="left" w:pos="1871"/>
        <w:tab w:val="left" w:pos="2268"/>
      </w:tabs>
      <w:spacing w:before="240" w:after="240" w:line="240" w:lineRule="auto"/>
      <w:jc w:val="left"/>
    </w:pPr>
    <w:rPr>
      <w:rFonts w:ascii="Times New Roman" w:hAnsi="Times New Roman" w:cs="Times New Roman"/>
      <w:i/>
      <w:szCs w:val="20"/>
      <w:lang w:val="en-GB"/>
    </w:rPr>
  </w:style>
  <w:style w:type="paragraph" w:customStyle="1" w:styleId="CPMProposal">
    <w:name w:val="CPM_Proposal"/>
    <w:basedOn w:val="Proposal"/>
    <w:qFormat/>
    <w:rsid w:val="00D96C79"/>
    <w:rPr>
      <w:b/>
    </w:rPr>
  </w:style>
  <w:style w:type="paragraph" w:customStyle="1" w:styleId="CPMReasons">
    <w:name w:val="CPM_Reasons"/>
    <w:basedOn w:val="Reasons"/>
    <w:qFormat/>
    <w:rsid w:val="00D96C79"/>
    <w:pPr>
      <w:tabs>
        <w:tab w:val="left" w:pos="1134"/>
        <w:tab w:val="left" w:pos="1588"/>
        <w:tab w:val="left" w:pos="1985"/>
      </w:tabs>
      <w:overflowPunct w:val="0"/>
      <w:autoSpaceDE w:val="0"/>
      <w:autoSpaceDN w:val="0"/>
      <w:adjustRightInd w:val="0"/>
      <w:spacing w:before="120"/>
      <w:textAlignment w:val="baseline"/>
    </w:pPr>
    <w:rPr>
      <w:lang w:val="en-GB"/>
    </w:rPr>
  </w:style>
  <w:style w:type="character" w:customStyle="1" w:styleId="ResNoChar">
    <w:name w:val="Res_No Char"/>
    <w:basedOn w:val="DefaultParagraphFont"/>
    <w:link w:val="ResNo"/>
    <w:rsid w:val="00D96C79"/>
    <w:rPr>
      <w:caps/>
      <w:sz w:val="28"/>
      <w:szCs w:val="22"/>
      <w:lang w:val="en-US" w:eastAsia="en-US"/>
    </w:rPr>
  </w:style>
  <w:style w:type="character" w:customStyle="1" w:styleId="Heading1Char1">
    <w:name w:val="Heading 1 Char1"/>
    <w:aliases w:val="H1 Char2,h1 Char2,h11 Char2,h12 Char2,h13 Char2,h14 Char2,h15 Char2,h16 Char2,h17 Char2,h111 Char2,h121 Char2,h131 Char2,h141 Char2,h151 Char2,h161 Char2,h18 Char2,h112 Char2,h122 Char2,h132 Char2,h142 Char2,h152 Char2,h162 Char2,1 Char1"/>
    <w:uiPriority w:val="99"/>
    <w:locked/>
    <w:rsid w:val="00B842F9"/>
    <w:rPr>
      <w:rFonts w:ascii="Times New Roman" w:hAnsi="Times New Roman" w:cs="Times New Roman" w:hint="default"/>
      <w:b/>
      <w:bCs w:val="0"/>
      <w:sz w:val="24"/>
      <w:lang w:val="en-GB" w:eastAsia="en-US"/>
    </w:rPr>
  </w:style>
  <w:style w:type="character" w:customStyle="1" w:styleId="UnresolvedMention3">
    <w:name w:val="Unresolved Mention3"/>
    <w:basedOn w:val="DefaultParagraphFont"/>
    <w:uiPriority w:val="99"/>
    <w:semiHidden/>
    <w:unhideWhenUsed/>
    <w:rsid w:val="00BC5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3-CPM27.1-C-0001/es" TargetMode="External"/><Relationship Id="rId18" Type="http://schemas.openxmlformats.org/officeDocument/2006/relationships/hyperlink" Target="https://www.itu.int/dms_pub/itu-r/opb/act/R-ACT-WRC.15-2023-PDF-E.pdf" TargetMode="External"/><Relationship Id="rId26" Type="http://schemas.openxmlformats.org/officeDocument/2006/relationships/hyperlink" Target="https://www.itu.int/pub/R-RES-R.2-9-2023/es" TargetMode="External"/><Relationship Id="rId39" Type="http://schemas.openxmlformats.org/officeDocument/2006/relationships/footer" Target="footer2.xml"/><Relationship Id="rId21" Type="http://schemas.openxmlformats.org/officeDocument/2006/relationships/hyperlink" Target="https://www.itu.int/md/R23-CPM27.1-C-0005/es" TargetMode="External"/><Relationship Id="rId34" Type="http://schemas.openxmlformats.org/officeDocument/2006/relationships/header" Target="header2.xml"/><Relationship Id="rId42" Type="http://schemas.openxmlformats.org/officeDocument/2006/relationships/hyperlink" Target="https://www.itu.int/md/R23-CPM27.1-C-0001/es" TargetMode="External"/><Relationship Id="rId47" Type="http://schemas.openxmlformats.org/officeDocument/2006/relationships/footer" Target="footer6.xml"/><Relationship Id="rId50" Type="http://schemas.openxmlformats.org/officeDocument/2006/relationships/footer" Target="footer7.xml"/><Relationship Id="rId55"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dms_pub/itu-r/opb/act/R-ACT-WRC.15-2023-PDF-E.pdf" TargetMode="External"/><Relationship Id="rId20" Type="http://schemas.openxmlformats.org/officeDocument/2006/relationships/hyperlink" Target="https://www.itu.int/md/R23-CPM27.1-C-0003/es" TargetMode="External"/><Relationship Id="rId29" Type="http://schemas.openxmlformats.org/officeDocument/2006/relationships/hyperlink" Target="https://www.itu.int/md/R23-CPM27.1-C-0007/es" TargetMode="External"/><Relationship Id="rId41" Type="http://schemas.openxmlformats.org/officeDocument/2006/relationships/footer" Target="footer3.xml"/><Relationship Id="rId54" Type="http://schemas.openxmlformats.org/officeDocument/2006/relationships/hyperlink" Target="https://www.itu.int/en/ITU-R/study-groups/rcpm/Pages/cpm-23-chp-rapporteurs.asp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S-R.2/es" TargetMode="External"/><Relationship Id="rId24" Type="http://schemas.openxmlformats.org/officeDocument/2006/relationships/hyperlink" Target="https://www.itu.int/md/R23-CPM27.1-C-0005/es" TargetMode="External"/><Relationship Id="rId32" Type="http://schemas.openxmlformats.org/officeDocument/2006/relationships/hyperlink" Target="https://www.itu.int/md/R23-CPM27.1-C-0001/es" TargetMode="External"/><Relationship Id="rId37" Type="http://schemas.openxmlformats.org/officeDocument/2006/relationships/header" Target="header4.xml"/><Relationship Id="rId40" Type="http://schemas.openxmlformats.org/officeDocument/2006/relationships/header" Target="header6.xml"/><Relationship Id="rId45" Type="http://schemas.openxmlformats.org/officeDocument/2006/relationships/footer" Target="footer5.xml"/><Relationship Id="rId53" Type="http://schemas.openxmlformats.org/officeDocument/2006/relationships/hyperlink" Target="http://www.itu.int/go/ITU-R/cvc/CPM" TargetMode="External"/><Relationship Id="rId58"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s://www.itu.int/md/R23-CPM27.1-C-0002/es" TargetMode="External"/><Relationship Id="rId23" Type="http://schemas.openxmlformats.org/officeDocument/2006/relationships/hyperlink" Target="https://www.itu.int/md/R23-CPM27.1-C-0007/es" TargetMode="External"/><Relationship Id="rId28" Type="http://schemas.openxmlformats.org/officeDocument/2006/relationships/hyperlink" Target="https://www.itu.int/md/R23-CPM27.1-C-0006/es" TargetMode="External"/><Relationship Id="rId36" Type="http://schemas.openxmlformats.org/officeDocument/2006/relationships/footer" Target="footer1.xml"/><Relationship Id="rId49" Type="http://schemas.openxmlformats.org/officeDocument/2006/relationships/header" Target="header10.xml"/><Relationship Id="rId57" Type="http://schemas.openxmlformats.org/officeDocument/2006/relationships/footer" Target="footer9.xml"/><Relationship Id="rId61" Type="http://schemas.openxmlformats.org/officeDocument/2006/relationships/fontTable" Target="fontTable.xml"/><Relationship Id="rId10" Type="http://schemas.openxmlformats.org/officeDocument/2006/relationships/hyperlink" Target="https://www.itu.int/pub/R-RES-R.1/es" TargetMode="External"/><Relationship Id="rId19" Type="http://schemas.openxmlformats.org/officeDocument/2006/relationships/hyperlink" Target="https://www.itu.int/md/R23-CPM27.1-C-0003/es" TargetMode="External"/><Relationship Id="rId31" Type="http://schemas.openxmlformats.org/officeDocument/2006/relationships/hyperlink" Target="https://www.itu.int/md/R23-CPM27.1-C-0006/es" TargetMode="External"/><Relationship Id="rId44" Type="http://schemas.openxmlformats.org/officeDocument/2006/relationships/footer" Target="footer4.xml"/><Relationship Id="rId52" Type="http://schemas.openxmlformats.org/officeDocument/2006/relationships/hyperlink" Target="https://www.itu.int/oth/R0A0A000023/es" TargetMode="External"/><Relationship Id="rId60"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https://www.itu.int/md/R23-CPM27.1-ADM-0001/es" TargetMode="External"/><Relationship Id="rId14" Type="http://schemas.openxmlformats.org/officeDocument/2006/relationships/hyperlink" Target="https://www.itu.int/md/R23-CPM27.1-C-0002/es" TargetMode="External"/><Relationship Id="rId22" Type="http://schemas.openxmlformats.org/officeDocument/2006/relationships/hyperlink" Target="https://www.itu.int/md/R23-CPM27.1-C-0006/es" TargetMode="External"/><Relationship Id="rId27" Type="http://schemas.openxmlformats.org/officeDocument/2006/relationships/hyperlink" Target="https://www.itu.int/md/R23-CPM27.1-C-0004/es" TargetMode="External"/><Relationship Id="rId30" Type="http://schemas.openxmlformats.org/officeDocument/2006/relationships/hyperlink" Target="https://www.itu.int/pub/R-RES-R.2-9-2023/es" TargetMode="External"/><Relationship Id="rId35" Type="http://schemas.openxmlformats.org/officeDocument/2006/relationships/header" Target="header3.xml"/><Relationship Id="rId43" Type="http://schemas.openxmlformats.org/officeDocument/2006/relationships/header" Target="header7.xml"/><Relationship Id="rId48" Type="http://schemas.openxmlformats.org/officeDocument/2006/relationships/header" Target="header9.xml"/><Relationship Id="rId56" Type="http://schemas.openxmlformats.org/officeDocument/2006/relationships/header" Target="header12.xml"/><Relationship Id="rId8" Type="http://schemas.openxmlformats.org/officeDocument/2006/relationships/hyperlink" Target="https://www.itu.int/pub/R-RES-R.2-9-2023/es" TargetMode="External"/><Relationship Id="rId51" Type="http://schemas.openxmlformats.org/officeDocument/2006/relationships/footer" Target="footer8.xml"/><Relationship Id="rId3" Type="http://schemas.openxmlformats.org/officeDocument/2006/relationships/styles" Target="styles.xml"/><Relationship Id="rId12" Type="http://schemas.openxmlformats.org/officeDocument/2006/relationships/hyperlink" Target="https://www.itu.int/pub/R-RES-R.2-9-2023/es" TargetMode="External"/><Relationship Id="rId17" Type="http://schemas.openxmlformats.org/officeDocument/2006/relationships/hyperlink" Target="https://www.itu.int/dms_pub/itu-r/opb/act/R-ACT-WRC.15-2023-PDF-S.pdf" TargetMode="External"/><Relationship Id="rId25" Type="http://schemas.openxmlformats.org/officeDocument/2006/relationships/hyperlink" Target="https://www.itu.int/md/R23-CPM27.1-C-0006/es" TargetMode="External"/><Relationship Id="rId33" Type="http://schemas.openxmlformats.org/officeDocument/2006/relationships/header" Target="header1.xml"/><Relationship Id="rId38" Type="http://schemas.openxmlformats.org/officeDocument/2006/relationships/header" Target="header5.xml"/><Relationship Id="rId46" Type="http://schemas.openxmlformats.org/officeDocument/2006/relationships/header" Target="header8.xml"/><Relationship Id="rId59" Type="http://schemas.openxmlformats.org/officeDocument/2006/relationships/header" Target="header13.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8B312-4979-40B5-9230-64CE3378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280</TotalTime>
  <Pages>79</Pages>
  <Words>28209</Words>
  <Characters>154632</Characters>
  <Application>Microsoft Office Word</Application>
  <DocSecurity>0</DocSecurity>
  <Lines>1288</Lines>
  <Paragraphs>364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182477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Spanish1</dc:creator>
  <cp:lastModifiedBy>Fernandez Jimenez, Virginia</cp:lastModifiedBy>
  <cp:revision>11</cp:revision>
  <cp:lastPrinted>2019-12-17T10:15:00Z</cp:lastPrinted>
  <dcterms:created xsi:type="dcterms:W3CDTF">2024-01-24T10:20:00Z</dcterms:created>
  <dcterms:modified xsi:type="dcterms:W3CDTF">2024-01-25T11:12:00Z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