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51EE0" w14:paraId="08ECBB9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499AD73" w14:textId="77777777" w:rsidR="00E53DCE" w:rsidRPr="00651EE0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651EE0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369FC927" w14:textId="77777777" w:rsidR="00E53DCE" w:rsidRPr="00651EE0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2AF4B5BC" w14:textId="77777777" w:rsidR="00E53DCE" w:rsidRPr="00651EE0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651EE0" w14:paraId="6EE34851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CE5AF4D" w14:textId="17099267" w:rsidR="00E53DCE" w:rsidRPr="00651EE0" w:rsidRDefault="00E53DCE" w:rsidP="006160CB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r w:rsidRPr="00651EE0">
              <w:rPr>
                <w:szCs w:val="24"/>
                <w:lang w:val="fr-FR"/>
              </w:rPr>
              <w:t>Circulaire administrative</w:t>
            </w:r>
          </w:p>
          <w:p w14:paraId="12830B32" w14:textId="25C7BEE2" w:rsidR="00E53DCE" w:rsidRPr="00651EE0" w:rsidRDefault="00D560A1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651EE0">
              <w:rPr>
                <w:b/>
                <w:bCs/>
                <w:szCs w:val="24"/>
                <w:lang w:val="fr-FR"/>
              </w:rPr>
              <w:t>CA/267</w:t>
            </w:r>
          </w:p>
        </w:tc>
        <w:tc>
          <w:tcPr>
            <w:tcW w:w="2835" w:type="dxa"/>
            <w:shd w:val="clear" w:color="auto" w:fill="auto"/>
          </w:tcPr>
          <w:p w14:paraId="48513822" w14:textId="4760C63C" w:rsidR="00E53DCE" w:rsidRPr="00651EE0" w:rsidRDefault="00AA781A" w:rsidP="006160CB">
            <w:pPr>
              <w:spacing w:before="0"/>
              <w:jc w:val="right"/>
              <w:rPr>
                <w:sz w:val="28"/>
                <w:szCs w:val="28"/>
                <w:lang w:val="fr-FR"/>
              </w:rPr>
            </w:pPr>
            <w:r w:rsidRPr="00651EE0">
              <w:rPr>
                <w:szCs w:val="24"/>
                <w:lang w:val="fr-FR"/>
              </w:rPr>
              <w:t xml:space="preserve">Le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EF060AC34D174DCA9D38A47725A31D71"/>
                </w:placeholder>
                <w:date w:fullDate="2023-05-10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D560A1" w:rsidRPr="00651EE0">
                  <w:rPr>
                    <w:rFonts w:cs="Arial"/>
                    <w:szCs w:val="24"/>
                    <w:lang w:val="fr-FR"/>
                  </w:rPr>
                  <w:t>10 mai 2023</w:t>
                </w:r>
              </w:sdtContent>
            </w:sdt>
          </w:p>
        </w:tc>
      </w:tr>
      <w:tr w:rsidR="00E53DCE" w:rsidRPr="00651EE0" w14:paraId="3EBEA3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5A2EB5" w14:textId="77777777" w:rsidR="00E53DCE" w:rsidRPr="00651EE0" w:rsidRDefault="00E53DCE" w:rsidP="006160CB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651EE0" w14:paraId="59EEF95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86015C" w14:textId="77777777" w:rsidR="00E53DCE" w:rsidRPr="00651EE0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20533B" w14:paraId="7BD8C24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FE167E9" w14:textId="66B8D1DC" w:rsidR="00E53DCE" w:rsidRPr="00651EE0" w:rsidRDefault="00D560A1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651EE0">
              <w:rPr>
                <w:b/>
                <w:bCs/>
                <w:szCs w:val="24"/>
                <w:lang w:val="fr-FR"/>
              </w:rPr>
              <w:t>Aux Administrations des États Membres de l</w:t>
            </w:r>
            <w:r w:rsidR="00F22142" w:rsidRPr="00651EE0">
              <w:rPr>
                <w:b/>
                <w:bCs/>
                <w:szCs w:val="24"/>
                <w:lang w:val="fr-FR"/>
              </w:rPr>
              <w:t>'</w:t>
            </w:r>
            <w:r w:rsidRPr="00651EE0">
              <w:rPr>
                <w:b/>
                <w:bCs/>
                <w:szCs w:val="24"/>
                <w:lang w:val="fr-FR"/>
              </w:rPr>
              <w:t>UIT et aux Membres du Secteur des radiocommunications</w:t>
            </w:r>
          </w:p>
          <w:p w14:paraId="455C2A8A" w14:textId="77777777" w:rsidR="00E53DCE" w:rsidRPr="00651EE0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20533B" w14:paraId="4F9A5BB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A11473" w14:textId="77777777" w:rsidR="00E53DCE" w:rsidRPr="00651EE0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20533B" w14:paraId="4CC424D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FBD5072" w14:textId="77777777" w:rsidR="00E53DCE" w:rsidRPr="00651EE0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20533B" w14:paraId="49EAAF8C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BC73171" w14:textId="77777777" w:rsidR="00E53DCE" w:rsidRPr="00651EE0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  <w:r w:rsidRPr="00651EE0">
              <w:rPr>
                <w:lang w:val="fr-FR"/>
              </w:rPr>
              <w:t>Objet</w:t>
            </w:r>
            <w:r w:rsidR="00E53DCE" w:rsidRPr="00651EE0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3C078E5" w14:textId="73F7D220" w:rsidR="00E53DCE" w:rsidRPr="00651EE0" w:rsidRDefault="00D560A1" w:rsidP="00D560A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651EE0">
              <w:rPr>
                <w:b/>
                <w:bCs/>
                <w:szCs w:val="24"/>
                <w:lang w:val="fr-FR"/>
              </w:rPr>
              <w:t>Résumé des conclusions de la trentième réunion du Groupe consultatif des radiocommunications</w:t>
            </w:r>
          </w:p>
        </w:tc>
      </w:tr>
      <w:tr w:rsidR="00E53DCE" w:rsidRPr="0020533B" w14:paraId="7637D609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4B5D7D34" w14:textId="77777777" w:rsidR="00E53DCE" w:rsidRPr="00651EE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C990A95" w14:textId="77777777" w:rsidR="00E53DCE" w:rsidRPr="00651EE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20533B" w14:paraId="544E4BBD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71B044A" w14:textId="77777777" w:rsidR="00E53DCE" w:rsidRPr="00651EE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2806FD0" w14:textId="77777777" w:rsidR="00E53DCE" w:rsidRPr="00651EE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20533B" w14:paraId="09F919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BC6EF2" w14:textId="77777777" w:rsidR="00E53DCE" w:rsidRPr="00651EE0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20533B" w14:paraId="020DBE6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497B58" w14:textId="77777777" w:rsidR="00E53DCE" w:rsidRPr="00651EE0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77422881" w14:textId="32949A06" w:rsidR="00D560A1" w:rsidRPr="00651EE0" w:rsidRDefault="00D560A1" w:rsidP="00823550">
      <w:pPr>
        <w:rPr>
          <w:szCs w:val="24"/>
          <w:lang w:val="fr-FR"/>
        </w:rPr>
      </w:pPr>
      <w:r w:rsidRPr="00651EE0">
        <w:rPr>
          <w:szCs w:val="24"/>
          <w:lang w:val="fr-FR"/>
        </w:rPr>
        <w:t>Le Groupe consultatif des radiocommunications (GCR) a tenu</w:t>
      </w:r>
      <w:r w:rsidR="00544253">
        <w:rPr>
          <w:szCs w:val="24"/>
          <w:lang w:val="fr-FR"/>
        </w:rPr>
        <w:t xml:space="preserve"> sa trentième réunion du 1er au</w:t>
      </w:r>
      <w:r w:rsidR="00823550">
        <w:rPr>
          <w:szCs w:val="24"/>
          <w:lang w:val="fr-FR"/>
        </w:rPr>
        <w:t xml:space="preserve"> </w:t>
      </w:r>
      <w:r w:rsidRPr="00651EE0">
        <w:rPr>
          <w:szCs w:val="24"/>
          <w:lang w:val="fr-FR"/>
        </w:rPr>
        <w:t>3 mai 2023.</w:t>
      </w:r>
    </w:p>
    <w:p w14:paraId="4018D9B2" w14:textId="77777777" w:rsidR="00D560A1" w:rsidRPr="00651EE0" w:rsidRDefault="00D560A1" w:rsidP="00D560A1">
      <w:pPr>
        <w:jc w:val="left"/>
        <w:rPr>
          <w:bCs/>
          <w:szCs w:val="24"/>
          <w:lang w:val="fr-FR"/>
        </w:rPr>
      </w:pPr>
      <w:r w:rsidRPr="00651EE0">
        <w:rPr>
          <w:bCs/>
          <w:szCs w:val="24"/>
          <w:lang w:val="fr-FR"/>
        </w:rPr>
        <w:t>Le résumé des conclusions de la réunion figure dans la Pièce jointe à la présente lettre.</w:t>
      </w:r>
    </w:p>
    <w:p w14:paraId="14644CD2" w14:textId="608328B6" w:rsidR="00D560A1" w:rsidRPr="00651EE0" w:rsidRDefault="00D560A1" w:rsidP="00D560A1">
      <w:pPr>
        <w:jc w:val="left"/>
        <w:rPr>
          <w:szCs w:val="24"/>
          <w:lang w:val="fr-FR"/>
        </w:rPr>
      </w:pPr>
      <w:r w:rsidRPr="00651EE0">
        <w:rPr>
          <w:szCs w:val="24"/>
          <w:lang w:val="fr-FR"/>
        </w:rPr>
        <w:t>On trouvera des renseignements complémentaires sur cette réunion sur le site web du GCR, à l</w:t>
      </w:r>
      <w:r w:rsidR="00F22142" w:rsidRPr="00651EE0">
        <w:rPr>
          <w:szCs w:val="24"/>
          <w:lang w:val="fr-FR"/>
        </w:rPr>
        <w:t>'</w:t>
      </w:r>
      <w:r w:rsidRPr="00651EE0">
        <w:rPr>
          <w:szCs w:val="24"/>
          <w:lang w:val="fr-FR"/>
        </w:rPr>
        <w:t>adresse:</w:t>
      </w:r>
      <w:r w:rsidR="00544253" w:rsidRPr="00651EE0">
        <w:rPr>
          <w:szCs w:val="24"/>
          <w:lang w:val="fr-FR"/>
        </w:rPr>
        <w:t xml:space="preserve"> </w:t>
      </w:r>
      <w:hyperlink r:id="rId8" w:history="1">
        <w:r w:rsidR="00544253" w:rsidRPr="00651EE0">
          <w:rPr>
            <w:rStyle w:val="Hyperlink"/>
            <w:szCs w:val="24"/>
            <w:lang w:val="fr-FR"/>
          </w:rPr>
          <w:t>www.itu.int/ITU</w:t>
        </w:r>
        <w:r w:rsidR="00544253" w:rsidRPr="00651EE0">
          <w:rPr>
            <w:rStyle w:val="Hyperlink"/>
            <w:szCs w:val="24"/>
            <w:lang w:val="fr-FR"/>
          </w:rPr>
          <w:noBreakHyphen/>
          <w:t>R/go/RAG</w:t>
        </w:r>
      </w:hyperlink>
      <w:r w:rsidRPr="00651EE0">
        <w:rPr>
          <w:szCs w:val="24"/>
          <w:lang w:val="fr-FR"/>
        </w:rPr>
        <w:t>.</w:t>
      </w:r>
    </w:p>
    <w:p w14:paraId="644F452B" w14:textId="66E3CEE2" w:rsidR="00E53DCE" w:rsidRPr="00651EE0" w:rsidRDefault="00D560A1" w:rsidP="0020533B">
      <w:pPr>
        <w:spacing w:before="1200"/>
        <w:jc w:val="left"/>
        <w:rPr>
          <w:szCs w:val="24"/>
          <w:lang w:val="fr-FR"/>
        </w:rPr>
      </w:pPr>
      <w:r w:rsidRPr="00651EE0">
        <w:rPr>
          <w:szCs w:val="24"/>
          <w:lang w:val="fr-FR"/>
        </w:rPr>
        <w:t>Mario Maniewicz</w:t>
      </w:r>
      <w:r w:rsidRPr="00651EE0">
        <w:rPr>
          <w:szCs w:val="24"/>
          <w:lang w:val="fr-FR"/>
        </w:rPr>
        <w:br/>
        <w:t>Directeur</w:t>
      </w:r>
    </w:p>
    <w:p w14:paraId="501D8034" w14:textId="2A14E5FF" w:rsidR="00D21694" w:rsidRPr="00651EE0" w:rsidRDefault="00D560A1" w:rsidP="00D560A1">
      <w:pPr>
        <w:spacing w:before="1680"/>
        <w:rPr>
          <w:rFonts w:asciiTheme="minorHAnsi" w:hAnsiTheme="minorHAnsi" w:cstheme="minorHAnsi"/>
          <w:szCs w:val="24"/>
          <w:lang w:val="fr-FR"/>
        </w:rPr>
      </w:pPr>
      <w:r w:rsidRPr="00651EE0">
        <w:rPr>
          <w:rFonts w:asciiTheme="minorHAnsi" w:hAnsiTheme="minorHAnsi" w:cstheme="minorHAnsi"/>
          <w:b/>
          <w:bCs/>
          <w:szCs w:val="24"/>
          <w:lang w:val="fr-FR"/>
        </w:rPr>
        <w:t>Pièce jointe</w:t>
      </w:r>
      <w:r w:rsidRPr="00651EE0">
        <w:rPr>
          <w:rFonts w:asciiTheme="minorHAnsi" w:hAnsiTheme="minorHAnsi" w:cstheme="minorHAnsi"/>
          <w:szCs w:val="24"/>
          <w:lang w:val="fr-FR"/>
        </w:rPr>
        <w:t>: 1</w:t>
      </w:r>
    </w:p>
    <w:p w14:paraId="29765991" w14:textId="77777777" w:rsidR="00D560A1" w:rsidRPr="00651EE0" w:rsidRDefault="00D560A1" w:rsidP="00031E64">
      <w:pPr>
        <w:rPr>
          <w:rFonts w:asciiTheme="minorHAnsi" w:hAnsiTheme="minorHAnsi" w:cstheme="minorHAnsi"/>
          <w:szCs w:val="24"/>
          <w:lang w:val="fr-FR"/>
        </w:rPr>
        <w:sectPr w:rsidR="00D560A1" w:rsidRPr="00651EE0" w:rsidSect="003F2F34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4" w:code="9"/>
          <w:pgMar w:top="1134" w:right="1134" w:bottom="993" w:left="1134" w:header="567" w:footer="397" w:gutter="0"/>
          <w:cols w:space="720"/>
          <w:titlePg/>
          <w:docGrid w:linePitch="326"/>
        </w:sectPr>
      </w:pPr>
    </w:p>
    <w:p w14:paraId="68CC8E9E" w14:textId="77777777" w:rsidR="00D560A1" w:rsidRPr="00651EE0" w:rsidRDefault="00D560A1" w:rsidP="00EE17B9">
      <w:pPr>
        <w:pStyle w:val="ArtNo"/>
        <w:spacing w:before="0" w:line="240" w:lineRule="auto"/>
        <w:rPr>
          <w:lang w:val="fr-FR"/>
        </w:rPr>
      </w:pPr>
      <w:r w:rsidRPr="00651EE0">
        <w:rPr>
          <w:lang w:val="fr-FR"/>
        </w:rPr>
        <w:lastRenderedPageBreak/>
        <w:t>Pièce jointe</w:t>
      </w:r>
    </w:p>
    <w:p w14:paraId="0A8843C1" w14:textId="5C002F94" w:rsidR="00D560A1" w:rsidRPr="00651EE0" w:rsidRDefault="00D560A1" w:rsidP="00D560A1">
      <w:pPr>
        <w:pStyle w:val="AnnexNoTitle"/>
        <w:spacing w:before="120" w:line="240" w:lineRule="auto"/>
        <w:rPr>
          <w:sz w:val="28"/>
          <w:szCs w:val="28"/>
          <w:lang w:val="fr-FR"/>
        </w:rPr>
      </w:pPr>
      <w:r w:rsidRPr="00651EE0">
        <w:rPr>
          <w:sz w:val="28"/>
          <w:szCs w:val="28"/>
          <w:lang w:val="fr-FR"/>
        </w:rPr>
        <w:t xml:space="preserve">RÉSUMÉ DES CONCLUSIONS DE LA TRENTIÈME RÉUNION </w:t>
      </w:r>
      <w:r w:rsidR="00544253">
        <w:rPr>
          <w:sz w:val="28"/>
          <w:szCs w:val="28"/>
          <w:lang w:val="fr-FR"/>
        </w:rPr>
        <w:br/>
      </w:r>
      <w:r w:rsidRPr="00651EE0">
        <w:rPr>
          <w:sz w:val="28"/>
          <w:szCs w:val="28"/>
          <w:lang w:val="fr-FR"/>
        </w:rPr>
        <w:t>DU</w:t>
      </w:r>
      <w:r w:rsidR="00544253">
        <w:rPr>
          <w:sz w:val="28"/>
          <w:szCs w:val="28"/>
          <w:lang w:val="fr-FR"/>
        </w:rPr>
        <w:t xml:space="preserve"> </w:t>
      </w:r>
      <w:r w:rsidRPr="00651EE0">
        <w:rPr>
          <w:sz w:val="28"/>
          <w:szCs w:val="28"/>
          <w:lang w:val="fr-FR"/>
        </w:rPr>
        <w:t>GROUPE CONSULTATIF DES RADIOCOMMUNICATIONS</w:t>
      </w:r>
    </w:p>
    <w:p w14:paraId="289BFC5C" w14:textId="0FAC28A6" w:rsidR="00D560A1" w:rsidRPr="00651EE0" w:rsidRDefault="00D560A1" w:rsidP="00D560A1">
      <w:pPr>
        <w:pStyle w:val="AnnexNoTitle"/>
        <w:spacing w:before="120" w:after="240" w:line="240" w:lineRule="auto"/>
        <w:rPr>
          <w:b w:val="0"/>
          <w:lang w:val="fr-FR"/>
        </w:rPr>
      </w:pPr>
      <w:r w:rsidRPr="00651EE0">
        <w:rPr>
          <w:b w:val="0"/>
          <w:lang w:val="fr-FR"/>
        </w:rPr>
        <w:t xml:space="preserve">(Source: Doc. </w:t>
      </w:r>
      <w:hyperlink r:id="rId14" w:history="1">
        <w:r w:rsidRPr="00651EE0">
          <w:rPr>
            <w:rStyle w:val="Hyperlink"/>
            <w:b w:val="0"/>
            <w:lang w:val="fr-FR"/>
          </w:rPr>
          <w:t>RAG/TEMP/9</w:t>
        </w:r>
        <w:r w:rsidR="0037564D" w:rsidRPr="00651EE0">
          <w:rPr>
            <w:rStyle w:val="Hyperlink"/>
            <w:b w:val="0"/>
            <w:lang w:val="fr-FR"/>
          </w:rPr>
          <w:t>(</w:t>
        </w:r>
        <w:r w:rsidRPr="00651EE0">
          <w:rPr>
            <w:rStyle w:val="Hyperlink"/>
            <w:b w:val="0"/>
            <w:lang w:val="fr-FR"/>
          </w:rPr>
          <w:t>Rév.3</w:t>
        </w:r>
      </w:hyperlink>
      <w:r w:rsidR="0037564D" w:rsidRPr="00651EE0">
        <w:rPr>
          <w:rStyle w:val="Hyperlink"/>
          <w:b w:val="0"/>
          <w:lang w:val="fr-FR"/>
        </w:rPr>
        <w:t>)</w:t>
      </w:r>
      <w:r w:rsidRPr="00651EE0">
        <w:rPr>
          <w:b w:val="0"/>
          <w:lang w:val="fr-FR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6"/>
        <w:gridCol w:w="2543"/>
        <w:gridCol w:w="11158"/>
      </w:tblGrid>
      <w:tr w:rsidR="00D560A1" w:rsidRPr="00651EE0" w14:paraId="4CA03F64" w14:textId="77777777" w:rsidTr="00544253">
        <w:trPr>
          <w:tblHeader/>
          <w:jc w:val="center"/>
        </w:trPr>
        <w:tc>
          <w:tcPr>
            <w:tcW w:w="339" w:type="pct"/>
          </w:tcPr>
          <w:p w14:paraId="032D2693" w14:textId="133B95D5" w:rsidR="00D560A1" w:rsidRPr="00651EE0" w:rsidRDefault="00D560A1" w:rsidP="00CB197F">
            <w:pPr>
              <w:pStyle w:val="Tablehead"/>
              <w:rPr>
                <w:lang w:val="fr-FR"/>
              </w:rPr>
            </w:pPr>
            <w:r w:rsidRPr="00651EE0">
              <w:rPr>
                <w:lang w:val="fr-FR"/>
              </w:rPr>
              <w:br w:type="page"/>
              <w:t>Point de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ordre du jour</w:t>
            </w:r>
          </w:p>
        </w:tc>
        <w:tc>
          <w:tcPr>
            <w:tcW w:w="865" w:type="pct"/>
          </w:tcPr>
          <w:p w14:paraId="762D7E03" w14:textId="77777777" w:rsidR="00D560A1" w:rsidRPr="00651EE0" w:rsidRDefault="00D560A1" w:rsidP="00CB197F">
            <w:pPr>
              <w:pStyle w:val="Tablehead"/>
              <w:rPr>
                <w:lang w:val="fr-FR"/>
              </w:rPr>
            </w:pPr>
            <w:r w:rsidRPr="00651EE0">
              <w:rPr>
                <w:lang w:val="fr-FR"/>
              </w:rPr>
              <w:t>Sujet/</w:t>
            </w:r>
            <w:r w:rsidRPr="00651EE0">
              <w:rPr>
                <w:lang w:val="fr-FR"/>
              </w:rPr>
              <w:br/>
              <w:t>Document(s)</w:t>
            </w:r>
          </w:p>
        </w:tc>
        <w:tc>
          <w:tcPr>
            <w:tcW w:w="3796" w:type="pct"/>
          </w:tcPr>
          <w:p w14:paraId="4A48242A" w14:textId="77777777" w:rsidR="00D560A1" w:rsidRPr="00651EE0" w:rsidRDefault="00D560A1" w:rsidP="00CB197F">
            <w:pPr>
              <w:pStyle w:val="Tablehead"/>
              <w:rPr>
                <w:lang w:val="fr-FR"/>
              </w:rPr>
            </w:pPr>
            <w:r w:rsidRPr="00651EE0">
              <w:rPr>
                <w:lang w:val="fr-FR"/>
              </w:rPr>
              <w:t>Conclusions</w:t>
            </w:r>
          </w:p>
        </w:tc>
      </w:tr>
      <w:tr w:rsidR="00D560A1" w:rsidRPr="0020533B" w14:paraId="15640D9E" w14:textId="77777777" w:rsidTr="00777D11">
        <w:trPr>
          <w:jc w:val="center"/>
        </w:trPr>
        <w:tc>
          <w:tcPr>
            <w:tcW w:w="339" w:type="pct"/>
          </w:tcPr>
          <w:p w14:paraId="3AACBAE4" w14:textId="77777777" w:rsidR="00D560A1" w:rsidRPr="00651EE0" w:rsidRDefault="00D560A1" w:rsidP="00777D11">
            <w:pPr>
              <w:pStyle w:val="Tabletext"/>
              <w:jc w:val="center"/>
              <w:rPr>
                <w:lang w:val="fr-FR"/>
              </w:rPr>
            </w:pPr>
            <w:r w:rsidRPr="00651EE0">
              <w:rPr>
                <w:lang w:val="fr-FR"/>
              </w:rPr>
              <w:t>1</w:t>
            </w:r>
          </w:p>
        </w:tc>
        <w:tc>
          <w:tcPr>
            <w:tcW w:w="865" w:type="pct"/>
          </w:tcPr>
          <w:p w14:paraId="0F8A9552" w14:textId="77777777" w:rsidR="00D560A1" w:rsidRPr="00651EE0" w:rsidRDefault="00D560A1" w:rsidP="00777D11">
            <w:pPr>
              <w:pStyle w:val="Tabletext"/>
              <w:rPr>
                <w:lang w:val="fr-FR"/>
              </w:rPr>
            </w:pPr>
            <w:r w:rsidRPr="00651EE0">
              <w:rPr>
                <w:lang w:val="fr-FR"/>
              </w:rPr>
              <w:t>Remarques liminaires</w:t>
            </w:r>
          </w:p>
        </w:tc>
        <w:tc>
          <w:tcPr>
            <w:tcW w:w="3796" w:type="pct"/>
          </w:tcPr>
          <w:p w14:paraId="528F321F" w14:textId="77777777" w:rsidR="00D560A1" w:rsidRPr="00651EE0" w:rsidRDefault="00D560A1" w:rsidP="00C9036C">
            <w:pPr>
              <w:pStyle w:val="Tabletext"/>
              <w:rPr>
                <w:lang w:val="fr-FR"/>
              </w:rPr>
            </w:pPr>
            <w:r w:rsidRPr="00651EE0">
              <w:rPr>
                <w:lang w:val="fr-FR"/>
              </w:rPr>
              <w:t>Le Président du GCR, M. Daniel Obam (Kenya), a déclaré la réunion ouverte.</w:t>
            </w:r>
          </w:p>
          <w:p w14:paraId="612B214A" w14:textId="7FE818E0" w:rsidR="00D560A1" w:rsidRPr="00651EE0" w:rsidRDefault="00D560A1" w:rsidP="00C9036C">
            <w:pPr>
              <w:pStyle w:val="Tabletext"/>
              <w:rPr>
                <w:lang w:val="fr-FR"/>
              </w:rPr>
            </w:pPr>
            <w:r w:rsidRPr="00651EE0">
              <w:rPr>
                <w:lang w:val="fr-FR"/>
              </w:rPr>
              <w:t>Dans ses remarques liminaires, le Président du GCR s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est félicité de la participation du Directeur du Secteur de la normalisation des télécommunications et a indiqué qu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il s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agissait de la dernière réunion du GCR qu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il présidait, après avoir occupé ces fonctions pendant dix ans.</w:t>
            </w:r>
          </w:p>
          <w:p w14:paraId="4EA8F8A9" w14:textId="197DF222" w:rsidR="00D560A1" w:rsidRPr="00651EE0" w:rsidRDefault="00D560A1" w:rsidP="00C9036C">
            <w:pPr>
              <w:pStyle w:val="Tabletext"/>
              <w:rPr>
                <w:lang w:val="fr-FR"/>
              </w:rPr>
            </w:pPr>
            <w:r w:rsidRPr="00651EE0">
              <w:rPr>
                <w:lang w:val="fr-FR"/>
              </w:rPr>
              <w:t>Le Directeur du TSB a souhaité la bienvenue aux participants et les a remerciés de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avoir invité à prendre la parole devant le GCR. Il a remercié le GCR pour la collaboration avec le Secteur de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UIT-T et a invité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UIT-R à participer aux activités de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UIT-T.</w:t>
            </w:r>
          </w:p>
          <w:p w14:paraId="435850FF" w14:textId="71C32A4C" w:rsidR="00D560A1" w:rsidRPr="00651EE0" w:rsidRDefault="00D560A1" w:rsidP="00C9036C">
            <w:pPr>
              <w:pStyle w:val="Tabletext"/>
              <w:rPr>
                <w:lang w:val="fr-FR"/>
              </w:rPr>
            </w:pPr>
            <w:r w:rsidRPr="00651EE0">
              <w:rPr>
                <w:lang w:val="fr-FR"/>
              </w:rPr>
              <w:t>Le Directeur du BR a souhaité la bienvenue à tous les participants, y compris à ceux qui participaient à distance, et a remercié M. Daniel Obam, qui a assuré la présidence du GCR pendant deux mandats et demi, et dont le mandat prendra fin à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issue de la période d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études actuelle. Le Directeur a rappelé que cette réunion du GCR était la dernière avant la prochaine Conférence mondiale des radiocommunications et a pris note avec satisfaction des travaux menés par les commissions d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études, les groupes de travail et le Groupe d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action de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UIT-R ainsi que la RPC. Enfin, il s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est félicité des travaux menés par les deux Groupes de travail par correspondance du GCR et a fait observer que les rapports de ces groupes seraient examinés pendant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actuelle réunion du GCR.</w:t>
            </w:r>
          </w:p>
          <w:p w14:paraId="033EA59C" w14:textId="515EA43D" w:rsidR="00D560A1" w:rsidRPr="00651EE0" w:rsidRDefault="00D560A1" w:rsidP="00C9036C">
            <w:pPr>
              <w:pStyle w:val="Tabletext"/>
              <w:rPr>
                <w:lang w:val="fr-FR"/>
              </w:rPr>
            </w:pPr>
            <w:r w:rsidRPr="00651EE0">
              <w:rPr>
                <w:lang w:val="fr-FR"/>
              </w:rPr>
              <w:t>Le Vice-Secrétaire général, qui prenait la parole pour la première fois devant le GCR, a transmis aux participants les salutations et les vœux de la Secrétaire générale, qui n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était pas en mesure d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assister à la réunion. Il a informé le GCR que la nouvelle direction de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UIT était désireuse d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améliorer la performance de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UIT – afin de rendre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Union plus transparente et plus responsable vis-à-vis de ses membres, ainsi que de renforcer les connaissances spécialisées de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organisation et de traiter les problèmes en adoptant une approche fondée sur des données factuelles. Le Vice-Secrétaire général a été d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avis que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intégration du principe de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égalité hommes/femmes à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UIT donnait certes des résultats positifs, mais qu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il restait encore beaucoup à faire pour accroître la participation des femmes aux activités et aux manifestations de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Union. Il a notamment fait observer que si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on avait dénombré 33% de participantes à la PP-22, en revanche la seconde Réunion de préparation à la Conférence (RPC-23), qui vient de s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achever, n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avait</w:t>
            </w:r>
            <w:r w:rsidR="00CB197F" w:rsidRPr="00651EE0">
              <w:rPr>
                <w:lang w:val="fr-FR"/>
              </w:rPr>
              <w:t xml:space="preserve"> </w:t>
            </w:r>
            <w:r w:rsidRPr="00651EE0">
              <w:rPr>
                <w:lang w:val="fr-FR"/>
              </w:rPr>
              <w:t>rassemblé que 23% de participantes. Nous comptons sur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appui de tous nos membres pour accroître la participation des femmes aux travaux de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UIT. Le Vice-Secrétaire général a également noté que, depuis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adoption de la Résolution 70 de la PP en 1998, les CMDT et les AMNT ultérieures avaient adopté et mis à jour les Résolutions de leurs Secteurs respectifs relatives à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égalité hommes/femmes, qui ont été adaptées pour répondre à leurs besoins spécifiques. Depuis,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UIT a constaté que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UIT-D et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UIT-T avaient dépassé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UIT-R en ce qui concerne la participation des femmes aux travaux de leur Secteur.</w:t>
            </w:r>
            <w:r w:rsidR="00EE17B9" w:rsidRPr="00651EE0">
              <w:rPr>
                <w:lang w:val="fr-FR"/>
              </w:rPr>
              <w:t xml:space="preserve"> </w:t>
            </w:r>
            <w:r w:rsidRPr="00651EE0">
              <w:rPr>
                <w:lang w:val="fr-FR"/>
              </w:rPr>
              <w:t>La direction de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UIT est donc très satisfaite des travaux menés par le GCR en vue de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élaboration d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un projet de Résolution sur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égalité hommes/femmes, qui sera soumis à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AR-23 pour adoption. Pour conclure, le Vice-Secrétaire général a souhaité au GCR plein succès dans ses travaux.</w:t>
            </w:r>
          </w:p>
        </w:tc>
      </w:tr>
      <w:tr w:rsidR="00D560A1" w:rsidRPr="0020533B" w14:paraId="2E3857DD" w14:textId="77777777" w:rsidTr="00777D11">
        <w:trPr>
          <w:jc w:val="center"/>
        </w:trPr>
        <w:tc>
          <w:tcPr>
            <w:tcW w:w="339" w:type="pct"/>
          </w:tcPr>
          <w:p w14:paraId="3A6B25DE" w14:textId="77777777" w:rsidR="00D560A1" w:rsidRPr="00651EE0" w:rsidRDefault="00D560A1" w:rsidP="00777D11">
            <w:pPr>
              <w:pStyle w:val="Tabletext"/>
              <w:keepNext/>
              <w:keepLines/>
              <w:jc w:val="center"/>
              <w:rPr>
                <w:lang w:val="fr-FR"/>
              </w:rPr>
            </w:pPr>
            <w:r w:rsidRPr="00651EE0">
              <w:rPr>
                <w:lang w:val="fr-FR" w:eastAsia="en-GB"/>
              </w:rPr>
              <w:lastRenderedPageBreak/>
              <w:t>2</w:t>
            </w:r>
          </w:p>
        </w:tc>
        <w:tc>
          <w:tcPr>
            <w:tcW w:w="865" w:type="pct"/>
          </w:tcPr>
          <w:p w14:paraId="3B987A5C" w14:textId="2FAE6780" w:rsidR="00D560A1" w:rsidRPr="00651EE0" w:rsidRDefault="00D560A1" w:rsidP="00777D11">
            <w:pPr>
              <w:pStyle w:val="Tabletext"/>
              <w:keepNext/>
              <w:keepLines/>
              <w:rPr>
                <w:lang w:val="fr-FR"/>
              </w:rPr>
            </w:pPr>
            <w:r w:rsidRPr="00651EE0">
              <w:rPr>
                <w:lang w:val="fr-FR"/>
              </w:rPr>
              <w:t>Adoption de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ordre du jour</w:t>
            </w:r>
          </w:p>
          <w:p w14:paraId="639AE48D" w14:textId="77777777" w:rsidR="00D560A1" w:rsidRPr="00651EE0" w:rsidRDefault="0020533B" w:rsidP="00777D11">
            <w:pPr>
              <w:pStyle w:val="Tabletext"/>
              <w:keepNext/>
              <w:keepLines/>
              <w:rPr>
                <w:lang w:val="fr-FR"/>
              </w:rPr>
            </w:pPr>
            <w:hyperlink r:id="rId15" w:history="1">
              <w:bookmarkStart w:id="0" w:name="lt_pId066"/>
              <w:r w:rsidR="00D560A1" w:rsidRPr="00651EE0">
                <w:rPr>
                  <w:rStyle w:val="Hyperlink"/>
                  <w:rFonts w:asciiTheme="minorHAnsi" w:hAnsiTheme="minorHAnsi" w:cstheme="minorHAnsi"/>
                  <w:lang w:val="fr-FR"/>
                </w:rPr>
                <w:t>ADM/5R2</w:t>
              </w:r>
              <w:bookmarkEnd w:id="0"/>
            </w:hyperlink>
          </w:p>
        </w:tc>
        <w:tc>
          <w:tcPr>
            <w:tcW w:w="3796" w:type="pct"/>
          </w:tcPr>
          <w:p w14:paraId="483ED9DA" w14:textId="2DAB1EF2" w:rsidR="00D560A1" w:rsidRPr="00651EE0" w:rsidRDefault="00D560A1" w:rsidP="00777D11">
            <w:pPr>
              <w:pStyle w:val="Tabletext"/>
              <w:keepNext/>
              <w:keepLines/>
              <w:rPr>
                <w:lang w:val="fr-FR"/>
              </w:rPr>
            </w:pPr>
            <w:r w:rsidRPr="00651EE0">
              <w:rPr>
                <w:lang w:val="fr-FR"/>
              </w:rPr>
              <w:t>Le projet d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 xml:space="preserve">ordre du jour (Doc. </w:t>
            </w:r>
            <w:r w:rsidRPr="00651EE0">
              <w:rPr>
                <w:rFonts w:asciiTheme="minorHAnsi" w:hAnsiTheme="minorHAnsi" w:cstheme="minorBidi"/>
                <w:lang w:val="fr-FR"/>
              </w:rPr>
              <w:t xml:space="preserve">RAG/ADM/5(Rév.2) </w:t>
            </w:r>
            <w:r w:rsidRPr="00651EE0">
              <w:rPr>
                <w:lang w:val="fr-FR"/>
              </w:rPr>
              <w:t>a été adopté sans modification, à condition que le GCR fonctionne dans le strict respect de l</w:t>
            </w:r>
            <w:r w:rsidR="00F22142" w:rsidRPr="00651EE0">
              <w:rPr>
                <w:lang w:val="fr-FR"/>
              </w:rPr>
              <w:t>'</w:t>
            </w:r>
            <w:r w:rsidR="0004764A" w:rsidRPr="00651EE0">
              <w:rPr>
                <w:lang w:val="fr-FR"/>
              </w:rPr>
              <w:t>A</w:t>
            </w:r>
            <w:r w:rsidRPr="00651EE0">
              <w:rPr>
                <w:lang w:val="fr-FR"/>
              </w:rPr>
              <w:t>rticle 11A de la Convention.</w:t>
            </w:r>
          </w:p>
        </w:tc>
      </w:tr>
      <w:tr w:rsidR="00D560A1" w:rsidRPr="0020533B" w14:paraId="4C91D4A5" w14:textId="77777777" w:rsidTr="00777D11">
        <w:trPr>
          <w:jc w:val="center"/>
        </w:trPr>
        <w:tc>
          <w:tcPr>
            <w:tcW w:w="339" w:type="pct"/>
          </w:tcPr>
          <w:p w14:paraId="512E570D" w14:textId="06ECFF3C" w:rsidR="00D560A1" w:rsidRPr="00651EE0" w:rsidRDefault="00D560A1" w:rsidP="00777D11">
            <w:pPr>
              <w:pStyle w:val="Tabletext"/>
              <w:jc w:val="center"/>
              <w:rPr>
                <w:lang w:val="fr-FR" w:eastAsia="en-GB"/>
              </w:rPr>
            </w:pPr>
            <w:r w:rsidRPr="00651EE0">
              <w:rPr>
                <w:lang w:val="fr-FR" w:eastAsia="en-GB"/>
              </w:rPr>
              <w:t>3</w:t>
            </w:r>
          </w:p>
        </w:tc>
        <w:tc>
          <w:tcPr>
            <w:tcW w:w="865" w:type="pct"/>
          </w:tcPr>
          <w:p w14:paraId="79CE5EA4" w14:textId="77871B40" w:rsidR="00D560A1" w:rsidRPr="00651EE0" w:rsidRDefault="00D560A1" w:rsidP="00777D11">
            <w:pPr>
              <w:pStyle w:val="Tabletext"/>
              <w:spacing w:before="0"/>
              <w:rPr>
                <w:lang w:val="fr-FR"/>
              </w:rPr>
            </w:pPr>
            <w:r w:rsidRPr="00651EE0">
              <w:rPr>
                <w:lang w:val="fr-FR"/>
              </w:rPr>
              <w:t>Rapport à la 30ème réunion du Groupe consultatif des radiocommunications</w:t>
            </w:r>
          </w:p>
          <w:p w14:paraId="0B57593C" w14:textId="05FF1847" w:rsidR="00D560A1" w:rsidRPr="00651EE0" w:rsidRDefault="0020533B" w:rsidP="00777D11">
            <w:pPr>
              <w:pStyle w:val="Tabletext"/>
              <w:spacing w:before="0"/>
              <w:rPr>
                <w:sz w:val="18"/>
                <w:szCs w:val="18"/>
                <w:lang w:val="fr-FR"/>
              </w:rPr>
            </w:pPr>
            <w:hyperlink r:id="rId16" w:history="1">
              <w:bookmarkStart w:id="1" w:name="lt_pId070"/>
              <w:r w:rsidR="00D560A1" w:rsidRPr="00651EE0">
                <w:rPr>
                  <w:rStyle w:val="Hyperlink"/>
                  <w:rFonts w:asciiTheme="minorHAnsi" w:hAnsiTheme="minorHAnsi" w:cstheme="minorHAnsi"/>
                  <w:lang w:val="fr-FR"/>
                </w:rPr>
                <w:t>58R1</w:t>
              </w:r>
              <w:bookmarkEnd w:id="1"/>
            </w:hyperlink>
          </w:p>
        </w:tc>
        <w:tc>
          <w:tcPr>
            <w:tcW w:w="3796" w:type="pct"/>
          </w:tcPr>
          <w:p w14:paraId="2637FA80" w14:textId="1234A626" w:rsidR="00D560A1" w:rsidRPr="00651EE0" w:rsidRDefault="00D560A1" w:rsidP="00777D11">
            <w:pPr>
              <w:pStyle w:val="Tabletext"/>
              <w:rPr>
                <w:rFonts w:asciiTheme="minorHAnsi" w:hAnsiTheme="minorHAnsi" w:cstheme="minorBidi"/>
                <w:lang w:val="fr-FR"/>
              </w:rPr>
            </w:pPr>
            <w:r w:rsidRPr="00651EE0">
              <w:rPr>
                <w:rFonts w:eastAsia="Calibri"/>
                <w:color w:val="000000"/>
                <w:lang w:val="fr-FR" w:eastAsia="en-GB"/>
              </w:rPr>
              <w:t xml:space="preserve">Le GCR a pris note de la présentation du rapport du Directeur à la réunion (Document </w:t>
            </w:r>
            <w:r w:rsidRPr="00651EE0">
              <w:rPr>
                <w:rFonts w:asciiTheme="minorHAnsi" w:hAnsiTheme="minorHAnsi" w:cstheme="minorBidi"/>
                <w:lang w:val="fr-FR"/>
              </w:rPr>
              <w:t>RAG/58(R</w:t>
            </w:r>
            <w:r w:rsidR="00565A43" w:rsidRPr="00651EE0">
              <w:rPr>
                <w:rFonts w:asciiTheme="minorHAnsi" w:hAnsiTheme="minorHAnsi" w:cstheme="minorBidi"/>
                <w:lang w:val="fr-FR"/>
              </w:rPr>
              <w:t>é</w:t>
            </w:r>
            <w:r w:rsidRPr="00651EE0">
              <w:rPr>
                <w:rFonts w:asciiTheme="minorHAnsi" w:hAnsiTheme="minorHAnsi" w:cstheme="minorBidi"/>
                <w:lang w:val="fr-FR"/>
              </w:rPr>
              <w:t>v.1)</w:t>
            </w:r>
            <w:r w:rsidR="00565A43" w:rsidRPr="00651EE0">
              <w:rPr>
                <w:rFonts w:asciiTheme="minorHAnsi" w:hAnsiTheme="minorHAnsi" w:cstheme="minorBidi"/>
                <w:lang w:val="fr-FR"/>
              </w:rPr>
              <w:t>)</w:t>
            </w:r>
            <w:r w:rsidRPr="00651EE0">
              <w:rPr>
                <w:rFonts w:asciiTheme="minorHAnsi" w:hAnsiTheme="minorHAnsi" w:cstheme="minorBidi"/>
                <w:lang w:val="fr-FR"/>
              </w:rPr>
              <w:t>.</w:t>
            </w:r>
          </w:p>
        </w:tc>
      </w:tr>
      <w:tr w:rsidR="00565A43" w:rsidRPr="0020533B" w14:paraId="1C1B7030" w14:textId="77777777" w:rsidTr="00777D11">
        <w:trPr>
          <w:jc w:val="center"/>
        </w:trPr>
        <w:tc>
          <w:tcPr>
            <w:tcW w:w="339" w:type="pct"/>
          </w:tcPr>
          <w:p w14:paraId="09427EBC" w14:textId="795B5ABE" w:rsidR="00565A43" w:rsidRPr="00651EE0" w:rsidRDefault="00565A43" w:rsidP="00777D11">
            <w:pPr>
              <w:pStyle w:val="Tabletext"/>
              <w:jc w:val="center"/>
              <w:rPr>
                <w:lang w:val="fr-FR" w:eastAsia="en-GB"/>
              </w:rPr>
            </w:pPr>
            <w:r w:rsidRPr="00651EE0">
              <w:rPr>
                <w:lang w:val="fr-FR" w:eastAsia="en-GB"/>
              </w:rPr>
              <w:t>4</w:t>
            </w:r>
          </w:p>
        </w:tc>
        <w:tc>
          <w:tcPr>
            <w:tcW w:w="865" w:type="pct"/>
          </w:tcPr>
          <w:p w14:paraId="16CBDFB0" w14:textId="77777777" w:rsidR="00565A43" w:rsidRPr="00651EE0" w:rsidRDefault="00565A43" w:rsidP="00565A43">
            <w:pPr>
              <w:pStyle w:val="Tabletext"/>
              <w:spacing w:before="0"/>
              <w:rPr>
                <w:lang w:val="fr-FR"/>
              </w:rPr>
            </w:pPr>
            <w:r w:rsidRPr="00651EE0">
              <w:rPr>
                <w:lang w:val="fr-FR"/>
              </w:rPr>
              <w:t>Résultats relatifs à la PP-22</w:t>
            </w:r>
          </w:p>
          <w:bookmarkStart w:id="2" w:name="lt_pId074"/>
          <w:p w14:paraId="5704961D" w14:textId="5AA0109D" w:rsidR="00565A43" w:rsidRPr="00651EE0" w:rsidRDefault="00565A43" w:rsidP="00565A43">
            <w:pPr>
              <w:pStyle w:val="Tabletext"/>
              <w:spacing w:before="0"/>
              <w:rPr>
                <w:rFonts w:cs="Arial"/>
                <w:color w:val="000000"/>
                <w:lang w:val="fr-FR" w:eastAsia="en-GB"/>
              </w:rPr>
            </w:pPr>
            <w:r w:rsidRPr="00651EE0">
              <w:fldChar w:fldCharType="begin"/>
            </w:r>
            <w:r w:rsidRPr="00651EE0">
              <w:rPr>
                <w:lang w:val="fr-FR"/>
              </w:rPr>
              <w:instrText>HYPERLINK "https://www.itu.int/md/R20-RAG-C-0058/en"</w:instrText>
            </w:r>
            <w:r w:rsidRPr="00651EE0">
              <w:fldChar w:fldCharType="separate"/>
            </w:r>
            <w:r w:rsidRPr="00651EE0">
              <w:rPr>
                <w:rStyle w:val="Hyperlink"/>
                <w:rFonts w:asciiTheme="minorHAnsi" w:hAnsiTheme="minorHAnsi" w:cstheme="minorHAnsi"/>
                <w:lang w:val="fr-FR"/>
              </w:rPr>
              <w:t>58R1</w:t>
            </w:r>
            <w:r w:rsidRPr="00651EE0">
              <w:rPr>
                <w:rStyle w:val="Hyperlink"/>
                <w:rFonts w:asciiTheme="minorHAnsi" w:hAnsiTheme="minorHAnsi" w:cstheme="minorHAnsi"/>
                <w:lang w:val="fr-FR"/>
              </w:rPr>
              <w:fldChar w:fldCharType="end"/>
            </w:r>
            <w:r w:rsidR="0037564D" w:rsidRPr="00651EE0">
              <w:rPr>
                <w:rStyle w:val="Hyperlink"/>
                <w:rFonts w:asciiTheme="minorHAnsi" w:hAnsiTheme="minorHAnsi" w:cstheme="minorHAnsi"/>
                <w:u w:val="none"/>
                <w:lang w:val="fr-FR"/>
              </w:rPr>
              <w:t xml:space="preserve"> </w:t>
            </w:r>
            <w:r w:rsidRPr="00651EE0">
              <w:rPr>
                <w:rFonts w:asciiTheme="minorHAnsi" w:hAnsiTheme="minorHAnsi" w:cstheme="minorHAnsi"/>
                <w:lang w:val="fr-FR"/>
              </w:rPr>
              <w:t>(§ 2.1)</w:t>
            </w:r>
            <w:bookmarkEnd w:id="2"/>
          </w:p>
        </w:tc>
        <w:tc>
          <w:tcPr>
            <w:tcW w:w="3796" w:type="pct"/>
          </w:tcPr>
          <w:p w14:paraId="65FFA9A1" w14:textId="1F088D06" w:rsidR="00565A43" w:rsidRPr="00651EE0" w:rsidRDefault="00565A43" w:rsidP="00777D11">
            <w:pPr>
              <w:pStyle w:val="Tabletext"/>
              <w:rPr>
                <w:rFonts w:eastAsia="Calibri"/>
                <w:color w:val="000000"/>
                <w:lang w:val="fr-FR" w:eastAsia="en-GB"/>
              </w:rPr>
            </w:pPr>
            <w:r w:rsidRPr="00651EE0">
              <w:rPr>
                <w:rFonts w:eastAsia="Calibri"/>
                <w:color w:val="000000"/>
                <w:lang w:val="fr-FR" w:eastAsia="en-GB"/>
              </w:rPr>
              <w:t>Le GCR a pris note du rapport ainsi que de l</w:t>
            </w:r>
            <w:r w:rsidR="00F22142" w:rsidRPr="00651EE0">
              <w:rPr>
                <w:rFonts w:eastAsia="Calibri"/>
                <w:color w:val="000000"/>
                <w:lang w:val="fr-FR" w:eastAsia="en-GB"/>
              </w:rPr>
              <w:t>'</w:t>
            </w:r>
            <w:r w:rsidRPr="00651EE0">
              <w:rPr>
                <w:rFonts w:eastAsia="Calibri"/>
                <w:color w:val="000000"/>
                <w:lang w:val="fr-FR" w:eastAsia="en-GB"/>
              </w:rPr>
              <w:t>invitation du Brésil visant à inviter les administrations intéressées à soumettre des contributions à l</w:t>
            </w:r>
            <w:r w:rsidR="00F22142" w:rsidRPr="00651EE0">
              <w:rPr>
                <w:rFonts w:eastAsia="Calibri"/>
                <w:color w:val="000000"/>
                <w:lang w:val="fr-FR" w:eastAsia="en-GB"/>
              </w:rPr>
              <w:t>'</w:t>
            </w:r>
            <w:r w:rsidRPr="00651EE0">
              <w:rPr>
                <w:rFonts w:eastAsia="Calibri"/>
                <w:color w:val="000000"/>
                <w:lang w:val="fr-FR" w:eastAsia="en-GB"/>
              </w:rPr>
              <w:t xml:space="preserve">Assemblée des radiocommunications de 2023, en application du point 1 du </w:t>
            </w:r>
            <w:r w:rsidRPr="00651EE0">
              <w:rPr>
                <w:rFonts w:eastAsia="Calibri"/>
                <w:i/>
                <w:iCs/>
                <w:color w:val="000000"/>
                <w:lang w:val="fr-FR" w:eastAsia="en-GB"/>
              </w:rPr>
              <w:t>décide</w:t>
            </w:r>
            <w:r w:rsidRPr="00651EE0">
              <w:rPr>
                <w:rFonts w:eastAsia="Calibri"/>
                <w:color w:val="000000"/>
                <w:lang w:val="fr-FR" w:eastAsia="en-GB"/>
              </w:rPr>
              <w:t xml:space="preserve"> de la Résolution 219 (Bucarest, 2022).</w:t>
            </w:r>
          </w:p>
        </w:tc>
      </w:tr>
      <w:tr w:rsidR="00D560A1" w:rsidRPr="0020533B" w14:paraId="4EDD2021" w14:textId="77777777" w:rsidTr="00777D11">
        <w:trPr>
          <w:jc w:val="center"/>
        </w:trPr>
        <w:tc>
          <w:tcPr>
            <w:tcW w:w="339" w:type="pct"/>
          </w:tcPr>
          <w:p w14:paraId="02C9117A" w14:textId="5D038E8A" w:rsidR="00D560A1" w:rsidRPr="00651EE0" w:rsidRDefault="00D560A1" w:rsidP="00777D11">
            <w:pPr>
              <w:pStyle w:val="Tabletext"/>
              <w:jc w:val="center"/>
              <w:rPr>
                <w:szCs w:val="20"/>
                <w:lang w:val="fr-FR" w:eastAsia="en-GB"/>
              </w:rPr>
            </w:pPr>
            <w:r w:rsidRPr="00651EE0">
              <w:rPr>
                <w:szCs w:val="20"/>
                <w:lang w:val="fr-FR" w:eastAsia="en-GB"/>
              </w:rPr>
              <w:t>5</w:t>
            </w:r>
          </w:p>
        </w:tc>
        <w:tc>
          <w:tcPr>
            <w:tcW w:w="865" w:type="pct"/>
          </w:tcPr>
          <w:p w14:paraId="76B024BF" w14:textId="77777777" w:rsidR="00D560A1" w:rsidRPr="00651EE0" w:rsidRDefault="00D560A1" w:rsidP="00777D11">
            <w:pPr>
              <w:pStyle w:val="Tabletext"/>
              <w:spacing w:after="0"/>
              <w:rPr>
                <w:szCs w:val="20"/>
                <w:lang w:val="fr-FR"/>
              </w:rPr>
            </w:pPr>
            <w:r w:rsidRPr="00651EE0">
              <w:rPr>
                <w:szCs w:val="20"/>
                <w:lang w:val="fr-FR"/>
              </w:rPr>
              <w:t>Questions relatives à la session de 2023 du Conseil</w:t>
            </w:r>
          </w:p>
          <w:bookmarkStart w:id="3" w:name="lt_pId078"/>
          <w:p w14:paraId="62BD4818" w14:textId="0FDE8ABC" w:rsidR="00D560A1" w:rsidRPr="00651EE0" w:rsidRDefault="00D560A1" w:rsidP="00565A43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651EE0">
              <w:fldChar w:fldCharType="begin"/>
            </w:r>
            <w:r w:rsidRPr="00651EE0">
              <w:rPr>
                <w:lang w:val="fr-FR"/>
              </w:rPr>
              <w:instrText>HYPERLINK "https://www.itu.int/md/R20-RAG-C-0058/en"</w:instrText>
            </w:r>
            <w:r w:rsidRPr="00651EE0">
              <w:fldChar w:fldCharType="separate"/>
            </w:r>
            <w:r w:rsidRPr="00651EE0">
              <w:rPr>
                <w:rStyle w:val="Hyperlink"/>
                <w:rFonts w:asciiTheme="minorHAnsi" w:hAnsiTheme="minorHAnsi" w:cstheme="minorHAnsi"/>
                <w:lang w:val="fr-FR"/>
              </w:rPr>
              <w:t>58R1</w:t>
            </w:r>
            <w:r w:rsidRPr="00651EE0">
              <w:rPr>
                <w:rStyle w:val="Hyperlink"/>
                <w:rFonts w:asciiTheme="minorHAnsi" w:hAnsiTheme="minorHAnsi" w:cstheme="minorHAnsi"/>
                <w:lang w:val="fr-FR"/>
              </w:rPr>
              <w:fldChar w:fldCharType="end"/>
            </w:r>
            <w:r w:rsidR="00565A43" w:rsidRPr="00651EE0">
              <w:rPr>
                <w:rStyle w:val="Hyperlink"/>
                <w:rFonts w:asciiTheme="minorHAnsi" w:hAnsiTheme="minorHAnsi" w:cstheme="minorHAnsi"/>
                <w:u w:val="none"/>
                <w:lang w:val="fr-FR"/>
              </w:rPr>
              <w:t xml:space="preserve"> </w:t>
            </w:r>
            <w:r w:rsidRPr="00651EE0">
              <w:rPr>
                <w:lang w:val="fr-FR"/>
              </w:rPr>
              <w:t>(§</w:t>
            </w:r>
            <w:r w:rsidR="00565A43" w:rsidRPr="00651EE0">
              <w:rPr>
                <w:lang w:val="fr-FR"/>
              </w:rPr>
              <w:t xml:space="preserve"> </w:t>
            </w:r>
            <w:r w:rsidRPr="00651EE0">
              <w:rPr>
                <w:lang w:val="fr-FR"/>
              </w:rPr>
              <w:t>2.2)</w:t>
            </w:r>
            <w:bookmarkEnd w:id="3"/>
          </w:p>
        </w:tc>
        <w:tc>
          <w:tcPr>
            <w:tcW w:w="3796" w:type="pct"/>
          </w:tcPr>
          <w:p w14:paraId="7DC19E1E" w14:textId="160B3495" w:rsidR="00D560A1" w:rsidRPr="00651EE0" w:rsidRDefault="00D560A1" w:rsidP="00565A43">
            <w:pPr>
              <w:pStyle w:val="Tabletext"/>
              <w:rPr>
                <w:lang w:val="fr-FR"/>
              </w:rPr>
            </w:pPr>
            <w:r w:rsidRPr="00651EE0">
              <w:rPr>
                <w:lang w:val="fr-FR"/>
              </w:rPr>
              <w:t>Le GCR a pris note des renseignements fournis par le Directeur du BR au sujet des questions relatives au traitement des fiches de notification des réseaux à satellite, et notamment du fait qu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il est difficile de traiter les fiches de notification comportant des milliers</w:t>
            </w:r>
            <w:r w:rsidR="00565A43" w:rsidRPr="00651EE0">
              <w:rPr>
                <w:lang w:val="fr-FR"/>
              </w:rPr>
              <w:t> </w:t>
            </w:r>
            <w:r w:rsidRPr="00651EE0">
              <w:rPr>
                <w:lang w:val="fr-FR"/>
              </w:rPr>
              <w:t xml:space="preserve">de satellites sans disposer du temps nécessaire pour perfectionner les outils logiciels du BR. Le GCR est convenu que le BR ne disposait pas de suffisamment de ressources </w:t>
            </w:r>
            <w:r w:rsidRPr="00651EE0">
              <w:rPr>
                <w:color w:val="000000"/>
                <w:lang w:val="fr-FR"/>
              </w:rPr>
              <w:t xml:space="preserve">spécifiques </w:t>
            </w:r>
            <w:r w:rsidRPr="00651EE0">
              <w:rPr>
                <w:lang w:val="fr-FR"/>
              </w:rPr>
              <w:t>pour mettre à jour et moderniser en permanence les applications logicielles du BR utilisées pour les fiches de notification des systèmes à satellites et des systèmes de Terre. Le GCR a également examiné les résultats de la session de 2022 du Conseil concernant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examen de la méthode de recouvrement des coûts et la création éventuelle d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un Fonds pour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élaboration de logiciels par le Bureau.</w:t>
            </w:r>
          </w:p>
          <w:p w14:paraId="566A80D4" w14:textId="58DE3423" w:rsidR="00D560A1" w:rsidRPr="00651EE0" w:rsidRDefault="00D560A1" w:rsidP="00565A43">
            <w:pPr>
              <w:pStyle w:val="Tabletext"/>
              <w:rPr>
                <w:lang w:val="fr-FR"/>
              </w:rPr>
            </w:pPr>
            <w:r w:rsidRPr="00651EE0">
              <w:rPr>
                <w:lang w:val="fr-FR"/>
              </w:rPr>
              <w:t>Le GCR a recommandé au Directeur de demander au Conseil à sa session de 2023 de réactiver le Groupe d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experts chargé d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examiner la Décision 482 du Conseil (modifiée en 2021), afin qu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il puisse commencer ses travaux en vue de soumettre au Conseil à sa session de</w:t>
            </w:r>
            <w:r w:rsidR="0004764A" w:rsidRPr="00651EE0">
              <w:rPr>
                <w:lang w:val="fr-FR"/>
              </w:rPr>
              <w:t> </w:t>
            </w:r>
            <w:r w:rsidRPr="00651EE0">
              <w:rPr>
                <w:lang w:val="fr-FR"/>
              </w:rPr>
              <w:t>2024 une recommandation sur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augmentation des coûts à la charge du BR pour traiter les fiches de notification dont la taille ou la complexité, ainsi que la soumission à nouveau du même système, sont telles que la méthode actuelle ne permet pas de connaître avec précision les coûts de ces fiches.</w:t>
            </w:r>
          </w:p>
        </w:tc>
      </w:tr>
      <w:tr w:rsidR="00565A43" w:rsidRPr="0020533B" w14:paraId="2DC81D88" w14:textId="77777777" w:rsidTr="00565A43">
        <w:trPr>
          <w:jc w:val="center"/>
        </w:trPr>
        <w:tc>
          <w:tcPr>
            <w:tcW w:w="339" w:type="pct"/>
            <w:vMerge w:val="restart"/>
          </w:tcPr>
          <w:p w14:paraId="1D9F6E86" w14:textId="65F5CD29" w:rsidR="00565A43" w:rsidRPr="00651EE0" w:rsidRDefault="00565A43" w:rsidP="00777D11">
            <w:pPr>
              <w:pStyle w:val="Tabletext"/>
              <w:jc w:val="center"/>
              <w:rPr>
                <w:szCs w:val="20"/>
                <w:lang w:val="fr-FR" w:eastAsia="en-GB"/>
              </w:rPr>
            </w:pPr>
            <w:r w:rsidRPr="00651EE0">
              <w:rPr>
                <w:szCs w:val="20"/>
                <w:lang w:val="fr-FR" w:eastAsia="en-GB"/>
              </w:rPr>
              <w:t>6</w:t>
            </w:r>
          </w:p>
        </w:tc>
        <w:tc>
          <w:tcPr>
            <w:tcW w:w="4661" w:type="pct"/>
            <w:gridSpan w:val="2"/>
          </w:tcPr>
          <w:p w14:paraId="6072C3A3" w14:textId="602DB9B8" w:rsidR="00565A43" w:rsidRPr="00651EE0" w:rsidRDefault="00565A43" w:rsidP="00EE17B9">
            <w:pPr>
              <w:pStyle w:val="Tabletext"/>
              <w:rPr>
                <w:lang w:val="fr-FR"/>
              </w:rPr>
            </w:pPr>
            <w:r w:rsidRPr="00651EE0">
              <w:rPr>
                <w:lang w:val="fr-FR"/>
              </w:rPr>
              <w:t>Mise en œuvre des décisions de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AR-19</w:t>
            </w:r>
          </w:p>
        </w:tc>
      </w:tr>
      <w:tr w:rsidR="00565A43" w:rsidRPr="0020533B" w14:paraId="378B1D85" w14:textId="77777777" w:rsidTr="00777D11">
        <w:trPr>
          <w:jc w:val="center"/>
        </w:trPr>
        <w:tc>
          <w:tcPr>
            <w:tcW w:w="339" w:type="pct"/>
            <w:vMerge/>
          </w:tcPr>
          <w:p w14:paraId="57C7B2FF" w14:textId="5A6EC12D" w:rsidR="00565A43" w:rsidRPr="00651EE0" w:rsidRDefault="00565A43" w:rsidP="00777D11">
            <w:pPr>
              <w:pStyle w:val="Tabletext"/>
              <w:jc w:val="center"/>
              <w:rPr>
                <w:szCs w:val="20"/>
                <w:lang w:val="fr-FR" w:eastAsia="en-GB"/>
              </w:rPr>
            </w:pPr>
          </w:p>
        </w:tc>
        <w:tc>
          <w:tcPr>
            <w:tcW w:w="865" w:type="pct"/>
          </w:tcPr>
          <w:p w14:paraId="6074F325" w14:textId="77777777" w:rsidR="00565A43" w:rsidRPr="00651EE0" w:rsidRDefault="00565A43" w:rsidP="00565A43">
            <w:pPr>
              <w:pStyle w:val="Tabletext"/>
              <w:rPr>
                <w:lang w:val="fr-FR"/>
              </w:rPr>
            </w:pPr>
            <w:r w:rsidRPr="00651EE0">
              <w:rPr>
                <w:lang w:val="fr-FR"/>
              </w:rPr>
              <w:t>Examen du rapport du Groupe de travail par correspondance 2 du GCR chargé de la révision éventuelle des Résolutions UIT-R 1-8 et 15-6</w:t>
            </w:r>
          </w:p>
          <w:p w14:paraId="232AD54D" w14:textId="12640D0E" w:rsidR="00565A43" w:rsidRPr="00651EE0" w:rsidRDefault="0020533B" w:rsidP="00565A43">
            <w:pPr>
              <w:pStyle w:val="Tabletext"/>
              <w:rPr>
                <w:lang w:val="fr-FR"/>
              </w:rPr>
            </w:pPr>
            <w:hyperlink r:id="rId17" w:history="1">
              <w:r w:rsidR="00565A43" w:rsidRPr="00651EE0">
                <w:rPr>
                  <w:rStyle w:val="Hyperlink"/>
                  <w:lang w:val="fr-FR"/>
                </w:rPr>
                <w:t>59</w:t>
              </w:r>
            </w:hyperlink>
            <w:r w:rsidR="00565A43" w:rsidRPr="00651EE0">
              <w:rPr>
                <w:rStyle w:val="Hyperlink"/>
                <w:color w:val="auto"/>
                <w:u w:val="none"/>
                <w:lang w:val="fr-FR"/>
              </w:rPr>
              <w:t xml:space="preserve">, </w:t>
            </w:r>
            <w:hyperlink r:id="rId18" w:history="1">
              <w:r w:rsidR="00565A43" w:rsidRPr="00651EE0">
                <w:rPr>
                  <w:rStyle w:val="Hyperlink"/>
                  <w:lang w:val="fr-FR"/>
                </w:rPr>
                <w:t>63</w:t>
              </w:r>
            </w:hyperlink>
            <w:r w:rsidR="00565A43" w:rsidRPr="00544253">
              <w:rPr>
                <w:rStyle w:val="FootnoteReference"/>
                <w:sz w:val="16"/>
                <w:szCs w:val="16"/>
                <w:lang w:val="fr-FR"/>
              </w:rPr>
              <w:footnoteReference w:id="1"/>
            </w:r>
          </w:p>
        </w:tc>
        <w:tc>
          <w:tcPr>
            <w:tcW w:w="3796" w:type="pct"/>
          </w:tcPr>
          <w:p w14:paraId="2B3E9847" w14:textId="04C31A4A" w:rsidR="00565A43" w:rsidRPr="00651EE0" w:rsidRDefault="00565A43" w:rsidP="00C9036C">
            <w:pPr>
              <w:pStyle w:val="Tabletext"/>
              <w:rPr>
                <w:lang w:val="fr-FR"/>
              </w:rPr>
            </w:pPr>
            <w:r w:rsidRPr="00651EE0">
              <w:rPr>
                <w:lang w:val="fr-FR"/>
              </w:rPr>
              <w:t>Le GCR a pris note du rapport du Président du Groupe de travail par correspondance 2 du GCR (GC-2) et a examiné les résultats des travaux de ce Groupe sur la révision de la Résolution 1-8 et les parties correspondantes du Document 63. Sur la base de ces considérations, le GCR a harmonisé la plupart des propositions différentes formulées par les membres du groupe.</w:t>
            </w:r>
          </w:p>
          <w:p w14:paraId="1B64A659" w14:textId="5D1A653C" w:rsidR="00565A43" w:rsidRPr="00651EE0" w:rsidRDefault="00565A43" w:rsidP="00EE17B9">
            <w:pPr>
              <w:pStyle w:val="Tabletext"/>
              <w:keepNext/>
              <w:keepLines/>
              <w:rPr>
                <w:lang w:val="fr-FR"/>
              </w:rPr>
            </w:pPr>
            <w:r w:rsidRPr="00651EE0">
              <w:rPr>
                <w:lang w:val="fr-FR"/>
              </w:rPr>
              <w:t>Le GCR est convenu que le rapport du GCR à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AR-23 comprendrait le rapport sur les travaux du CG-2 et la proposition de révision de la Résolution UIT-R 1-8, afin que les États Membres puissent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examiner plus avant lorsqu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ils prépareront leurs contributions à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intention de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Assemblée des radiocommunications.</w:t>
            </w:r>
          </w:p>
          <w:p w14:paraId="3D45BDB2" w14:textId="7F4E73E7" w:rsidR="00565A43" w:rsidRPr="00651EE0" w:rsidRDefault="00565A43" w:rsidP="00EE17B9">
            <w:pPr>
              <w:pStyle w:val="Tabletext"/>
              <w:keepNext/>
              <w:keepLines/>
              <w:rPr>
                <w:lang w:val="fr-FR"/>
              </w:rPr>
            </w:pPr>
            <w:r w:rsidRPr="00651EE0">
              <w:rPr>
                <w:lang w:val="fr-FR"/>
              </w:rPr>
              <w:t>Le GCR a remercié le Président du CG-2 et les membres du groupe de travail par correspondance pour leur travail.</w:t>
            </w:r>
          </w:p>
        </w:tc>
      </w:tr>
      <w:tr w:rsidR="00565A43" w:rsidRPr="0020533B" w14:paraId="336306B1" w14:textId="77777777" w:rsidTr="00565A43">
        <w:trPr>
          <w:jc w:val="center"/>
        </w:trPr>
        <w:tc>
          <w:tcPr>
            <w:tcW w:w="339" w:type="pct"/>
            <w:vMerge w:val="restart"/>
          </w:tcPr>
          <w:p w14:paraId="3E84C15A" w14:textId="25769E55" w:rsidR="00565A43" w:rsidRPr="00651EE0" w:rsidRDefault="00565A43" w:rsidP="00777D11">
            <w:pPr>
              <w:pStyle w:val="Tabletext"/>
              <w:jc w:val="center"/>
              <w:rPr>
                <w:szCs w:val="20"/>
                <w:lang w:val="fr-FR" w:eastAsia="en-GB"/>
              </w:rPr>
            </w:pPr>
            <w:r w:rsidRPr="00651EE0">
              <w:rPr>
                <w:szCs w:val="20"/>
                <w:lang w:val="fr-FR" w:eastAsia="en-GB"/>
              </w:rPr>
              <w:lastRenderedPageBreak/>
              <w:t>7</w:t>
            </w:r>
          </w:p>
        </w:tc>
        <w:tc>
          <w:tcPr>
            <w:tcW w:w="4661" w:type="pct"/>
            <w:gridSpan w:val="2"/>
          </w:tcPr>
          <w:p w14:paraId="745D1E5F" w14:textId="47029258" w:rsidR="00565A43" w:rsidRPr="00651EE0" w:rsidRDefault="00565A43" w:rsidP="00EE17B9">
            <w:pPr>
              <w:pStyle w:val="Tabletext"/>
              <w:rPr>
                <w:lang w:val="fr-FR"/>
              </w:rPr>
            </w:pPr>
            <w:r w:rsidRPr="00651EE0">
              <w:rPr>
                <w:lang w:val="fr-FR"/>
              </w:rPr>
              <w:t>Mise en œuvre des décisions de la CMR-19</w:t>
            </w:r>
          </w:p>
        </w:tc>
      </w:tr>
      <w:tr w:rsidR="00565A43" w:rsidRPr="0020533B" w14:paraId="49F3C1E7" w14:textId="77777777" w:rsidTr="00777D11">
        <w:trPr>
          <w:jc w:val="center"/>
        </w:trPr>
        <w:tc>
          <w:tcPr>
            <w:tcW w:w="339" w:type="pct"/>
            <w:vMerge/>
          </w:tcPr>
          <w:p w14:paraId="01E30CD5" w14:textId="11DEA542" w:rsidR="00565A43" w:rsidRPr="00651EE0" w:rsidRDefault="00565A43" w:rsidP="00777D11">
            <w:pPr>
              <w:pStyle w:val="Tabletext"/>
              <w:jc w:val="center"/>
              <w:rPr>
                <w:szCs w:val="20"/>
                <w:lang w:val="fr-FR" w:eastAsia="en-GB"/>
              </w:rPr>
            </w:pPr>
          </w:p>
        </w:tc>
        <w:tc>
          <w:tcPr>
            <w:tcW w:w="865" w:type="pct"/>
          </w:tcPr>
          <w:p w14:paraId="305EC29C" w14:textId="41DBE065" w:rsidR="00565A43" w:rsidRPr="00651EE0" w:rsidRDefault="00565A43" w:rsidP="00565A43">
            <w:pPr>
              <w:pStyle w:val="Tabletext"/>
              <w:rPr>
                <w:lang w:val="fr-FR"/>
              </w:rPr>
            </w:pPr>
            <w:r w:rsidRPr="00651EE0">
              <w:rPr>
                <w:lang w:val="fr-FR"/>
              </w:rPr>
              <w:t>Examen du rapport du Groupe de travail par correspondance 1 sur la mise en œuvre de la Déclaration sur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égalité hommes-femmes adoptée par la CMR-19 et la rédaction d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une éventuelle Résolution de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AR-23 sur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égalité hommes-femmes</w:t>
            </w:r>
          </w:p>
          <w:p w14:paraId="7E6FFFA6" w14:textId="3E5C94E4" w:rsidR="00565A43" w:rsidRPr="00651EE0" w:rsidRDefault="0020533B" w:rsidP="006152ED">
            <w:pPr>
              <w:pStyle w:val="Tabletext"/>
              <w:rPr>
                <w:rStyle w:val="Hyperlink"/>
                <w:szCs w:val="20"/>
                <w:lang w:val="fr-FR"/>
              </w:rPr>
            </w:pPr>
            <w:hyperlink r:id="rId19" w:history="1">
              <w:r w:rsidR="00565A43" w:rsidRPr="00651EE0">
                <w:rPr>
                  <w:rStyle w:val="Hyperlink"/>
                  <w:szCs w:val="20"/>
                  <w:lang w:val="fr-FR"/>
                </w:rPr>
                <w:t>60</w:t>
              </w:r>
            </w:hyperlink>
          </w:p>
        </w:tc>
        <w:tc>
          <w:tcPr>
            <w:tcW w:w="3796" w:type="pct"/>
          </w:tcPr>
          <w:p w14:paraId="0D0D8900" w14:textId="3E1D35BE" w:rsidR="00565A43" w:rsidRPr="00651EE0" w:rsidRDefault="00565A43" w:rsidP="00C9036C">
            <w:pPr>
              <w:pStyle w:val="Tabletext"/>
              <w:rPr>
                <w:lang w:val="fr-FR"/>
              </w:rPr>
            </w:pPr>
            <w:r w:rsidRPr="00651EE0">
              <w:rPr>
                <w:lang w:val="fr-FR"/>
              </w:rPr>
              <w:t xml:space="preserve">Le GCR a examiné le rapport du </w:t>
            </w:r>
            <w:r w:rsidR="008D66E2" w:rsidRPr="00651EE0">
              <w:rPr>
                <w:lang w:val="fr-FR"/>
              </w:rPr>
              <w:t xml:space="preserve">Groupe de travail par correspondance 1 </w:t>
            </w:r>
            <w:r w:rsidRPr="00651EE0">
              <w:rPr>
                <w:rFonts w:eastAsia="Calibri"/>
                <w:lang w:val="fr-FR"/>
              </w:rPr>
              <w:t xml:space="preserve">(CG-1) </w:t>
            </w:r>
            <w:r w:rsidRPr="00651EE0">
              <w:rPr>
                <w:lang w:val="fr-FR"/>
              </w:rPr>
              <w:t>sur la mise en œuvre de la Déclaration relative à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égalité hommes</w:t>
            </w:r>
            <w:r w:rsidR="0004764A" w:rsidRPr="00651EE0">
              <w:rPr>
                <w:lang w:val="fr-FR"/>
              </w:rPr>
              <w:noBreakHyphen/>
            </w:r>
            <w:r w:rsidRPr="00651EE0">
              <w:rPr>
                <w:lang w:val="fr-FR"/>
              </w:rPr>
              <w:t>femmes adoptée par la CMR-19 et en a pris note.</w:t>
            </w:r>
            <w:r w:rsidR="00C9036C" w:rsidRPr="00651EE0">
              <w:rPr>
                <w:lang w:val="fr-FR"/>
              </w:rPr>
              <w:t xml:space="preserve"> </w:t>
            </w:r>
            <w:r w:rsidRPr="00651EE0">
              <w:rPr>
                <w:lang w:val="fr-FR"/>
              </w:rPr>
              <w:t xml:space="preserve">Le Président du </w:t>
            </w:r>
            <w:r w:rsidRPr="00651EE0">
              <w:rPr>
                <w:rFonts w:eastAsia="Calibri"/>
                <w:lang w:val="fr-FR"/>
              </w:rPr>
              <w:t xml:space="preserve">CG-1 du GCR </w:t>
            </w:r>
            <w:r w:rsidRPr="00651EE0">
              <w:rPr>
                <w:lang w:val="fr-FR"/>
              </w:rPr>
              <w:t>a indiqué qu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 xml:space="preserve">il avait tenu compte, dans le cadre de ses travaux, de la mise à jour de la Résolution 70 de la </w:t>
            </w:r>
            <w:r w:rsidRPr="00651EE0">
              <w:rPr>
                <w:rFonts w:eastAsia="Calibri"/>
                <w:lang w:val="fr-FR"/>
              </w:rPr>
              <w:t xml:space="preserve">PP-22 </w:t>
            </w:r>
            <w:r w:rsidRPr="00651EE0">
              <w:rPr>
                <w:lang w:val="fr-FR"/>
              </w:rPr>
              <w:t>et élaboré un projet de Résolution que le Groupe de travail par correspondance considère comme unique par rapport à cette Résolution et propre aux travaux de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UIT-R. Le GCR a noté qu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il était très important d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accroître la participation des femmes aux travaux de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UIT-R. Parallèlement, certaines délégations participant à la réunion du GCR estiment qu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il n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est pas nécessaire que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AR-23 adopte une Résolution distincte sur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intégration du principe de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égalité hommes-femmes, en raison de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adoption de la Résolution 70 (Rév. Bucarest, 2022). D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autres délégations ont été d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avis qu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il était important que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UIT-R dispose de sa propre Résolution sur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égalité hommes-femmes, afin d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accélérer les progrès dans ce domaine.</w:t>
            </w:r>
          </w:p>
          <w:p w14:paraId="5B4D7A6C" w14:textId="013F0B78" w:rsidR="00565A43" w:rsidRPr="00651EE0" w:rsidRDefault="00565A43" w:rsidP="00C9036C">
            <w:pPr>
              <w:pStyle w:val="Tabletext"/>
              <w:rPr>
                <w:lang w:val="fr-FR"/>
              </w:rPr>
            </w:pPr>
            <w:r w:rsidRPr="00651EE0">
              <w:rPr>
                <w:lang w:val="fr-FR"/>
              </w:rPr>
              <w:t>Il a été noté que les Résolutions de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UIT-T et de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UIT-D étaient approuvées avant la modification de la Résolution 70 par la PP-22. Le GCR est convenu que le rapport du GCR à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AR-23 contiendrait le rapport sur les travaux du CG-1, reprendrait les différents points de vue exprimés par les délégations participant à la réunion du GCR et indiquerait notamment que le GCR n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est parvenu à aucun consensus quant à la nécessité d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élaborer une Résolution UIT-R spécifique sur la question.</w:t>
            </w:r>
          </w:p>
          <w:p w14:paraId="29AF6CF5" w14:textId="465E6EA1" w:rsidR="00565A43" w:rsidRPr="00651EE0" w:rsidRDefault="00565A43" w:rsidP="00C9036C">
            <w:pPr>
              <w:pStyle w:val="Tabletext"/>
              <w:rPr>
                <w:lang w:val="fr-FR"/>
              </w:rPr>
            </w:pPr>
            <w:r w:rsidRPr="00651EE0">
              <w:rPr>
                <w:lang w:val="fr-FR"/>
              </w:rPr>
              <w:t xml:space="preserve">Le GCR a </w:t>
            </w:r>
            <w:r w:rsidRPr="00651EE0">
              <w:rPr>
                <w:rFonts w:eastAsia="Calibri"/>
                <w:lang w:val="fr-FR"/>
              </w:rPr>
              <w:t xml:space="preserve">exprimé sa gratitude au </w:t>
            </w:r>
            <w:r w:rsidRPr="00651EE0">
              <w:rPr>
                <w:lang w:val="fr-FR"/>
              </w:rPr>
              <w:t>Président du CG-1 et aux membres du Groupe de travail par correspondance pour leurs travaux.</w:t>
            </w:r>
          </w:p>
        </w:tc>
      </w:tr>
      <w:tr w:rsidR="00D560A1" w:rsidRPr="0020533B" w14:paraId="16AA01B2" w14:textId="77777777" w:rsidTr="00777D11">
        <w:trPr>
          <w:jc w:val="center"/>
        </w:trPr>
        <w:tc>
          <w:tcPr>
            <w:tcW w:w="339" w:type="pct"/>
          </w:tcPr>
          <w:p w14:paraId="14266709" w14:textId="77777777" w:rsidR="00D560A1" w:rsidRPr="00651EE0" w:rsidRDefault="00D560A1" w:rsidP="00777D11">
            <w:pPr>
              <w:pStyle w:val="Tabletext"/>
              <w:jc w:val="center"/>
              <w:rPr>
                <w:lang w:val="fr-FR" w:eastAsia="en-GB"/>
              </w:rPr>
            </w:pPr>
            <w:r w:rsidRPr="00651EE0">
              <w:rPr>
                <w:lang w:val="fr-FR" w:eastAsia="en-GB"/>
              </w:rPr>
              <w:t>8</w:t>
            </w:r>
          </w:p>
        </w:tc>
        <w:tc>
          <w:tcPr>
            <w:tcW w:w="865" w:type="pct"/>
          </w:tcPr>
          <w:p w14:paraId="204B7DF7" w14:textId="53F17936" w:rsidR="00D560A1" w:rsidRPr="00651EE0" w:rsidRDefault="00D560A1" w:rsidP="00C9036C">
            <w:pPr>
              <w:pStyle w:val="Tabletext"/>
              <w:rPr>
                <w:lang w:val="fr-FR"/>
              </w:rPr>
            </w:pPr>
            <w:r w:rsidRPr="00651EE0">
              <w:rPr>
                <w:lang w:val="fr-FR"/>
              </w:rPr>
              <w:t>Travaux préparatoires en vue de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AR-23/la CMR-23</w:t>
            </w:r>
          </w:p>
          <w:bookmarkStart w:id="5" w:name="lt_pId105"/>
          <w:p w14:paraId="3BD2E9C4" w14:textId="0BE58B76" w:rsidR="00D560A1" w:rsidRPr="00651EE0" w:rsidRDefault="00D560A1" w:rsidP="00C9036C">
            <w:pPr>
              <w:pStyle w:val="Tabletext"/>
              <w:rPr>
                <w:rFonts w:asciiTheme="minorHAnsi" w:hAnsiTheme="minorHAnsi" w:cstheme="minorHAnsi"/>
                <w:iCs/>
                <w:lang w:val="fr-FR"/>
              </w:rPr>
            </w:pPr>
            <w:r w:rsidRPr="00651EE0">
              <w:fldChar w:fldCharType="begin"/>
            </w:r>
            <w:r w:rsidRPr="00651EE0">
              <w:rPr>
                <w:lang w:val="fr-FR"/>
              </w:rPr>
              <w:instrText>HYPERLINK "https://www.itu.int/md/R20-RAG-C-0058/en"</w:instrText>
            </w:r>
            <w:r w:rsidRPr="00651EE0">
              <w:fldChar w:fldCharType="separate"/>
            </w:r>
            <w:r w:rsidRPr="00651EE0">
              <w:rPr>
                <w:rStyle w:val="Hyperlink"/>
                <w:rFonts w:asciiTheme="minorHAnsi" w:hAnsiTheme="minorHAnsi" w:cstheme="minorHAnsi"/>
                <w:lang w:val="fr-FR"/>
              </w:rPr>
              <w:t>58R1</w:t>
            </w:r>
            <w:r w:rsidRPr="00651EE0">
              <w:rPr>
                <w:rStyle w:val="Hyperlink"/>
                <w:rFonts w:asciiTheme="minorHAnsi" w:hAnsiTheme="minorHAnsi" w:cstheme="minorHAnsi"/>
                <w:lang w:val="fr-FR"/>
              </w:rPr>
              <w:fldChar w:fldCharType="end"/>
            </w:r>
            <w:r w:rsidR="00C9036C" w:rsidRPr="00651EE0">
              <w:rPr>
                <w:rStyle w:val="Hyperlink"/>
                <w:rFonts w:asciiTheme="minorHAnsi" w:hAnsiTheme="minorHAnsi" w:cstheme="minorHAnsi"/>
                <w:u w:val="none"/>
                <w:lang w:val="fr-FR"/>
              </w:rPr>
              <w:t xml:space="preserve"> </w:t>
            </w:r>
            <w:r w:rsidRPr="00651EE0">
              <w:rPr>
                <w:rFonts w:asciiTheme="minorHAnsi" w:hAnsiTheme="minorHAnsi" w:cstheme="minorHAnsi"/>
                <w:lang w:val="fr-FR"/>
              </w:rPr>
              <w:t>(§</w:t>
            </w:r>
            <w:r w:rsidR="00C9036C" w:rsidRPr="00651EE0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651EE0">
              <w:rPr>
                <w:rFonts w:asciiTheme="minorHAnsi" w:hAnsiTheme="minorHAnsi" w:cstheme="minorHAnsi"/>
                <w:lang w:val="fr-FR"/>
              </w:rPr>
              <w:t xml:space="preserve">5), </w:t>
            </w:r>
            <w:hyperlink r:id="rId20" w:history="1">
              <w:r w:rsidRPr="00651EE0">
                <w:rPr>
                  <w:rStyle w:val="Hyperlink"/>
                  <w:rFonts w:asciiTheme="minorHAnsi" w:hAnsiTheme="minorHAnsi" w:cstheme="minorHAnsi"/>
                  <w:lang w:val="fr-FR"/>
                </w:rPr>
                <w:t>68</w:t>
              </w:r>
            </w:hyperlink>
            <w:bookmarkEnd w:id="5"/>
          </w:p>
        </w:tc>
        <w:tc>
          <w:tcPr>
            <w:tcW w:w="3796" w:type="pct"/>
          </w:tcPr>
          <w:p w14:paraId="40A4BE42" w14:textId="3E4D4A85" w:rsidR="00D560A1" w:rsidRPr="00651EE0" w:rsidRDefault="00D560A1" w:rsidP="00C9036C">
            <w:pPr>
              <w:pStyle w:val="Tabletext"/>
              <w:rPr>
                <w:lang w:val="fr-FR"/>
              </w:rPr>
            </w:pPr>
            <w:r w:rsidRPr="00651EE0">
              <w:rPr>
                <w:lang w:val="fr-FR"/>
              </w:rPr>
              <w:t>Le GCR a pris note avec satisfaction du rapport sur les travaux préparatoires en vue de la CMR-23</w:t>
            </w:r>
            <w:r w:rsidR="00C9036C" w:rsidRPr="00651EE0">
              <w:rPr>
                <w:lang w:val="fr-FR"/>
              </w:rPr>
              <w:t>.</w:t>
            </w:r>
          </w:p>
          <w:p w14:paraId="0B23C611" w14:textId="36926330" w:rsidR="00D560A1" w:rsidRPr="00651EE0" w:rsidRDefault="00D560A1" w:rsidP="00C9036C">
            <w:pPr>
              <w:pStyle w:val="Tabletext"/>
              <w:rPr>
                <w:lang w:val="fr-FR"/>
              </w:rPr>
            </w:pPr>
            <w:r w:rsidRPr="00651EE0">
              <w:rPr>
                <w:lang w:val="fr-FR"/>
              </w:rPr>
              <w:t xml:space="preserve">Le GCR a pris note des observations formulées sur la base du rapport du Bureau concernant les travaux préparatoires en vue de la CMR-23. Les </w:t>
            </w:r>
            <w:r w:rsidR="00C9036C" w:rsidRPr="00651EE0">
              <w:rPr>
                <w:lang w:val="fr-FR"/>
              </w:rPr>
              <w:t>É</w:t>
            </w:r>
            <w:r w:rsidRPr="00651EE0">
              <w:rPr>
                <w:lang w:val="fr-FR"/>
              </w:rPr>
              <w:t>mirats arabes unis et le Bureau ont été invités à prendre note des préoccupations exprimées concernant le lien entre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inscription et la réservation d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hôtel</w:t>
            </w:r>
            <w:r w:rsidR="00C9036C" w:rsidRPr="00651EE0">
              <w:rPr>
                <w:lang w:val="fr-FR"/>
              </w:rPr>
              <w:t>.</w:t>
            </w:r>
          </w:p>
          <w:p w14:paraId="767236B7" w14:textId="316CB9AA" w:rsidR="00D560A1" w:rsidRPr="00651EE0" w:rsidRDefault="00D560A1" w:rsidP="00C9036C">
            <w:pPr>
              <w:pStyle w:val="Tabletext"/>
              <w:rPr>
                <w:rFonts w:cs="Arial"/>
                <w:lang w:val="fr-FR" w:eastAsia="en-GB"/>
              </w:rPr>
            </w:pPr>
            <w:r w:rsidRPr="00651EE0">
              <w:rPr>
                <w:lang w:val="fr-FR"/>
              </w:rPr>
              <w:t>S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agissant de la proposition figurant dans le Document 68, le GCR a pris note de la proposition et reconfirmé que la CMR-23 et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AR-23 se tiendraient en présentiel et que la participation à distance, en raison des risques qu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elle comporte pour le succès du déroulement de la conférence, ne devrait pas être assurée pendant la CMR-23 ou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AR-23. Les personnes qui le souhaitent pourront suivre la diffusion en continu des séances avec interprétation en ligne (y compris les groupes de travail de la plénière).</w:t>
            </w:r>
          </w:p>
        </w:tc>
      </w:tr>
      <w:tr w:rsidR="00D560A1" w:rsidRPr="0020533B" w14:paraId="73EE6469" w14:textId="77777777" w:rsidTr="00777D11">
        <w:trPr>
          <w:jc w:val="center"/>
        </w:trPr>
        <w:tc>
          <w:tcPr>
            <w:tcW w:w="339" w:type="pct"/>
          </w:tcPr>
          <w:p w14:paraId="6BE4FEF9" w14:textId="460E0B76" w:rsidR="00D560A1" w:rsidRPr="00651EE0" w:rsidRDefault="00D560A1" w:rsidP="00777D11">
            <w:pPr>
              <w:pStyle w:val="Tabletext"/>
              <w:jc w:val="center"/>
              <w:rPr>
                <w:lang w:val="fr-FR" w:eastAsia="en-GB"/>
              </w:rPr>
            </w:pPr>
            <w:r w:rsidRPr="00651EE0">
              <w:rPr>
                <w:lang w:val="fr-FR" w:eastAsia="en-GB"/>
              </w:rPr>
              <w:t>9</w:t>
            </w:r>
          </w:p>
        </w:tc>
        <w:tc>
          <w:tcPr>
            <w:tcW w:w="865" w:type="pct"/>
          </w:tcPr>
          <w:p w14:paraId="4B1692EA" w14:textId="41F26BA7" w:rsidR="00D560A1" w:rsidRPr="00651EE0" w:rsidRDefault="00D560A1" w:rsidP="00C9036C">
            <w:pPr>
              <w:pStyle w:val="Tabletext"/>
              <w:rPr>
                <w:lang w:val="fr-FR"/>
              </w:rPr>
            </w:pPr>
            <w:r w:rsidRPr="00651EE0">
              <w:rPr>
                <w:lang w:val="fr-FR"/>
              </w:rPr>
              <w:t>Activités des commissions d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études</w:t>
            </w:r>
          </w:p>
          <w:p w14:paraId="720C3338" w14:textId="12A33046" w:rsidR="00D560A1" w:rsidRPr="00651EE0" w:rsidRDefault="0020533B" w:rsidP="00C9036C">
            <w:pPr>
              <w:pStyle w:val="Tabletext"/>
              <w:rPr>
                <w:rStyle w:val="Hyperlink"/>
                <w:lang w:val="fr-FR"/>
              </w:rPr>
            </w:pPr>
            <w:hyperlink r:id="rId21" w:history="1">
              <w:bookmarkStart w:id="6" w:name="lt_pId113"/>
              <w:r w:rsidR="00D560A1" w:rsidRPr="00651EE0">
                <w:rPr>
                  <w:rStyle w:val="Hyperlink"/>
                  <w:lang w:val="fr-FR"/>
                </w:rPr>
                <w:t>58R1Add1</w:t>
              </w:r>
              <w:bookmarkEnd w:id="6"/>
            </w:hyperlink>
          </w:p>
        </w:tc>
        <w:tc>
          <w:tcPr>
            <w:tcW w:w="3796" w:type="pct"/>
          </w:tcPr>
          <w:p w14:paraId="5915EB52" w14:textId="7992E3D4" w:rsidR="00D560A1" w:rsidRPr="00651EE0" w:rsidRDefault="00D560A1" w:rsidP="00C9036C">
            <w:pPr>
              <w:pStyle w:val="Tabletext"/>
              <w:rPr>
                <w:rFonts w:eastAsia="Calibri"/>
                <w:lang w:val="fr-FR"/>
              </w:rPr>
            </w:pPr>
            <w:r w:rsidRPr="00651EE0">
              <w:rPr>
                <w:rFonts w:eastAsia="Calibri"/>
                <w:lang w:val="fr-FR"/>
              </w:rPr>
              <w:t>Le GCR a pris note du rapport du Département des commissions d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études de l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UIT-R figurant dans le Document RAG/58(R</w:t>
            </w:r>
            <w:r w:rsidR="00C9036C" w:rsidRPr="00651EE0">
              <w:rPr>
                <w:rFonts w:eastAsia="Calibri"/>
                <w:lang w:val="fr-FR"/>
              </w:rPr>
              <w:t>é</w:t>
            </w:r>
            <w:r w:rsidRPr="00651EE0">
              <w:rPr>
                <w:rFonts w:eastAsia="Calibri"/>
                <w:lang w:val="fr-FR"/>
              </w:rPr>
              <w:t>v.1)(Add.1)</w:t>
            </w:r>
            <w:r w:rsidR="00C9036C" w:rsidRPr="00651EE0">
              <w:rPr>
                <w:rFonts w:eastAsia="Calibri"/>
                <w:lang w:val="fr-FR"/>
              </w:rPr>
              <w:t>.</w:t>
            </w:r>
          </w:p>
          <w:p w14:paraId="38F18BEC" w14:textId="000336E4" w:rsidR="00D560A1" w:rsidRPr="00651EE0" w:rsidRDefault="00D560A1" w:rsidP="00C9036C">
            <w:pPr>
              <w:pStyle w:val="Tabletext"/>
              <w:rPr>
                <w:rFonts w:eastAsia="Calibri"/>
                <w:lang w:val="fr-FR"/>
              </w:rPr>
            </w:pPr>
            <w:r w:rsidRPr="00651EE0">
              <w:rPr>
                <w:rFonts w:eastAsia="Calibri"/>
                <w:lang w:val="fr-FR"/>
              </w:rPr>
              <w:t>Le GCR a demandé au BR d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élaborer des documents à l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 xml:space="preserve">appui des travaux de la Commission </w:t>
            </w:r>
            <w:r w:rsidRPr="00651EE0">
              <w:rPr>
                <w:lang w:val="fr-FR"/>
              </w:rPr>
              <w:t xml:space="preserve">de contrôle budgétaire </w:t>
            </w:r>
            <w:r w:rsidRPr="00651EE0">
              <w:rPr>
                <w:rFonts w:eastAsia="Calibri"/>
                <w:lang w:val="fr-FR"/>
              </w:rPr>
              <w:t xml:space="preserve">de la CMR-23, pour estimer le budget nécessaire à la mise en </w:t>
            </w:r>
            <w:r w:rsidR="00EE17B9" w:rsidRPr="00651EE0">
              <w:rPr>
                <w:rFonts w:eastAsia="Calibri"/>
                <w:lang w:val="fr-FR"/>
              </w:rPr>
              <w:t>œuvre</w:t>
            </w:r>
            <w:r w:rsidRPr="00651EE0">
              <w:rPr>
                <w:rFonts w:eastAsia="Calibri"/>
                <w:lang w:val="fr-FR"/>
              </w:rPr>
              <w:t xml:space="preserve"> des décisions de la CMR-23 et aux travaux préparatoires au titre des futurs points de l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ordre du jour.</w:t>
            </w:r>
          </w:p>
          <w:p w14:paraId="25919C20" w14:textId="398554EB" w:rsidR="00D560A1" w:rsidRPr="00651EE0" w:rsidRDefault="00D560A1" w:rsidP="00C9036C">
            <w:pPr>
              <w:pStyle w:val="Tabletext"/>
              <w:rPr>
                <w:rFonts w:eastAsia="Calibri"/>
                <w:lang w:val="fr-FR"/>
              </w:rPr>
            </w:pPr>
            <w:r w:rsidRPr="00651EE0">
              <w:rPr>
                <w:rFonts w:eastAsia="Calibri"/>
                <w:lang w:val="fr-FR"/>
              </w:rPr>
              <w:t>Le GCR a examiné le risque potentiel que le cadre international ne soit plus en phase avec l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évolution rapide du secteur et ne soit plus en mesure de répondre aux attentes des membres.</w:t>
            </w:r>
          </w:p>
          <w:p w14:paraId="646E3B86" w14:textId="7F033AB2" w:rsidR="00D560A1" w:rsidRPr="00651EE0" w:rsidRDefault="00D560A1" w:rsidP="00C9036C">
            <w:pPr>
              <w:pStyle w:val="Tabletext"/>
              <w:rPr>
                <w:rFonts w:eastAsia="Calibri"/>
                <w:lang w:val="fr-FR"/>
              </w:rPr>
            </w:pPr>
            <w:r w:rsidRPr="00651EE0">
              <w:rPr>
                <w:rFonts w:eastAsia="Calibri"/>
                <w:lang w:val="fr-FR"/>
              </w:rPr>
              <w:t>Le GCR a recommandé au Directeur de réfléchir à la manière de poursuivre les discussions sur cette question.</w:t>
            </w:r>
          </w:p>
        </w:tc>
      </w:tr>
      <w:tr w:rsidR="00C9036C" w:rsidRPr="0020533B" w14:paraId="02D331CF" w14:textId="77777777" w:rsidTr="00777D11">
        <w:trPr>
          <w:jc w:val="center"/>
        </w:trPr>
        <w:tc>
          <w:tcPr>
            <w:tcW w:w="339" w:type="pct"/>
          </w:tcPr>
          <w:p w14:paraId="58268EB4" w14:textId="3A95E7A4" w:rsidR="00C9036C" w:rsidRPr="00651EE0" w:rsidRDefault="00C9036C" w:rsidP="0004764A">
            <w:pPr>
              <w:pStyle w:val="Tabletext"/>
              <w:keepNext/>
              <w:keepLines/>
              <w:jc w:val="center"/>
              <w:rPr>
                <w:lang w:val="fr-FR" w:eastAsia="en-GB"/>
              </w:rPr>
            </w:pPr>
            <w:r w:rsidRPr="00651EE0">
              <w:rPr>
                <w:lang w:val="fr-FR" w:eastAsia="en-GB"/>
              </w:rPr>
              <w:lastRenderedPageBreak/>
              <w:t>10</w:t>
            </w:r>
          </w:p>
        </w:tc>
        <w:tc>
          <w:tcPr>
            <w:tcW w:w="865" w:type="pct"/>
          </w:tcPr>
          <w:p w14:paraId="23E4465D" w14:textId="77777777" w:rsidR="00C9036C" w:rsidRPr="00651EE0" w:rsidRDefault="00C9036C" w:rsidP="0004764A">
            <w:pPr>
              <w:pStyle w:val="Tabletext"/>
              <w:keepNext/>
              <w:keepLines/>
              <w:rPr>
                <w:lang w:val="fr-FR" w:eastAsia="en-GB"/>
              </w:rPr>
            </w:pPr>
            <w:r w:rsidRPr="00651EE0">
              <w:rPr>
                <w:lang w:val="fr-FR" w:eastAsia="en-GB"/>
              </w:rPr>
              <w:t>Activités intersectorielles</w:t>
            </w:r>
          </w:p>
          <w:p w14:paraId="5A3D82DB" w14:textId="076C11B7" w:rsidR="00C9036C" w:rsidRPr="00651EE0" w:rsidRDefault="0020533B" w:rsidP="0004764A">
            <w:pPr>
              <w:pStyle w:val="Tabletext"/>
              <w:keepNext/>
              <w:keepLines/>
              <w:spacing w:after="120"/>
              <w:rPr>
                <w:iCs/>
                <w:color w:val="000000"/>
                <w:shd w:val="clear" w:color="auto" w:fill="FFFFFF"/>
                <w:lang w:val="fr-FR" w:eastAsia="en-GB"/>
              </w:rPr>
            </w:pPr>
            <w:hyperlink r:id="rId22" w:history="1">
              <w:r w:rsidR="00C9036C" w:rsidRPr="00651EE0">
                <w:rPr>
                  <w:rStyle w:val="Hyperlink"/>
                  <w:rFonts w:asciiTheme="minorHAnsi" w:hAnsiTheme="minorHAnsi" w:cstheme="minorHAnsi"/>
                  <w:lang w:val="fr-FR"/>
                </w:rPr>
                <w:t>56</w:t>
              </w:r>
            </w:hyperlink>
            <w:r w:rsidR="00C9036C" w:rsidRPr="00651EE0">
              <w:rPr>
                <w:rFonts w:asciiTheme="minorHAnsi" w:hAnsiTheme="minorHAnsi" w:cstheme="minorHAnsi"/>
                <w:lang w:val="fr-FR"/>
              </w:rPr>
              <w:t xml:space="preserve">, </w:t>
            </w:r>
            <w:hyperlink r:id="rId23" w:history="1">
              <w:r w:rsidR="00C9036C" w:rsidRPr="00651EE0">
                <w:rPr>
                  <w:rStyle w:val="Hyperlink"/>
                  <w:rFonts w:asciiTheme="minorHAnsi" w:hAnsiTheme="minorHAnsi" w:cstheme="minorHAnsi"/>
                  <w:lang w:val="fr-FR"/>
                </w:rPr>
                <w:t>57</w:t>
              </w:r>
            </w:hyperlink>
          </w:p>
        </w:tc>
        <w:tc>
          <w:tcPr>
            <w:tcW w:w="3796" w:type="pct"/>
          </w:tcPr>
          <w:p w14:paraId="6A70150F" w14:textId="6111FDD1" w:rsidR="00C9036C" w:rsidRPr="00651EE0" w:rsidRDefault="00C9036C" w:rsidP="0004764A">
            <w:pPr>
              <w:pStyle w:val="Tabletext"/>
              <w:keepNext/>
              <w:keepLines/>
              <w:rPr>
                <w:rFonts w:eastAsia="Calibri"/>
                <w:lang w:val="fr-FR"/>
              </w:rPr>
            </w:pPr>
            <w:r w:rsidRPr="00651EE0">
              <w:rPr>
                <w:rFonts w:eastAsia="Calibri"/>
                <w:lang w:val="fr-FR"/>
              </w:rPr>
              <w:t>Le GCR a pris note de la présentation de la note de liaison du GCNT (Document 56) sur les travaux en cours à l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UIT-T concernant la nouvelle édition du Supplément 4 aux Recommandations UIT-T de la série A «Lignes directrices relatives à la participation à distance».</w:t>
            </w:r>
          </w:p>
          <w:p w14:paraId="68E4C214" w14:textId="601430A8" w:rsidR="00C9036C" w:rsidRPr="00651EE0" w:rsidRDefault="00C9036C" w:rsidP="0004764A">
            <w:pPr>
              <w:pStyle w:val="Tabletext"/>
              <w:keepNext/>
              <w:keepLines/>
              <w:rPr>
                <w:rFonts w:eastAsia="Calibri"/>
                <w:lang w:val="fr-FR"/>
              </w:rPr>
            </w:pPr>
            <w:r w:rsidRPr="00651EE0">
              <w:rPr>
                <w:rFonts w:eastAsia="Calibri"/>
                <w:lang w:val="fr-FR"/>
              </w:rPr>
              <w:t>Le GCR a examiné la présentation de la note de liaison du GCNT (Document 57) sur les travaux en cours à l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UIT-T concernant les travaux relatifs aux systèmes d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aéronef sans pilote (UAS).</w:t>
            </w:r>
            <w:r w:rsidRPr="00651EE0">
              <w:rPr>
                <w:lang w:val="fr-FR"/>
              </w:rPr>
              <w:t xml:space="preserve"> </w:t>
            </w:r>
            <w:r w:rsidRPr="00651EE0">
              <w:rPr>
                <w:rFonts w:eastAsia="Calibri"/>
                <w:lang w:val="fr-FR"/>
              </w:rPr>
              <w:t>Le GCR est très préoccupé par les travaux en cours à l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UIT-T sur les systèmes UAS, étant donné que les questions relatives à l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utilisation des fréquences pour ces systèmes, qui sont traitées au titre du point 1.8 de l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ordre du jour de la CMR-23, à l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application du numéro 4.10 du RR et aux exigences générales relatives à la sécurité de la vie humaine/des vols, n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ont pas encore été résolues par l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UIT-R.</w:t>
            </w:r>
            <w:r w:rsidRPr="00651EE0">
              <w:rPr>
                <w:lang w:val="fr-FR"/>
              </w:rPr>
              <w:t xml:space="preserve"> </w:t>
            </w:r>
            <w:r w:rsidRPr="00651EE0">
              <w:rPr>
                <w:rFonts w:eastAsia="Calibri"/>
                <w:lang w:val="fr-FR"/>
              </w:rPr>
              <w:t>Le GCR note également qu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en plus du point correspondant de l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ordre du jour de la CMR-23, d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autres travaux relatifs aux systèmes UAS sont également examinés par des groupes de travail de l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UIT-R, conformément à leur mandat et en coordination avec l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Organisation de l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aviation civile internationale (OACI),</w:t>
            </w:r>
            <w:r w:rsidR="0004764A" w:rsidRPr="00651EE0">
              <w:rPr>
                <w:rFonts w:eastAsia="Calibri"/>
                <w:lang w:val="fr-FR"/>
              </w:rPr>
              <w:t xml:space="preserve"> </w:t>
            </w:r>
            <w:r w:rsidRPr="00651EE0">
              <w:rPr>
                <w:rFonts w:eastAsia="Calibri"/>
                <w:lang w:val="fr-FR"/>
              </w:rPr>
              <w:t>selon le cas.</w:t>
            </w:r>
            <w:r w:rsidRPr="00651EE0">
              <w:rPr>
                <w:lang w:val="fr-FR"/>
              </w:rPr>
              <w:t xml:space="preserve"> </w:t>
            </w:r>
            <w:r w:rsidRPr="00651EE0">
              <w:rPr>
                <w:rFonts w:eastAsia="Calibri"/>
                <w:lang w:val="fr-FR"/>
              </w:rPr>
              <w:t>Par conséquent, le GCR demande à l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UIT-T, par l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intermédiaire du GCNT, de s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abstenir de mener des travaux sur les systèmes UAS, du moins jusqu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à ce que ces questions soient résolues au sein de l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UIT-R.</w:t>
            </w:r>
          </w:p>
          <w:p w14:paraId="2AF66D1B" w14:textId="507BF8F4" w:rsidR="00C9036C" w:rsidRPr="00651EE0" w:rsidRDefault="00C9036C" w:rsidP="0004764A">
            <w:pPr>
              <w:pStyle w:val="Tabletext"/>
              <w:keepNext/>
              <w:keepLines/>
              <w:rPr>
                <w:rFonts w:eastAsia="Calibri"/>
                <w:lang w:val="fr-FR"/>
              </w:rPr>
            </w:pPr>
            <w:r w:rsidRPr="00651EE0">
              <w:rPr>
                <w:rFonts w:eastAsia="Calibri"/>
                <w:lang w:val="fr-FR"/>
              </w:rPr>
              <w:t>D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une manière générale, le GCR trouve très préoccupante la tendance croissante à l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UIT-T, notamment au sein des Commissions d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études 5, 13 et 20, à examiner des questions qui relèvent du mandat exclusif des commissions d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études de l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UIT-R, par exemple les travaux sur les stations placées sur des plates-formes à haute altitude et les technologies satellitaires.</w:t>
            </w:r>
            <w:r w:rsidRPr="00651EE0">
              <w:rPr>
                <w:lang w:val="fr-FR"/>
              </w:rPr>
              <w:t xml:space="preserve"> </w:t>
            </w:r>
            <w:r w:rsidRPr="00651EE0">
              <w:rPr>
                <w:rFonts w:eastAsia="Calibri"/>
                <w:lang w:val="fr-FR"/>
              </w:rPr>
              <w:t>Le GCR se félicite de l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utilisation des notes de liaison entre les groupes concernés de l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UIT-T et de l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UIT-R, afin d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améliorer la coordination de leurs activités, et encourage cette utilisation.</w:t>
            </w:r>
            <w:r w:rsidRPr="00651EE0">
              <w:rPr>
                <w:lang w:val="fr-FR"/>
              </w:rPr>
              <w:t xml:space="preserve"> </w:t>
            </w:r>
            <w:r w:rsidRPr="00651EE0">
              <w:rPr>
                <w:rFonts w:eastAsia="Calibri"/>
                <w:lang w:val="fr-FR"/>
              </w:rPr>
              <w:t>Toutefois, le GCR insiste sur le fait que l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UIT-T et l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UIT-R devraient éviter d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entreprendre des travaux qui relèvent manifestement du mandat de l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autre Secteur.</w:t>
            </w:r>
            <w:r w:rsidRPr="00651EE0">
              <w:rPr>
                <w:lang w:val="fr-FR"/>
              </w:rPr>
              <w:t xml:space="preserve"> </w:t>
            </w:r>
            <w:r w:rsidRPr="00651EE0">
              <w:rPr>
                <w:rFonts w:eastAsia="Calibri"/>
                <w:lang w:val="fr-FR"/>
              </w:rPr>
              <w:t>Dans ce contexte, étant donné qu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il se peut que des contributions ne relevant pas du mandat d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un Secteur soient reçues, le GCR encourage l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équipe de direction du groupe qui reçoit ces contributions à informer la partie ayant soumis une contribution de cette nature que la question n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entre pas dans le cadre de son mandat et, s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il y a lieu, lui demande de soumettre la contribution au groupe compétent</w:t>
            </w:r>
            <w:r w:rsidR="004B69A5" w:rsidRPr="00651EE0">
              <w:rPr>
                <w:rFonts w:eastAsia="Calibri"/>
                <w:lang w:val="fr-FR"/>
              </w:rPr>
              <w:t>.</w:t>
            </w:r>
          </w:p>
          <w:p w14:paraId="4AC4779B" w14:textId="2318B03F" w:rsidR="00C9036C" w:rsidRPr="00651EE0" w:rsidRDefault="00C9036C" w:rsidP="0004764A">
            <w:pPr>
              <w:pStyle w:val="Tabletext"/>
              <w:keepNext/>
              <w:keepLines/>
              <w:rPr>
                <w:rFonts w:eastAsia="Calibri"/>
                <w:lang w:val="fr-FR"/>
              </w:rPr>
            </w:pPr>
            <w:r w:rsidRPr="00651EE0">
              <w:rPr>
                <w:rFonts w:eastAsia="Calibri"/>
                <w:lang w:val="fr-FR"/>
              </w:rPr>
              <w:t>Le GCR a invité les administrations et le Groupe de coordination intersectorielle à s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efforcer d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éviter tout chevauchement entre les travaux des différents Secteurs, conformément à la Décision 5 de la Conférence de plénipotentiaires.</w:t>
            </w:r>
          </w:p>
          <w:p w14:paraId="6E2D4421" w14:textId="5406A300" w:rsidR="00C9036C" w:rsidRPr="00651EE0" w:rsidRDefault="00C9036C" w:rsidP="0004764A">
            <w:pPr>
              <w:pStyle w:val="Tabletext"/>
              <w:keepNext/>
              <w:keepLines/>
              <w:rPr>
                <w:rFonts w:eastAsia="Calibri"/>
                <w:lang w:val="fr-FR"/>
              </w:rPr>
            </w:pPr>
            <w:r w:rsidRPr="00651EE0">
              <w:rPr>
                <w:rFonts w:eastAsia="Calibri"/>
                <w:lang w:val="fr-FR"/>
              </w:rPr>
              <w:t>Compte tenu de ce qui précède, le GCR a approuvé la note de liaison figurant dans l</w:t>
            </w:r>
            <w:r w:rsidR="00F22142" w:rsidRPr="00651EE0">
              <w:rPr>
                <w:rFonts w:eastAsia="Calibri"/>
                <w:lang w:val="fr-FR"/>
              </w:rPr>
              <w:t>'</w:t>
            </w:r>
            <w:r w:rsidRPr="00651EE0">
              <w:rPr>
                <w:rFonts w:eastAsia="Calibri"/>
                <w:lang w:val="fr-FR"/>
              </w:rPr>
              <w:t>Annexe 1.</w:t>
            </w:r>
          </w:p>
          <w:p w14:paraId="04D1E1E1" w14:textId="599BA97C" w:rsidR="00C9036C" w:rsidRPr="00651EE0" w:rsidRDefault="00C9036C" w:rsidP="0004764A">
            <w:pPr>
              <w:pStyle w:val="Tabletext"/>
              <w:keepNext/>
              <w:keepLines/>
              <w:rPr>
                <w:rFonts w:eastAsia="Calibri"/>
                <w:lang w:val="fr-FR" w:eastAsia="en-GB"/>
              </w:rPr>
            </w:pPr>
            <w:r w:rsidRPr="00651EE0">
              <w:rPr>
                <w:rFonts w:eastAsia="Calibri"/>
                <w:lang w:val="fr-FR"/>
              </w:rPr>
              <w:t>Le GCR a pris note avec satisfaction du rapport du Président du Groupe de coordination intersectorielle sur les travaux de ce groupe.</w:t>
            </w:r>
          </w:p>
        </w:tc>
      </w:tr>
      <w:tr w:rsidR="00D560A1" w:rsidRPr="0020533B" w14:paraId="37D8B8B7" w14:textId="77777777" w:rsidTr="00777D11">
        <w:trPr>
          <w:jc w:val="center"/>
        </w:trPr>
        <w:tc>
          <w:tcPr>
            <w:tcW w:w="339" w:type="pct"/>
          </w:tcPr>
          <w:p w14:paraId="1B8EFD18" w14:textId="77777777" w:rsidR="00D560A1" w:rsidRPr="00651EE0" w:rsidRDefault="00D560A1" w:rsidP="00777D11">
            <w:pPr>
              <w:pStyle w:val="Tabletext"/>
              <w:jc w:val="center"/>
              <w:rPr>
                <w:lang w:val="fr-FR" w:eastAsia="en-GB"/>
              </w:rPr>
            </w:pPr>
            <w:r w:rsidRPr="00651EE0">
              <w:rPr>
                <w:lang w:val="fr-FR" w:eastAsia="en-GB"/>
              </w:rPr>
              <w:t>11</w:t>
            </w:r>
          </w:p>
        </w:tc>
        <w:tc>
          <w:tcPr>
            <w:tcW w:w="865" w:type="pct"/>
          </w:tcPr>
          <w:p w14:paraId="57903964" w14:textId="327BFC28" w:rsidR="00D560A1" w:rsidRPr="00651EE0" w:rsidRDefault="00D560A1" w:rsidP="00F22142">
            <w:pPr>
              <w:pStyle w:val="Tabletext"/>
              <w:rPr>
                <w:lang w:val="fr-FR"/>
              </w:rPr>
            </w:pPr>
            <w:r w:rsidRPr="00651EE0">
              <w:rPr>
                <w:lang w:val="fr-FR"/>
              </w:rPr>
              <w:t>Projets de Plan opérationnel quadriennal glissant pour la période 2024-2027</w:t>
            </w:r>
          </w:p>
          <w:p w14:paraId="52F68998" w14:textId="77777777" w:rsidR="00D560A1" w:rsidRPr="00651EE0" w:rsidRDefault="0020533B" w:rsidP="00F22142">
            <w:pPr>
              <w:pStyle w:val="Tabletext"/>
              <w:rPr>
                <w:iCs/>
                <w:color w:val="000000"/>
                <w:shd w:val="clear" w:color="auto" w:fill="FFFFFF"/>
                <w:lang w:val="fr-FR" w:eastAsia="en-GB"/>
              </w:rPr>
            </w:pPr>
            <w:hyperlink r:id="rId24" w:history="1">
              <w:r w:rsidR="00D560A1" w:rsidRPr="00651EE0">
                <w:rPr>
                  <w:rStyle w:val="Hyperlink"/>
                  <w:rFonts w:asciiTheme="minorHAnsi" w:hAnsiTheme="minorHAnsi" w:cstheme="minorHAnsi"/>
                  <w:lang w:val="fr-FR"/>
                </w:rPr>
                <w:t>61</w:t>
              </w:r>
            </w:hyperlink>
          </w:p>
        </w:tc>
        <w:tc>
          <w:tcPr>
            <w:tcW w:w="3796" w:type="pct"/>
          </w:tcPr>
          <w:p w14:paraId="57096502" w14:textId="24AA6193" w:rsidR="00D560A1" w:rsidRPr="00651EE0" w:rsidRDefault="00D560A1" w:rsidP="00F22142">
            <w:pPr>
              <w:pStyle w:val="Tabletext"/>
              <w:rPr>
                <w:rFonts w:eastAsia="Calibri"/>
                <w:lang w:val="fr-FR" w:eastAsia="en-GB"/>
              </w:rPr>
            </w:pPr>
            <w:r w:rsidRPr="00651EE0">
              <w:rPr>
                <w:rFonts w:eastAsia="Calibri"/>
                <w:lang w:val="fr-FR" w:eastAsia="en-GB"/>
              </w:rPr>
              <w:t>Le GCR a pris note des explications fournies par le Secrétariat général, selon lesquelles en raison de la modification de la structure du plan stratégique adopté par la PP-22, qui repose sur le principe d</w:t>
            </w:r>
            <w:r w:rsidR="00F22142" w:rsidRPr="00651EE0">
              <w:rPr>
                <w:rFonts w:eastAsia="Calibri"/>
                <w:lang w:val="fr-FR" w:eastAsia="en-GB"/>
              </w:rPr>
              <w:t>'</w:t>
            </w:r>
            <w:r w:rsidRPr="00651EE0">
              <w:rPr>
                <w:rFonts w:eastAsia="Calibri"/>
                <w:lang w:val="fr-FR" w:eastAsia="en-GB"/>
              </w:rPr>
              <w:t>une UIT unie dans l</w:t>
            </w:r>
            <w:r w:rsidR="00F22142" w:rsidRPr="00651EE0">
              <w:rPr>
                <w:rFonts w:eastAsia="Calibri"/>
                <w:lang w:val="fr-FR" w:eastAsia="en-GB"/>
              </w:rPr>
              <w:t>'</w:t>
            </w:r>
            <w:r w:rsidRPr="00651EE0">
              <w:rPr>
                <w:rFonts w:eastAsia="Calibri"/>
                <w:lang w:val="fr-FR" w:eastAsia="en-GB"/>
              </w:rPr>
              <w:t>action, le plan opérationnel ne comporte plus de parties spécialement consacrées à chaque Secteur/Bureau de l</w:t>
            </w:r>
            <w:r w:rsidR="00F22142" w:rsidRPr="00651EE0">
              <w:rPr>
                <w:rFonts w:eastAsia="Calibri"/>
                <w:lang w:val="fr-FR" w:eastAsia="en-GB"/>
              </w:rPr>
              <w:t>'</w:t>
            </w:r>
            <w:r w:rsidRPr="00651EE0">
              <w:rPr>
                <w:rFonts w:eastAsia="Calibri"/>
                <w:lang w:val="fr-FR" w:eastAsia="en-GB"/>
              </w:rPr>
              <w:t>UIT et au Secrétariat général.</w:t>
            </w:r>
          </w:p>
          <w:p w14:paraId="1E74E0EF" w14:textId="041969F8" w:rsidR="00D560A1" w:rsidRPr="00651EE0" w:rsidRDefault="00D560A1" w:rsidP="00F22142">
            <w:pPr>
              <w:pStyle w:val="Tabletext"/>
              <w:rPr>
                <w:rFonts w:eastAsia="Calibri"/>
                <w:lang w:val="fr-FR" w:eastAsia="en-GB"/>
              </w:rPr>
            </w:pPr>
            <w:r w:rsidRPr="00651EE0">
              <w:rPr>
                <w:rFonts w:eastAsia="Calibri"/>
                <w:lang w:val="fr-FR" w:eastAsia="en-GB"/>
              </w:rPr>
              <w:t xml:space="preserve">Le GCR a noté que le </w:t>
            </w:r>
            <w:r w:rsidRPr="00651EE0">
              <w:rPr>
                <w:lang w:val="fr-FR"/>
              </w:rPr>
              <w:t xml:space="preserve">principe </w:t>
            </w:r>
            <w:r w:rsidR="0037564D" w:rsidRPr="00651EE0">
              <w:rPr>
                <w:lang w:val="fr-FR"/>
              </w:rPr>
              <w:t>«</w:t>
            </w:r>
            <w:r w:rsidRPr="00651EE0">
              <w:rPr>
                <w:lang w:val="fr-FR"/>
              </w:rPr>
              <w:t>Une UIT unie dans l</w:t>
            </w:r>
            <w:r w:rsidR="00F22142" w:rsidRPr="00651EE0">
              <w:rPr>
                <w:lang w:val="fr-FR"/>
              </w:rPr>
              <w:t>'</w:t>
            </w:r>
            <w:r w:rsidRPr="00651EE0">
              <w:rPr>
                <w:lang w:val="fr-FR"/>
              </w:rPr>
              <w:t>action</w:t>
            </w:r>
            <w:r w:rsidR="0037564D" w:rsidRPr="00651EE0">
              <w:rPr>
                <w:lang w:val="fr-FR"/>
              </w:rPr>
              <w:t>»</w:t>
            </w:r>
            <w:r w:rsidRPr="00651EE0">
              <w:rPr>
                <w:rFonts w:eastAsia="Calibri"/>
                <w:lang w:val="fr-FR"/>
              </w:rPr>
              <w:t xml:space="preserve"> ne</w:t>
            </w:r>
            <w:r w:rsidRPr="00651EE0">
              <w:rPr>
                <w:rFonts w:eastAsia="Calibri"/>
                <w:lang w:val="fr-FR" w:eastAsia="en-GB"/>
              </w:rPr>
              <w:t xml:space="preserve"> prévaut pas sur les dispositions des textes fondamentaux de l</w:t>
            </w:r>
            <w:r w:rsidR="00F22142" w:rsidRPr="00651EE0">
              <w:rPr>
                <w:rFonts w:eastAsia="Calibri"/>
                <w:lang w:val="fr-FR" w:eastAsia="en-GB"/>
              </w:rPr>
              <w:t>'</w:t>
            </w:r>
            <w:r w:rsidRPr="00651EE0">
              <w:rPr>
                <w:rFonts w:eastAsia="Calibri"/>
                <w:lang w:val="fr-FR" w:eastAsia="en-GB"/>
              </w:rPr>
              <w:t>Union, en vertu desquelles des plans opérationnels doivent être élaborés pour chaque Secteur de l</w:t>
            </w:r>
            <w:r w:rsidR="00F22142" w:rsidRPr="00651EE0">
              <w:rPr>
                <w:rFonts w:eastAsia="Calibri"/>
                <w:lang w:val="fr-FR" w:eastAsia="en-GB"/>
              </w:rPr>
              <w:t>'</w:t>
            </w:r>
            <w:r w:rsidRPr="00651EE0">
              <w:rPr>
                <w:rFonts w:eastAsia="Calibri"/>
                <w:lang w:val="fr-FR" w:eastAsia="en-GB"/>
              </w:rPr>
              <w:t>UIT.</w:t>
            </w:r>
          </w:p>
          <w:p w14:paraId="04E5F730" w14:textId="64B2B676" w:rsidR="00D560A1" w:rsidRPr="00651EE0" w:rsidRDefault="00D560A1" w:rsidP="00F22142">
            <w:pPr>
              <w:pStyle w:val="Tabletext"/>
              <w:rPr>
                <w:rFonts w:eastAsia="Calibri"/>
                <w:lang w:val="fr-FR" w:eastAsia="en-GB"/>
              </w:rPr>
            </w:pPr>
            <w:r w:rsidRPr="00651EE0">
              <w:rPr>
                <w:rFonts w:eastAsia="Calibri"/>
                <w:lang w:val="fr-FR" w:eastAsia="en-GB"/>
              </w:rPr>
              <w:t>Le GCR a également noté que, dans le Tableau 2 du Document 61, aucune explication claire n</w:t>
            </w:r>
            <w:r w:rsidR="00F22142" w:rsidRPr="00651EE0">
              <w:rPr>
                <w:rFonts w:eastAsia="Calibri"/>
                <w:lang w:val="fr-FR" w:eastAsia="en-GB"/>
              </w:rPr>
              <w:t>'</w:t>
            </w:r>
            <w:r w:rsidRPr="00651EE0">
              <w:rPr>
                <w:rFonts w:eastAsia="Calibri"/>
                <w:lang w:val="fr-FR" w:eastAsia="en-GB"/>
              </w:rPr>
              <w:t>est fournie concernant la répartition du budget entre le Secrétariat général et l</w:t>
            </w:r>
            <w:r w:rsidR="00F22142" w:rsidRPr="00651EE0">
              <w:rPr>
                <w:rFonts w:eastAsia="Calibri"/>
                <w:lang w:val="fr-FR" w:eastAsia="en-GB"/>
              </w:rPr>
              <w:t>'</w:t>
            </w:r>
            <w:r w:rsidRPr="00651EE0">
              <w:rPr>
                <w:rFonts w:eastAsia="Calibri"/>
                <w:lang w:val="fr-FR" w:eastAsia="en-GB"/>
              </w:rPr>
              <w:t xml:space="preserve">UIT-R pour la </w:t>
            </w:r>
            <w:r w:rsidRPr="00651EE0">
              <w:rPr>
                <w:lang w:val="fr-FR"/>
              </w:rPr>
              <w:t xml:space="preserve">priorité thématique </w:t>
            </w:r>
            <w:r w:rsidRPr="00651EE0">
              <w:rPr>
                <w:rFonts w:eastAsia="Calibri"/>
                <w:lang w:val="fr-FR"/>
              </w:rPr>
              <w:t xml:space="preserve">1 </w:t>
            </w:r>
            <w:r w:rsidR="0037564D" w:rsidRPr="00651EE0">
              <w:rPr>
                <w:rFonts w:eastAsia="Calibri"/>
                <w:lang w:val="fr-FR"/>
              </w:rPr>
              <w:t>«</w:t>
            </w:r>
            <w:r w:rsidRPr="00651EE0">
              <w:rPr>
                <w:rFonts w:eastAsia="Calibri"/>
                <w:lang w:val="fr-FR" w:eastAsia="en-GB"/>
              </w:rPr>
              <w:t>Spectre et orbites</w:t>
            </w:r>
            <w:r w:rsidR="0037564D" w:rsidRPr="00651EE0">
              <w:rPr>
                <w:rFonts w:eastAsia="Calibri"/>
                <w:lang w:val="fr-FR" w:eastAsia="en-GB"/>
              </w:rPr>
              <w:t>»</w:t>
            </w:r>
            <w:r w:rsidR="00F22142" w:rsidRPr="00651EE0">
              <w:rPr>
                <w:rFonts w:eastAsia="Calibri"/>
                <w:lang w:val="fr-FR" w:eastAsia="en-GB"/>
              </w:rPr>
              <w:t>.</w:t>
            </w:r>
          </w:p>
          <w:p w14:paraId="05488F0F" w14:textId="48B9DD10" w:rsidR="00D560A1" w:rsidRPr="00651EE0" w:rsidRDefault="00D560A1" w:rsidP="00F22142">
            <w:pPr>
              <w:pStyle w:val="Tabletext"/>
              <w:rPr>
                <w:rFonts w:eastAsia="Calibri"/>
                <w:lang w:val="fr-FR" w:eastAsia="en-GB"/>
              </w:rPr>
            </w:pPr>
            <w:r w:rsidRPr="00651EE0">
              <w:rPr>
                <w:rFonts w:eastAsia="Calibri"/>
                <w:lang w:val="fr-FR" w:eastAsia="en-GB"/>
              </w:rPr>
              <w:lastRenderedPageBreak/>
              <w:t>En conséquence, le GCR n</w:t>
            </w:r>
            <w:r w:rsidR="00F22142" w:rsidRPr="00651EE0">
              <w:rPr>
                <w:rFonts w:eastAsia="Calibri"/>
                <w:lang w:val="fr-FR" w:eastAsia="en-GB"/>
              </w:rPr>
              <w:t>'</w:t>
            </w:r>
            <w:r w:rsidRPr="00651EE0">
              <w:rPr>
                <w:rFonts w:eastAsia="Calibri"/>
                <w:lang w:val="fr-FR" w:eastAsia="en-GB"/>
              </w:rPr>
              <w:t>a pas été en mesure d</w:t>
            </w:r>
            <w:r w:rsidR="00F22142" w:rsidRPr="00651EE0">
              <w:rPr>
                <w:rFonts w:eastAsia="Calibri"/>
                <w:lang w:val="fr-FR" w:eastAsia="en-GB"/>
              </w:rPr>
              <w:t>'</w:t>
            </w:r>
            <w:r w:rsidRPr="00651EE0">
              <w:rPr>
                <w:rFonts w:eastAsia="Calibri"/>
                <w:lang w:val="fr-FR" w:eastAsia="en-GB"/>
              </w:rPr>
              <w:t>examiner le plan opérationnel du Secteur/Bureau de l</w:t>
            </w:r>
            <w:r w:rsidR="00F22142" w:rsidRPr="00651EE0">
              <w:rPr>
                <w:rFonts w:eastAsia="Calibri"/>
                <w:lang w:val="fr-FR" w:eastAsia="en-GB"/>
              </w:rPr>
              <w:t>'</w:t>
            </w:r>
            <w:r w:rsidRPr="00651EE0">
              <w:rPr>
                <w:rFonts w:eastAsia="Calibri"/>
                <w:lang w:val="fr-FR" w:eastAsia="en-GB"/>
              </w:rPr>
              <w:t>UIT-R et de s</w:t>
            </w:r>
            <w:r w:rsidR="00F22142" w:rsidRPr="00651EE0">
              <w:rPr>
                <w:rFonts w:eastAsia="Calibri"/>
                <w:lang w:val="fr-FR" w:eastAsia="en-GB"/>
              </w:rPr>
              <w:t>'</w:t>
            </w:r>
            <w:r w:rsidRPr="00651EE0">
              <w:rPr>
                <w:rFonts w:eastAsia="Calibri"/>
                <w:lang w:val="fr-FR" w:eastAsia="en-GB"/>
              </w:rPr>
              <w:t xml:space="preserve">acquitter de son mandat au titre du numéro 160CA de la Convention, qui consiste à examiner la mise en </w:t>
            </w:r>
            <w:r w:rsidR="00F22142" w:rsidRPr="00651EE0">
              <w:rPr>
                <w:rFonts w:eastAsia="Calibri"/>
                <w:lang w:val="fr-FR" w:eastAsia="en-GB"/>
              </w:rPr>
              <w:t>œuvre</w:t>
            </w:r>
            <w:r w:rsidRPr="00651EE0">
              <w:rPr>
                <w:rFonts w:eastAsia="Calibri"/>
                <w:lang w:val="fr-FR" w:eastAsia="en-GB"/>
              </w:rPr>
              <w:t xml:space="preserve"> du plan opérationnel et à conseiller le Directeur du BR en ce qui concerne les mesures correctives nécessaires.</w:t>
            </w:r>
          </w:p>
          <w:p w14:paraId="4BA4E2C7" w14:textId="1D62989D" w:rsidR="00D560A1" w:rsidRPr="00651EE0" w:rsidRDefault="00D560A1" w:rsidP="00F22142">
            <w:pPr>
              <w:pStyle w:val="Tabletext"/>
              <w:rPr>
                <w:rFonts w:eastAsia="Calibri"/>
                <w:lang w:val="fr-FR" w:eastAsia="en-GB"/>
              </w:rPr>
            </w:pPr>
            <w:r w:rsidRPr="00651EE0">
              <w:rPr>
                <w:rFonts w:eastAsia="Calibri"/>
                <w:lang w:val="fr-FR" w:eastAsia="en-GB"/>
              </w:rPr>
              <w:t>Le GCR a pris note du document et a recommandé qu</w:t>
            </w:r>
            <w:r w:rsidR="00F22142" w:rsidRPr="00651EE0">
              <w:rPr>
                <w:rFonts w:eastAsia="Calibri"/>
                <w:lang w:val="fr-FR" w:eastAsia="en-GB"/>
              </w:rPr>
              <w:t>'</w:t>
            </w:r>
            <w:r w:rsidRPr="00651EE0">
              <w:rPr>
                <w:rFonts w:eastAsia="Calibri"/>
                <w:lang w:val="fr-FR" w:eastAsia="en-GB"/>
              </w:rPr>
              <w:t>à la prochaine réunion du GCR, un document distinct lui soit présenté afin d</w:t>
            </w:r>
            <w:r w:rsidR="00F22142" w:rsidRPr="00651EE0">
              <w:rPr>
                <w:rFonts w:eastAsia="Calibri"/>
                <w:lang w:val="fr-FR" w:eastAsia="en-GB"/>
              </w:rPr>
              <w:t>'</w:t>
            </w:r>
            <w:r w:rsidRPr="00651EE0">
              <w:rPr>
                <w:rFonts w:eastAsia="Calibri"/>
                <w:lang w:val="fr-FR" w:eastAsia="en-GB"/>
              </w:rPr>
              <w:t>expliciter les aspects relatifs au Secteur/Bureau de l</w:t>
            </w:r>
            <w:r w:rsidR="00F22142" w:rsidRPr="00651EE0">
              <w:rPr>
                <w:rFonts w:eastAsia="Calibri"/>
                <w:lang w:val="fr-FR" w:eastAsia="en-GB"/>
              </w:rPr>
              <w:t>'</w:t>
            </w:r>
            <w:r w:rsidRPr="00651EE0">
              <w:rPr>
                <w:rFonts w:eastAsia="Calibri"/>
                <w:lang w:val="fr-FR" w:eastAsia="en-GB"/>
              </w:rPr>
              <w:t>UIT-R dans le plan opérationnel combiné.</w:t>
            </w:r>
          </w:p>
          <w:p w14:paraId="0D52AD8D" w14:textId="1480F175" w:rsidR="00D560A1" w:rsidRPr="00651EE0" w:rsidRDefault="00D560A1" w:rsidP="00777D11">
            <w:pPr>
              <w:pStyle w:val="Tabletext"/>
              <w:rPr>
                <w:rFonts w:eastAsia="Calibri"/>
                <w:lang w:val="fr-FR" w:eastAsia="en-GB"/>
              </w:rPr>
            </w:pPr>
            <w:r w:rsidRPr="00651EE0">
              <w:rPr>
                <w:rFonts w:eastAsia="Calibri"/>
                <w:lang w:val="fr-FR" w:eastAsia="en-GB"/>
              </w:rPr>
              <w:t xml:space="preserve">Le GCR a également noté que, si la présentation ou la mise en </w:t>
            </w:r>
            <w:r w:rsidR="00F22142" w:rsidRPr="00651EE0">
              <w:rPr>
                <w:rFonts w:eastAsia="Calibri"/>
                <w:lang w:val="fr-FR" w:eastAsia="en-GB"/>
              </w:rPr>
              <w:t>œuvre</w:t>
            </w:r>
            <w:r w:rsidRPr="00651EE0">
              <w:rPr>
                <w:rFonts w:eastAsia="Calibri"/>
                <w:lang w:val="fr-FR" w:eastAsia="en-GB"/>
              </w:rPr>
              <w:t xml:space="preserve"> du plan opérationnel soulève des difficultés, les </w:t>
            </w:r>
            <w:r w:rsidR="00F22142" w:rsidRPr="00651EE0">
              <w:rPr>
                <w:rFonts w:eastAsia="Calibri"/>
                <w:lang w:val="fr-FR" w:eastAsia="en-GB"/>
              </w:rPr>
              <w:t>États</w:t>
            </w:r>
            <w:r w:rsidRPr="00651EE0">
              <w:rPr>
                <w:rFonts w:eastAsia="Calibri"/>
                <w:lang w:val="fr-FR" w:eastAsia="en-GB"/>
              </w:rPr>
              <w:t xml:space="preserve"> Membres voudraient peut-être revoir la structure de la Résolution 71 à la prochaine PP.</w:t>
            </w:r>
          </w:p>
        </w:tc>
      </w:tr>
      <w:tr w:rsidR="00D560A1" w:rsidRPr="0020533B" w14:paraId="53054019" w14:textId="77777777" w:rsidTr="00777D11">
        <w:trPr>
          <w:jc w:val="center"/>
        </w:trPr>
        <w:tc>
          <w:tcPr>
            <w:tcW w:w="339" w:type="pct"/>
          </w:tcPr>
          <w:p w14:paraId="10330AB1" w14:textId="77777777" w:rsidR="00D560A1" w:rsidRPr="00651EE0" w:rsidRDefault="00D560A1" w:rsidP="00777D11">
            <w:pPr>
              <w:pStyle w:val="Tabletext"/>
              <w:jc w:val="center"/>
              <w:rPr>
                <w:lang w:val="fr-FR" w:eastAsia="en-GB"/>
              </w:rPr>
            </w:pPr>
            <w:r w:rsidRPr="00651EE0">
              <w:rPr>
                <w:lang w:val="fr-FR" w:eastAsia="en-GB"/>
              </w:rPr>
              <w:lastRenderedPageBreak/>
              <w:t>12</w:t>
            </w:r>
          </w:p>
        </w:tc>
        <w:tc>
          <w:tcPr>
            <w:tcW w:w="865" w:type="pct"/>
          </w:tcPr>
          <w:p w14:paraId="112DE359" w14:textId="6593DB8D" w:rsidR="00D560A1" w:rsidRPr="00651EE0" w:rsidRDefault="00D560A1" w:rsidP="00777D11">
            <w:pPr>
              <w:pStyle w:val="Tabletext"/>
              <w:spacing w:after="0"/>
              <w:rPr>
                <w:rFonts w:eastAsia="Arial Unicode MS"/>
                <w:lang w:val="fr-FR" w:eastAsia="en-GB"/>
              </w:rPr>
            </w:pPr>
            <w:r w:rsidRPr="00651EE0">
              <w:rPr>
                <w:rFonts w:eastAsia="Arial Unicode MS"/>
                <w:lang w:val="fr-FR" w:eastAsia="en-GB"/>
              </w:rPr>
              <w:t>Système d</w:t>
            </w:r>
            <w:r w:rsidR="00F22142" w:rsidRPr="00651EE0">
              <w:rPr>
                <w:rFonts w:eastAsia="Arial Unicode MS"/>
                <w:lang w:val="fr-FR" w:eastAsia="en-GB"/>
              </w:rPr>
              <w:t>'</w:t>
            </w:r>
            <w:r w:rsidRPr="00651EE0">
              <w:rPr>
                <w:rFonts w:eastAsia="Arial Unicode MS"/>
                <w:lang w:val="fr-FR" w:eastAsia="en-GB"/>
              </w:rPr>
              <w:t>information du BR</w:t>
            </w:r>
          </w:p>
          <w:bookmarkStart w:id="7" w:name="lt_pId145"/>
          <w:p w14:paraId="287785E8" w14:textId="1A3D8B0D" w:rsidR="00D560A1" w:rsidRPr="00651EE0" w:rsidRDefault="00D560A1" w:rsidP="00777D11">
            <w:pPr>
              <w:pStyle w:val="Tabletext"/>
              <w:spacing w:before="0" w:after="0"/>
              <w:rPr>
                <w:lang w:val="fr-FR" w:eastAsia="en-GB"/>
              </w:rPr>
            </w:pPr>
            <w:r w:rsidRPr="00651EE0">
              <w:fldChar w:fldCharType="begin"/>
            </w:r>
            <w:r w:rsidRPr="00651EE0">
              <w:rPr>
                <w:lang w:val="fr-FR"/>
              </w:rPr>
              <w:instrText>HYPERLINK "https://www.itu.int/md/R20-RAG-C-0058/en"</w:instrText>
            </w:r>
            <w:r w:rsidRPr="00651EE0">
              <w:fldChar w:fldCharType="separate"/>
            </w:r>
            <w:r w:rsidRPr="00651EE0">
              <w:rPr>
                <w:rStyle w:val="Hyperlink"/>
                <w:rFonts w:asciiTheme="minorHAnsi" w:hAnsiTheme="minorHAnsi" w:cstheme="minorHAnsi"/>
                <w:lang w:val="fr-FR"/>
              </w:rPr>
              <w:t>58R1</w:t>
            </w:r>
            <w:r w:rsidRPr="00651EE0">
              <w:rPr>
                <w:rStyle w:val="Hyperlink"/>
                <w:rFonts w:asciiTheme="minorHAnsi" w:hAnsiTheme="minorHAnsi" w:cstheme="minorHAnsi"/>
                <w:lang w:val="fr-FR"/>
              </w:rPr>
              <w:fldChar w:fldCharType="end"/>
            </w:r>
            <w:r w:rsidR="00F22142" w:rsidRPr="00651EE0">
              <w:rPr>
                <w:rStyle w:val="Hyperlink"/>
                <w:rFonts w:asciiTheme="minorHAnsi" w:hAnsiTheme="minorHAnsi" w:cstheme="minorHAnsi"/>
                <w:u w:val="none"/>
                <w:lang w:val="fr-FR"/>
              </w:rPr>
              <w:t xml:space="preserve"> </w:t>
            </w:r>
            <w:r w:rsidRPr="00651EE0">
              <w:rPr>
                <w:rFonts w:asciiTheme="minorHAnsi" w:hAnsiTheme="minorHAnsi" w:cstheme="minorHAnsi"/>
                <w:lang w:val="fr-FR"/>
              </w:rPr>
              <w:t>(§</w:t>
            </w:r>
            <w:r w:rsidR="00F22142" w:rsidRPr="00651EE0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651EE0">
              <w:rPr>
                <w:rFonts w:asciiTheme="minorHAnsi" w:hAnsiTheme="minorHAnsi" w:cstheme="minorHAnsi"/>
                <w:lang w:val="fr-FR"/>
              </w:rPr>
              <w:t xml:space="preserve">7), </w:t>
            </w:r>
            <w:hyperlink r:id="rId25" w:history="1">
              <w:r w:rsidRPr="00651EE0">
                <w:rPr>
                  <w:rStyle w:val="Hyperlink"/>
                  <w:rFonts w:asciiTheme="minorHAnsi" w:hAnsiTheme="minorHAnsi" w:cstheme="minorHAnsi"/>
                  <w:lang w:val="fr-FR"/>
                </w:rPr>
                <w:t>66</w:t>
              </w:r>
            </w:hyperlink>
            <w:r w:rsidRPr="00651EE0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fr-FR"/>
              </w:rPr>
              <w:t>,</w:t>
            </w:r>
            <w:r w:rsidRPr="00651EE0">
              <w:rPr>
                <w:rStyle w:val="Hyperlink"/>
                <w:rFonts w:asciiTheme="minorHAnsi" w:hAnsiTheme="minorHAnsi" w:cstheme="minorHAnsi"/>
                <w:u w:val="none"/>
                <w:lang w:val="fr-FR"/>
              </w:rPr>
              <w:t xml:space="preserve"> </w:t>
            </w:r>
            <w:hyperlink r:id="rId26" w:history="1">
              <w:r w:rsidRPr="00651EE0">
                <w:rPr>
                  <w:rStyle w:val="Hyperlink"/>
                  <w:rFonts w:asciiTheme="minorHAnsi" w:hAnsiTheme="minorHAnsi" w:cstheme="minorHAnsi"/>
                  <w:lang w:val="fr-FR"/>
                </w:rPr>
                <w:t>67</w:t>
              </w:r>
            </w:hyperlink>
            <w:bookmarkEnd w:id="7"/>
          </w:p>
        </w:tc>
        <w:tc>
          <w:tcPr>
            <w:tcW w:w="3796" w:type="pct"/>
          </w:tcPr>
          <w:p w14:paraId="0C58CE15" w14:textId="54C4A5DF" w:rsidR="00D560A1" w:rsidRPr="00651EE0" w:rsidRDefault="00D560A1" w:rsidP="00777D11">
            <w:pPr>
              <w:pStyle w:val="Tabletext"/>
              <w:rPr>
                <w:rFonts w:eastAsia="Calibri"/>
                <w:color w:val="000000"/>
                <w:lang w:val="fr-FR" w:eastAsia="en-GB"/>
              </w:rPr>
            </w:pPr>
            <w:r w:rsidRPr="00651EE0">
              <w:rPr>
                <w:rFonts w:eastAsia="Calibri"/>
                <w:color w:val="000000"/>
                <w:lang w:val="fr-FR" w:eastAsia="en-GB"/>
              </w:rPr>
              <w:t>Le GCR s</w:t>
            </w:r>
            <w:r w:rsidR="00F22142" w:rsidRPr="00651EE0">
              <w:rPr>
                <w:rFonts w:eastAsia="Calibri"/>
                <w:color w:val="000000"/>
                <w:lang w:val="fr-FR" w:eastAsia="en-GB"/>
              </w:rPr>
              <w:t>'</w:t>
            </w:r>
            <w:r w:rsidRPr="00651EE0">
              <w:rPr>
                <w:rFonts w:eastAsia="Calibri"/>
                <w:color w:val="000000"/>
                <w:lang w:val="fr-FR" w:eastAsia="en-GB"/>
              </w:rPr>
              <w:t>est félicité des travaux accomplis par le BR en vue d</w:t>
            </w:r>
            <w:r w:rsidR="00F22142" w:rsidRPr="00651EE0">
              <w:rPr>
                <w:rFonts w:eastAsia="Calibri"/>
                <w:color w:val="000000"/>
                <w:lang w:val="fr-FR" w:eastAsia="en-GB"/>
              </w:rPr>
              <w:t>'</w:t>
            </w:r>
            <w:r w:rsidRPr="00651EE0">
              <w:rPr>
                <w:rFonts w:eastAsia="Calibri"/>
                <w:color w:val="000000"/>
                <w:lang w:val="fr-FR" w:eastAsia="en-GB"/>
              </w:rPr>
              <w:t>élaborer des systèmes d</w:t>
            </w:r>
            <w:r w:rsidR="00F22142" w:rsidRPr="00651EE0">
              <w:rPr>
                <w:rFonts w:eastAsia="Calibri"/>
                <w:color w:val="000000"/>
                <w:lang w:val="fr-FR" w:eastAsia="en-GB"/>
              </w:rPr>
              <w:t>'</w:t>
            </w:r>
            <w:r w:rsidRPr="00651EE0">
              <w:rPr>
                <w:rFonts w:eastAsia="Calibri"/>
                <w:color w:val="000000"/>
                <w:lang w:val="fr-FR" w:eastAsia="en-GB"/>
              </w:rPr>
              <w:t>information du BR pour les services de Terre et les services spatiaux.</w:t>
            </w:r>
          </w:p>
          <w:p w14:paraId="45E6A2F7" w14:textId="38965665" w:rsidR="00D560A1" w:rsidRPr="00651EE0" w:rsidRDefault="00D560A1" w:rsidP="00777D11">
            <w:pPr>
              <w:pStyle w:val="Tabletext"/>
              <w:rPr>
                <w:rFonts w:eastAsia="Calibri"/>
                <w:color w:val="000000"/>
                <w:lang w:val="fr-FR" w:eastAsia="en-GB"/>
              </w:rPr>
            </w:pPr>
            <w:r w:rsidRPr="00651EE0">
              <w:rPr>
                <w:rFonts w:eastAsia="Calibri"/>
                <w:color w:val="000000"/>
                <w:lang w:val="fr-FR" w:eastAsia="en-GB"/>
              </w:rPr>
              <w:t>En outre, le GCR a adressé ses remerciements et exprimé sa gratitude à l</w:t>
            </w:r>
            <w:r w:rsidR="00F22142" w:rsidRPr="00651EE0">
              <w:rPr>
                <w:rFonts w:eastAsia="Calibri"/>
                <w:color w:val="000000"/>
                <w:lang w:val="fr-FR" w:eastAsia="en-GB"/>
              </w:rPr>
              <w:t>'</w:t>
            </w:r>
            <w:r w:rsidRPr="00651EE0">
              <w:rPr>
                <w:rFonts w:eastAsia="Calibri"/>
                <w:color w:val="000000"/>
                <w:lang w:val="fr-FR" w:eastAsia="en-GB"/>
              </w:rPr>
              <w:t>Administration du Japon pour les contributions importantes qu</w:t>
            </w:r>
            <w:r w:rsidR="00F22142" w:rsidRPr="00651EE0">
              <w:rPr>
                <w:rFonts w:eastAsia="Calibri"/>
                <w:color w:val="000000"/>
                <w:lang w:val="fr-FR" w:eastAsia="en-GB"/>
              </w:rPr>
              <w:t>'</w:t>
            </w:r>
            <w:r w:rsidRPr="00651EE0">
              <w:rPr>
                <w:rFonts w:eastAsia="Calibri"/>
                <w:color w:val="000000"/>
                <w:lang w:val="fr-FR" w:eastAsia="en-GB"/>
              </w:rPr>
              <w:t xml:space="preserve">elle apporte de façon suivie, depuis 2017, en vue de la mise en </w:t>
            </w:r>
            <w:r w:rsidR="00F22142" w:rsidRPr="00651EE0">
              <w:rPr>
                <w:rFonts w:eastAsia="Calibri"/>
                <w:color w:val="000000"/>
                <w:lang w:val="fr-FR" w:eastAsia="en-GB"/>
              </w:rPr>
              <w:t>œuvre</w:t>
            </w:r>
            <w:r w:rsidRPr="00651EE0">
              <w:rPr>
                <w:rFonts w:eastAsia="Calibri"/>
                <w:color w:val="000000"/>
                <w:lang w:val="fr-FR" w:eastAsia="en-GB"/>
              </w:rPr>
              <w:t xml:space="preserve"> de la Résolution 908.</w:t>
            </w:r>
            <w:r w:rsidRPr="00651EE0">
              <w:rPr>
                <w:lang w:val="fr-FR"/>
              </w:rPr>
              <w:t xml:space="preserve"> </w:t>
            </w:r>
            <w:r w:rsidRPr="00651EE0">
              <w:rPr>
                <w:rFonts w:eastAsia="Calibri"/>
                <w:color w:val="000000"/>
                <w:lang w:val="fr-FR" w:eastAsia="en-GB"/>
              </w:rPr>
              <w:t>Le GCR s</w:t>
            </w:r>
            <w:r w:rsidR="00F22142" w:rsidRPr="00651EE0">
              <w:rPr>
                <w:rFonts w:eastAsia="Calibri"/>
                <w:color w:val="000000"/>
                <w:lang w:val="fr-FR" w:eastAsia="en-GB"/>
              </w:rPr>
              <w:t>'</w:t>
            </w:r>
            <w:r w:rsidRPr="00651EE0">
              <w:rPr>
                <w:rFonts w:eastAsia="Calibri"/>
                <w:color w:val="000000"/>
                <w:lang w:val="fr-FR" w:eastAsia="en-GB"/>
              </w:rPr>
              <w:t>est également félicité de l</w:t>
            </w:r>
            <w:r w:rsidR="00F22142" w:rsidRPr="00651EE0">
              <w:rPr>
                <w:rFonts w:eastAsia="Calibri"/>
                <w:color w:val="000000"/>
                <w:lang w:val="fr-FR" w:eastAsia="en-GB"/>
              </w:rPr>
              <w:t>'</w:t>
            </w:r>
            <w:r w:rsidRPr="00651EE0">
              <w:rPr>
                <w:rFonts w:eastAsia="Calibri"/>
                <w:color w:val="000000"/>
                <w:lang w:val="fr-FR" w:eastAsia="en-GB"/>
              </w:rPr>
              <w:t>appui constant fourni par le Japon, sur le double plan des ressources financières et humaines, et du fait que le Japon avait indiqué qu</w:t>
            </w:r>
            <w:r w:rsidR="00F22142" w:rsidRPr="00651EE0">
              <w:rPr>
                <w:rFonts w:eastAsia="Calibri"/>
                <w:color w:val="000000"/>
                <w:lang w:val="fr-FR" w:eastAsia="en-GB"/>
              </w:rPr>
              <w:t>'</w:t>
            </w:r>
            <w:r w:rsidRPr="00651EE0">
              <w:rPr>
                <w:rFonts w:eastAsia="Calibri"/>
                <w:color w:val="000000"/>
                <w:lang w:val="fr-FR" w:eastAsia="en-GB"/>
              </w:rPr>
              <w:t>il continuerait de verser une contribution volontaire.</w:t>
            </w:r>
          </w:p>
          <w:p w14:paraId="3C06C56F" w14:textId="76DFAFD3" w:rsidR="00D560A1" w:rsidRPr="00651EE0" w:rsidRDefault="00D560A1" w:rsidP="00777D11">
            <w:pPr>
              <w:pStyle w:val="Tabletext"/>
              <w:rPr>
                <w:rFonts w:eastAsia="Calibri"/>
                <w:color w:val="000000"/>
                <w:lang w:val="fr-FR" w:eastAsia="en-GB"/>
              </w:rPr>
            </w:pPr>
            <w:r w:rsidRPr="00651EE0">
              <w:rPr>
                <w:rFonts w:eastAsia="Calibri"/>
                <w:color w:val="000000"/>
                <w:lang w:val="fr-FR" w:eastAsia="en-GB"/>
              </w:rPr>
              <w:t>En ce qui concerne la contribution de la Chine, le GCR a pris note de cette contribution et a également pris acte de la proposition de la Chine visant à aider le Bureau,</w:t>
            </w:r>
            <w:r w:rsidRPr="00651EE0">
              <w:rPr>
                <w:rFonts w:ascii="Segoe UI" w:hAnsi="Segoe UI" w:cs="Segoe UI"/>
                <w:color w:val="000000"/>
                <w:szCs w:val="20"/>
                <w:shd w:val="clear" w:color="auto" w:fill="FFFFFF"/>
                <w:lang w:val="fr-FR"/>
              </w:rPr>
              <w:t xml:space="preserve"> </w:t>
            </w:r>
            <w:r w:rsidRPr="00651EE0">
              <w:rPr>
                <w:lang w:val="fr-FR"/>
              </w:rPr>
              <w:t>en temps utile,</w:t>
            </w:r>
            <w:r w:rsidRPr="00651EE0">
              <w:rPr>
                <w:rFonts w:ascii="Segoe UI" w:hAnsi="Segoe UI" w:cs="Segoe UI"/>
                <w:color w:val="000000"/>
                <w:szCs w:val="20"/>
                <w:shd w:val="clear" w:color="auto" w:fill="FFFFFF"/>
                <w:lang w:val="fr-FR"/>
              </w:rPr>
              <w:t xml:space="preserve"> </w:t>
            </w:r>
            <w:r w:rsidRPr="00651EE0">
              <w:rPr>
                <w:rFonts w:eastAsia="Calibri"/>
                <w:color w:val="000000"/>
                <w:lang w:val="fr-FR" w:eastAsia="en-GB"/>
              </w:rPr>
              <w:t>à concevoir le logiciel relatif aux systèmes non OSG sur la base de l</w:t>
            </w:r>
            <w:r w:rsidR="00F22142" w:rsidRPr="00651EE0">
              <w:rPr>
                <w:rFonts w:eastAsia="Calibri"/>
                <w:color w:val="000000"/>
                <w:lang w:val="fr-FR" w:eastAsia="en-GB"/>
              </w:rPr>
              <w:t>'</w:t>
            </w:r>
            <w:r w:rsidRPr="00651EE0">
              <w:rPr>
                <w:rFonts w:eastAsia="Calibri"/>
                <w:color w:val="000000"/>
                <w:lang w:val="fr-FR" w:eastAsia="en-GB"/>
              </w:rPr>
              <w:t>évaluation par le Bureau de la portée de l</w:t>
            </w:r>
            <w:r w:rsidR="00F22142" w:rsidRPr="00651EE0">
              <w:rPr>
                <w:rFonts w:eastAsia="Calibri"/>
                <w:color w:val="000000"/>
                <w:lang w:val="fr-FR" w:eastAsia="en-GB"/>
              </w:rPr>
              <w:t>'</w:t>
            </w:r>
            <w:r w:rsidRPr="00651EE0">
              <w:rPr>
                <w:rFonts w:eastAsia="Calibri"/>
                <w:color w:val="000000"/>
                <w:lang w:val="fr-FR" w:eastAsia="en-GB"/>
              </w:rPr>
              <w:t>assistance à fournir.</w:t>
            </w:r>
          </w:p>
          <w:p w14:paraId="1B597C60" w14:textId="6F59C9B0" w:rsidR="00D560A1" w:rsidRPr="00651EE0" w:rsidRDefault="00D560A1" w:rsidP="00F22142">
            <w:pPr>
              <w:pStyle w:val="Tabletext"/>
              <w:rPr>
                <w:rFonts w:eastAsia="Calibri"/>
                <w:color w:val="000000"/>
                <w:lang w:val="fr-FR" w:eastAsia="en-GB"/>
              </w:rPr>
            </w:pPr>
            <w:r w:rsidRPr="00651EE0">
              <w:rPr>
                <w:rFonts w:eastAsia="Calibri"/>
                <w:color w:val="000000"/>
                <w:lang w:val="fr-FR" w:eastAsia="en-GB"/>
              </w:rPr>
              <w:t>D</w:t>
            </w:r>
            <w:r w:rsidR="00F22142" w:rsidRPr="00651EE0">
              <w:rPr>
                <w:rFonts w:eastAsia="Calibri"/>
                <w:color w:val="000000"/>
                <w:lang w:val="fr-FR" w:eastAsia="en-GB"/>
              </w:rPr>
              <w:t>'</w:t>
            </w:r>
            <w:r w:rsidRPr="00651EE0">
              <w:rPr>
                <w:rFonts w:eastAsia="Calibri"/>
                <w:color w:val="000000"/>
                <w:lang w:val="fr-FR" w:eastAsia="en-GB"/>
              </w:rPr>
              <w:t>autres administrations sont invitées à participer et à contribuer à l</w:t>
            </w:r>
            <w:r w:rsidR="00F22142" w:rsidRPr="00651EE0">
              <w:rPr>
                <w:rFonts w:eastAsia="Calibri"/>
                <w:color w:val="000000"/>
                <w:lang w:val="fr-FR" w:eastAsia="en-GB"/>
              </w:rPr>
              <w:t>'</w:t>
            </w:r>
            <w:r w:rsidRPr="00651EE0">
              <w:rPr>
                <w:rFonts w:eastAsia="Calibri"/>
                <w:color w:val="000000"/>
                <w:lang w:val="fr-FR" w:eastAsia="en-GB"/>
              </w:rPr>
              <w:t>élaboration des systèmes d</w:t>
            </w:r>
            <w:r w:rsidR="00F22142" w:rsidRPr="00651EE0">
              <w:rPr>
                <w:rFonts w:eastAsia="Calibri"/>
                <w:color w:val="000000"/>
                <w:lang w:val="fr-FR" w:eastAsia="en-GB"/>
              </w:rPr>
              <w:t>'</w:t>
            </w:r>
            <w:r w:rsidRPr="00651EE0">
              <w:rPr>
                <w:rFonts w:eastAsia="Calibri"/>
                <w:color w:val="000000"/>
                <w:lang w:val="fr-FR" w:eastAsia="en-GB"/>
              </w:rPr>
              <w:t>information du BR pour les services de Terre et les services spatiaux.</w:t>
            </w:r>
          </w:p>
        </w:tc>
      </w:tr>
      <w:tr w:rsidR="00D560A1" w:rsidRPr="0020533B" w14:paraId="5E0FE20D" w14:textId="77777777" w:rsidTr="00777D11">
        <w:trPr>
          <w:jc w:val="center"/>
        </w:trPr>
        <w:tc>
          <w:tcPr>
            <w:tcW w:w="339" w:type="pct"/>
          </w:tcPr>
          <w:p w14:paraId="0B78D507" w14:textId="57B4F64D" w:rsidR="00D560A1" w:rsidRPr="00651EE0" w:rsidRDefault="00D560A1" w:rsidP="00777D11">
            <w:pPr>
              <w:pStyle w:val="Tabletext"/>
              <w:jc w:val="center"/>
              <w:rPr>
                <w:lang w:val="fr-FR" w:eastAsia="en-GB"/>
              </w:rPr>
            </w:pPr>
            <w:r w:rsidRPr="00651EE0">
              <w:rPr>
                <w:lang w:val="fr-FR" w:eastAsia="en-GB"/>
              </w:rPr>
              <w:t>13</w:t>
            </w:r>
          </w:p>
        </w:tc>
        <w:tc>
          <w:tcPr>
            <w:tcW w:w="865" w:type="pct"/>
          </w:tcPr>
          <w:p w14:paraId="35912E22" w14:textId="13758E57" w:rsidR="00D560A1" w:rsidRPr="00651EE0" w:rsidRDefault="00D560A1" w:rsidP="00F22142">
            <w:pPr>
              <w:pStyle w:val="Tabletext"/>
              <w:rPr>
                <w:lang w:val="fr-FR"/>
              </w:rPr>
            </w:pPr>
            <w:r w:rsidRPr="00651EE0">
              <w:rPr>
                <w:lang w:val="fr-FR"/>
              </w:rPr>
              <w:t>Sensibilisation</w:t>
            </w:r>
          </w:p>
          <w:bookmarkStart w:id="8" w:name="lt_pId153"/>
          <w:p w14:paraId="1DA397DC" w14:textId="49355751" w:rsidR="00D560A1" w:rsidRPr="00651EE0" w:rsidRDefault="00D560A1" w:rsidP="00777D11">
            <w:pPr>
              <w:pStyle w:val="Tabletext"/>
              <w:spacing w:before="0"/>
              <w:rPr>
                <w:lang w:val="fr-FR" w:eastAsia="en-GB"/>
              </w:rPr>
            </w:pPr>
            <w:r w:rsidRPr="00651EE0">
              <w:fldChar w:fldCharType="begin"/>
            </w:r>
            <w:r w:rsidRPr="00651EE0">
              <w:rPr>
                <w:lang w:val="fr-FR"/>
              </w:rPr>
              <w:instrText>HYPERLINK "https://www.itu.int/md/R20-RAG-C-0058/en"</w:instrText>
            </w:r>
            <w:r w:rsidRPr="00651EE0">
              <w:fldChar w:fldCharType="separate"/>
            </w:r>
            <w:r w:rsidRPr="00651EE0">
              <w:rPr>
                <w:rStyle w:val="Hyperlink"/>
                <w:rFonts w:asciiTheme="minorHAnsi" w:hAnsiTheme="minorHAnsi" w:cstheme="minorHAnsi"/>
                <w:lang w:val="fr-FR"/>
              </w:rPr>
              <w:t>58R1</w:t>
            </w:r>
            <w:r w:rsidRPr="00651EE0">
              <w:rPr>
                <w:rStyle w:val="Hyperlink"/>
                <w:rFonts w:asciiTheme="minorHAnsi" w:hAnsiTheme="minorHAnsi" w:cstheme="minorHAnsi"/>
                <w:lang w:val="fr-FR"/>
              </w:rPr>
              <w:fldChar w:fldCharType="end"/>
            </w:r>
            <w:r w:rsidR="00F22142" w:rsidRPr="00651EE0">
              <w:rPr>
                <w:rStyle w:val="Hyperlink"/>
                <w:rFonts w:asciiTheme="minorHAnsi" w:hAnsiTheme="minorHAnsi" w:cstheme="minorHAnsi"/>
                <w:u w:val="none"/>
                <w:lang w:val="fr-FR"/>
              </w:rPr>
              <w:t xml:space="preserve"> </w:t>
            </w:r>
            <w:r w:rsidRPr="00651EE0">
              <w:rPr>
                <w:rFonts w:asciiTheme="minorHAnsi" w:hAnsiTheme="minorHAnsi" w:cstheme="minorHAnsi"/>
                <w:lang w:val="fr-FR"/>
              </w:rPr>
              <w:t>(§</w:t>
            </w:r>
            <w:r w:rsidR="00F22142" w:rsidRPr="00651EE0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651EE0">
              <w:rPr>
                <w:rFonts w:asciiTheme="minorHAnsi" w:hAnsiTheme="minorHAnsi" w:cstheme="minorHAnsi"/>
                <w:lang w:val="fr-FR"/>
              </w:rPr>
              <w:t>8)</w:t>
            </w:r>
            <w:bookmarkEnd w:id="8"/>
          </w:p>
        </w:tc>
        <w:tc>
          <w:tcPr>
            <w:tcW w:w="3796" w:type="pct"/>
          </w:tcPr>
          <w:p w14:paraId="28058DAB" w14:textId="23143C71" w:rsidR="00D560A1" w:rsidRPr="00651EE0" w:rsidRDefault="00D560A1" w:rsidP="00777D11">
            <w:pPr>
              <w:pStyle w:val="Tabletext"/>
              <w:rPr>
                <w:rFonts w:eastAsia="Calibri" w:cs="Arial"/>
                <w:lang w:val="fr-FR" w:eastAsia="en-GB"/>
              </w:rPr>
            </w:pPr>
            <w:r w:rsidRPr="00651EE0">
              <w:rPr>
                <w:rFonts w:eastAsia="Calibri" w:cs="Arial"/>
                <w:lang w:val="fr-FR" w:eastAsia="en-GB"/>
              </w:rPr>
              <w:t>Le GCR a pris acte du rapport du Directeur sur les activités de sensibilisation du BR et pris note de l</w:t>
            </w:r>
            <w:r w:rsidR="00F22142" w:rsidRPr="00651EE0">
              <w:rPr>
                <w:rFonts w:eastAsia="Calibri" w:cs="Arial"/>
                <w:lang w:val="fr-FR" w:eastAsia="en-GB"/>
              </w:rPr>
              <w:t>'</w:t>
            </w:r>
            <w:r w:rsidRPr="00651EE0">
              <w:rPr>
                <w:rFonts w:eastAsia="Calibri" w:cs="Arial"/>
                <w:lang w:val="fr-FR" w:eastAsia="en-GB"/>
              </w:rPr>
              <w:t>intérêt qu</w:t>
            </w:r>
            <w:r w:rsidR="00F22142" w:rsidRPr="00651EE0">
              <w:rPr>
                <w:rFonts w:eastAsia="Calibri" w:cs="Arial"/>
                <w:lang w:val="fr-FR" w:eastAsia="en-GB"/>
              </w:rPr>
              <w:t>'</w:t>
            </w:r>
            <w:r w:rsidRPr="00651EE0">
              <w:rPr>
                <w:rFonts w:eastAsia="Calibri" w:cs="Arial"/>
                <w:lang w:val="fr-FR" w:eastAsia="en-GB"/>
              </w:rPr>
              <w:t>il suscite</w:t>
            </w:r>
            <w:r w:rsidR="00F22142" w:rsidRPr="00651EE0">
              <w:rPr>
                <w:rFonts w:eastAsia="Calibri" w:cs="Arial"/>
                <w:lang w:val="fr-FR" w:eastAsia="en-GB"/>
              </w:rPr>
              <w:t>.</w:t>
            </w:r>
          </w:p>
          <w:p w14:paraId="56037798" w14:textId="6CA97152" w:rsidR="00D560A1" w:rsidRPr="00651EE0" w:rsidRDefault="00D560A1" w:rsidP="00F22142">
            <w:pPr>
              <w:pStyle w:val="Tabletext"/>
              <w:rPr>
                <w:rFonts w:eastAsia="Calibri" w:cs="Arial"/>
                <w:lang w:val="fr-FR" w:eastAsia="en-GB"/>
              </w:rPr>
            </w:pPr>
            <w:r w:rsidRPr="00651EE0">
              <w:rPr>
                <w:rFonts w:eastAsia="Calibri" w:cs="Arial"/>
                <w:lang w:val="fr-FR" w:eastAsia="en-GB"/>
              </w:rPr>
              <w:t xml:space="preserve">Le GCR exprime sa gratitude aux </w:t>
            </w:r>
            <w:r w:rsidR="00F22142" w:rsidRPr="00651EE0">
              <w:rPr>
                <w:rFonts w:eastAsia="Calibri" w:cs="Arial"/>
                <w:lang w:val="fr-FR" w:eastAsia="en-GB"/>
              </w:rPr>
              <w:t>États</w:t>
            </w:r>
            <w:r w:rsidRPr="00651EE0">
              <w:rPr>
                <w:rFonts w:eastAsia="Calibri" w:cs="Arial"/>
                <w:lang w:val="fr-FR" w:eastAsia="en-GB"/>
              </w:rPr>
              <w:t xml:space="preserve"> Membres et aux Membres de Secteur pour leur appui et encourage d</w:t>
            </w:r>
            <w:r w:rsidR="00F22142" w:rsidRPr="00651EE0">
              <w:rPr>
                <w:rFonts w:eastAsia="Calibri" w:cs="Arial"/>
                <w:lang w:val="fr-FR" w:eastAsia="en-GB"/>
              </w:rPr>
              <w:t>'</w:t>
            </w:r>
            <w:r w:rsidRPr="00651EE0">
              <w:rPr>
                <w:rFonts w:eastAsia="Calibri" w:cs="Arial"/>
                <w:lang w:val="fr-FR" w:eastAsia="en-GB"/>
              </w:rPr>
              <w:t>autres administrations ainsi que le secteur privé à contribuer aux manifestations futures.</w:t>
            </w:r>
            <w:r w:rsidRPr="00651EE0">
              <w:rPr>
                <w:lang w:val="fr-FR"/>
              </w:rPr>
              <w:t xml:space="preserve"> </w:t>
            </w:r>
            <w:r w:rsidRPr="00651EE0">
              <w:rPr>
                <w:rFonts w:eastAsia="Calibri" w:cs="Arial"/>
                <w:lang w:val="fr-FR" w:eastAsia="en-GB"/>
              </w:rPr>
              <w:t>Le GCR a également pris note du fait qu</w:t>
            </w:r>
            <w:r w:rsidR="00F22142" w:rsidRPr="00651EE0">
              <w:rPr>
                <w:rFonts w:eastAsia="Calibri" w:cs="Arial"/>
                <w:lang w:val="fr-FR" w:eastAsia="en-GB"/>
              </w:rPr>
              <w:t>'</w:t>
            </w:r>
            <w:r w:rsidRPr="00651EE0">
              <w:rPr>
                <w:rFonts w:eastAsia="Calibri" w:cs="Arial"/>
                <w:lang w:val="fr-FR" w:eastAsia="en-GB"/>
              </w:rPr>
              <w:t xml:space="preserve"> une administration</w:t>
            </w:r>
            <w:r w:rsidRPr="00651EE0">
              <w:rPr>
                <w:lang w:val="fr-FR"/>
              </w:rPr>
              <w:t xml:space="preserve"> </w:t>
            </w:r>
            <w:r w:rsidRPr="00651EE0">
              <w:rPr>
                <w:rFonts w:eastAsia="Calibri" w:cs="Arial"/>
                <w:lang w:val="fr-FR" w:eastAsia="en-GB"/>
              </w:rPr>
              <w:t>préconisait la tenue des futurs Séminaires mondiaux des radiocommunications à la date habituelle – c</w:t>
            </w:r>
            <w:r w:rsidR="00F22142" w:rsidRPr="00651EE0">
              <w:rPr>
                <w:rFonts w:eastAsia="Calibri" w:cs="Arial"/>
                <w:lang w:val="fr-FR" w:eastAsia="en-GB"/>
              </w:rPr>
              <w:t>'</w:t>
            </w:r>
            <w:r w:rsidRPr="00651EE0">
              <w:rPr>
                <w:rFonts w:eastAsia="Calibri" w:cs="Arial"/>
                <w:lang w:val="fr-FR" w:eastAsia="en-GB"/>
              </w:rPr>
              <w:t>est-à-dire fin novembre et début décembre. De plus, le GCR a pris note de la proposition tendant à ce que les séminaires organisés par le BR portent sur un plus grand nombre de thèmes liés à la gestion du spectre.</w:t>
            </w:r>
          </w:p>
        </w:tc>
      </w:tr>
      <w:tr w:rsidR="00D560A1" w:rsidRPr="00651EE0" w14:paraId="7FCD0813" w14:textId="77777777" w:rsidTr="00777D11">
        <w:trPr>
          <w:jc w:val="center"/>
        </w:trPr>
        <w:tc>
          <w:tcPr>
            <w:tcW w:w="339" w:type="pct"/>
          </w:tcPr>
          <w:p w14:paraId="019837C7" w14:textId="77777777" w:rsidR="00D560A1" w:rsidRPr="00651EE0" w:rsidRDefault="00D560A1" w:rsidP="00777D11">
            <w:pPr>
              <w:pStyle w:val="Tabletext"/>
              <w:jc w:val="center"/>
              <w:rPr>
                <w:lang w:val="fr-FR" w:eastAsia="en-GB"/>
              </w:rPr>
            </w:pPr>
            <w:r w:rsidRPr="00651EE0">
              <w:rPr>
                <w:lang w:val="fr-FR" w:eastAsia="en-GB"/>
              </w:rPr>
              <w:t>14</w:t>
            </w:r>
          </w:p>
        </w:tc>
        <w:tc>
          <w:tcPr>
            <w:tcW w:w="865" w:type="pct"/>
          </w:tcPr>
          <w:p w14:paraId="47A08377" w14:textId="77777777" w:rsidR="00D560A1" w:rsidRPr="00651EE0" w:rsidRDefault="00D560A1" w:rsidP="00777D11">
            <w:pPr>
              <w:pStyle w:val="Tabletext"/>
              <w:rPr>
                <w:lang w:val="fr-FR" w:eastAsia="en-GB"/>
              </w:rPr>
            </w:pPr>
            <w:r w:rsidRPr="00651EE0">
              <w:rPr>
                <w:lang w:val="fr-FR"/>
              </w:rPr>
              <w:t>Date de la prochaine réunion</w:t>
            </w:r>
          </w:p>
        </w:tc>
        <w:tc>
          <w:tcPr>
            <w:tcW w:w="3796" w:type="pct"/>
          </w:tcPr>
          <w:p w14:paraId="73E05295" w14:textId="13CBB9A0" w:rsidR="00D560A1" w:rsidRPr="00651EE0" w:rsidRDefault="00F22142" w:rsidP="00777D11">
            <w:pPr>
              <w:pStyle w:val="Tabletext"/>
              <w:rPr>
                <w:rFonts w:cs="Arial"/>
                <w:lang w:val="fr-FR" w:eastAsia="en-GB"/>
              </w:rPr>
            </w:pPr>
            <w:r w:rsidRPr="00651EE0">
              <w:rPr>
                <w:rFonts w:cs="Arial"/>
                <w:lang w:val="fr-FR" w:eastAsia="en-GB"/>
              </w:rPr>
              <w:t>M</w:t>
            </w:r>
            <w:r w:rsidR="00D560A1" w:rsidRPr="00651EE0">
              <w:rPr>
                <w:rFonts w:cs="Arial"/>
                <w:lang w:val="fr-FR" w:eastAsia="en-GB"/>
              </w:rPr>
              <w:t>ars-avril 2024.</w:t>
            </w:r>
          </w:p>
        </w:tc>
      </w:tr>
      <w:tr w:rsidR="00D560A1" w:rsidRPr="0020533B" w14:paraId="0B9637F4" w14:textId="77777777" w:rsidTr="00777D11">
        <w:trPr>
          <w:jc w:val="center"/>
        </w:trPr>
        <w:tc>
          <w:tcPr>
            <w:tcW w:w="339" w:type="pct"/>
          </w:tcPr>
          <w:p w14:paraId="77BBBB1B" w14:textId="77777777" w:rsidR="00D560A1" w:rsidRPr="00651EE0" w:rsidRDefault="00D560A1" w:rsidP="00777D11">
            <w:pPr>
              <w:pStyle w:val="Tabletext"/>
              <w:jc w:val="center"/>
              <w:rPr>
                <w:lang w:val="fr-FR" w:eastAsia="en-GB"/>
              </w:rPr>
            </w:pPr>
            <w:r w:rsidRPr="00651EE0">
              <w:rPr>
                <w:lang w:val="fr-FR" w:eastAsia="en-GB"/>
              </w:rPr>
              <w:t>15</w:t>
            </w:r>
          </w:p>
        </w:tc>
        <w:tc>
          <w:tcPr>
            <w:tcW w:w="865" w:type="pct"/>
          </w:tcPr>
          <w:p w14:paraId="780604E6" w14:textId="77777777" w:rsidR="00D560A1" w:rsidRPr="00651EE0" w:rsidRDefault="00D560A1" w:rsidP="00777D11">
            <w:pPr>
              <w:pStyle w:val="Tabletext"/>
              <w:rPr>
                <w:lang w:val="fr-FR"/>
              </w:rPr>
            </w:pPr>
            <w:r w:rsidRPr="00651EE0">
              <w:rPr>
                <w:lang w:val="fr-FR"/>
              </w:rPr>
              <w:t>Divers</w:t>
            </w:r>
          </w:p>
          <w:p w14:paraId="19F6E2C5" w14:textId="77777777" w:rsidR="00D560A1" w:rsidRPr="00651EE0" w:rsidRDefault="0020533B" w:rsidP="00777D11">
            <w:pPr>
              <w:pStyle w:val="Tabletext"/>
              <w:rPr>
                <w:lang w:val="fr-FR" w:eastAsia="en-GB"/>
              </w:rPr>
            </w:pPr>
            <w:hyperlink r:id="rId27" w:history="1">
              <w:r w:rsidR="00D560A1" w:rsidRPr="00651EE0">
                <w:rPr>
                  <w:rStyle w:val="Hyperlink"/>
                  <w:rFonts w:asciiTheme="minorHAnsi" w:hAnsiTheme="minorHAnsi" w:cstheme="minorHAnsi"/>
                  <w:lang w:val="fr-FR"/>
                </w:rPr>
                <w:t>62</w:t>
              </w:r>
            </w:hyperlink>
            <w:r w:rsidR="00D560A1" w:rsidRPr="00651EE0">
              <w:rPr>
                <w:rFonts w:asciiTheme="minorHAnsi" w:hAnsiTheme="minorHAnsi" w:cstheme="minorHAnsi"/>
                <w:lang w:val="fr-FR"/>
              </w:rPr>
              <w:t xml:space="preserve">, </w:t>
            </w:r>
            <w:hyperlink r:id="rId28" w:history="1">
              <w:r w:rsidR="00D560A1" w:rsidRPr="00651EE0">
                <w:rPr>
                  <w:rStyle w:val="Hyperlink"/>
                  <w:rFonts w:asciiTheme="minorHAnsi" w:hAnsiTheme="minorHAnsi" w:cstheme="minorHAnsi"/>
                  <w:lang w:val="fr-FR"/>
                </w:rPr>
                <w:t>63</w:t>
              </w:r>
            </w:hyperlink>
            <w:r w:rsidR="00D560A1" w:rsidRPr="00651EE0">
              <w:rPr>
                <w:rFonts w:asciiTheme="minorHAnsi" w:hAnsiTheme="minorHAnsi" w:cstheme="minorHAnsi"/>
                <w:lang w:val="fr-FR"/>
              </w:rPr>
              <w:t xml:space="preserve">, </w:t>
            </w:r>
            <w:hyperlink r:id="rId29" w:history="1">
              <w:r w:rsidR="00D560A1" w:rsidRPr="00651EE0">
                <w:rPr>
                  <w:rStyle w:val="Hyperlink"/>
                  <w:rFonts w:asciiTheme="minorHAnsi" w:hAnsiTheme="minorHAnsi" w:cstheme="minorHAnsi"/>
                  <w:lang w:val="fr-FR"/>
                </w:rPr>
                <w:t>64</w:t>
              </w:r>
            </w:hyperlink>
            <w:r w:rsidR="00D560A1" w:rsidRPr="00651EE0">
              <w:rPr>
                <w:rFonts w:asciiTheme="minorHAnsi" w:hAnsiTheme="minorHAnsi" w:cstheme="minorHAnsi"/>
                <w:lang w:val="fr-FR"/>
              </w:rPr>
              <w:t xml:space="preserve">, </w:t>
            </w:r>
            <w:hyperlink r:id="rId30" w:history="1">
              <w:r w:rsidR="00D560A1" w:rsidRPr="00651EE0">
                <w:rPr>
                  <w:rStyle w:val="Hyperlink"/>
                  <w:rFonts w:asciiTheme="minorHAnsi" w:hAnsiTheme="minorHAnsi" w:cstheme="minorHAnsi"/>
                  <w:lang w:val="fr-FR"/>
                </w:rPr>
                <w:t>65</w:t>
              </w:r>
            </w:hyperlink>
          </w:p>
        </w:tc>
        <w:tc>
          <w:tcPr>
            <w:tcW w:w="3796" w:type="pct"/>
          </w:tcPr>
          <w:p w14:paraId="2F6652BE" w14:textId="3BDAB5C6" w:rsidR="00D560A1" w:rsidRPr="00651EE0" w:rsidRDefault="00D560A1" w:rsidP="00777D11">
            <w:pPr>
              <w:pStyle w:val="Tabletext"/>
              <w:rPr>
                <w:rFonts w:cs="Arial"/>
                <w:lang w:val="fr-FR" w:eastAsia="en-GB"/>
              </w:rPr>
            </w:pPr>
            <w:r w:rsidRPr="00651EE0">
              <w:rPr>
                <w:rFonts w:cs="Arial"/>
                <w:lang w:val="fr-FR" w:eastAsia="en-GB"/>
              </w:rPr>
              <w:t>Le GCR a pris note des documents et la délégation de la Russie voudra peut-être les soumettre à l</w:t>
            </w:r>
            <w:r w:rsidR="00F22142" w:rsidRPr="00651EE0">
              <w:rPr>
                <w:rFonts w:cs="Arial"/>
                <w:lang w:val="fr-FR" w:eastAsia="en-GB"/>
              </w:rPr>
              <w:t>'</w:t>
            </w:r>
            <w:r w:rsidRPr="00651EE0">
              <w:rPr>
                <w:rFonts w:cs="Arial"/>
                <w:lang w:val="fr-FR" w:eastAsia="en-GB"/>
              </w:rPr>
              <w:t>Assemblée des radiocommunications.</w:t>
            </w:r>
          </w:p>
          <w:p w14:paraId="03811F30" w14:textId="77777777" w:rsidR="00D560A1" w:rsidRPr="00651EE0" w:rsidRDefault="00D560A1" w:rsidP="00777D11">
            <w:pPr>
              <w:pStyle w:val="Tabletext"/>
              <w:rPr>
                <w:rFonts w:cs="Arial"/>
                <w:lang w:val="fr-FR" w:eastAsia="en-GB"/>
              </w:rPr>
            </w:pPr>
            <w:r w:rsidRPr="00651EE0">
              <w:rPr>
                <w:rFonts w:cs="Arial"/>
                <w:lang w:val="fr-FR" w:eastAsia="en-GB"/>
              </w:rPr>
              <w:t>Le GCR a remercié le Président, Daniel Obam, qui occupe les fonctions de Président du GCR depuis 10 ans.</w:t>
            </w:r>
          </w:p>
        </w:tc>
      </w:tr>
    </w:tbl>
    <w:p w14:paraId="7EF3DE8F" w14:textId="62DF2828" w:rsidR="00D560A1" w:rsidRPr="00651EE0" w:rsidRDefault="00D560A1" w:rsidP="00F22142">
      <w:pPr>
        <w:rPr>
          <w:lang w:val="fr-FR"/>
        </w:rPr>
      </w:pPr>
      <w:r w:rsidRPr="00651EE0">
        <w:rPr>
          <w:lang w:val="fr-FR"/>
        </w:rPr>
        <w:t>A</w:t>
      </w:r>
      <w:r w:rsidR="00F22142" w:rsidRPr="00651EE0">
        <w:rPr>
          <w:lang w:val="fr-FR"/>
        </w:rPr>
        <w:t xml:space="preserve">nnexe </w:t>
      </w:r>
      <w:r w:rsidRPr="00651EE0">
        <w:rPr>
          <w:lang w:val="fr-FR"/>
        </w:rPr>
        <w:t xml:space="preserve">1: </w:t>
      </w:r>
      <w:r w:rsidR="00F22142" w:rsidRPr="00651EE0">
        <w:rPr>
          <w:lang w:val="fr-FR"/>
        </w:rPr>
        <w:t>N</w:t>
      </w:r>
      <w:r w:rsidRPr="00651EE0">
        <w:rPr>
          <w:lang w:val="fr-FR"/>
        </w:rPr>
        <w:t>ote de liaison envoyée en réponse au GCNT</w:t>
      </w:r>
    </w:p>
    <w:p w14:paraId="6CAE13B3" w14:textId="6CE3D37E" w:rsidR="00D560A1" w:rsidRPr="00651EE0" w:rsidRDefault="00D560A1" w:rsidP="00D560A1">
      <w:pPr>
        <w:tabs>
          <w:tab w:val="clear" w:pos="794"/>
          <w:tab w:val="clear" w:pos="1191"/>
          <w:tab w:val="left" w:pos="1418"/>
        </w:tabs>
        <w:spacing w:line="240" w:lineRule="auto"/>
        <w:ind w:left="1588" w:hanging="1588"/>
        <w:jc w:val="left"/>
        <w:rPr>
          <w:color w:val="000000"/>
          <w:lang w:val="fr-FR"/>
        </w:rPr>
      </w:pPr>
    </w:p>
    <w:p w14:paraId="6D36AEB0" w14:textId="77777777" w:rsidR="00D560A1" w:rsidRPr="00651EE0" w:rsidRDefault="00D560A1" w:rsidP="00D560A1">
      <w:pPr>
        <w:pStyle w:val="Normalaftertitle"/>
        <w:spacing w:line="240" w:lineRule="auto"/>
        <w:rPr>
          <w:lang w:val="fr-FR"/>
        </w:rPr>
        <w:sectPr w:rsidR="00D560A1" w:rsidRPr="00651EE0" w:rsidSect="001A3723">
          <w:headerReference w:type="default" r:id="rId31"/>
          <w:footerReference w:type="default" r:id="rId32"/>
          <w:headerReference w:type="first" r:id="rId33"/>
          <w:footerReference w:type="first" r:id="rId34"/>
          <w:pgSz w:w="16834" w:h="11907" w:orient="landscape" w:code="9"/>
          <w:pgMar w:top="1134" w:right="1134" w:bottom="1134" w:left="993" w:header="567" w:footer="397" w:gutter="0"/>
          <w:cols w:space="720"/>
          <w:titlePg/>
          <w:docGrid w:linePitch="326"/>
        </w:sectPr>
      </w:pPr>
    </w:p>
    <w:p w14:paraId="6EBF0149" w14:textId="32478647" w:rsidR="00D560A1" w:rsidRPr="00651EE0" w:rsidRDefault="00D560A1" w:rsidP="00957477">
      <w:pPr>
        <w:spacing w:before="120" w:after="360" w:line="240" w:lineRule="auto"/>
        <w:jc w:val="center"/>
        <w:rPr>
          <w:lang w:val="fr-FR"/>
        </w:rPr>
      </w:pPr>
      <w:r w:rsidRPr="00651EE0">
        <w:rPr>
          <w:lang w:val="fr-FR"/>
        </w:rPr>
        <w:lastRenderedPageBreak/>
        <w:t>ANNEXE 1</w:t>
      </w:r>
      <w:r w:rsidR="00F22142" w:rsidRPr="00651EE0">
        <w:rPr>
          <w:lang w:val="fr-FR"/>
        </w:rPr>
        <w:br/>
      </w:r>
      <w:r w:rsidR="00F22142" w:rsidRPr="00651EE0">
        <w:rPr>
          <w:lang w:val="fr-FR"/>
        </w:rPr>
        <w:br/>
      </w:r>
      <w:r w:rsidR="00EE17B9" w:rsidRPr="00651EE0">
        <w:rPr>
          <w:lang w:val="fr-FR"/>
        </w:rPr>
        <w:t>NOTE DE LIAISON ENVOYÉE EN RÉPONSE AU GCNT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957477" w:rsidRPr="00651EE0" w14:paraId="3AB18DD5" w14:textId="77777777" w:rsidTr="00957477">
        <w:trPr>
          <w:cantSplit/>
        </w:trPr>
        <w:tc>
          <w:tcPr>
            <w:tcW w:w="6771" w:type="dxa"/>
            <w:vAlign w:val="center"/>
          </w:tcPr>
          <w:p w14:paraId="5D2AF7BC" w14:textId="77777777" w:rsidR="00957477" w:rsidRPr="00651EE0" w:rsidRDefault="00957477" w:rsidP="00957477">
            <w:pPr>
              <w:shd w:val="solid" w:color="FFFFFF" w:fill="FFFFFF"/>
              <w:spacing w:before="360" w:after="240"/>
              <w:jc w:val="left"/>
              <w:rPr>
                <w:rFonts w:ascii="Verdana" w:hAnsi="Verdana"/>
                <w:b/>
                <w:bCs/>
                <w:lang w:val="fr-FR"/>
              </w:rPr>
            </w:pPr>
            <w:r w:rsidRPr="00651EE0">
              <w:rPr>
                <w:rFonts w:ascii="Verdana" w:hAnsi="Verdana" w:cs="Times New Roman Bold"/>
                <w:b/>
                <w:sz w:val="25"/>
                <w:szCs w:val="25"/>
                <w:lang w:val="fr-FR"/>
              </w:rPr>
              <w:t>Groupe Consultatif des Radiocommunications</w:t>
            </w:r>
            <w:r w:rsidRPr="00651EE0">
              <w:rPr>
                <w:rFonts w:ascii="Verdana" w:hAnsi="Verdana"/>
                <w:b/>
                <w:sz w:val="25"/>
                <w:szCs w:val="25"/>
                <w:lang w:val="fr-FR"/>
              </w:rPr>
              <w:br/>
            </w:r>
          </w:p>
        </w:tc>
        <w:tc>
          <w:tcPr>
            <w:tcW w:w="3118" w:type="dxa"/>
          </w:tcPr>
          <w:p w14:paraId="546ED36B" w14:textId="77777777" w:rsidR="00957477" w:rsidRPr="00651EE0" w:rsidRDefault="00957477" w:rsidP="00957477">
            <w:pPr>
              <w:shd w:val="solid" w:color="FFFFFF" w:fill="FFFFFF"/>
              <w:spacing w:before="0" w:line="240" w:lineRule="atLeast"/>
              <w:rPr>
                <w:lang w:val="fr-FR"/>
              </w:rPr>
            </w:pPr>
            <w:r w:rsidRPr="00651EE0">
              <w:rPr>
                <w:noProof/>
              </w:rPr>
              <w:drawing>
                <wp:inline distT="0" distB="0" distL="0" distR="0" wp14:anchorId="18ABE1A4" wp14:editId="14FC1FA1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477" w:rsidRPr="00651EE0" w14:paraId="6DA2574E" w14:textId="77777777" w:rsidTr="00957477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89AF5AD" w14:textId="77777777" w:rsidR="00957477" w:rsidRPr="00651EE0" w:rsidRDefault="00957477" w:rsidP="0095747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lang w:val="fr-FR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7BCFCAC1" w14:textId="77777777" w:rsidR="00957477" w:rsidRPr="00651EE0" w:rsidRDefault="00957477" w:rsidP="00957477">
            <w:pPr>
              <w:shd w:val="solid" w:color="FFFFFF" w:fill="FFFFFF"/>
              <w:spacing w:before="0" w:after="48" w:line="240" w:lineRule="atLeast"/>
              <w:rPr>
                <w:sz w:val="22"/>
                <w:lang w:val="fr-FR"/>
              </w:rPr>
            </w:pPr>
          </w:p>
        </w:tc>
      </w:tr>
      <w:tr w:rsidR="00957477" w:rsidRPr="00651EE0" w14:paraId="1A59ED47" w14:textId="77777777" w:rsidTr="00957477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7FC3BA8" w14:textId="77777777" w:rsidR="00957477" w:rsidRPr="00651EE0" w:rsidRDefault="00957477" w:rsidP="0095747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lang w:val="fr-FR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72895A4B" w14:textId="77777777" w:rsidR="00957477" w:rsidRPr="00651EE0" w:rsidRDefault="00957477" w:rsidP="00957477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lang w:val="fr-FR"/>
              </w:rPr>
            </w:pPr>
          </w:p>
        </w:tc>
      </w:tr>
      <w:tr w:rsidR="00957477" w:rsidRPr="00651EE0" w14:paraId="59B17EBF" w14:textId="77777777" w:rsidTr="00957477">
        <w:trPr>
          <w:cantSplit/>
        </w:trPr>
        <w:tc>
          <w:tcPr>
            <w:tcW w:w="6771" w:type="dxa"/>
            <w:vMerge w:val="restart"/>
          </w:tcPr>
          <w:p w14:paraId="06F0845A" w14:textId="77777777" w:rsidR="00957477" w:rsidRPr="00651EE0" w:rsidRDefault="00957477" w:rsidP="0095747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FR"/>
              </w:rPr>
            </w:pPr>
            <w:bookmarkStart w:id="9" w:name="dnum" w:colFirst="1" w:colLast="1"/>
          </w:p>
        </w:tc>
        <w:tc>
          <w:tcPr>
            <w:tcW w:w="3118" w:type="dxa"/>
          </w:tcPr>
          <w:p w14:paraId="54123614" w14:textId="491D6C70" w:rsidR="00957477" w:rsidRPr="00651EE0" w:rsidRDefault="00957477" w:rsidP="0095747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FR"/>
              </w:rPr>
            </w:pPr>
            <w:r w:rsidRPr="00651EE0">
              <w:rPr>
                <w:rFonts w:ascii="Verdana" w:hAnsi="Verdana"/>
                <w:b/>
                <w:sz w:val="20"/>
                <w:lang w:val="fr-FR" w:eastAsia="zh-CN"/>
              </w:rPr>
              <w:t>Document RAG/TEMP/11</w:t>
            </w:r>
          </w:p>
        </w:tc>
      </w:tr>
      <w:tr w:rsidR="00957477" w:rsidRPr="00651EE0" w14:paraId="7B5A9BCE" w14:textId="77777777" w:rsidTr="00957477">
        <w:trPr>
          <w:cantSplit/>
        </w:trPr>
        <w:tc>
          <w:tcPr>
            <w:tcW w:w="6771" w:type="dxa"/>
            <w:vMerge/>
          </w:tcPr>
          <w:p w14:paraId="09584B4B" w14:textId="77777777" w:rsidR="00957477" w:rsidRPr="00651EE0" w:rsidRDefault="00957477" w:rsidP="00957477">
            <w:pPr>
              <w:spacing w:before="60"/>
              <w:jc w:val="center"/>
              <w:rPr>
                <w:b/>
                <w:smallCaps/>
                <w:sz w:val="32"/>
                <w:lang w:val="fr-FR"/>
              </w:rPr>
            </w:pPr>
            <w:bookmarkStart w:id="10" w:name="ddate" w:colFirst="1" w:colLast="1"/>
            <w:bookmarkEnd w:id="9"/>
          </w:p>
        </w:tc>
        <w:tc>
          <w:tcPr>
            <w:tcW w:w="3118" w:type="dxa"/>
          </w:tcPr>
          <w:p w14:paraId="1B4D30EC" w14:textId="08D5D65D" w:rsidR="00957477" w:rsidRPr="00651EE0" w:rsidRDefault="00957477" w:rsidP="0095747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FR"/>
              </w:rPr>
            </w:pPr>
            <w:r w:rsidRPr="00651EE0">
              <w:rPr>
                <w:rFonts w:ascii="Verdana" w:hAnsi="Verdana"/>
                <w:b/>
                <w:sz w:val="20"/>
                <w:lang w:val="fr-FR" w:eastAsia="zh-CN"/>
              </w:rPr>
              <w:t>3 mai 2023</w:t>
            </w:r>
          </w:p>
        </w:tc>
      </w:tr>
      <w:tr w:rsidR="00957477" w:rsidRPr="00651EE0" w14:paraId="0E3C0983" w14:textId="77777777" w:rsidTr="00957477">
        <w:trPr>
          <w:cantSplit/>
        </w:trPr>
        <w:tc>
          <w:tcPr>
            <w:tcW w:w="6771" w:type="dxa"/>
            <w:vMerge/>
          </w:tcPr>
          <w:p w14:paraId="5E183860" w14:textId="77777777" w:rsidR="00957477" w:rsidRPr="00651EE0" w:rsidRDefault="00957477" w:rsidP="00957477">
            <w:pPr>
              <w:spacing w:before="60"/>
              <w:jc w:val="center"/>
              <w:rPr>
                <w:b/>
                <w:smallCaps/>
                <w:sz w:val="32"/>
                <w:lang w:val="fr-FR"/>
              </w:rPr>
            </w:pPr>
            <w:bookmarkStart w:id="11" w:name="dorlang" w:colFirst="1" w:colLast="1"/>
            <w:bookmarkEnd w:id="10"/>
          </w:p>
        </w:tc>
        <w:tc>
          <w:tcPr>
            <w:tcW w:w="3118" w:type="dxa"/>
          </w:tcPr>
          <w:p w14:paraId="6237B588" w14:textId="0E8D60D1" w:rsidR="00957477" w:rsidRPr="00651EE0" w:rsidRDefault="00957477" w:rsidP="00957477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  <w:lang w:val="fr-FR"/>
              </w:rPr>
            </w:pPr>
            <w:r w:rsidRPr="00651EE0">
              <w:rPr>
                <w:rFonts w:ascii="Verdana" w:eastAsia="SimSun" w:hAnsi="Verdana"/>
                <w:b/>
                <w:sz w:val="20"/>
                <w:lang w:val="fr-FR" w:eastAsia="zh-CN"/>
              </w:rPr>
              <w:t>Original: anglais</w:t>
            </w:r>
          </w:p>
        </w:tc>
      </w:tr>
      <w:tr w:rsidR="00957477" w:rsidRPr="0020533B" w14:paraId="78D853FC" w14:textId="77777777" w:rsidTr="00957477">
        <w:trPr>
          <w:cantSplit/>
        </w:trPr>
        <w:tc>
          <w:tcPr>
            <w:tcW w:w="9889" w:type="dxa"/>
            <w:gridSpan w:val="2"/>
          </w:tcPr>
          <w:p w14:paraId="304597AB" w14:textId="0E71C3E2" w:rsidR="00957477" w:rsidRPr="00651EE0" w:rsidRDefault="00957477" w:rsidP="00957477">
            <w:pPr>
              <w:pStyle w:val="Source"/>
              <w:rPr>
                <w:rFonts w:ascii="Times New Roman" w:hAnsi="Times New Roman" w:cs="Times New Roman"/>
                <w:lang w:val="fr-FR"/>
              </w:rPr>
            </w:pPr>
            <w:bookmarkStart w:id="12" w:name="dsource" w:colFirst="0" w:colLast="0"/>
            <w:bookmarkEnd w:id="11"/>
            <w:r w:rsidRPr="00651EE0">
              <w:rPr>
                <w:rFonts w:ascii="Times New Roman" w:hAnsi="Times New Roman" w:cs="Times New Roman"/>
                <w:lang w:val="fr-FR"/>
              </w:rPr>
              <w:t>Groupe consultatif des radiocommunications (GCR)</w:t>
            </w:r>
          </w:p>
        </w:tc>
      </w:tr>
      <w:tr w:rsidR="00957477" w:rsidRPr="0020533B" w14:paraId="065F7F86" w14:textId="77777777" w:rsidTr="00957477">
        <w:trPr>
          <w:cantSplit/>
        </w:trPr>
        <w:tc>
          <w:tcPr>
            <w:tcW w:w="9889" w:type="dxa"/>
            <w:gridSpan w:val="2"/>
          </w:tcPr>
          <w:p w14:paraId="1E1AD4B9" w14:textId="5867A99B" w:rsidR="00957477" w:rsidRPr="00651EE0" w:rsidRDefault="00957477" w:rsidP="00957477">
            <w:pPr>
              <w:pStyle w:val="Title1"/>
              <w:rPr>
                <w:rFonts w:ascii="Times New Roman" w:hAnsi="Times New Roman" w:cs="Times New Roman"/>
                <w:lang w:val="fr-FR"/>
              </w:rPr>
            </w:pPr>
            <w:bookmarkStart w:id="13" w:name="dtitle1" w:colFirst="0" w:colLast="0"/>
            <w:bookmarkEnd w:id="12"/>
            <w:r w:rsidRPr="00651EE0">
              <w:rPr>
                <w:rFonts w:ascii="Times New Roman" w:hAnsi="Times New Roman" w:cs="Times New Roman"/>
                <w:lang w:val="fr-FR"/>
              </w:rPr>
              <w:t>Note de liaison envoyée en réponse au GCNT</w:t>
            </w:r>
          </w:p>
        </w:tc>
      </w:tr>
      <w:tr w:rsidR="00957477" w:rsidRPr="0020533B" w14:paraId="60728618" w14:textId="77777777" w:rsidTr="00957477">
        <w:trPr>
          <w:cantSplit/>
        </w:trPr>
        <w:tc>
          <w:tcPr>
            <w:tcW w:w="9889" w:type="dxa"/>
            <w:gridSpan w:val="2"/>
          </w:tcPr>
          <w:p w14:paraId="4B358D17" w14:textId="3A7BCEB9" w:rsidR="00957477" w:rsidRPr="00651EE0" w:rsidRDefault="00957477" w:rsidP="00957477">
            <w:pPr>
              <w:pStyle w:val="Title4"/>
              <w:rPr>
                <w:lang w:val="fr-FR"/>
              </w:rPr>
            </w:pPr>
            <w:r w:rsidRPr="00651EE0">
              <w:rPr>
                <w:rFonts w:ascii="Times New Roman" w:hAnsi="Times New Roman" w:cs="Times New Roman"/>
                <w:lang w:val="fr-FR"/>
              </w:rPr>
              <w:t>TRAVAUX RELATIFS AUX SYSTÈMES D'AÉRONEF SANS PILOTE (UAS) ET AUX AUTRES SYSTÈMES DE RADIOCOMMUNICATION</w:t>
            </w:r>
          </w:p>
        </w:tc>
      </w:tr>
    </w:tbl>
    <w:bookmarkEnd w:id="13"/>
    <w:p w14:paraId="2E2D3E27" w14:textId="149EFA6E" w:rsidR="00D560A1" w:rsidRPr="00651EE0" w:rsidRDefault="00D560A1" w:rsidP="00EE17B9">
      <w:pPr>
        <w:spacing w:before="240"/>
        <w:jc w:val="left"/>
        <w:rPr>
          <w:rFonts w:ascii="Times New Roman" w:hAnsi="Times New Roman" w:cs="Times New Roman"/>
          <w:szCs w:val="24"/>
          <w:shd w:val="clear" w:color="auto" w:fill="FFFFFF"/>
          <w:lang w:val="fr-FR"/>
        </w:rPr>
      </w:pPr>
      <w:r w:rsidRPr="00651EE0">
        <w:rPr>
          <w:rFonts w:ascii="Times New Roman" w:hAnsi="Times New Roman" w:cs="Times New Roman"/>
          <w:lang w:val="fr-FR"/>
        </w:rPr>
        <w:t>Le Groupe consultatif des radiocommunications (GCR) remercie le Groupe consultatif de la normalisation des télécommunications (GCNT) pour sa note de liaison sur les systèmes d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 xml:space="preserve">aéronef sans pilote (UAS), reçue sous la cote </w:t>
      </w:r>
      <w:hyperlink r:id="rId36" w:history="1">
        <w:r w:rsidRPr="00651EE0">
          <w:rPr>
            <w:rStyle w:val="Hyperlink"/>
            <w:rFonts w:ascii="Times New Roman" w:eastAsia="SimSun" w:hAnsi="Times New Roman" w:cs="Times New Roman"/>
            <w:color w:val="0070C0"/>
            <w:szCs w:val="24"/>
            <w:lang w:val="fr-FR" w:eastAsia="zh-CN"/>
          </w:rPr>
          <w:t>RAG/57</w:t>
        </w:r>
      </w:hyperlink>
      <w:r w:rsidRPr="00651EE0">
        <w:rPr>
          <w:rStyle w:val="FootnoteReference"/>
          <w:rFonts w:eastAsia="SimSun"/>
          <w:lang w:val="fr-FR"/>
        </w:rPr>
        <w:footnoteReference w:id="2"/>
      </w:r>
      <w:r w:rsidRPr="00651EE0">
        <w:rPr>
          <w:rFonts w:ascii="Times New Roman" w:hAnsi="Times New Roman" w:cs="Times New Roman"/>
          <w:szCs w:val="24"/>
          <w:shd w:val="clear" w:color="auto" w:fill="FFFFFF"/>
          <w:lang w:val="fr-FR"/>
        </w:rPr>
        <w:t>.</w:t>
      </w:r>
    </w:p>
    <w:p w14:paraId="18B620A2" w14:textId="779CE9DB" w:rsidR="00D560A1" w:rsidRPr="00651EE0" w:rsidRDefault="00D560A1" w:rsidP="00957477">
      <w:pPr>
        <w:jc w:val="left"/>
        <w:rPr>
          <w:rFonts w:ascii="Times New Roman" w:hAnsi="Times New Roman" w:cs="Times New Roman"/>
          <w:lang w:val="fr-FR"/>
        </w:rPr>
      </w:pPr>
      <w:r w:rsidRPr="00651EE0">
        <w:rPr>
          <w:rFonts w:ascii="Times New Roman" w:hAnsi="Times New Roman" w:cs="Times New Roman"/>
          <w:lang w:val="fr-FR"/>
        </w:rPr>
        <w:t>Le GCR a examiné la note de liaison à sa 30ème réunion (1er-3 mai 2023) et note que le GCNT mène apparemment plusieurs activités concernant les systèmes UAS, et en particulier les drones, en tant que sous-ensemble. De 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avis du GCR, la question des systèmes UAS (y compris les drones) est une question relative aux radiocommunications et relève donc essentiellement de la compétence de 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UIT-R. 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exploitation de ces systèmes est étroitement liée à la sécurité et nécessite une évaluation préalable des cas éventuels de brouillages par les commissions d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études compétentes de 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UIT-R</w:t>
      </w:r>
      <w:r w:rsidR="00957477" w:rsidRPr="00651EE0">
        <w:rPr>
          <w:rFonts w:ascii="Times New Roman" w:hAnsi="Times New Roman" w:cs="Times New Roman"/>
          <w:lang w:val="fr-FR"/>
        </w:rPr>
        <w:t>.</w:t>
      </w:r>
    </w:p>
    <w:p w14:paraId="1E0E9EC0" w14:textId="59C46959" w:rsidR="00D560A1" w:rsidRPr="00651EE0" w:rsidRDefault="00D560A1" w:rsidP="00957477">
      <w:pPr>
        <w:jc w:val="left"/>
        <w:rPr>
          <w:rFonts w:ascii="Times New Roman" w:hAnsi="Times New Roman" w:cs="Times New Roman"/>
          <w:lang w:val="fr-FR"/>
        </w:rPr>
      </w:pPr>
      <w:r w:rsidRPr="00651EE0">
        <w:rPr>
          <w:rFonts w:ascii="Times New Roman" w:hAnsi="Times New Roman" w:cs="Times New Roman"/>
          <w:lang w:val="fr-FR"/>
        </w:rPr>
        <w:t>Le GCR souhaite informer le GCNT que 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utilisation des fréquences pour les systèmes UAS fait actuellement 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objet d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un examen au sein de 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UIT-R, par exemple au titre du point 1.8 de 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ordre du jour de la CMR-23. Les questions liées à 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 xml:space="preserve">application du numéro </w:t>
      </w:r>
      <w:r w:rsidRPr="00651EE0">
        <w:rPr>
          <w:rFonts w:ascii="Times New Roman" w:hAnsi="Times New Roman" w:cs="Times New Roman"/>
          <w:b/>
          <w:bCs/>
          <w:lang w:val="fr-FR"/>
        </w:rPr>
        <w:t>4.10</w:t>
      </w:r>
      <w:r w:rsidRPr="00651EE0">
        <w:rPr>
          <w:rFonts w:ascii="Times New Roman" w:hAnsi="Times New Roman" w:cs="Times New Roman"/>
          <w:lang w:val="fr-FR"/>
        </w:rPr>
        <w:t xml:space="preserve"> du RR et les prescriptions générales relatives à la sécurité de la vie humaine/des vols doivent être réglées par 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UIT-R. En outre, le GCR note qu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en plus du point correspondant de 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ordre du jour de la CMR-23, d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autres travaux sur les systèmes UAS sont également examinés par des groupes de travail de 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UIT-R, conformément à leur mandat et en coordination avec 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Organisation de 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aviation civile internationale (OACI), le cas échéant. Par conséquent, le GCR demande à 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UIT-T, par 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intermédiaire du GCNT, de s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abstenir de mener des travaux sur les systèmes UAS, du moins jusqu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à ce que ces questions soient réglées au sein de 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UIT-R.</w:t>
      </w:r>
    </w:p>
    <w:p w14:paraId="31ECF28F" w14:textId="4F653816" w:rsidR="00D560A1" w:rsidRPr="00651EE0" w:rsidRDefault="00D560A1" w:rsidP="00957477">
      <w:pPr>
        <w:keepNext/>
        <w:keepLines/>
        <w:jc w:val="left"/>
        <w:rPr>
          <w:rFonts w:ascii="Times New Roman" w:hAnsi="Times New Roman" w:cs="Times New Roman"/>
          <w:lang w:val="fr-FR"/>
        </w:rPr>
      </w:pPr>
      <w:r w:rsidRPr="00651EE0">
        <w:rPr>
          <w:rFonts w:ascii="Times New Roman" w:hAnsi="Times New Roman" w:cs="Times New Roman"/>
          <w:lang w:val="fr-FR"/>
        </w:rPr>
        <w:lastRenderedPageBreak/>
        <w:t>Le GCR tient à souligner que toute question ayant trait à 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utilisation des fréquences radioélectriques et susceptible de donner lieu à des incohérences éventuelles dans 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utilisation du spectre des fréquences radioélectriques, devrait être traitée par 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UIT-R, ou, en tout état de cause, dans le cadre d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une liaison appropriée avec 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UIT-R, et non pas par 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UIT-T de manière indépendante. Cette interprétation est également clairement énoncée dans 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 xml:space="preserve">article 14(2) de la </w:t>
      </w:r>
      <w:hyperlink r:id="rId37" w:history="1">
        <w:r w:rsidRPr="00651EE0">
          <w:rPr>
            <w:rStyle w:val="Hyperlink"/>
            <w:rFonts w:ascii="Times New Roman" w:hAnsi="Times New Roman" w:cs="Times New Roman"/>
            <w:lang w:val="fr-FR"/>
          </w:rPr>
          <w:t>Convention de l</w:t>
        </w:r>
        <w:r w:rsidR="00F22142" w:rsidRPr="00651EE0">
          <w:rPr>
            <w:rStyle w:val="Hyperlink"/>
            <w:rFonts w:ascii="Times New Roman" w:hAnsi="Times New Roman" w:cs="Times New Roman"/>
            <w:lang w:val="fr-FR"/>
          </w:rPr>
          <w:t>'</w:t>
        </w:r>
        <w:r w:rsidRPr="00651EE0">
          <w:rPr>
            <w:rStyle w:val="Hyperlink"/>
            <w:rFonts w:ascii="Times New Roman" w:hAnsi="Times New Roman" w:cs="Times New Roman"/>
            <w:lang w:val="fr-FR"/>
          </w:rPr>
          <w:t>UIT</w:t>
        </w:r>
      </w:hyperlink>
      <w:r w:rsidRPr="00651EE0">
        <w:rPr>
          <w:rFonts w:ascii="Times New Roman" w:hAnsi="Times New Roman" w:cs="Times New Roman"/>
          <w:lang w:val="fr-FR"/>
        </w:rPr>
        <w:t xml:space="preserve"> (numéro 193 de la Convention), qui stipule que «les questions techniques ou d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exploitation qui se rapportent spécifiquement aux radiocommunications et qui sont énoncées aux numéros 151 à 154 de la présente Convention relèvent du Secteur des radiocommunications».</w:t>
      </w:r>
    </w:p>
    <w:p w14:paraId="6A222460" w14:textId="4C2CDD0E" w:rsidR="00D560A1" w:rsidRPr="00651EE0" w:rsidRDefault="00D560A1" w:rsidP="00957477">
      <w:pPr>
        <w:jc w:val="left"/>
        <w:rPr>
          <w:rFonts w:ascii="Times New Roman" w:hAnsi="Times New Roman" w:cs="Times New Roman"/>
          <w:lang w:val="fr-FR"/>
        </w:rPr>
      </w:pPr>
      <w:r w:rsidRPr="00651EE0">
        <w:rPr>
          <w:rFonts w:ascii="Times New Roman" w:hAnsi="Times New Roman" w:cs="Times New Roman"/>
          <w:lang w:val="fr-FR"/>
        </w:rPr>
        <w:t>En outre, et d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une manière générale, le GCR note que des considérations analogues, à savoir que la responsabilité principale des services visés incombe à 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UIT-R, doivent s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appliquer à plusieurs autres notes de liaison reçues des commissions d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études de 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UIT-T, par exemple:</w:t>
      </w:r>
    </w:p>
    <w:p w14:paraId="3ADA5B34" w14:textId="5E667E6A" w:rsidR="00D560A1" w:rsidRPr="00651EE0" w:rsidRDefault="00D560A1" w:rsidP="00681B3D">
      <w:pPr>
        <w:pStyle w:val="enumlev1"/>
        <w:jc w:val="left"/>
        <w:rPr>
          <w:rFonts w:ascii="Times New Roman" w:hAnsi="Times New Roman" w:cs="Times New Roman"/>
          <w:lang w:val="fr-FR"/>
        </w:rPr>
      </w:pPr>
      <w:r w:rsidRPr="00651EE0">
        <w:rPr>
          <w:rFonts w:ascii="Times New Roman" w:hAnsi="Times New Roman" w:cs="Times New Roman"/>
          <w:lang w:val="fr-FR"/>
        </w:rPr>
        <w:t>•</w:t>
      </w:r>
      <w:r w:rsidR="00681B3D" w:rsidRPr="00651EE0">
        <w:rPr>
          <w:rFonts w:ascii="Times New Roman" w:hAnsi="Times New Roman" w:cs="Times New Roman"/>
          <w:lang w:val="fr-FR"/>
        </w:rPr>
        <w:tab/>
      </w:r>
      <w:hyperlink r:id="rId38" w:history="1">
        <w:r w:rsidRPr="00651EE0">
          <w:rPr>
            <w:rStyle w:val="Hyperlink"/>
            <w:rFonts w:ascii="Times New Roman" w:hAnsi="Times New Roman" w:cs="Times New Roman"/>
            <w:lang w:val="fr-FR"/>
          </w:rPr>
          <w:t>5D/1553</w:t>
        </w:r>
      </w:hyperlink>
      <w:r w:rsidRPr="00651EE0">
        <w:rPr>
          <w:rFonts w:ascii="Times New Roman" w:hAnsi="Times New Roman" w:cs="Times New Roman"/>
          <w:lang w:val="fr-FR"/>
        </w:rPr>
        <w:t xml:space="preserve"> (Note de liaison de la CE 13 de 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 xml:space="preserve">UIT-T sur la </w:t>
      </w:r>
      <w:r w:rsidR="00681B3D" w:rsidRPr="00651EE0">
        <w:rPr>
          <w:rFonts w:ascii="Times New Roman" w:hAnsi="Times New Roman" w:cs="Times New Roman"/>
          <w:lang w:val="fr-FR"/>
        </w:rPr>
        <w:t>«</w:t>
      </w:r>
      <w:r w:rsidRPr="00651EE0">
        <w:rPr>
          <w:rFonts w:ascii="Times New Roman" w:hAnsi="Times New Roman" w:cs="Times New Roman"/>
          <w:lang w:val="fr-FR"/>
        </w:rPr>
        <w:t>Convergence fixe, mobile et par satellite – Exigences relatives à la prise en charge des communications large bande aériennes dans les réseaux IMT-2020 et au-delà</w:t>
      </w:r>
      <w:r w:rsidR="00681B3D" w:rsidRPr="00651EE0">
        <w:rPr>
          <w:rFonts w:ascii="Times New Roman" w:hAnsi="Times New Roman" w:cs="Times New Roman"/>
          <w:lang w:val="fr-FR"/>
        </w:rPr>
        <w:t>»</w:t>
      </w:r>
      <w:r w:rsidRPr="00651EE0">
        <w:rPr>
          <w:rFonts w:ascii="Times New Roman" w:hAnsi="Times New Roman" w:cs="Times New Roman"/>
          <w:lang w:val="fr-FR"/>
        </w:rPr>
        <w:t>);</w:t>
      </w:r>
    </w:p>
    <w:p w14:paraId="65E9BC0B" w14:textId="03F4B737" w:rsidR="00D560A1" w:rsidRPr="00651EE0" w:rsidRDefault="00D560A1" w:rsidP="00681B3D">
      <w:pPr>
        <w:pStyle w:val="enumlev1"/>
        <w:jc w:val="left"/>
        <w:rPr>
          <w:lang w:val="fr-FR"/>
        </w:rPr>
      </w:pPr>
      <w:r w:rsidRPr="00651EE0">
        <w:rPr>
          <w:rFonts w:ascii="Times New Roman" w:hAnsi="Times New Roman" w:cs="Times New Roman"/>
          <w:lang w:val="fr-FR"/>
        </w:rPr>
        <w:t>•</w:t>
      </w:r>
      <w:r w:rsidR="00681B3D" w:rsidRPr="00651EE0">
        <w:rPr>
          <w:rFonts w:ascii="Times New Roman" w:hAnsi="Times New Roman" w:cs="Times New Roman"/>
          <w:lang w:val="fr-FR"/>
        </w:rPr>
        <w:tab/>
      </w:r>
      <w:hyperlink r:id="rId39" w:history="1">
        <w:r w:rsidRPr="00651EE0">
          <w:rPr>
            <w:rStyle w:val="Hyperlink"/>
            <w:rFonts w:ascii="Times New Roman" w:hAnsi="Times New Roman" w:cs="Times New Roman"/>
            <w:lang w:val="fr-FR"/>
          </w:rPr>
          <w:t>4/73</w:t>
        </w:r>
      </w:hyperlink>
      <w:r w:rsidRPr="00651EE0">
        <w:rPr>
          <w:rFonts w:ascii="Times New Roman" w:hAnsi="Times New Roman" w:cs="Times New Roman"/>
          <w:lang w:val="fr-FR"/>
        </w:rPr>
        <w:t xml:space="preserve">, </w:t>
      </w:r>
      <w:hyperlink r:id="rId40" w:history="1">
        <w:r w:rsidRPr="00651EE0">
          <w:rPr>
            <w:rStyle w:val="Hyperlink"/>
            <w:rFonts w:ascii="Times New Roman" w:hAnsi="Times New Roman" w:cs="Times New Roman"/>
            <w:lang w:val="fr-FR"/>
          </w:rPr>
          <w:t>5/117</w:t>
        </w:r>
      </w:hyperlink>
      <w:r w:rsidRPr="00651EE0">
        <w:rPr>
          <w:rFonts w:ascii="Times New Roman" w:hAnsi="Times New Roman" w:cs="Times New Roman"/>
          <w:lang w:val="fr-FR"/>
        </w:rPr>
        <w:t xml:space="preserve"> (Note de liaison de la CE 13 de 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 xml:space="preserve">UIT-T sur les </w:t>
      </w:r>
      <w:r w:rsidR="00681B3D" w:rsidRPr="00651EE0">
        <w:rPr>
          <w:rFonts w:ascii="Times New Roman" w:hAnsi="Times New Roman" w:cs="Times New Roman"/>
          <w:lang w:val="fr-FR"/>
        </w:rPr>
        <w:t>«C</w:t>
      </w:r>
      <w:r w:rsidRPr="00651EE0">
        <w:rPr>
          <w:rFonts w:ascii="Times New Roman" w:hAnsi="Times New Roman" w:cs="Times New Roman"/>
          <w:lang w:val="fr-FR"/>
        </w:rPr>
        <w:t>as d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utilisation des télécommunications par satellite dans les pays en développement</w:t>
      </w:r>
      <w:r w:rsidR="00681B3D" w:rsidRPr="00651EE0">
        <w:rPr>
          <w:rFonts w:ascii="Times New Roman" w:hAnsi="Times New Roman" w:cs="Times New Roman"/>
          <w:lang w:val="fr-FR"/>
        </w:rPr>
        <w:t>»</w:t>
      </w:r>
      <w:r w:rsidRPr="00651EE0">
        <w:rPr>
          <w:rFonts w:ascii="Times New Roman" w:hAnsi="Times New Roman" w:cs="Times New Roman"/>
          <w:lang w:val="fr-FR"/>
        </w:rPr>
        <w:t>).</w:t>
      </w:r>
    </w:p>
    <w:p w14:paraId="7410A38F" w14:textId="422BE676" w:rsidR="00D560A1" w:rsidRPr="00651EE0" w:rsidRDefault="00D560A1" w:rsidP="00957477">
      <w:pPr>
        <w:jc w:val="left"/>
        <w:rPr>
          <w:rFonts w:ascii="Times New Roman" w:hAnsi="Times New Roman" w:cs="Times New Roman"/>
          <w:lang w:val="fr-FR"/>
        </w:rPr>
      </w:pPr>
      <w:r w:rsidRPr="00651EE0">
        <w:rPr>
          <w:rFonts w:ascii="Times New Roman" w:hAnsi="Times New Roman" w:cs="Times New Roman"/>
          <w:lang w:val="fr-FR"/>
        </w:rPr>
        <w:t xml:space="preserve">Le GCR </w:t>
      </w:r>
      <w:r w:rsidRPr="00651EE0">
        <w:rPr>
          <w:rFonts w:ascii="Times New Roman" w:eastAsia="Calibri" w:hAnsi="Times New Roman" w:cs="Times New Roman"/>
          <w:lang w:val="fr-FR" w:eastAsia="en-GB"/>
        </w:rPr>
        <w:t xml:space="preserve">se félicite de </w:t>
      </w:r>
      <w:r w:rsidRPr="00651EE0">
        <w:rPr>
          <w:rFonts w:ascii="Times New Roman" w:hAnsi="Times New Roman" w:cs="Times New Roman"/>
          <w:lang w:val="fr-FR"/>
        </w:rPr>
        <w:t>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utilisation des notes de liaison entre 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UIT-T et 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 xml:space="preserve">UIT-R </w:t>
      </w:r>
      <w:r w:rsidRPr="00651EE0">
        <w:rPr>
          <w:rFonts w:ascii="Times New Roman" w:eastAsia="Calibri" w:hAnsi="Times New Roman" w:cs="Times New Roman"/>
          <w:lang w:val="fr-FR" w:eastAsia="en-GB"/>
        </w:rPr>
        <w:t xml:space="preserve">et encourage cette utilisation, </w:t>
      </w:r>
      <w:r w:rsidRPr="00651EE0">
        <w:rPr>
          <w:rFonts w:ascii="Times New Roman" w:hAnsi="Times New Roman" w:cs="Times New Roman"/>
          <w:lang w:val="fr-FR"/>
        </w:rPr>
        <w:t>afin d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améliorer la coordination de leurs activités et d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éviter d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entreprendre des travaux ou d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examiner des contributions</w:t>
      </w:r>
      <w:r w:rsidRPr="00651EE0">
        <w:rPr>
          <w:rFonts w:ascii="Times New Roman" w:eastAsia="Calibri" w:hAnsi="Times New Roman" w:cs="Times New Roman"/>
          <w:lang w:val="fr-FR" w:eastAsia="en-GB"/>
        </w:rPr>
        <w:t xml:space="preserve"> qui relèvent </w:t>
      </w:r>
      <w:r w:rsidRPr="00651EE0">
        <w:rPr>
          <w:rFonts w:ascii="Times New Roman" w:hAnsi="Times New Roman" w:cs="Times New Roman"/>
          <w:lang w:val="fr-FR"/>
        </w:rPr>
        <w:t>du mandat de 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 xml:space="preserve">autre Secteur. En cas de chevauchement des responsabilités, une consultation préalable sera nécessaire. </w:t>
      </w:r>
      <w:r w:rsidR="00681B3D" w:rsidRPr="00651EE0">
        <w:rPr>
          <w:rFonts w:ascii="Times New Roman" w:eastAsia="Calibri" w:hAnsi="Times New Roman" w:cs="Times New Roman"/>
          <w:lang w:val="fr-FR" w:eastAsia="en-GB"/>
        </w:rPr>
        <w:t>Étant</w:t>
      </w:r>
      <w:r w:rsidRPr="00651EE0">
        <w:rPr>
          <w:rFonts w:ascii="Times New Roman" w:eastAsia="Calibri" w:hAnsi="Times New Roman" w:cs="Times New Roman"/>
          <w:lang w:val="fr-FR" w:eastAsia="en-GB"/>
        </w:rPr>
        <w:t xml:space="preserve"> donné qu</w:t>
      </w:r>
      <w:r w:rsidR="00F22142" w:rsidRPr="00651EE0">
        <w:rPr>
          <w:rFonts w:ascii="Times New Roman" w:eastAsia="Calibri" w:hAnsi="Times New Roman" w:cs="Times New Roman"/>
          <w:lang w:val="fr-FR" w:eastAsia="en-GB"/>
        </w:rPr>
        <w:t>'</w:t>
      </w:r>
      <w:r w:rsidRPr="00651EE0">
        <w:rPr>
          <w:rFonts w:ascii="Times New Roman" w:eastAsia="Calibri" w:hAnsi="Times New Roman" w:cs="Times New Roman"/>
          <w:lang w:val="fr-FR" w:eastAsia="en-GB"/>
        </w:rPr>
        <w:t xml:space="preserve">il se peut </w:t>
      </w:r>
      <w:r w:rsidRPr="00651EE0">
        <w:rPr>
          <w:rFonts w:ascii="Times New Roman" w:hAnsi="Times New Roman" w:cs="Times New Roman"/>
          <w:lang w:val="fr-FR"/>
        </w:rPr>
        <w:t xml:space="preserve">que des contributions ne relevant pas </w:t>
      </w:r>
      <w:r w:rsidRPr="00651EE0">
        <w:rPr>
          <w:rFonts w:ascii="Times New Roman" w:eastAsia="Calibri" w:hAnsi="Times New Roman" w:cs="Times New Roman"/>
          <w:lang w:val="fr-FR" w:eastAsia="en-GB"/>
        </w:rPr>
        <w:t xml:space="preserve">de son mandat soient </w:t>
      </w:r>
      <w:r w:rsidRPr="00651EE0">
        <w:rPr>
          <w:rFonts w:ascii="Times New Roman" w:hAnsi="Times New Roman" w:cs="Times New Roman"/>
          <w:lang w:val="fr-FR"/>
        </w:rPr>
        <w:t xml:space="preserve">reçues, le GCR invite le GCNT à </w:t>
      </w:r>
      <w:r w:rsidRPr="00651EE0">
        <w:rPr>
          <w:rFonts w:ascii="Times New Roman" w:eastAsia="Calibri" w:hAnsi="Times New Roman" w:cs="Times New Roman"/>
          <w:lang w:val="fr-FR" w:eastAsia="en-GB"/>
        </w:rPr>
        <w:t>encourager l</w:t>
      </w:r>
      <w:r w:rsidR="00F22142" w:rsidRPr="00651EE0">
        <w:rPr>
          <w:rFonts w:ascii="Times New Roman" w:eastAsia="Calibri" w:hAnsi="Times New Roman" w:cs="Times New Roman"/>
          <w:lang w:val="fr-FR" w:eastAsia="en-GB"/>
        </w:rPr>
        <w:t>'</w:t>
      </w:r>
      <w:r w:rsidRPr="00651EE0">
        <w:rPr>
          <w:rFonts w:ascii="Times New Roman" w:eastAsia="Calibri" w:hAnsi="Times New Roman" w:cs="Times New Roman"/>
          <w:lang w:val="fr-FR" w:eastAsia="en-GB"/>
        </w:rPr>
        <w:t>équipe de direction du groupe qui reçoit ces contributions à informer la partie ayant soumis une contribution de cette nature que la question n</w:t>
      </w:r>
      <w:r w:rsidR="00F22142" w:rsidRPr="00651EE0">
        <w:rPr>
          <w:rFonts w:ascii="Times New Roman" w:eastAsia="Calibri" w:hAnsi="Times New Roman" w:cs="Times New Roman"/>
          <w:lang w:val="fr-FR" w:eastAsia="en-GB"/>
        </w:rPr>
        <w:t>'</w:t>
      </w:r>
      <w:r w:rsidRPr="00651EE0">
        <w:rPr>
          <w:rFonts w:ascii="Times New Roman" w:eastAsia="Calibri" w:hAnsi="Times New Roman" w:cs="Times New Roman"/>
          <w:lang w:val="fr-FR" w:eastAsia="en-GB"/>
        </w:rPr>
        <w:t>entre pas dans le cadre de son mandat et, s</w:t>
      </w:r>
      <w:r w:rsidR="00F22142" w:rsidRPr="00651EE0">
        <w:rPr>
          <w:rFonts w:ascii="Times New Roman" w:eastAsia="Calibri" w:hAnsi="Times New Roman" w:cs="Times New Roman"/>
          <w:lang w:val="fr-FR" w:eastAsia="en-GB"/>
        </w:rPr>
        <w:t>'</w:t>
      </w:r>
      <w:r w:rsidRPr="00651EE0">
        <w:rPr>
          <w:rFonts w:ascii="Times New Roman" w:eastAsia="Calibri" w:hAnsi="Times New Roman" w:cs="Times New Roman"/>
          <w:lang w:val="fr-FR" w:eastAsia="en-GB"/>
        </w:rPr>
        <w:t>il y a lieu, lui demande de soumettre la contribution au groupe compétent</w:t>
      </w:r>
      <w:r w:rsidR="00681B3D" w:rsidRPr="00651EE0">
        <w:rPr>
          <w:rFonts w:ascii="Times New Roman" w:hAnsi="Times New Roman" w:cs="Times New Roman"/>
          <w:lang w:val="fr-FR"/>
        </w:rPr>
        <w:t>.</w:t>
      </w:r>
    </w:p>
    <w:p w14:paraId="3D5F9CC3" w14:textId="69D93F13" w:rsidR="00D560A1" w:rsidRPr="00651EE0" w:rsidRDefault="00D560A1" w:rsidP="00681B3D">
      <w:pPr>
        <w:spacing w:after="480"/>
        <w:jc w:val="left"/>
        <w:rPr>
          <w:rFonts w:ascii="Times New Roman" w:hAnsi="Times New Roman" w:cs="Times New Roman"/>
          <w:lang w:val="fr-FR"/>
        </w:rPr>
      </w:pPr>
      <w:r w:rsidRPr="00651EE0">
        <w:rPr>
          <w:rFonts w:ascii="Times New Roman" w:hAnsi="Times New Roman" w:cs="Times New Roman"/>
          <w:lang w:val="fr-FR"/>
        </w:rPr>
        <w:t xml:space="preserve">Le GCR se réjouit à la perspective de poursuivre sa collaboration avec le GCNT, afin de mettre en </w:t>
      </w:r>
      <w:r w:rsidR="00681B3D" w:rsidRPr="00651EE0">
        <w:rPr>
          <w:rFonts w:ascii="Times New Roman" w:hAnsi="Times New Roman" w:cs="Times New Roman"/>
          <w:lang w:val="fr-FR"/>
        </w:rPr>
        <w:t>œuvre</w:t>
      </w:r>
      <w:r w:rsidRPr="00651EE0">
        <w:rPr>
          <w:rFonts w:ascii="Times New Roman" w:hAnsi="Times New Roman" w:cs="Times New Roman"/>
          <w:lang w:val="fr-FR"/>
        </w:rPr>
        <w:t xml:space="preserve"> comme il se doit la liaison appropriée entre 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UIT-R et l</w:t>
      </w:r>
      <w:r w:rsidR="00F22142" w:rsidRPr="00651EE0">
        <w:rPr>
          <w:rFonts w:ascii="Times New Roman" w:hAnsi="Times New Roman" w:cs="Times New Roman"/>
          <w:lang w:val="fr-FR"/>
        </w:rPr>
        <w:t>'</w:t>
      </w:r>
      <w:r w:rsidRPr="00651EE0">
        <w:rPr>
          <w:rFonts w:ascii="Times New Roman" w:hAnsi="Times New Roman" w:cs="Times New Roman"/>
          <w:lang w:val="fr-FR"/>
        </w:rPr>
        <w:t>UIT-T sur les questions relatives aux services de radiocommunication.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26"/>
      </w:tblGrid>
      <w:tr w:rsidR="00681B3D" w:rsidRPr="0020533B" w14:paraId="24D46F41" w14:textId="77777777" w:rsidTr="00681B3D">
        <w:tc>
          <w:tcPr>
            <w:tcW w:w="5103" w:type="dxa"/>
          </w:tcPr>
          <w:p w14:paraId="3CC55AE9" w14:textId="7DC61B70" w:rsidR="00681B3D" w:rsidRPr="00651EE0" w:rsidRDefault="00681B3D" w:rsidP="00681B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59"/>
              </w:tabs>
              <w:jc w:val="left"/>
              <w:rPr>
                <w:rFonts w:ascii="Times New Roman" w:hAnsi="Times New Roman" w:cs="Times New Roman"/>
                <w:lang w:val="fr-FR"/>
              </w:rPr>
            </w:pPr>
            <w:r w:rsidRPr="00651EE0">
              <w:rPr>
                <w:rFonts w:ascii="Times New Roman" w:hAnsi="Times New Roman" w:cs="Times New Roman"/>
                <w:b/>
                <w:bCs/>
                <w:lang w:val="fr-FR"/>
              </w:rPr>
              <w:t>État d'avancement:</w:t>
            </w:r>
            <w:r w:rsidRPr="00651EE0">
              <w:rPr>
                <w:rFonts w:ascii="Times New Roman" w:hAnsi="Times New Roman" w:cs="Times New Roman"/>
                <w:lang w:val="fr-FR"/>
              </w:rPr>
              <w:tab/>
              <w:t>suite à donner</w:t>
            </w:r>
          </w:p>
        </w:tc>
        <w:tc>
          <w:tcPr>
            <w:tcW w:w="4526" w:type="dxa"/>
          </w:tcPr>
          <w:p w14:paraId="7A3D82EB" w14:textId="77777777" w:rsidR="00681B3D" w:rsidRPr="00651EE0" w:rsidRDefault="00681B3D" w:rsidP="00957477">
            <w:pPr>
              <w:jc w:val="lef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681B3D" w:rsidRPr="00651EE0" w14:paraId="20F99530" w14:textId="77777777" w:rsidTr="00681B3D">
        <w:tc>
          <w:tcPr>
            <w:tcW w:w="5103" w:type="dxa"/>
          </w:tcPr>
          <w:p w14:paraId="04BCCA16" w14:textId="71C8A27B" w:rsidR="00681B3D" w:rsidRPr="00651EE0" w:rsidRDefault="00681B3D" w:rsidP="00681B3D">
            <w:pPr>
              <w:tabs>
                <w:tab w:val="clear" w:pos="1191"/>
                <w:tab w:val="clear" w:pos="1588"/>
                <w:tab w:val="clear" w:pos="1985"/>
                <w:tab w:val="left" w:pos="2159"/>
              </w:tabs>
              <w:jc w:val="left"/>
              <w:rPr>
                <w:rFonts w:ascii="Times New Roman" w:hAnsi="Times New Roman" w:cs="Times New Roman"/>
                <w:lang w:val="fr-FR"/>
              </w:rPr>
            </w:pPr>
            <w:r w:rsidRPr="00651EE0">
              <w:rPr>
                <w:rFonts w:ascii="Times New Roman" w:hAnsi="Times New Roman" w:cs="Times New Roman"/>
                <w:b/>
                <w:bCs/>
                <w:lang w:val="fr-FR"/>
              </w:rPr>
              <w:t>Contact:</w:t>
            </w:r>
            <w:r w:rsidRPr="00651EE0">
              <w:rPr>
                <w:rFonts w:ascii="Times New Roman" w:hAnsi="Times New Roman" w:cs="Times New Roman"/>
                <w:lang w:val="fr-FR"/>
              </w:rPr>
              <w:tab/>
              <w:t>Paul Najarian (États-Unis)</w:t>
            </w:r>
          </w:p>
        </w:tc>
        <w:tc>
          <w:tcPr>
            <w:tcW w:w="4526" w:type="dxa"/>
          </w:tcPr>
          <w:p w14:paraId="59A16DAE" w14:textId="4AB66AC9" w:rsidR="00681B3D" w:rsidRPr="00651EE0" w:rsidRDefault="00681B3D" w:rsidP="00957477">
            <w:pPr>
              <w:jc w:val="left"/>
              <w:rPr>
                <w:rFonts w:ascii="Times New Roman" w:hAnsi="Times New Roman" w:cs="Times New Roman"/>
                <w:lang w:val="fr-FR"/>
              </w:rPr>
            </w:pPr>
            <w:r w:rsidRPr="00651EE0">
              <w:rPr>
                <w:rFonts w:ascii="Times New Roman" w:hAnsi="Times New Roman" w:cs="Times New Roman"/>
                <w:b/>
                <w:bCs/>
                <w:lang w:val="fr-FR"/>
              </w:rPr>
              <w:t>Courriel:</w:t>
            </w:r>
            <w:r w:rsidRPr="00651EE0">
              <w:rPr>
                <w:rFonts w:ascii="Times New Roman" w:hAnsi="Times New Roman" w:cs="Times New Roman"/>
                <w:lang w:val="fr-FR"/>
              </w:rPr>
              <w:tab/>
            </w:r>
            <w:hyperlink r:id="rId41" w:history="1">
              <w:r w:rsidRPr="00651EE0">
                <w:rPr>
                  <w:rStyle w:val="Hyperlink"/>
                  <w:rFonts w:ascii="Times New Roman" w:hAnsi="Times New Roman" w:cs="Times New Roman"/>
                  <w:lang w:val="fr-FR"/>
                </w:rPr>
                <w:t>najarianpb@state.gov</w:t>
              </w:r>
            </w:hyperlink>
          </w:p>
        </w:tc>
      </w:tr>
    </w:tbl>
    <w:p w14:paraId="7B6EF27F" w14:textId="77777777" w:rsidR="00AE7A16" w:rsidRDefault="00AE7A16" w:rsidP="00411C49">
      <w:pPr>
        <w:pStyle w:val="Reasons"/>
      </w:pPr>
    </w:p>
    <w:p w14:paraId="6A59F7A8" w14:textId="77777777" w:rsidR="00AE7A16" w:rsidRDefault="00AE7A16">
      <w:pPr>
        <w:jc w:val="center"/>
      </w:pPr>
      <w:r>
        <w:t>______________</w:t>
      </w:r>
    </w:p>
    <w:p w14:paraId="6A97E3EE" w14:textId="41E8898C" w:rsidR="00681B3D" w:rsidRPr="00651EE0" w:rsidRDefault="00681B3D" w:rsidP="0074724A">
      <w:pPr>
        <w:spacing w:before="360"/>
        <w:jc w:val="center"/>
        <w:rPr>
          <w:lang w:val="fr-FR"/>
        </w:rPr>
      </w:pPr>
    </w:p>
    <w:sectPr w:rsidR="00681B3D" w:rsidRPr="00651EE0" w:rsidSect="00F22142">
      <w:headerReference w:type="default" r:id="rId42"/>
      <w:footerReference w:type="default" r:id="rId43"/>
      <w:headerReference w:type="first" r:id="rId44"/>
      <w:footerReference w:type="first" r:id="rId45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57FF" w14:textId="77777777" w:rsidR="00860249" w:rsidRDefault="00860249">
      <w:r>
        <w:separator/>
      </w:r>
    </w:p>
  </w:endnote>
  <w:endnote w:type="continuationSeparator" w:id="0">
    <w:p w14:paraId="720D202B" w14:textId="77777777" w:rsidR="00860249" w:rsidRDefault="0086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0BCB" w14:textId="59B41403" w:rsidR="003F2F34" w:rsidRPr="00823550" w:rsidRDefault="003F2F34" w:rsidP="003F2F34">
    <w:pPr>
      <w:pStyle w:val="Footer"/>
      <w:tabs>
        <w:tab w:val="left" w:pos="7655"/>
        <w:tab w:val="right" w:pos="9498"/>
      </w:tabs>
      <w:rPr>
        <w:sz w:val="16"/>
        <w:szCs w:val="16"/>
        <w:lang w:val="it-IT"/>
      </w:rPr>
    </w:pPr>
    <w:r w:rsidRPr="003F2F34">
      <w:rPr>
        <w:sz w:val="16"/>
        <w:szCs w:val="16"/>
      </w:rPr>
      <w:fldChar w:fldCharType="begin"/>
    </w:r>
    <w:r w:rsidRPr="00823550">
      <w:rPr>
        <w:sz w:val="16"/>
        <w:szCs w:val="16"/>
        <w:lang w:val="it-IT"/>
      </w:rPr>
      <w:instrText xml:space="preserve"> FILENAME \p \* MERGEFORMAT </w:instrText>
    </w:r>
    <w:r w:rsidRPr="003F2F34">
      <w:rPr>
        <w:sz w:val="16"/>
        <w:szCs w:val="16"/>
      </w:rPr>
      <w:fldChar w:fldCharType="separate"/>
    </w:r>
    <w:r w:rsidR="00EE17B9" w:rsidRPr="00823550">
      <w:rPr>
        <w:noProof/>
        <w:sz w:val="16"/>
        <w:szCs w:val="16"/>
        <w:lang w:val="it-IT"/>
      </w:rPr>
      <w:t>P:\FRA\ITU-R\BR\DIR\CA\200\267F.docx</w:t>
    </w:r>
    <w:r w:rsidRPr="003F2F34">
      <w:rPr>
        <w:sz w:val="16"/>
        <w:szCs w:val="16"/>
      </w:rPr>
      <w:fldChar w:fldCharType="end"/>
    </w:r>
    <w:r w:rsidRPr="00823550">
      <w:rPr>
        <w:sz w:val="16"/>
        <w:szCs w:val="16"/>
        <w:lang w:val="it-IT"/>
      </w:rPr>
      <w:tab/>
    </w:r>
    <w:r w:rsidRPr="003F2F34">
      <w:rPr>
        <w:sz w:val="16"/>
        <w:szCs w:val="16"/>
      </w:rPr>
      <w:fldChar w:fldCharType="begin"/>
    </w:r>
    <w:r w:rsidRPr="003F2F34">
      <w:rPr>
        <w:sz w:val="16"/>
        <w:szCs w:val="16"/>
      </w:rPr>
      <w:instrText xml:space="preserve"> savedate \@ dd.MM.yy </w:instrText>
    </w:r>
    <w:r w:rsidRPr="003F2F34">
      <w:rPr>
        <w:sz w:val="16"/>
        <w:szCs w:val="16"/>
      </w:rPr>
      <w:fldChar w:fldCharType="separate"/>
    </w:r>
    <w:r w:rsidR="0020533B">
      <w:rPr>
        <w:noProof/>
        <w:sz w:val="16"/>
        <w:szCs w:val="16"/>
      </w:rPr>
      <w:t>24.05.23</w:t>
    </w:r>
    <w:r w:rsidRPr="003F2F34">
      <w:rPr>
        <w:sz w:val="16"/>
        <w:szCs w:val="16"/>
      </w:rPr>
      <w:fldChar w:fldCharType="end"/>
    </w:r>
    <w:r w:rsidRPr="00823550">
      <w:rPr>
        <w:sz w:val="16"/>
        <w:szCs w:val="16"/>
        <w:lang w:val="it-IT"/>
      </w:rPr>
      <w:tab/>
    </w:r>
    <w:r w:rsidRPr="003F2F34">
      <w:rPr>
        <w:sz w:val="16"/>
        <w:szCs w:val="16"/>
      </w:rPr>
      <w:fldChar w:fldCharType="begin"/>
    </w:r>
    <w:r w:rsidRPr="003F2F34">
      <w:rPr>
        <w:sz w:val="16"/>
        <w:szCs w:val="16"/>
      </w:rPr>
      <w:instrText xml:space="preserve"> printdate \@ dd.MM.yy </w:instrText>
    </w:r>
    <w:r w:rsidRPr="003F2F34">
      <w:rPr>
        <w:sz w:val="16"/>
        <w:szCs w:val="16"/>
      </w:rPr>
      <w:fldChar w:fldCharType="separate"/>
    </w:r>
    <w:r w:rsidR="00EE17B9">
      <w:rPr>
        <w:noProof/>
        <w:sz w:val="16"/>
        <w:szCs w:val="16"/>
      </w:rPr>
      <w:t>08.03.13</w:t>
    </w:r>
    <w:r w:rsidRPr="003F2F3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242D" w14:textId="77777777" w:rsidR="00D0704E" w:rsidRPr="00D0704E" w:rsidRDefault="00D0704E" w:rsidP="00D0704E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CH"/>
      </w:rPr>
    </w:pPr>
    <w:r w:rsidRPr="00C35B9C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noBreakHyphen/>
      <w:t>1211 Genève 20, Suisse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br/>
      <w:t xml:space="preserve">Tél.: +41 22 730 5111 • Courriel: </w:t>
    </w:r>
    <w:hyperlink r:id="rId1" w:history="1">
      <w:r w:rsidRPr="00D0704E">
        <w:rPr>
          <w:rStyle w:val="Hyperlink"/>
          <w:rFonts w:asciiTheme="minorHAnsi" w:hAnsiTheme="minorHAnsi"/>
          <w:sz w:val="19"/>
          <w:szCs w:val="19"/>
          <w:lang w:val="fr-CH"/>
        </w:rPr>
        <w:t>itumail@itu.int</w:t>
      </w:r>
    </w:hyperlink>
    <w:r w:rsidRPr="00C35B9C">
      <w:rPr>
        <w:rFonts w:asciiTheme="minorHAnsi" w:hAnsiTheme="minorHAnsi"/>
        <w:sz w:val="19"/>
        <w:szCs w:val="19"/>
        <w:lang w:val="fr-CH"/>
      </w:rPr>
      <w:t xml:space="preserve"> 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t xml:space="preserve">• Fax: +41 22 733 7256 • </w:t>
    </w:r>
    <w:hyperlink r:id="rId2" w:history="1">
      <w:r w:rsidRPr="00D0704E">
        <w:rPr>
          <w:rStyle w:val="Hyperlink"/>
          <w:sz w:val="19"/>
          <w:szCs w:val="19"/>
          <w:lang w:val="fr-CH"/>
        </w:rPr>
        <w:t>www.itu.int</w:t>
      </w:r>
    </w:hyperlink>
    <w:r w:rsidRPr="00D0704E">
      <w:rPr>
        <w:color w:val="4F81BD"/>
        <w:sz w:val="19"/>
        <w:szCs w:val="19"/>
        <w:lang w:val="fr-CH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8907" w14:textId="4B289AA6" w:rsidR="00D560A1" w:rsidRPr="00E4208D" w:rsidRDefault="00D560A1" w:rsidP="00E4208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479D" w14:textId="185D378B" w:rsidR="00D560A1" w:rsidRPr="00E4208D" w:rsidRDefault="00D560A1" w:rsidP="00E4208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CBFB" w14:textId="7506ECD3" w:rsidR="00EE17B9" w:rsidRPr="00E4208D" w:rsidRDefault="00EE17B9" w:rsidP="00E4208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D29A" w14:textId="6FC1B342" w:rsidR="00681B3D" w:rsidRPr="00E4208D" w:rsidRDefault="00681B3D" w:rsidP="00E42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34DC" w14:textId="77777777" w:rsidR="00860249" w:rsidRDefault="00860249">
      <w:r>
        <w:t>____________________</w:t>
      </w:r>
    </w:p>
  </w:footnote>
  <w:footnote w:type="continuationSeparator" w:id="0">
    <w:p w14:paraId="37C0FB67" w14:textId="77777777" w:rsidR="00860249" w:rsidRDefault="00860249">
      <w:r>
        <w:continuationSeparator/>
      </w:r>
    </w:p>
  </w:footnote>
  <w:footnote w:id="1">
    <w:p w14:paraId="0CC46EE8" w14:textId="4227146F" w:rsidR="00565A43" w:rsidRPr="008C45BB" w:rsidRDefault="00565A43" w:rsidP="00565A43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bookmarkStart w:id="4" w:name="lt_pId205"/>
      <w:r w:rsidR="00C9036C">
        <w:rPr>
          <w:lang w:val="fr-CH"/>
        </w:rPr>
        <w:tab/>
      </w:r>
      <w:r w:rsidRPr="008C45BB">
        <w:rPr>
          <w:lang w:val="fr-CH"/>
        </w:rPr>
        <w:t xml:space="preserve">Ne concerne que les aspects ayant trait aux travaux du </w:t>
      </w:r>
      <w:r w:rsidRPr="007D1E08">
        <w:rPr>
          <w:lang w:val="fr-CH"/>
        </w:rPr>
        <w:t>Groupe</w:t>
      </w:r>
      <w:r w:rsidRPr="008C45BB">
        <w:rPr>
          <w:lang w:val="fr-CH"/>
        </w:rPr>
        <w:t xml:space="preserve"> CG-2 du GCR</w:t>
      </w:r>
      <w:bookmarkEnd w:id="4"/>
      <w:r w:rsidR="00C9036C">
        <w:rPr>
          <w:lang w:val="fr-CH"/>
        </w:rPr>
        <w:t>.</w:t>
      </w:r>
    </w:p>
  </w:footnote>
  <w:footnote w:id="2">
    <w:p w14:paraId="5D78DB85" w14:textId="30072666" w:rsidR="00D560A1" w:rsidRPr="00DE6B36" w:rsidRDefault="00D560A1" w:rsidP="00EE17B9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rPr>
          <w:lang w:val="fr-CH" w:eastAsia="zh-CN"/>
        </w:rPr>
      </w:pPr>
      <w:r>
        <w:rPr>
          <w:rStyle w:val="FootnoteReference"/>
        </w:rPr>
        <w:footnoteRef/>
      </w:r>
      <w:bookmarkStart w:id="14" w:name="lt_pId206"/>
      <w:r w:rsidR="00957477">
        <w:rPr>
          <w:lang w:val="fr-CH"/>
        </w:rPr>
        <w:tab/>
      </w:r>
      <w:r w:rsidR="00957477">
        <w:rPr>
          <w:rFonts w:ascii="Times New Roman" w:hAnsi="Times New Roman" w:cs="Times New Roman"/>
          <w:lang w:val="fr-CH"/>
        </w:rPr>
        <w:t>É</w:t>
      </w:r>
      <w:r w:rsidR="00957477" w:rsidRPr="00DE6B36">
        <w:rPr>
          <w:rFonts w:ascii="Times New Roman" w:hAnsi="Times New Roman" w:cs="Times New Roman"/>
          <w:lang w:val="fr-CH"/>
        </w:rPr>
        <w:t>galement</w:t>
      </w:r>
      <w:r w:rsidRPr="00DE6B36">
        <w:rPr>
          <w:rFonts w:ascii="Times New Roman" w:hAnsi="Times New Roman" w:cs="Times New Roman"/>
          <w:lang w:val="fr-CH"/>
        </w:rPr>
        <w:t xml:space="preserve"> da</w:t>
      </w:r>
      <w:r>
        <w:rPr>
          <w:rFonts w:ascii="Times New Roman" w:hAnsi="Times New Roman" w:cs="Times New Roman"/>
          <w:lang w:val="fr-CH"/>
        </w:rPr>
        <w:t xml:space="preserve">ns les documents </w:t>
      </w:r>
      <w:hyperlink r:id="rId1" w:history="1">
        <w:r w:rsidRPr="00DE6B36">
          <w:rPr>
            <w:rStyle w:val="Hyperlink"/>
            <w:rFonts w:ascii="Times New Roman" w:hAnsi="Times New Roman" w:cs="Times New Roman"/>
            <w:lang w:val="fr-CH" w:eastAsia="zh-CN"/>
          </w:rPr>
          <w:t>4A/868</w:t>
        </w:r>
      </w:hyperlink>
      <w:r w:rsidRPr="00DE6B36">
        <w:rPr>
          <w:rFonts w:ascii="Times New Roman" w:hAnsi="Times New Roman" w:cs="Times New Roman"/>
          <w:lang w:val="fr-CH" w:eastAsia="zh-CN"/>
        </w:rPr>
        <w:t xml:space="preserve">, </w:t>
      </w:r>
      <w:hyperlink r:id="rId2" w:history="1">
        <w:r w:rsidRPr="00DE6B36">
          <w:rPr>
            <w:rStyle w:val="Hyperlink"/>
            <w:rFonts w:ascii="Times New Roman" w:hAnsi="Times New Roman" w:cs="Times New Roman"/>
            <w:lang w:val="fr-CH" w:eastAsia="zh-CN"/>
          </w:rPr>
          <w:t>4C/402</w:t>
        </w:r>
      </w:hyperlink>
      <w:r w:rsidRPr="00DE6B36">
        <w:rPr>
          <w:rFonts w:ascii="Times New Roman" w:hAnsi="Times New Roman" w:cs="Times New Roman"/>
          <w:lang w:val="fr-CH" w:eastAsia="zh-CN"/>
        </w:rPr>
        <w:t>, 5B/735</w:t>
      </w:r>
      <w:bookmarkEnd w:id="14"/>
      <w:r w:rsidR="00EE17B9">
        <w:rPr>
          <w:rFonts w:ascii="Times New Roman" w:hAnsi="Times New Roman" w:cs="Times New Roman"/>
          <w:lang w:val="fr-CH" w:eastAsia="zh-C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40E9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214D" w14:textId="77777777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4F47EA" w14:paraId="4D293F3F" w14:textId="77777777" w:rsidTr="00D6287C">
      <w:tc>
        <w:tcPr>
          <w:tcW w:w="4792" w:type="dxa"/>
          <w:tcMar>
            <w:left w:w="0" w:type="dxa"/>
          </w:tcMar>
        </w:tcPr>
        <w:p w14:paraId="3EF1D6AB" w14:textId="64F56775" w:rsidR="004F47EA" w:rsidRDefault="002E27C4" w:rsidP="002E27C4">
          <w:pPr>
            <w:pStyle w:val="Header"/>
            <w:spacing w:line="360" w:lineRule="auto"/>
            <w:jc w:val="both"/>
          </w:pPr>
          <w:r>
            <w:rPr>
              <w:noProof/>
            </w:rPr>
            <w:drawing>
              <wp:inline distT="0" distB="0" distL="0" distR="0" wp14:anchorId="553F4E32" wp14:editId="78A7C647">
                <wp:extent cx="765175" cy="765175"/>
                <wp:effectExtent l="0" t="0" r="0" b="0"/>
                <wp:docPr id="7" name="Picture 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5EC52BAC" w14:textId="7D3FDF61" w:rsidR="004F47EA" w:rsidRDefault="002E27C4" w:rsidP="002E27C4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1669846D" wp14:editId="690A0A8F">
                <wp:extent cx="2635250" cy="741446"/>
                <wp:effectExtent l="0" t="0" r="0" b="190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515663_WRC-23_logo_F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836" cy="773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6C44F4" w14:textId="77777777" w:rsidR="00E915AF" w:rsidRPr="004F47EA" w:rsidRDefault="00E915AF" w:rsidP="004F47E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6D43" w14:textId="2E9B387B" w:rsidR="00D560A1" w:rsidRPr="001A3723" w:rsidRDefault="00D560A1" w:rsidP="009C1454">
    <w:pPr>
      <w:pStyle w:val="Header"/>
      <w:jc w:val="center"/>
      <w:rPr>
        <w:sz w:val="18"/>
        <w:szCs w:val="18"/>
      </w:rPr>
    </w:pPr>
    <w:r w:rsidRPr="001A3723">
      <w:rPr>
        <w:sz w:val="18"/>
        <w:szCs w:val="18"/>
      </w:rPr>
      <w:fldChar w:fldCharType="begin"/>
    </w:r>
    <w:r w:rsidRPr="001A3723">
      <w:rPr>
        <w:sz w:val="18"/>
        <w:szCs w:val="18"/>
      </w:rPr>
      <w:instrText xml:space="preserve"> PAGE </w:instrText>
    </w:r>
    <w:r w:rsidRPr="001A3723">
      <w:rPr>
        <w:sz w:val="18"/>
        <w:szCs w:val="18"/>
      </w:rPr>
      <w:fldChar w:fldCharType="separate"/>
    </w:r>
    <w:r w:rsidR="00544253">
      <w:rPr>
        <w:noProof/>
        <w:sz w:val="18"/>
        <w:szCs w:val="18"/>
      </w:rPr>
      <w:t>3</w:t>
    </w:r>
    <w:r w:rsidRPr="001A3723">
      <w:rPr>
        <w:sz w:val="18"/>
        <w:szCs w:val="1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7851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838B6C" w14:textId="7A5AB6F2" w:rsidR="001A3723" w:rsidRDefault="001A3723">
        <w:pPr>
          <w:pStyle w:val="Header"/>
          <w:jc w:val="center"/>
        </w:pPr>
        <w:r w:rsidRPr="001A3723">
          <w:rPr>
            <w:sz w:val="18"/>
            <w:szCs w:val="18"/>
          </w:rPr>
          <w:t>2</w:t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A66E" w14:textId="366DB894" w:rsidR="00681B3D" w:rsidRPr="001A3723" w:rsidRDefault="00681B3D" w:rsidP="009C1454">
    <w:pPr>
      <w:pStyle w:val="Header"/>
      <w:jc w:val="center"/>
      <w:rPr>
        <w:sz w:val="18"/>
        <w:szCs w:val="18"/>
      </w:rPr>
    </w:pPr>
    <w:r w:rsidRPr="001A3723">
      <w:rPr>
        <w:sz w:val="18"/>
        <w:szCs w:val="18"/>
      </w:rPr>
      <w:fldChar w:fldCharType="begin"/>
    </w:r>
    <w:r w:rsidRPr="001A3723">
      <w:rPr>
        <w:sz w:val="18"/>
        <w:szCs w:val="18"/>
      </w:rPr>
      <w:instrText xml:space="preserve"> PAGE </w:instrText>
    </w:r>
    <w:r w:rsidRPr="001A3723">
      <w:rPr>
        <w:sz w:val="18"/>
        <w:szCs w:val="18"/>
      </w:rPr>
      <w:fldChar w:fldCharType="separate"/>
    </w:r>
    <w:r w:rsidR="00544253">
      <w:rPr>
        <w:noProof/>
        <w:sz w:val="18"/>
        <w:szCs w:val="18"/>
      </w:rPr>
      <w:t>8</w:t>
    </w:r>
    <w:r w:rsidRPr="001A3723">
      <w:rPr>
        <w:sz w:val="18"/>
        <w:szCs w:val="18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78530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12D93F" w14:textId="050959EA" w:rsidR="00EE17B9" w:rsidRDefault="00EE17B9">
        <w:pPr>
          <w:pStyle w:val="Header"/>
          <w:jc w:val="center"/>
        </w:pPr>
        <w:r>
          <w:rPr>
            <w:sz w:val="18"/>
            <w:szCs w:val="18"/>
          </w:rPr>
          <w:t>7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048924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8592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E27C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4764A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A3723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533B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27C4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7564D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26DB"/>
    <w:rsid w:val="0043682E"/>
    <w:rsid w:val="00447ECB"/>
    <w:rsid w:val="00455975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69A5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4253"/>
    <w:rsid w:val="00546101"/>
    <w:rsid w:val="00553DD7"/>
    <w:rsid w:val="005638CF"/>
    <w:rsid w:val="00565A43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3CB6"/>
    <w:rsid w:val="005F657C"/>
    <w:rsid w:val="00601B3A"/>
    <w:rsid w:val="00602D53"/>
    <w:rsid w:val="006047E5"/>
    <w:rsid w:val="006152ED"/>
    <w:rsid w:val="00642050"/>
    <w:rsid w:val="0064371D"/>
    <w:rsid w:val="00650543"/>
    <w:rsid w:val="00650B2A"/>
    <w:rsid w:val="00651777"/>
    <w:rsid w:val="00651EE0"/>
    <w:rsid w:val="006550F8"/>
    <w:rsid w:val="00681B3D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724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3550"/>
    <w:rsid w:val="00854131"/>
    <w:rsid w:val="0085652D"/>
    <w:rsid w:val="00860249"/>
    <w:rsid w:val="0087694B"/>
    <w:rsid w:val="00880F4D"/>
    <w:rsid w:val="0088443B"/>
    <w:rsid w:val="008B35A3"/>
    <w:rsid w:val="008B37E1"/>
    <w:rsid w:val="008B45F8"/>
    <w:rsid w:val="008C2E74"/>
    <w:rsid w:val="008D5409"/>
    <w:rsid w:val="008D66E2"/>
    <w:rsid w:val="008E006D"/>
    <w:rsid w:val="008E38B4"/>
    <w:rsid w:val="008E4D3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57477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30AB"/>
    <w:rsid w:val="00AA781A"/>
    <w:rsid w:val="00AC0C22"/>
    <w:rsid w:val="00AC3896"/>
    <w:rsid w:val="00AD2CF2"/>
    <w:rsid w:val="00AE2D88"/>
    <w:rsid w:val="00AE6F6F"/>
    <w:rsid w:val="00AE7A16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036C"/>
    <w:rsid w:val="00C9291E"/>
    <w:rsid w:val="00CA3F44"/>
    <w:rsid w:val="00CA4E58"/>
    <w:rsid w:val="00CB197F"/>
    <w:rsid w:val="00CB3771"/>
    <w:rsid w:val="00CB44BF"/>
    <w:rsid w:val="00CB5153"/>
    <w:rsid w:val="00CE076A"/>
    <w:rsid w:val="00CE463D"/>
    <w:rsid w:val="00D0704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560A1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08D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7B9"/>
    <w:rsid w:val="00EE1A57"/>
    <w:rsid w:val="00F22142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076207"/>
  <w15:docId w15:val="{49295CE5-10F3-47C3-A973-A0E9E669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Footnote,Style 12,(NECG) Footnote Referenc... + Times New ...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ACMA Footnote Text,ALTS FOOTNOTE,Char,DNV,DNV-,DNV-FT,Footnote Text Char Char1,Footnote Text Char Char1 Char1 Char Char,Footnote Text Char1,Footnote Text Char1 Char1 Char1 Char,Footnote Text Char4 Char Char,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3F2F34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60A1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D560A1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D560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D560A1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60A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60A1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rsid w:val="00D560A1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560A1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D560A1"/>
    <w:rPr>
      <w:sz w:val="24"/>
      <w:szCs w:val="22"/>
      <w:lang w:val="en-US" w:eastAsia="en-US"/>
    </w:rPr>
  </w:style>
  <w:style w:type="character" w:customStyle="1" w:styleId="eop">
    <w:name w:val="eop"/>
    <w:basedOn w:val="DefaultParagraphFont"/>
    <w:rsid w:val="00D560A1"/>
  </w:style>
  <w:style w:type="character" w:customStyle="1" w:styleId="FootnoteTextChar">
    <w:name w:val="Footnote Text Char"/>
    <w:aliases w:val="ACMA Footnote Text Char,ALTS FOOTNOTE Char,Char Char,DNV Char,DNV- Char,DNV-FT Char,Footnote Text Char Char1 Char,Footnote Text Char Char1 Char1 Char Char Char,Footnote Text Char1 Char,Footnote Text Char1 Char1 Char1 Char Char"/>
    <w:basedOn w:val="DefaultParagraphFont"/>
    <w:link w:val="FootnoteText"/>
    <w:rsid w:val="00D560A1"/>
    <w:rPr>
      <w:szCs w:val="22"/>
      <w:lang w:val="en-US" w:eastAsia="en-US"/>
    </w:rPr>
  </w:style>
  <w:style w:type="character" w:customStyle="1" w:styleId="normaltextrun">
    <w:name w:val="normaltextrun"/>
    <w:basedOn w:val="DefaultParagraphFont"/>
    <w:rsid w:val="00D56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ww.itu.int/md/R20-RAG-C-0063/en" TargetMode="External"/><Relationship Id="rId26" Type="http://schemas.openxmlformats.org/officeDocument/2006/relationships/hyperlink" Target="https://www.itu.int/md/R20-RAG-C-0067/en" TargetMode="External"/><Relationship Id="rId39" Type="http://schemas.openxmlformats.org/officeDocument/2006/relationships/hyperlink" Target="https://www.itu.int/md/R19-SG04-C-0073/en" TargetMode="External"/><Relationship Id="rId21" Type="http://schemas.openxmlformats.org/officeDocument/2006/relationships/hyperlink" Target="https://www.itu.int/md/R20-RAG-C-0058/en" TargetMode="External"/><Relationship Id="rId34" Type="http://schemas.openxmlformats.org/officeDocument/2006/relationships/footer" Target="footer4.xml"/><Relationship Id="rId42" Type="http://schemas.openxmlformats.org/officeDocument/2006/relationships/header" Target="header6.xml"/><Relationship Id="rId47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20-RAG-C-0058/en" TargetMode="External"/><Relationship Id="rId29" Type="http://schemas.openxmlformats.org/officeDocument/2006/relationships/hyperlink" Target="https://www.itu.int/md/R20-RAG-C-0064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itu.int/md/R20-RAG-C-0061/en" TargetMode="External"/><Relationship Id="rId32" Type="http://schemas.openxmlformats.org/officeDocument/2006/relationships/footer" Target="footer3.xml"/><Relationship Id="rId37" Type="http://schemas.openxmlformats.org/officeDocument/2006/relationships/hyperlink" Target="http://chrome-extension/efaidnbmnnnibpcajpcglclefindmkaj/https:/www.itu.int/en/council/Documents/basic-texts/Convention-E.pdf" TargetMode="External"/><Relationship Id="rId40" Type="http://schemas.openxmlformats.org/officeDocument/2006/relationships/hyperlink" Target="https://www.itu.int/md/R19-SG05-C-0117/en" TargetMode="External"/><Relationship Id="rId45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20-RAG-ADM-0005/en" TargetMode="External"/><Relationship Id="rId23" Type="http://schemas.openxmlformats.org/officeDocument/2006/relationships/hyperlink" Target="https://www.itu.int/md/R20-RAG-C-0057/en" TargetMode="External"/><Relationship Id="rId28" Type="http://schemas.openxmlformats.org/officeDocument/2006/relationships/hyperlink" Target="https://www.itu.int/md/R20-RAG-C-0063/en" TargetMode="External"/><Relationship Id="rId36" Type="http://schemas.openxmlformats.org/officeDocument/2006/relationships/hyperlink" Target="https://www.itu.int/md/meetingdoc.asp?lang=en&amp;parent=R20-RAG-C-0057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itu.int/md/R20-RAG-C-0060/en" TargetMode="External"/><Relationship Id="rId31" Type="http://schemas.openxmlformats.org/officeDocument/2006/relationships/header" Target="header4.xml"/><Relationship Id="rId44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itu.int/md/R20-RAG-230501-TD-0009/en" TargetMode="External"/><Relationship Id="rId22" Type="http://schemas.openxmlformats.org/officeDocument/2006/relationships/hyperlink" Target="https://www.itu.int/md/R20-RAG-C-0056/en" TargetMode="External"/><Relationship Id="rId27" Type="http://schemas.openxmlformats.org/officeDocument/2006/relationships/hyperlink" Target="https://www.itu.int/md/R20-RAG-C-0062/en" TargetMode="External"/><Relationship Id="rId30" Type="http://schemas.openxmlformats.org/officeDocument/2006/relationships/hyperlink" Target="https://www.itu.int/md/R20-RAG-C-0065/en" TargetMode="External"/><Relationship Id="rId35" Type="http://schemas.openxmlformats.org/officeDocument/2006/relationships/image" Target="media/image3.jpeg"/><Relationship Id="rId43" Type="http://schemas.openxmlformats.org/officeDocument/2006/relationships/footer" Target="footer5.xml"/><Relationship Id="rId48" Type="http://schemas.openxmlformats.org/officeDocument/2006/relationships/theme" Target="theme/theme1.xml"/><Relationship Id="rId8" Type="http://schemas.openxmlformats.org/officeDocument/2006/relationships/hyperlink" Target="https://www.itu.int/fr/ITU-R/conferences/rag/Pages/default.aspx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s://www.itu.int/md/R20-RAG-C-0059/en" TargetMode="External"/><Relationship Id="rId25" Type="http://schemas.openxmlformats.org/officeDocument/2006/relationships/hyperlink" Target="https://www.itu.int/md/R20-RAG-C-0066/en" TargetMode="External"/><Relationship Id="rId33" Type="http://schemas.openxmlformats.org/officeDocument/2006/relationships/header" Target="header5.xml"/><Relationship Id="rId38" Type="http://schemas.openxmlformats.org/officeDocument/2006/relationships/hyperlink" Target="https://www.itu.int/md/R19-WP5D-C-1553/en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itu.int/md/R20-RAG-C-0068/en" TargetMode="External"/><Relationship Id="rId41" Type="http://schemas.openxmlformats.org/officeDocument/2006/relationships/hyperlink" Target="mailto:mnajarianpb@state.gov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md/R19-WP4C-C-0402/en" TargetMode="External"/><Relationship Id="rId1" Type="http://schemas.openxmlformats.org/officeDocument/2006/relationships/hyperlink" Target="https://www.itu.int/md/R19-WP4A-C-0868/e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060AC34D174DCA9D38A47725A31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AD84C-BB28-4D87-A5A6-EF9DD9F99067}"/>
      </w:docPartPr>
      <w:docPartBody>
        <w:p w:rsidR="00DA4EE4" w:rsidRDefault="00DA4EE4">
          <w:pPr>
            <w:pStyle w:val="EF060AC34D174DCA9D38A47725A31D71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EE4"/>
    <w:rsid w:val="003E2157"/>
    <w:rsid w:val="00A24F38"/>
    <w:rsid w:val="00D023D4"/>
    <w:rsid w:val="00DA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F060AC34D174DCA9D38A47725A31D71">
    <w:name w:val="EF060AC34D174DCA9D38A47725A31D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C4D57-7184-4206-837E-0139E3AF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3644</Words>
  <Characters>20705</Characters>
  <Application>Microsoft Office Word</Application>
  <DocSecurity>0</DocSecurity>
  <Lines>363</Lines>
  <Paragraphs>165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24184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8</cp:revision>
  <cp:lastPrinted>2013-03-08T10:15:00Z</cp:lastPrinted>
  <dcterms:created xsi:type="dcterms:W3CDTF">2023-05-24T09:12:00Z</dcterms:created>
  <dcterms:modified xsi:type="dcterms:W3CDTF">2023-05-24T14:06:00Z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