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020C58" w14:paraId="08ECBB9A" w14:textId="77777777" w:rsidTr="004228FA">
        <w:trPr>
          <w:jc w:val="center"/>
        </w:trPr>
        <w:tc>
          <w:tcPr>
            <w:tcW w:w="9889" w:type="dxa"/>
            <w:gridSpan w:val="3"/>
            <w:shd w:val="clear" w:color="auto" w:fill="auto"/>
          </w:tcPr>
          <w:p w14:paraId="2499AD73" w14:textId="77777777" w:rsidR="00E53DCE" w:rsidRPr="00020C58" w:rsidRDefault="00E53DCE" w:rsidP="0060601B">
            <w:pPr>
              <w:spacing w:before="0" w:line="240" w:lineRule="auto"/>
              <w:jc w:val="left"/>
              <w:rPr>
                <w:rFonts w:cstheme="minorHAnsi"/>
                <w:b/>
                <w:bCs/>
                <w:color w:val="808080"/>
                <w:sz w:val="28"/>
                <w:szCs w:val="28"/>
                <w:lang w:val="fr-FR"/>
              </w:rPr>
            </w:pPr>
            <w:r w:rsidRPr="00020C58">
              <w:rPr>
                <w:rFonts w:cstheme="minorHAnsi"/>
                <w:b/>
                <w:bCs/>
                <w:color w:val="808080"/>
                <w:sz w:val="28"/>
                <w:szCs w:val="28"/>
                <w:lang w:val="fr-FR"/>
              </w:rPr>
              <w:t>Bureau des radiocommunications (BR)</w:t>
            </w:r>
          </w:p>
          <w:p w14:paraId="369FC927" w14:textId="77777777" w:rsidR="00E53DCE" w:rsidRPr="00020C58" w:rsidRDefault="00E53DCE" w:rsidP="0060601B">
            <w:pPr>
              <w:spacing w:before="0" w:line="240" w:lineRule="auto"/>
              <w:jc w:val="left"/>
              <w:rPr>
                <w:rFonts w:cstheme="minorHAnsi"/>
                <w:b/>
                <w:bCs/>
                <w:color w:val="808080"/>
                <w:sz w:val="28"/>
                <w:szCs w:val="28"/>
                <w:lang w:val="fr-FR"/>
              </w:rPr>
            </w:pPr>
          </w:p>
          <w:p w14:paraId="2AF4B5BC" w14:textId="77777777" w:rsidR="00E53DCE" w:rsidRPr="00020C58" w:rsidRDefault="00E53DCE" w:rsidP="0060601B">
            <w:pPr>
              <w:spacing w:before="0" w:line="240" w:lineRule="auto"/>
              <w:jc w:val="left"/>
              <w:rPr>
                <w:rFonts w:cs="Times New Roman Bold"/>
                <w:b/>
                <w:bCs/>
                <w:color w:val="808080"/>
                <w:sz w:val="28"/>
                <w:szCs w:val="28"/>
                <w:lang w:val="fr-FR"/>
              </w:rPr>
            </w:pPr>
          </w:p>
        </w:tc>
      </w:tr>
      <w:tr w:rsidR="00E53DCE" w:rsidRPr="00020C58" w14:paraId="6EE34851" w14:textId="77777777" w:rsidTr="004228FA">
        <w:trPr>
          <w:jc w:val="center"/>
        </w:trPr>
        <w:tc>
          <w:tcPr>
            <w:tcW w:w="7054" w:type="dxa"/>
            <w:gridSpan w:val="2"/>
            <w:shd w:val="clear" w:color="auto" w:fill="auto"/>
          </w:tcPr>
          <w:p w14:paraId="7CE5AF4D" w14:textId="0A2A77E6" w:rsidR="00E53DCE" w:rsidRPr="00020C58" w:rsidRDefault="00E53DCE" w:rsidP="0060601B">
            <w:pPr>
              <w:spacing w:before="0" w:line="240" w:lineRule="auto"/>
              <w:jc w:val="left"/>
              <w:rPr>
                <w:sz w:val="28"/>
                <w:szCs w:val="28"/>
                <w:lang w:val="fr-FR"/>
              </w:rPr>
            </w:pPr>
            <w:r w:rsidRPr="00020C58">
              <w:rPr>
                <w:szCs w:val="24"/>
                <w:lang w:val="fr-FR"/>
              </w:rPr>
              <w:t>Circulaire administrative</w:t>
            </w:r>
          </w:p>
          <w:p w14:paraId="12830B32" w14:textId="69D02A3F" w:rsidR="00E53DCE" w:rsidRPr="00020C58" w:rsidRDefault="00E53DCE" w:rsidP="0060601B">
            <w:pPr>
              <w:spacing w:before="0" w:line="240" w:lineRule="auto"/>
              <w:jc w:val="left"/>
              <w:rPr>
                <w:b/>
                <w:bCs/>
                <w:sz w:val="28"/>
                <w:szCs w:val="28"/>
                <w:lang w:val="fr-FR"/>
              </w:rPr>
            </w:pPr>
            <w:r w:rsidRPr="00020C58">
              <w:rPr>
                <w:b/>
                <w:bCs/>
                <w:szCs w:val="24"/>
                <w:lang w:val="fr-FR"/>
              </w:rPr>
              <w:t>CA/</w:t>
            </w:r>
            <w:r w:rsidR="001E3212" w:rsidRPr="00020C58">
              <w:rPr>
                <w:b/>
                <w:bCs/>
                <w:szCs w:val="24"/>
                <w:lang w:val="fr-FR"/>
              </w:rPr>
              <w:t>265</w:t>
            </w:r>
          </w:p>
        </w:tc>
        <w:tc>
          <w:tcPr>
            <w:tcW w:w="2835" w:type="dxa"/>
            <w:shd w:val="clear" w:color="auto" w:fill="auto"/>
          </w:tcPr>
          <w:p w14:paraId="48513822" w14:textId="371EA588" w:rsidR="00E53DCE" w:rsidRPr="00020C58" w:rsidRDefault="00AA781A" w:rsidP="0060601B">
            <w:pPr>
              <w:spacing w:before="0" w:line="240" w:lineRule="auto"/>
              <w:jc w:val="right"/>
              <w:rPr>
                <w:sz w:val="28"/>
                <w:szCs w:val="28"/>
                <w:lang w:val="fr-FR"/>
              </w:rPr>
            </w:pPr>
            <w:r w:rsidRPr="00020C58">
              <w:rPr>
                <w:szCs w:val="24"/>
                <w:lang w:val="fr-FR"/>
              </w:rPr>
              <w:t xml:space="preserve">Le </w:t>
            </w:r>
            <w:sdt>
              <w:sdtPr>
                <w:rPr>
                  <w:rFonts w:cs="Arial"/>
                  <w:szCs w:val="24"/>
                  <w:lang w:val="fr-FR"/>
                </w:rPr>
                <w:alias w:val="Date"/>
                <w:tag w:val="Date"/>
                <w:id w:val="444659277"/>
                <w:placeholder>
                  <w:docPart w:val="EF060AC34D174DCA9D38A47725A31D71"/>
                </w:placeholder>
                <w:date>
                  <w:dateFormat w:val="d MMMM yyyy"/>
                  <w:lid w:val="fr-FR"/>
                  <w:storeMappedDataAs w:val="date"/>
                  <w:calendar w:val="gregorian"/>
                </w:date>
              </w:sdtPr>
              <w:sdtEndPr/>
              <w:sdtContent>
                <w:r w:rsidR="00FE0134">
                  <w:rPr>
                    <w:rFonts w:cs="Arial"/>
                    <w:szCs w:val="24"/>
                    <w:lang w:val="fr-FR"/>
                  </w:rPr>
                  <w:t>7</w:t>
                </w:r>
                <w:r w:rsidR="00E53DCE" w:rsidRPr="00020C58">
                  <w:rPr>
                    <w:rFonts w:cs="Arial"/>
                    <w:szCs w:val="24"/>
                    <w:lang w:val="fr-FR"/>
                  </w:rPr>
                  <w:t xml:space="preserve"> mars 20</w:t>
                </w:r>
                <w:r w:rsidR="001E3212" w:rsidRPr="00020C58">
                  <w:rPr>
                    <w:rFonts w:cs="Arial"/>
                    <w:szCs w:val="24"/>
                    <w:lang w:val="fr-FR"/>
                  </w:rPr>
                  <w:t>2</w:t>
                </w:r>
                <w:r w:rsidR="00E53DCE" w:rsidRPr="00020C58">
                  <w:rPr>
                    <w:rFonts w:cs="Arial"/>
                    <w:szCs w:val="24"/>
                    <w:lang w:val="fr-FR"/>
                  </w:rPr>
                  <w:t>3</w:t>
                </w:r>
              </w:sdtContent>
            </w:sdt>
          </w:p>
        </w:tc>
      </w:tr>
      <w:tr w:rsidR="00E53DCE" w:rsidRPr="00020C58" w14:paraId="3EBEA328" w14:textId="77777777" w:rsidTr="004228FA">
        <w:trPr>
          <w:jc w:val="center"/>
        </w:trPr>
        <w:tc>
          <w:tcPr>
            <w:tcW w:w="9889" w:type="dxa"/>
            <w:gridSpan w:val="3"/>
            <w:shd w:val="clear" w:color="auto" w:fill="auto"/>
          </w:tcPr>
          <w:p w14:paraId="205A2EB5" w14:textId="77777777" w:rsidR="00E53DCE" w:rsidRPr="00020C58" w:rsidRDefault="00E53DCE" w:rsidP="0060601B">
            <w:pPr>
              <w:spacing w:before="0" w:line="240" w:lineRule="auto"/>
              <w:jc w:val="left"/>
              <w:rPr>
                <w:rFonts w:cs="Arial"/>
                <w:szCs w:val="24"/>
                <w:lang w:val="fr-FR"/>
              </w:rPr>
            </w:pPr>
          </w:p>
        </w:tc>
      </w:tr>
      <w:tr w:rsidR="00E53DCE" w:rsidRPr="00020C58" w14:paraId="59EEF95E" w14:textId="77777777" w:rsidTr="004228FA">
        <w:trPr>
          <w:jc w:val="center"/>
        </w:trPr>
        <w:tc>
          <w:tcPr>
            <w:tcW w:w="9889" w:type="dxa"/>
            <w:gridSpan w:val="3"/>
            <w:shd w:val="clear" w:color="auto" w:fill="auto"/>
          </w:tcPr>
          <w:p w14:paraId="3286015C" w14:textId="77777777" w:rsidR="00E53DCE" w:rsidRPr="00020C58" w:rsidRDefault="00E53DCE" w:rsidP="0060601B">
            <w:pPr>
              <w:spacing w:before="0" w:line="240" w:lineRule="auto"/>
              <w:jc w:val="left"/>
              <w:rPr>
                <w:szCs w:val="24"/>
                <w:lang w:val="fr-FR"/>
              </w:rPr>
            </w:pPr>
          </w:p>
        </w:tc>
      </w:tr>
      <w:tr w:rsidR="00E53DCE" w:rsidRPr="00FE0134" w14:paraId="7BD8C240" w14:textId="77777777" w:rsidTr="004228FA">
        <w:trPr>
          <w:jc w:val="center"/>
        </w:trPr>
        <w:tc>
          <w:tcPr>
            <w:tcW w:w="9889" w:type="dxa"/>
            <w:gridSpan w:val="3"/>
            <w:shd w:val="clear" w:color="auto" w:fill="auto"/>
          </w:tcPr>
          <w:p w14:paraId="3FE167E9" w14:textId="61473A58" w:rsidR="00E53DCE" w:rsidRPr="00020C58" w:rsidRDefault="00EE1A57" w:rsidP="0060601B">
            <w:pPr>
              <w:spacing w:before="0" w:line="240" w:lineRule="auto"/>
              <w:jc w:val="left"/>
              <w:rPr>
                <w:b/>
                <w:bCs/>
                <w:szCs w:val="24"/>
                <w:lang w:val="fr-FR"/>
              </w:rPr>
            </w:pPr>
            <w:r w:rsidRPr="00020C58">
              <w:rPr>
                <w:b/>
                <w:bCs/>
                <w:szCs w:val="24"/>
                <w:lang w:val="fr-FR"/>
              </w:rPr>
              <w:t>Aux</w:t>
            </w:r>
            <w:r w:rsidR="0057658C" w:rsidRPr="00020C58">
              <w:rPr>
                <w:b/>
                <w:bCs/>
                <w:szCs w:val="24"/>
                <w:lang w:val="fr-FR"/>
              </w:rPr>
              <w:t xml:space="preserve"> Administrations des États Membres de l'UIT et aux observateurs à la CMR-23</w:t>
            </w:r>
          </w:p>
          <w:p w14:paraId="455C2A8A" w14:textId="77777777" w:rsidR="00E53DCE" w:rsidRPr="00020C58" w:rsidRDefault="00E53DCE" w:rsidP="0060601B">
            <w:pPr>
              <w:spacing w:before="0" w:line="240" w:lineRule="auto"/>
              <w:jc w:val="left"/>
              <w:rPr>
                <w:b/>
                <w:bCs/>
                <w:szCs w:val="24"/>
                <w:lang w:val="fr-FR"/>
              </w:rPr>
            </w:pPr>
          </w:p>
        </w:tc>
      </w:tr>
      <w:tr w:rsidR="00E53DCE" w:rsidRPr="00FE0134" w14:paraId="4F9A5BB7" w14:textId="77777777" w:rsidTr="004228FA">
        <w:trPr>
          <w:jc w:val="center"/>
        </w:trPr>
        <w:tc>
          <w:tcPr>
            <w:tcW w:w="9889" w:type="dxa"/>
            <w:gridSpan w:val="3"/>
            <w:shd w:val="clear" w:color="auto" w:fill="auto"/>
          </w:tcPr>
          <w:p w14:paraId="45A11473" w14:textId="77777777" w:rsidR="00E53DCE" w:rsidRPr="00020C58" w:rsidRDefault="00E53DCE" w:rsidP="0060601B">
            <w:pPr>
              <w:spacing w:before="0" w:line="240" w:lineRule="auto"/>
              <w:jc w:val="left"/>
              <w:rPr>
                <w:szCs w:val="24"/>
                <w:lang w:val="fr-FR"/>
              </w:rPr>
            </w:pPr>
          </w:p>
        </w:tc>
      </w:tr>
      <w:tr w:rsidR="00E53DCE" w:rsidRPr="00FE0134" w14:paraId="4CC424DE" w14:textId="77777777" w:rsidTr="004228FA">
        <w:trPr>
          <w:jc w:val="center"/>
        </w:trPr>
        <w:tc>
          <w:tcPr>
            <w:tcW w:w="9889" w:type="dxa"/>
            <w:gridSpan w:val="3"/>
            <w:shd w:val="clear" w:color="auto" w:fill="auto"/>
          </w:tcPr>
          <w:p w14:paraId="6FBD5072" w14:textId="77777777" w:rsidR="00E53DCE" w:rsidRPr="00020C58" w:rsidRDefault="00E53DCE" w:rsidP="0060601B">
            <w:pPr>
              <w:spacing w:before="0" w:line="240" w:lineRule="auto"/>
              <w:jc w:val="left"/>
              <w:rPr>
                <w:szCs w:val="24"/>
                <w:lang w:val="fr-FR"/>
              </w:rPr>
            </w:pPr>
          </w:p>
        </w:tc>
      </w:tr>
      <w:tr w:rsidR="00E53DCE" w:rsidRPr="00FE0134" w14:paraId="49EAAF8C" w14:textId="77777777" w:rsidTr="004228FA">
        <w:trPr>
          <w:jc w:val="center"/>
        </w:trPr>
        <w:tc>
          <w:tcPr>
            <w:tcW w:w="1526" w:type="dxa"/>
            <w:shd w:val="clear" w:color="auto" w:fill="auto"/>
          </w:tcPr>
          <w:p w14:paraId="1BC73171" w14:textId="77777777" w:rsidR="00E53DCE" w:rsidRPr="00020C58" w:rsidRDefault="003471C9" w:rsidP="0060601B">
            <w:pPr>
              <w:tabs>
                <w:tab w:val="clear" w:pos="1588"/>
                <w:tab w:val="left" w:pos="1560"/>
              </w:tabs>
              <w:spacing w:before="0" w:line="240" w:lineRule="auto"/>
              <w:jc w:val="left"/>
              <w:rPr>
                <w:szCs w:val="24"/>
                <w:lang w:val="fr-FR"/>
              </w:rPr>
            </w:pPr>
            <w:proofErr w:type="gramStart"/>
            <w:r w:rsidRPr="00020C58">
              <w:rPr>
                <w:lang w:val="fr-FR"/>
              </w:rPr>
              <w:t>Objet</w:t>
            </w:r>
            <w:r w:rsidR="00E53DCE" w:rsidRPr="00020C58">
              <w:rPr>
                <w:szCs w:val="24"/>
                <w:lang w:val="fr-FR"/>
              </w:rPr>
              <w:t>:</w:t>
            </w:r>
            <w:proofErr w:type="gramEnd"/>
          </w:p>
        </w:tc>
        <w:tc>
          <w:tcPr>
            <w:tcW w:w="8363" w:type="dxa"/>
            <w:gridSpan w:val="2"/>
            <w:vMerge w:val="restart"/>
            <w:shd w:val="clear" w:color="auto" w:fill="auto"/>
          </w:tcPr>
          <w:p w14:paraId="43C078E5" w14:textId="5DBA578E" w:rsidR="00E53DCE" w:rsidRPr="00020C58" w:rsidRDefault="0057658C" w:rsidP="0060601B">
            <w:pPr>
              <w:tabs>
                <w:tab w:val="clear" w:pos="1588"/>
                <w:tab w:val="left" w:pos="1560"/>
              </w:tabs>
              <w:spacing w:before="0" w:line="240" w:lineRule="auto"/>
              <w:rPr>
                <w:b/>
                <w:bCs/>
                <w:szCs w:val="24"/>
                <w:lang w:val="fr-FR"/>
              </w:rPr>
            </w:pPr>
            <w:r w:rsidRPr="00020C58">
              <w:rPr>
                <w:b/>
                <w:bCs/>
                <w:szCs w:val="24"/>
                <w:lang w:val="fr-FR"/>
              </w:rPr>
              <w:t>Conférence mondiale des radiocommunications de 2023 (CMR-23)</w:t>
            </w:r>
          </w:p>
        </w:tc>
      </w:tr>
      <w:tr w:rsidR="00E53DCE" w:rsidRPr="00FE0134" w14:paraId="7637D609" w14:textId="77777777" w:rsidTr="004228FA">
        <w:trPr>
          <w:jc w:val="center"/>
        </w:trPr>
        <w:tc>
          <w:tcPr>
            <w:tcW w:w="1526" w:type="dxa"/>
            <w:shd w:val="clear" w:color="auto" w:fill="auto"/>
          </w:tcPr>
          <w:p w14:paraId="4B5D7D34" w14:textId="77777777" w:rsidR="00E53DCE" w:rsidRPr="00020C58" w:rsidRDefault="00E53DCE" w:rsidP="0060601B">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C990A95" w14:textId="77777777" w:rsidR="00E53DCE" w:rsidRPr="00020C58" w:rsidRDefault="00E53DCE" w:rsidP="0060601B">
            <w:pPr>
              <w:tabs>
                <w:tab w:val="clear" w:pos="1588"/>
                <w:tab w:val="left" w:pos="1560"/>
              </w:tabs>
              <w:spacing w:before="0" w:line="240" w:lineRule="auto"/>
              <w:rPr>
                <w:b/>
                <w:bCs/>
                <w:szCs w:val="24"/>
                <w:lang w:val="fr-FR"/>
              </w:rPr>
            </w:pPr>
          </w:p>
        </w:tc>
      </w:tr>
      <w:tr w:rsidR="00E53DCE" w:rsidRPr="00FE0134" w14:paraId="544E4BBD" w14:textId="77777777" w:rsidTr="004228FA">
        <w:trPr>
          <w:jc w:val="center"/>
        </w:trPr>
        <w:tc>
          <w:tcPr>
            <w:tcW w:w="1526" w:type="dxa"/>
            <w:shd w:val="clear" w:color="auto" w:fill="auto"/>
          </w:tcPr>
          <w:p w14:paraId="571B044A" w14:textId="77777777" w:rsidR="00E53DCE" w:rsidRPr="00020C58" w:rsidRDefault="00E53DCE" w:rsidP="0060601B">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2806FD0" w14:textId="77777777" w:rsidR="00E53DCE" w:rsidRPr="00020C58" w:rsidRDefault="00E53DCE" w:rsidP="0060601B">
            <w:pPr>
              <w:tabs>
                <w:tab w:val="clear" w:pos="1588"/>
                <w:tab w:val="left" w:pos="1560"/>
              </w:tabs>
              <w:spacing w:before="0" w:line="240" w:lineRule="auto"/>
              <w:rPr>
                <w:b/>
                <w:bCs/>
                <w:szCs w:val="24"/>
                <w:lang w:val="fr-FR"/>
              </w:rPr>
            </w:pPr>
          </w:p>
        </w:tc>
      </w:tr>
    </w:tbl>
    <w:p w14:paraId="601323A3" w14:textId="77777777" w:rsidR="0057658C" w:rsidRPr="00020C58" w:rsidRDefault="0057658C" w:rsidP="0060601B">
      <w:pPr>
        <w:pStyle w:val="Headingb"/>
        <w:spacing w:line="240" w:lineRule="auto"/>
        <w:jc w:val="left"/>
        <w:rPr>
          <w:lang w:val="fr-FR"/>
        </w:rPr>
      </w:pPr>
      <w:r w:rsidRPr="00020C58">
        <w:rPr>
          <w:lang w:val="fr-FR"/>
        </w:rPr>
        <w:t>Invitation, date et lieu</w:t>
      </w:r>
    </w:p>
    <w:p w14:paraId="594B064B" w14:textId="283B0F89" w:rsidR="0057658C" w:rsidRPr="00020C58" w:rsidRDefault="0057658C" w:rsidP="00DD2ECE">
      <w:pPr>
        <w:spacing w:line="240" w:lineRule="auto"/>
        <w:rPr>
          <w:lang w:val="fr-FR"/>
        </w:rPr>
      </w:pPr>
      <w:r w:rsidRPr="00020C58">
        <w:rPr>
          <w:lang w:val="fr-FR"/>
        </w:rPr>
        <w:t>Comme le Secrétaire général l'a annoncé dans les Lettres circulaires</w:t>
      </w:r>
      <w:r w:rsidR="001144DA" w:rsidRPr="00020C58">
        <w:rPr>
          <w:lang w:val="fr-FR"/>
        </w:rPr>
        <w:t xml:space="preserve"> </w:t>
      </w:r>
      <w:hyperlink r:id="rId8" w:history="1">
        <w:r w:rsidR="001144DA" w:rsidRPr="00020C58">
          <w:rPr>
            <w:rStyle w:val="Hyperlink"/>
            <w:rFonts w:asciiTheme="minorHAnsi" w:hAnsiTheme="minorHAnsi" w:cstheme="minorHAnsi"/>
            <w:lang w:val="fr-FR"/>
          </w:rPr>
          <w:t>CL-22/40</w:t>
        </w:r>
      </w:hyperlink>
      <w:r w:rsidR="001144DA" w:rsidRPr="00020C58">
        <w:rPr>
          <w:rFonts w:asciiTheme="minorHAnsi" w:hAnsiTheme="minorHAnsi" w:cstheme="minorHAnsi"/>
          <w:lang w:val="fr-FR"/>
        </w:rPr>
        <w:t xml:space="preserve">, </w:t>
      </w:r>
      <w:hyperlink r:id="rId9" w:history="1">
        <w:r w:rsidR="001144DA" w:rsidRPr="00020C58">
          <w:rPr>
            <w:rStyle w:val="Hyperlink"/>
            <w:rFonts w:asciiTheme="minorHAnsi" w:hAnsiTheme="minorHAnsi" w:cstheme="minorHAnsi"/>
            <w:lang w:val="fr-FR"/>
          </w:rPr>
          <w:t>CL-22/41</w:t>
        </w:r>
      </w:hyperlink>
      <w:r w:rsidR="001144DA" w:rsidRPr="00020C58">
        <w:rPr>
          <w:rFonts w:asciiTheme="minorHAnsi" w:hAnsiTheme="minorHAnsi" w:cstheme="minorHAnsi"/>
          <w:lang w:val="fr-FR"/>
        </w:rPr>
        <w:t xml:space="preserve">, et </w:t>
      </w:r>
      <w:hyperlink r:id="rId10" w:history="1">
        <w:r w:rsidR="001144DA" w:rsidRPr="00020C58">
          <w:rPr>
            <w:rStyle w:val="Hyperlink"/>
            <w:rFonts w:asciiTheme="minorHAnsi" w:hAnsiTheme="minorHAnsi" w:cstheme="minorHAnsi"/>
            <w:lang w:val="fr-FR"/>
          </w:rPr>
          <w:t>DM</w:t>
        </w:r>
        <w:r w:rsidR="00804495" w:rsidRPr="00020C58">
          <w:rPr>
            <w:rStyle w:val="Hyperlink"/>
            <w:rFonts w:asciiTheme="minorHAnsi" w:hAnsiTheme="minorHAnsi" w:cstheme="minorHAnsi"/>
            <w:lang w:val="fr-FR"/>
          </w:rPr>
          <w:noBreakHyphen/>
        </w:r>
        <w:r w:rsidR="001144DA" w:rsidRPr="00020C58">
          <w:rPr>
            <w:rStyle w:val="Hyperlink"/>
            <w:rFonts w:asciiTheme="minorHAnsi" w:hAnsiTheme="minorHAnsi" w:cstheme="minorHAnsi"/>
            <w:lang w:val="fr-FR"/>
          </w:rPr>
          <w:t>22/1012</w:t>
        </w:r>
      </w:hyperlink>
      <w:r w:rsidR="001144DA" w:rsidRPr="00020C58">
        <w:rPr>
          <w:rStyle w:val="Hyperlink"/>
          <w:rFonts w:asciiTheme="minorHAnsi" w:hAnsiTheme="minorHAnsi" w:cstheme="minorHAnsi"/>
          <w:lang w:val="fr-FR"/>
        </w:rPr>
        <w:t xml:space="preserve"> </w:t>
      </w:r>
      <w:r w:rsidRPr="00020C58">
        <w:rPr>
          <w:lang w:val="fr-FR"/>
        </w:rPr>
        <w:t xml:space="preserve">en date du 15 novembre 2022, la </w:t>
      </w:r>
      <w:hyperlink r:id="rId11" w:history="1">
        <w:r w:rsidRPr="00020C58">
          <w:rPr>
            <w:rStyle w:val="Hyperlink"/>
            <w:szCs w:val="24"/>
            <w:lang w:val="fr-FR"/>
          </w:rPr>
          <w:t>Conférence mondiale des radiocommunications de</w:t>
        </w:r>
        <w:r w:rsidR="00804495" w:rsidRPr="00020C58">
          <w:rPr>
            <w:rStyle w:val="Hyperlink"/>
            <w:szCs w:val="24"/>
            <w:lang w:val="fr-FR"/>
          </w:rPr>
          <w:t> </w:t>
        </w:r>
        <w:r w:rsidRPr="00020C58">
          <w:rPr>
            <w:rStyle w:val="Hyperlink"/>
            <w:szCs w:val="24"/>
            <w:lang w:val="fr-FR"/>
          </w:rPr>
          <w:t>20</w:t>
        </w:r>
        <w:r w:rsidR="00F45C5D" w:rsidRPr="00020C58">
          <w:rPr>
            <w:rStyle w:val="Hyperlink"/>
            <w:szCs w:val="24"/>
            <w:lang w:val="fr-FR"/>
          </w:rPr>
          <w:t>23</w:t>
        </w:r>
        <w:r w:rsidRPr="00020C58">
          <w:rPr>
            <w:rStyle w:val="Hyperlink"/>
            <w:szCs w:val="24"/>
            <w:lang w:val="fr-FR"/>
          </w:rPr>
          <w:t xml:space="preserve"> (CMR-</w:t>
        </w:r>
        <w:r w:rsidR="00F45C5D" w:rsidRPr="00020C58">
          <w:rPr>
            <w:rStyle w:val="Hyperlink"/>
            <w:szCs w:val="24"/>
            <w:lang w:val="fr-FR"/>
          </w:rPr>
          <w:t>23</w:t>
        </w:r>
        <w:r w:rsidRPr="00020C58">
          <w:rPr>
            <w:rStyle w:val="Hyperlink"/>
            <w:szCs w:val="24"/>
            <w:lang w:val="fr-FR"/>
          </w:rPr>
          <w:t>)</w:t>
        </w:r>
      </w:hyperlink>
      <w:r w:rsidRPr="00020C58">
        <w:rPr>
          <w:lang w:val="fr-FR"/>
        </w:rPr>
        <w:t xml:space="preserve"> aura lieu du 20 novembre au 15 décembre 2023</w:t>
      </w:r>
      <w:r w:rsidR="00906453" w:rsidRPr="00020C58">
        <w:rPr>
          <w:lang w:val="fr-FR"/>
        </w:rPr>
        <w:t xml:space="preserve"> </w:t>
      </w:r>
      <w:r w:rsidRPr="00020C58">
        <w:rPr>
          <w:lang w:val="fr-FR"/>
        </w:rPr>
        <w:t xml:space="preserve">au </w:t>
      </w:r>
      <w:r w:rsidR="001144DA" w:rsidRPr="00020C58">
        <w:rPr>
          <w:lang w:val="fr-FR"/>
        </w:rPr>
        <w:t>World Trade Centre de Dubaï</w:t>
      </w:r>
      <w:r w:rsidRPr="00020C58">
        <w:rPr>
          <w:lang w:val="fr-FR"/>
        </w:rPr>
        <w:t>, immédiatement après l'Assemblée des radiocommunications de 20</w:t>
      </w:r>
      <w:r w:rsidR="00F45C5D" w:rsidRPr="00020C58">
        <w:rPr>
          <w:lang w:val="fr-FR"/>
        </w:rPr>
        <w:t>23</w:t>
      </w:r>
      <w:r w:rsidRPr="00020C58">
        <w:rPr>
          <w:lang w:val="fr-FR"/>
        </w:rPr>
        <w:t> (</w:t>
      </w:r>
      <w:hyperlink r:id="rId12" w:history="1">
        <w:r w:rsidRPr="00020C58">
          <w:rPr>
            <w:rStyle w:val="Hyperlink"/>
            <w:lang w:val="fr-FR"/>
          </w:rPr>
          <w:t>AR</w:t>
        </w:r>
        <w:r w:rsidRPr="00020C58">
          <w:rPr>
            <w:rStyle w:val="Hyperlink"/>
            <w:lang w:val="fr-FR"/>
          </w:rPr>
          <w:noBreakHyphen/>
        </w:r>
        <w:r w:rsidR="00F45C5D" w:rsidRPr="00020C58">
          <w:rPr>
            <w:rStyle w:val="Hyperlink"/>
            <w:lang w:val="fr-FR"/>
          </w:rPr>
          <w:t>23</w:t>
        </w:r>
      </w:hyperlink>
      <w:r w:rsidRPr="00020C58">
        <w:rPr>
          <w:lang w:val="fr-FR"/>
        </w:rPr>
        <w:t>).</w:t>
      </w:r>
    </w:p>
    <w:p w14:paraId="2E3D6289" w14:textId="1CB6D4B4" w:rsidR="0057658C" w:rsidRPr="00020C58" w:rsidRDefault="0057658C" w:rsidP="00DD2ECE">
      <w:pPr>
        <w:spacing w:line="240" w:lineRule="auto"/>
        <w:rPr>
          <w:lang w:val="fr-FR"/>
        </w:rPr>
      </w:pPr>
      <w:r w:rsidRPr="00020C58">
        <w:rPr>
          <w:lang w:val="fr-FR"/>
        </w:rPr>
        <w:t xml:space="preserve">L'objet de la présente Circulaire administrative est de fournir aux participants </w:t>
      </w:r>
      <w:r w:rsidR="001144DA" w:rsidRPr="00020C58">
        <w:rPr>
          <w:lang w:val="fr-FR"/>
        </w:rPr>
        <w:t>des précisions supplémentaire</w:t>
      </w:r>
      <w:r w:rsidR="001F66E4" w:rsidRPr="00020C58">
        <w:rPr>
          <w:lang w:val="fr-FR"/>
        </w:rPr>
        <w:t xml:space="preserve">s </w:t>
      </w:r>
      <w:r w:rsidRPr="00020C58">
        <w:rPr>
          <w:lang w:val="fr-FR"/>
        </w:rPr>
        <w:t>sur la CMR</w:t>
      </w:r>
      <w:r w:rsidRPr="00020C58">
        <w:rPr>
          <w:lang w:val="fr-FR"/>
        </w:rPr>
        <w:noBreakHyphen/>
        <w:t>23</w:t>
      </w:r>
      <w:r w:rsidR="001144DA" w:rsidRPr="00020C58">
        <w:rPr>
          <w:lang w:val="fr-FR"/>
        </w:rPr>
        <w:t>,</w:t>
      </w:r>
      <w:r w:rsidR="00906453" w:rsidRPr="00020C58">
        <w:rPr>
          <w:lang w:val="fr-FR"/>
        </w:rPr>
        <w:t xml:space="preserve"> </w:t>
      </w:r>
      <w:r w:rsidRPr="00020C58">
        <w:rPr>
          <w:lang w:val="fr-FR"/>
        </w:rPr>
        <w:t>afin de les aider dans leur travail de préparation.</w:t>
      </w:r>
    </w:p>
    <w:p w14:paraId="03F9DBD8" w14:textId="2B062B76" w:rsidR="0057658C" w:rsidRPr="00020C58" w:rsidRDefault="0057658C" w:rsidP="00DD2ECE">
      <w:pPr>
        <w:spacing w:line="240" w:lineRule="auto"/>
        <w:rPr>
          <w:lang w:val="fr-FR" w:eastAsia="zh-CN"/>
        </w:rPr>
      </w:pPr>
      <w:r w:rsidRPr="00020C58">
        <w:rPr>
          <w:lang w:val="fr-FR"/>
        </w:rPr>
        <w:t xml:space="preserve">L'ordre du jour de la Conférence, </w:t>
      </w:r>
      <w:r w:rsidR="001144DA" w:rsidRPr="00020C58">
        <w:rPr>
          <w:lang w:val="fr-FR"/>
        </w:rPr>
        <w:t>qui fait l</w:t>
      </w:r>
      <w:r w:rsidR="00906453" w:rsidRPr="00020C58">
        <w:rPr>
          <w:lang w:val="fr-FR"/>
        </w:rPr>
        <w:t>'</w:t>
      </w:r>
      <w:r w:rsidR="001144DA" w:rsidRPr="00020C58">
        <w:rPr>
          <w:lang w:val="fr-FR"/>
        </w:rPr>
        <w:t>objet de</w:t>
      </w:r>
      <w:r w:rsidRPr="00020C58">
        <w:rPr>
          <w:lang w:val="fr-FR"/>
        </w:rPr>
        <w:t xml:space="preserve"> la </w:t>
      </w:r>
      <w:hyperlink r:id="rId13" w:history="1">
        <w:r w:rsidRPr="00020C58">
          <w:rPr>
            <w:rStyle w:val="Hyperlink"/>
            <w:lang w:val="fr-FR"/>
          </w:rPr>
          <w:t>Résolution </w:t>
        </w:r>
        <w:r w:rsidRPr="00020C58">
          <w:rPr>
            <w:rStyle w:val="Hyperlink"/>
            <w:szCs w:val="24"/>
            <w:lang w:val="fr-FR" w:eastAsia="zh-CN"/>
          </w:rPr>
          <w:t>1399</w:t>
        </w:r>
        <w:r w:rsidRPr="00020C58">
          <w:rPr>
            <w:rStyle w:val="Hyperlink"/>
            <w:lang w:val="fr-FR"/>
          </w:rPr>
          <w:t xml:space="preserve"> du Conseil</w:t>
        </w:r>
      </w:hyperlink>
      <w:r w:rsidR="00DC1266" w:rsidRPr="00020C58">
        <w:rPr>
          <w:lang w:val="fr-FR"/>
        </w:rPr>
        <w:t xml:space="preserve"> </w:t>
      </w:r>
      <w:r w:rsidR="001144DA" w:rsidRPr="00020C58">
        <w:rPr>
          <w:rStyle w:val="Hyperlink"/>
          <w:lang w:val="fr-FR"/>
        </w:rPr>
        <w:t>(C20)</w:t>
      </w:r>
      <w:r w:rsidRPr="00020C58">
        <w:rPr>
          <w:lang w:val="fr-FR"/>
        </w:rPr>
        <w:t>, est reproduit dans l'Annexe.</w:t>
      </w:r>
    </w:p>
    <w:p w14:paraId="2373982E" w14:textId="28A9B380" w:rsidR="0057658C" w:rsidRPr="00020C58" w:rsidRDefault="0057658C" w:rsidP="0060601B">
      <w:pPr>
        <w:pStyle w:val="Headingb"/>
        <w:spacing w:line="240" w:lineRule="auto"/>
        <w:jc w:val="left"/>
        <w:rPr>
          <w:lang w:val="fr-FR"/>
        </w:rPr>
      </w:pPr>
      <w:r w:rsidRPr="00020C58">
        <w:rPr>
          <w:lang w:val="fr-FR"/>
        </w:rPr>
        <w:t>Soumission de propositions à la CMR-</w:t>
      </w:r>
      <w:r w:rsidR="00F45C5D" w:rsidRPr="00020C58">
        <w:rPr>
          <w:lang w:val="fr-FR"/>
        </w:rPr>
        <w:t>23</w:t>
      </w:r>
    </w:p>
    <w:p w14:paraId="24A1E4B8" w14:textId="6825BB00" w:rsidR="0057658C" w:rsidRPr="00020C58" w:rsidRDefault="0057658C" w:rsidP="00DD2ECE">
      <w:pPr>
        <w:spacing w:line="240" w:lineRule="auto"/>
        <w:rPr>
          <w:lang w:val="fr-FR"/>
        </w:rPr>
      </w:pPr>
      <w:r w:rsidRPr="00020C58">
        <w:rPr>
          <w:lang w:val="fr-FR"/>
        </w:rPr>
        <w:t>Les États Membres et l'</w:t>
      </w:r>
      <w:r w:rsidR="00F45C5D" w:rsidRPr="00020C58">
        <w:rPr>
          <w:lang w:val="fr-FR"/>
        </w:rPr>
        <w:t>É</w:t>
      </w:r>
      <w:r w:rsidRPr="00020C58">
        <w:rPr>
          <w:lang w:val="fr-FR"/>
        </w:rPr>
        <w:t>tat de Palestine voudront peut-être</w:t>
      </w:r>
      <w:r w:rsidR="00CE52FC" w:rsidRPr="00020C58">
        <w:rPr>
          <w:lang w:val="fr-FR"/>
        </w:rPr>
        <w:t xml:space="preserve"> </w:t>
      </w:r>
      <w:r w:rsidR="009968ED" w:rsidRPr="00020C58">
        <w:rPr>
          <w:lang w:val="fr-FR"/>
        </w:rPr>
        <w:t>examiner</w:t>
      </w:r>
      <w:r w:rsidR="00CE52FC" w:rsidRPr="00020C58">
        <w:rPr>
          <w:lang w:val="fr-FR"/>
        </w:rPr>
        <w:t xml:space="preserve"> </w:t>
      </w:r>
      <w:r w:rsidRPr="00020C58">
        <w:rPr>
          <w:lang w:val="fr-FR"/>
        </w:rPr>
        <w:t>leurs propositions pour les travaux de la CMR</w:t>
      </w:r>
      <w:r w:rsidRPr="00020C58">
        <w:rPr>
          <w:lang w:val="fr-FR"/>
        </w:rPr>
        <w:noBreakHyphen/>
      </w:r>
      <w:r w:rsidR="00F45C5D" w:rsidRPr="00020C58">
        <w:rPr>
          <w:lang w:val="fr-FR"/>
        </w:rPr>
        <w:t>23</w:t>
      </w:r>
      <w:r w:rsidRPr="00020C58">
        <w:rPr>
          <w:lang w:val="fr-FR"/>
        </w:rPr>
        <w:t xml:space="preserve">. Conformément aux dispositions de la Section 8 des Règles générales, je vous invite </w:t>
      </w:r>
      <w:r w:rsidR="00CE52FC" w:rsidRPr="00020C58">
        <w:rPr>
          <w:lang w:val="fr-FR"/>
        </w:rPr>
        <w:t xml:space="preserve">également </w:t>
      </w:r>
      <w:r w:rsidRPr="00020C58">
        <w:rPr>
          <w:lang w:val="fr-FR"/>
        </w:rPr>
        <w:t xml:space="preserve">à présenter des propositions pour les travaux de la Conférence, si vous le jugez nécessaire. Ces propositions doivent parvenir au </w:t>
      </w:r>
      <w:r w:rsidR="00CE52FC" w:rsidRPr="00020C58">
        <w:rPr>
          <w:lang w:val="fr-FR"/>
        </w:rPr>
        <w:t xml:space="preserve">secrétariat </w:t>
      </w:r>
      <w:r w:rsidRPr="00020C58">
        <w:rPr>
          <w:lang w:val="fr-FR"/>
        </w:rPr>
        <w:t>de l'UIT au moins quatre (4) mois (</w:t>
      </w:r>
      <w:r w:rsidR="00CE52FC" w:rsidRPr="00020C58">
        <w:rPr>
          <w:lang w:val="fr-FR"/>
        </w:rPr>
        <w:t>c</w:t>
      </w:r>
      <w:r w:rsidR="00906453" w:rsidRPr="00020C58">
        <w:rPr>
          <w:lang w:val="fr-FR"/>
        </w:rPr>
        <w:t>'</w:t>
      </w:r>
      <w:r w:rsidR="00CE52FC" w:rsidRPr="00020C58">
        <w:rPr>
          <w:lang w:val="fr-FR"/>
        </w:rPr>
        <w:t xml:space="preserve">est-à-dire </w:t>
      </w:r>
      <w:r w:rsidRPr="00020C58">
        <w:rPr>
          <w:lang w:val="fr-FR"/>
        </w:rPr>
        <w:t xml:space="preserve">avant le </w:t>
      </w:r>
      <w:r w:rsidRPr="00020C58">
        <w:rPr>
          <w:b/>
          <w:bCs/>
          <w:lang w:val="fr-FR"/>
        </w:rPr>
        <w:t>2</w:t>
      </w:r>
      <w:r w:rsidR="00F45C5D" w:rsidRPr="00020C58">
        <w:rPr>
          <w:b/>
          <w:bCs/>
          <w:lang w:val="fr-FR"/>
        </w:rPr>
        <w:t>0 juillet</w:t>
      </w:r>
      <w:r w:rsidRPr="00020C58">
        <w:rPr>
          <w:b/>
          <w:bCs/>
          <w:lang w:val="fr-FR"/>
        </w:rPr>
        <w:t xml:space="preserve"> 20</w:t>
      </w:r>
      <w:r w:rsidR="00F45C5D" w:rsidRPr="00020C58">
        <w:rPr>
          <w:b/>
          <w:bCs/>
          <w:lang w:val="fr-FR"/>
        </w:rPr>
        <w:t>23</w:t>
      </w:r>
      <w:r w:rsidRPr="00020C58">
        <w:rPr>
          <w:lang w:val="fr-FR"/>
        </w:rPr>
        <w:t xml:space="preserve">) </w:t>
      </w:r>
      <w:r w:rsidR="009968ED" w:rsidRPr="00020C58">
        <w:rPr>
          <w:lang w:val="fr-FR"/>
        </w:rPr>
        <w:t xml:space="preserve">avant le début de la Conférence </w:t>
      </w:r>
      <w:r w:rsidRPr="00020C58">
        <w:rPr>
          <w:lang w:val="fr-FR"/>
        </w:rPr>
        <w:t>(numéro 40 des Règles générales).</w:t>
      </w:r>
    </w:p>
    <w:p w14:paraId="71D02FAC" w14:textId="015FDC5F" w:rsidR="0057658C" w:rsidRPr="00020C58" w:rsidRDefault="00CE52FC" w:rsidP="00DD2ECE">
      <w:pPr>
        <w:spacing w:line="240" w:lineRule="auto"/>
        <w:rPr>
          <w:lang w:val="fr-FR"/>
        </w:rPr>
      </w:pPr>
      <w:r w:rsidRPr="00020C58">
        <w:rPr>
          <w:lang w:val="fr-FR"/>
        </w:rPr>
        <w:t>En outre</w:t>
      </w:r>
      <w:r w:rsidR="0057658C" w:rsidRPr="00020C58">
        <w:rPr>
          <w:lang w:val="fr-FR"/>
        </w:rPr>
        <w:t xml:space="preserve">, je </w:t>
      </w:r>
      <w:r w:rsidRPr="00020C58">
        <w:rPr>
          <w:lang w:val="fr-FR"/>
        </w:rPr>
        <w:t>souhaite</w:t>
      </w:r>
      <w:r w:rsidR="0057658C" w:rsidRPr="00020C58">
        <w:rPr>
          <w:lang w:val="fr-FR"/>
        </w:rPr>
        <w:t xml:space="preserve"> rappeler aux </w:t>
      </w:r>
      <w:r w:rsidR="00F45C5D" w:rsidRPr="00020C58">
        <w:rPr>
          <w:lang w:val="fr-FR"/>
        </w:rPr>
        <w:t>É</w:t>
      </w:r>
      <w:r w:rsidR="0057658C" w:rsidRPr="00020C58">
        <w:rPr>
          <w:lang w:val="fr-FR"/>
        </w:rPr>
        <w:t xml:space="preserve">tats Membres </w:t>
      </w:r>
      <w:r w:rsidR="00F45C5D" w:rsidRPr="00020C58">
        <w:rPr>
          <w:lang w:val="fr-FR"/>
        </w:rPr>
        <w:t xml:space="preserve">et à l'État de Palestine </w:t>
      </w:r>
      <w:r w:rsidR="0057658C" w:rsidRPr="00020C58">
        <w:rPr>
          <w:lang w:val="fr-FR"/>
        </w:rPr>
        <w:t>que, conformément à la Résolution 165 (Rév. Dubaï, 2018) de la Conférence de plénipotentiaires, le délai fixe pour la présentation de toutes les contributions est établi à vingt-et-un (21) jours calendaires au plus tard avant l'ouverture de la Conférence (</w:t>
      </w:r>
      <w:r w:rsidRPr="00020C58">
        <w:rPr>
          <w:lang w:val="fr-FR"/>
        </w:rPr>
        <w:t>c</w:t>
      </w:r>
      <w:r w:rsidR="00906453" w:rsidRPr="00020C58">
        <w:rPr>
          <w:lang w:val="fr-FR"/>
        </w:rPr>
        <w:t>'</w:t>
      </w:r>
      <w:r w:rsidRPr="00020C58">
        <w:rPr>
          <w:lang w:val="fr-FR"/>
        </w:rPr>
        <w:t xml:space="preserve">est-à-dire </w:t>
      </w:r>
      <w:r w:rsidR="0057658C" w:rsidRPr="00020C58">
        <w:rPr>
          <w:lang w:val="fr-FR"/>
        </w:rPr>
        <w:t xml:space="preserve">au </w:t>
      </w:r>
      <w:r w:rsidR="00F45C5D" w:rsidRPr="00020C58">
        <w:rPr>
          <w:b/>
          <w:bCs/>
          <w:lang w:val="fr-FR"/>
        </w:rPr>
        <w:t>30</w:t>
      </w:r>
      <w:r w:rsidR="0057658C" w:rsidRPr="00020C58">
        <w:rPr>
          <w:b/>
          <w:bCs/>
          <w:lang w:val="fr-FR"/>
        </w:rPr>
        <w:t xml:space="preserve"> octobre 20</w:t>
      </w:r>
      <w:r w:rsidR="00F45C5D" w:rsidRPr="00020C58">
        <w:rPr>
          <w:b/>
          <w:bCs/>
          <w:lang w:val="fr-FR"/>
        </w:rPr>
        <w:t>23</w:t>
      </w:r>
      <w:r w:rsidR="0057658C" w:rsidRPr="00020C58">
        <w:rPr>
          <w:lang w:val="fr-FR"/>
        </w:rPr>
        <w:t>), afin de pouvoir assurer leur traduction dans les délais voulus et leur examen approfondi par les délégations.</w:t>
      </w:r>
    </w:p>
    <w:p w14:paraId="5AC1C89A" w14:textId="66C4FCD3" w:rsidR="0057658C" w:rsidRPr="00020C58" w:rsidRDefault="0057658C" w:rsidP="00DD2ECE">
      <w:pPr>
        <w:spacing w:line="240" w:lineRule="auto"/>
        <w:rPr>
          <w:lang w:val="fr-FR"/>
        </w:rPr>
      </w:pPr>
      <w:r w:rsidRPr="00020C58">
        <w:rPr>
          <w:lang w:val="fr-FR"/>
        </w:rPr>
        <w:t xml:space="preserve">Les propositions doivent être soumises par courriel au </w:t>
      </w:r>
      <w:r w:rsidR="00CE52FC" w:rsidRPr="00020C58">
        <w:rPr>
          <w:lang w:val="fr-FR"/>
        </w:rPr>
        <w:t xml:space="preserve">secrétariat </w:t>
      </w:r>
      <w:r w:rsidRPr="00020C58">
        <w:rPr>
          <w:lang w:val="fr-FR"/>
        </w:rPr>
        <w:t xml:space="preserve">à l'adresse </w:t>
      </w:r>
      <w:hyperlink r:id="rId14" w:history="1">
        <w:r w:rsidR="009968ED" w:rsidRPr="00020C58">
          <w:rPr>
            <w:rStyle w:val="Hyperlink"/>
            <w:rFonts w:asciiTheme="minorHAnsi" w:hAnsiTheme="minorHAnsi" w:cstheme="minorHAnsi"/>
            <w:lang w:val="fr-FR"/>
          </w:rPr>
          <w:t>wrc23@itu.int</w:t>
        </w:r>
      </w:hyperlink>
      <w:r w:rsidR="00906453" w:rsidRPr="00020C58">
        <w:rPr>
          <w:rStyle w:val="Hyperlink"/>
          <w:rFonts w:asciiTheme="minorHAnsi" w:hAnsiTheme="minorHAnsi" w:cstheme="minorHAnsi"/>
          <w:lang w:val="fr-FR"/>
        </w:rPr>
        <w:t xml:space="preserve"> </w:t>
      </w:r>
      <w:r w:rsidRPr="00020C58">
        <w:rPr>
          <w:lang w:val="fr-FR"/>
        </w:rPr>
        <w:t>par le personnel accrédité ou le coordonnateur désigné de l'administration concernée.</w:t>
      </w:r>
    </w:p>
    <w:p w14:paraId="5739A42B" w14:textId="7C39163A" w:rsidR="0057658C" w:rsidRPr="00020C58" w:rsidRDefault="00CE52FC" w:rsidP="00DD2ECE">
      <w:pPr>
        <w:keepNext/>
        <w:keepLines/>
        <w:spacing w:line="240" w:lineRule="auto"/>
        <w:rPr>
          <w:lang w:val="fr-FR"/>
        </w:rPr>
      </w:pPr>
      <w:r w:rsidRPr="00020C58">
        <w:rPr>
          <w:lang w:val="fr-FR"/>
        </w:rPr>
        <w:lastRenderedPageBreak/>
        <w:t xml:space="preserve">De plus, il </w:t>
      </w:r>
      <w:r w:rsidR="0057658C" w:rsidRPr="00020C58">
        <w:rPr>
          <w:lang w:val="fr-FR"/>
        </w:rPr>
        <w:t xml:space="preserve">est instamment demandé aux </w:t>
      </w:r>
      <w:r w:rsidR="00F45C5D" w:rsidRPr="00020C58">
        <w:rPr>
          <w:lang w:val="fr-FR"/>
        </w:rPr>
        <w:t>É</w:t>
      </w:r>
      <w:r w:rsidR="0057658C" w:rsidRPr="00020C58">
        <w:rPr>
          <w:lang w:val="fr-FR"/>
        </w:rPr>
        <w:t>tats Membres et à l'</w:t>
      </w:r>
      <w:r w:rsidR="00F45C5D" w:rsidRPr="00020C58">
        <w:rPr>
          <w:lang w:val="fr-FR"/>
        </w:rPr>
        <w:t>É</w:t>
      </w:r>
      <w:r w:rsidR="0057658C" w:rsidRPr="00020C58">
        <w:rPr>
          <w:lang w:val="fr-FR"/>
        </w:rPr>
        <w:t xml:space="preserve">tat de Palestine </w:t>
      </w:r>
      <w:r w:rsidRPr="00020C58">
        <w:rPr>
          <w:lang w:val="fr-FR"/>
        </w:rPr>
        <w:t>de prêter la plus grande</w:t>
      </w:r>
      <w:r w:rsidRPr="00020C58" w:rsidDel="00CE52FC">
        <w:rPr>
          <w:lang w:val="fr-FR"/>
        </w:rPr>
        <w:t xml:space="preserve"> </w:t>
      </w:r>
      <w:r w:rsidR="0057658C" w:rsidRPr="00020C58">
        <w:rPr>
          <w:lang w:val="fr-FR"/>
        </w:rPr>
        <w:t>attention à la préparation initiale des propositions</w:t>
      </w:r>
      <w:r w:rsidRPr="00020C58">
        <w:rPr>
          <w:lang w:val="fr-FR"/>
        </w:rPr>
        <w:t xml:space="preserve">, </w:t>
      </w:r>
      <w:r w:rsidR="0057658C" w:rsidRPr="00020C58">
        <w:rPr>
          <w:lang w:val="fr-FR"/>
        </w:rPr>
        <w:t xml:space="preserve">afin </w:t>
      </w:r>
      <w:r w:rsidRPr="00020C58">
        <w:rPr>
          <w:lang w:val="fr-FR"/>
        </w:rPr>
        <w:t>qu'il ne soit pas nécessaire d</w:t>
      </w:r>
      <w:r w:rsidR="00906453" w:rsidRPr="00020C58">
        <w:rPr>
          <w:lang w:val="fr-FR"/>
        </w:rPr>
        <w:t>'</w:t>
      </w:r>
      <w:r w:rsidRPr="00020C58">
        <w:rPr>
          <w:lang w:val="fr-FR"/>
        </w:rPr>
        <w:t xml:space="preserve">apporter </w:t>
      </w:r>
      <w:r w:rsidR="0057658C" w:rsidRPr="00020C58">
        <w:rPr>
          <w:lang w:val="fr-FR"/>
        </w:rPr>
        <w:t xml:space="preserve">des révisions inutiles aux documents. Afin de respecter les </w:t>
      </w:r>
      <w:hyperlink r:id="rId15" w:anchor="8" w:history="1">
        <w:r w:rsidR="0057658C" w:rsidRPr="00020C58">
          <w:rPr>
            <w:lang w:val="fr-FR"/>
          </w:rPr>
          <w:t>numéros 41 et 42</w:t>
        </w:r>
      </w:hyperlink>
      <w:r w:rsidR="0057658C" w:rsidRPr="00020C58">
        <w:rPr>
          <w:lang w:val="fr-FR"/>
        </w:rPr>
        <w:t xml:space="preserve"> des Règles générales régissant les conférences, assemblées et réunions de l'Union en ce qui concerne</w:t>
      </w:r>
      <w:r w:rsidR="00CB1772" w:rsidRPr="00020C58">
        <w:rPr>
          <w:lang w:val="fr-FR"/>
        </w:rPr>
        <w:t xml:space="preserve"> les modalités de </w:t>
      </w:r>
      <w:r w:rsidR="0057658C" w:rsidRPr="00020C58">
        <w:rPr>
          <w:lang w:val="fr-FR"/>
        </w:rPr>
        <w:t>présentation des propositions</w:t>
      </w:r>
      <w:r w:rsidR="00906453" w:rsidRPr="00020C58">
        <w:rPr>
          <w:lang w:val="fr-FR"/>
        </w:rPr>
        <w:t xml:space="preserve"> </w:t>
      </w:r>
      <w:r w:rsidR="0057658C" w:rsidRPr="00020C58">
        <w:rPr>
          <w:lang w:val="fr-FR"/>
        </w:rPr>
        <w:t xml:space="preserve">à la Conférence, le </w:t>
      </w:r>
      <w:r w:rsidR="00CB1772" w:rsidRPr="00020C58">
        <w:rPr>
          <w:lang w:val="fr-FR"/>
        </w:rPr>
        <w:t xml:space="preserve">secrétariat </w:t>
      </w:r>
      <w:r w:rsidR="0057658C" w:rsidRPr="00020C58">
        <w:rPr>
          <w:lang w:val="fr-FR"/>
        </w:rPr>
        <w:t>a rédigé des lignes directrices</w:t>
      </w:r>
      <w:r w:rsidR="00906453" w:rsidRPr="00020C58">
        <w:rPr>
          <w:lang w:val="fr-FR"/>
        </w:rPr>
        <w:t xml:space="preserve"> </w:t>
      </w:r>
      <w:r w:rsidR="00CB1772" w:rsidRPr="00020C58">
        <w:rPr>
          <w:lang w:val="fr-FR"/>
        </w:rPr>
        <w:t xml:space="preserve">relatives à </w:t>
      </w:r>
      <w:r w:rsidR="0057658C" w:rsidRPr="00020C58">
        <w:rPr>
          <w:lang w:val="fr-FR"/>
        </w:rPr>
        <w:t>la présentation des propositions à la CMR-</w:t>
      </w:r>
      <w:r w:rsidR="00F45C5D" w:rsidRPr="00020C58">
        <w:rPr>
          <w:lang w:val="fr-FR"/>
        </w:rPr>
        <w:t>23</w:t>
      </w:r>
      <w:r w:rsidR="0057658C" w:rsidRPr="00020C58">
        <w:rPr>
          <w:lang w:val="fr-FR"/>
        </w:rPr>
        <w:t xml:space="preserve">, </w:t>
      </w:r>
      <w:r w:rsidR="00CB1772" w:rsidRPr="00020C58">
        <w:rPr>
          <w:lang w:val="fr-FR"/>
        </w:rPr>
        <w:t>que l'on peut consulter</w:t>
      </w:r>
      <w:r w:rsidR="0057658C" w:rsidRPr="00020C58">
        <w:rPr>
          <w:lang w:val="fr-FR"/>
        </w:rPr>
        <w:t xml:space="preserve"> sur le </w:t>
      </w:r>
      <w:hyperlink r:id="rId16" w:history="1">
        <w:r w:rsidR="0057658C" w:rsidRPr="00020C58">
          <w:rPr>
            <w:rStyle w:val="Hyperlink"/>
            <w:lang w:val="fr-FR"/>
          </w:rPr>
          <w:t>site web de la CMR-</w:t>
        </w:r>
        <w:r w:rsidR="00F45C5D" w:rsidRPr="00020C58">
          <w:rPr>
            <w:rStyle w:val="Hyperlink"/>
            <w:lang w:val="fr-FR"/>
          </w:rPr>
          <w:t>23</w:t>
        </w:r>
      </w:hyperlink>
      <w:r w:rsidR="00F45C5D" w:rsidRPr="00020C58">
        <w:rPr>
          <w:lang w:val="fr-FR"/>
        </w:rPr>
        <w:t>.</w:t>
      </w:r>
    </w:p>
    <w:p w14:paraId="595BF8DC" w14:textId="7D029669" w:rsidR="0057658C" w:rsidRPr="00020C58" w:rsidRDefault="0057658C" w:rsidP="00DD2ECE">
      <w:pPr>
        <w:spacing w:line="240" w:lineRule="auto"/>
        <w:rPr>
          <w:lang w:val="fr-FR"/>
        </w:rPr>
      </w:pPr>
      <w:r w:rsidRPr="00020C58">
        <w:rPr>
          <w:b/>
          <w:bCs/>
          <w:lang w:val="fr-FR"/>
        </w:rPr>
        <w:t>L</w:t>
      </w:r>
      <w:r w:rsidRPr="00020C58">
        <w:rPr>
          <w:lang w:val="fr-FR"/>
        </w:rPr>
        <w:t>'</w:t>
      </w:r>
      <w:r w:rsidRPr="00020C58">
        <w:rPr>
          <w:b/>
          <w:bCs/>
          <w:lang w:val="fr-FR"/>
        </w:rPr>
        <w:t>Interface pour les propositions aux conférences (CPI) en vue de la CMR-</w:t>
      </w:r>
      <w:r w:rsidR="00F45C5D" w:rsidRPr="00020C58">
        <w:rPr>
          <w:b/>
          <w:bCs/>
          <w:lang w:val="fr-FR"/>
        </w:rPr>
        <w:t>23</w:t>
      </w:r>
      <w:r w:rsidRPr="00020C58">
        <w:rPr>
          <w:lang w:val="fr-FR"/>
        </w:rPr>
        <w:t xml:space="preserve">, outil électronique destiné à faciliter la préparation des propositions </w:t>
      </w:r>
      <w:r w:rsidR="00CB1772" w:rsidRPr="00020C58">
        <w:rPr>
          <w:lang w:val="fr-FR"/>
        </w:rPr>
        <w:t>présentées à la Conférence</w:t>
      </w:r>
      <w:r w:rsidRPr="00020C58">
        <w:rPr>
          <w:lang w:val="fr-FR"/>
        </w:rPr>
        <w:t xml:space="preserve">, est disponible </w:t>
      </w:r>
      <w:r w:rsidR="00CB1772" w:rsidRPr="00020C58">
        <w:rPr>
          <w:lang w:val="fr-FR"/>
        </w:rPr>
        <w:t xml:space="preserve">sur le site web de la CMR-23 et </w:t>
      </w:r>
      <w:r w:rsidRPr="00020C58">
        <w:rPr>
          <w:lang w:val="fr-FR"/>
        </w:rPr>
        <w:t xml:space="preserve">à l'adresse </w:t>
      </w:r>
      <w:hyperlink r:id="rId17" w:history="1">
        <w:r w:rsidR="00CB1772" w:rsidRPr="00020C58">
          <w:rPr>
            <w:rStyle w:val="Hyperlink"/>
            <w:rFonts w:asciiTheme="minorHAnsi" w:hAnsiTheme="minorHAnsi" w:cstheme="minorHAnsi"/>
            <w:lang w:val="fr-FR"/>
          </w:rPr>
          <w:t>https://www.itu.int/net4/proposals/CPI/WRC23</w:t>
        </w:r>
      </w:hyperlink>
      <w:r w:rsidRPr="00020C58">
        <w:rPr>
          <w:lang w:val="fr-FR"/>
        </w:rPr>
        <w:t>, avec son guide de l'utilisateur.</w:t>
      </w:r>
    </w:p>
    <w:p w14:paraId="3866F7B3" w14:textId="5E38AE83" w:rsidR="0057658C" w:rsidRPr="00020C58" w:rsidRDefault="0057658C" w:rsidP="0060601B">
      <w:pPr>
        <w:pStyle w:val="Headingb"/>
        <w:spacing w:line="240" w:lineRule="auto"/>
        <w:jc w:val="left"/>
        <w:rPr>
          <w:lang w:val="fr-FR"/>
        </w:rPr>
      </w:pPr>
      <w:r w:rsidRPr="00020C58">
        <w:rPr>
          <w:lang w:val="fr-FR"/>
        </w:rPr>
        <w:t>Disponibilité des documents établis avant et pendant la CMR</w:t>
      </w:r>
      <w:r w:rsidRPr="00020C58">
        <w:rPr>
          <w:lang w:val="fr-FR"/>
        </w:rPr>
        <w:noBreakHyphen/>
      </w:r>
      <w:r w:rsidR="00F45C5D" w:rsidRPr="00020C58">
        <w:rPr>
          <w:lang w:val="fr-FR"/>
        </w:rPr>
        <w:t>23</w:t>
      </w:r>
    </w:p>
    <w:p w14:paraId="61395775" w14:textId="2EF4F1FF" w:rsidR="0057658C" w:rsidRPr="00020C58" w:rsidRDefault="0057658C" w:rsidP="00DD2ECE">
      <w:pPr>
        <w:spacing w:line="240" w:lineRule="auto"/>
        <w:rPr>
          <w:lang w:val="fr-FR"/>
        </w:rPr>
      </w:pPr>
      <w:r w:rsidRPr="00020C58">
        <w:rPr>
          <w:rFonts w:eastAsia="MS PGothic"/>
          <w:lang w:val="fr-FR" w:eastAsia="zh-CN"/>
        </w:rPr>
        <w:t>Conformément au numéro 8 de l'Annexe 2 de la Décision 5 (Rév. Dubaï, 2018) de la Conférence de plénipotentiaires</w:t>
      </w:r>
      <w:r w:rsidR="00CB1772" w:rsidRPr="00020C58">
        <w:rPr>
          <w:rFonts w:eastAsia="MS PGothic"/>
          <w:lang w:val="fr-FR" w:eastAsia="zh-CN"/>
        </w:rPr>
        <w:t>,</w:t>
      </w:r>
      <w:r w:rsidRPr="00020C58">
        <w:rPr>
          <w:rFonts w:eastAsia="MS PGothic"/>
          <w:lang w:val="fr-FR" w:eastAsia="zh-CN"/>
        </w:rPr>
        <w:t xml:space="preserve"> et afin de réduire le coût de la documentation des conférences de l'UIT, </w:t>
      </w:r>
      <w:r w:rsidRPr="00020C58">
        <w:rPr>
          <w:rFonts w:eastAsia="MS PGothic"/>
          <w:b/>
          <w:bCs/>
          <w:lang w:val="fr-FR" w:eastAsia="zh-CN"/>
        </w:rPr>
        <w:t>la CMR</w:t>
      </w:r>
      <w:r w:rsidRPr="00020C58">
        <w:rPr>
          <w:rFonts w:eastAsia="MS PGothic"/>
          <w:b/>
          <w:bCs/>
          <w:lang w:val="fr-FR" w:eastAsia="zh-CN"/>
        </w:rPr>
        <w:noBreakHyphen/>
      </w:r>
      <w:r w:rsidR="00F45C5D" w:rsidRPr="00020C58">
        <w:rPr>
          <w:rFonts w:eastAsia="MS PGothic"/>
          <w:b/>
          <w:bCs/>
          <w:lang w:val="fr-FR" w:eastAsia="zh-CN"/>
        </w:rPr>
        <w:t>23</w:t>
      </w:r>
      <w:r w:rsidRPr="00020C58">
        <w:rPr>
          <w:b/>
          <w:bCs/>
          <w:lang w:val="fr-FR"/>
        </w:rPr>
        <w:t xml:space="preserve"> se déroulera sans</w:t>
      </w:r>
      <w:r w:rsidR="00A67277" w:rsidRPr="00020C58">
        <w:rPr>
          <w:b/>
          <w:bCs/>
          <w:lang w:val="fr-FR"/>
        </w:rPr>
        <w:t xml:space="preserve"> </w:t>
      </w:r>
      <w:r w:rsidRPr="00020C58">
        <w:rPr>
          <w:b/>
          <w:bCs/>
          <w:lang w:val="fr-FR"/>
        </w:rPr>
        <w:t>document papier</w:t>
      </w:r>
      <w:r w:rsidRPr="00020C58">
        <w:rPr>
          <w:rFonts w:eastAsia="MS PGothic"/>
          <w:lang w:val="fr-FR" w:eastAsia="zh-CN"/>
        </w:rPr>
        <w:t xml:space="preserve">. </w:t>
      </w:r>
      <w:r w:rsidRPr="00020C58">
        <w:rPr>
          <w:lang w:val="fr-FR"/>
        </w:rPr>
        <w:t xml:space="preserve">Tous les documents seront </w:t>
      </w:r>
      <w:r w:rsidR="00CB1772" w:rsidRPr="00020C58">
        <w:rPr>
          <w:lang w:val="fr-FR"/>
        </w:rPr>
        <w:t xml:space="preserve">disponibles </w:t>
      </w:r>
      <w:r w:rsidRPr="00020C58">
        <w:rPr>
          <w:lang w:val="fr-FR"/>
        </w:rPr>
        <w:t>sous forme électronique sur le site web de la CMR</w:t>
      </w:r>
      <w:r w:rsidRPr="00020C58">
        <w:rPr>
          <w:lang w:val="fr-FR"/>
        </w:rPr>
        <w:noBreakHyphen/>
      </w:r>
      <w:r w:rsidR="00F45C5D" w:rsidRPr="00020C58">
        <w:rPr>
          <w:lang w:val="fr-FR"/>
        </w:rPr>
        <w:t>23</w:t>
      </w:r>
      <w:r w:rsidRPr="00020C58">
        <w:rPr>
          <w:lang w:val="fr-FR"/>
        </w:rPr>
        <w:t xml:space="preserve">, y compris les Actes finals provisoires de la Conférence, qui seront mis à </w:t>
      </w:r>
      <w:r w:rsidRPr="00020C58">
        <w:rPr>
          <w:color w:val="000000"/>
          <w:lang w:val="fr-FR"/>
        </w:rPr>
        <w:t>disposition sur support électronique uniquement.</w:t>
      </w:r>
    </w:p>
    <w:p w14:paraId="6FDCFDA4" w14:textId="05F48906" w:rsidR="0057658C" w:rsidRPr="00020C58" w:rsidRDefault="0057658C" w:rsidP="00DD2ECE">
      <w:pPr>
        <w:spacing w:line="240" w:lineRule="auto"/>
        <w:rPr>
          <w:lang w:val="fr-FR"/>
        </w:rPr>
      </w:pPr>
      <w:r w:rsidRPr="00020C58">
        <w:rPr>
          <w:lang w:val="fr-FR"/>
        </w:rPr>
        <w:t xml:space="preserve">Des équipements de réseau local hertzien seront </w:t>
      </w:r>
      <w:r w:rsidR="00A67277" w:rsidRPr="00020C58">
        <w:rPr>
          <w:lang w:val="fr-FR"/>
        </w:rPr>
        <w:t xml:space="preserve">mis </w:t>
      </w:r>
      <w:r w:rsidRPr="00020C58">
        <w:rPr>
          <w:lang w:val="fr-FR"/>
        </w:rPr>
        <w:t>à la disposition des délégués dans les salles de réunion.</w:t>
      </w:r>
    </w:p>
    <w:p w14:paraId="0BFB6A20" w14:textId="16C42480" w:rsidR="0057658C" w:rsidRPr="00020C58" w:rsidRDefault="0057658C" w:rsidP="00DD2ECE">
      <w:pPr>
        <w:spacing w:line="240" w:lineRule="auto"/>
        <w:rPr>
          <w:lang w:val="fr-FR"/>
        </w:rPr>
      </w:pPr>
      <w:r w:rsidRPr="00020C58">
        <w:rPr>
          <w:lang w:val="fr-FR"/>
        </w:rPr>
        <w:t>Le Système de gestion des propositions soumises à la CMR-</w:t>
      </w:r>
      <w:r w:rsidR="00F45C5D" w:rsidRPr="00020C58">
        <w:rPr>
          <w:lang w:val="fr-FR"/>
        </w:rPr>
        <w:t>23</w:t>
      </w:r>
      <w:r w:rsidRPr="00020C58">
        <w:rPr>
          <w:lang w:val="fr-FR"/>
        </w:rPr>
        <w:t xml:space="preserve">, qui </w:t>
      </w:r>
      <w:r w:rsidRPr="00020C58">
        <w:rPr>
          <w:color w:val="000000"/>
          <w:lang w:val="fr-FR"/>
        </w:rPr>
        <w:t>facilite l'accès en ligne aux propositions pour les travaux de la Conférence, sera également mis à disposition sur le site web de la Conférence, avec d'autres outils électroniques.</w:t>
      </w:r>
    </w:p>
    <w:p w14:paraId="472316AE" w14:textId="3C6ED964" w:rsidR="0057658C" w:rsidRPr="00020C58" w:rsidRDefault="0057658C" w:rsidP="00DD2ECE">
      <w:pPr>
        <w:rPr>
          <w:shd w:val="clear" w:color="auto" w:fill="FFFFFF"/>
          <w:lang w:val="fr-FR"/>
        </w:rPr>
      </w:pPr>
      <w:r w:rsidRPr="00020C58">
        <w:rPr>
          <w:shd w:val="clear" w:color="auto" w:fill="FFFFFF"/>
          <w:lang w:val="fr-FR"/>
        </w:rPr>
        <w:t xml:space="preserve">Un </w:t>
      </w:r>
      <w:hyperlink r:id="rId18" w:history="1">
        <w:r w:rsidRPr="00020C58">
          <w:rPr>
            <w:lang w:val="fr-FR"/>
          </w:rPr>
          <w:t>compte</w:t>
        </w:r>
        <w:r w:rsidR="00A67277" w:rsidRPr="00020C58">
          <w:rPr>
            <w:lang w:val="fr-FR"/>
          </w:rPr>
          <w:t xml:space="preserve"> utilisateur UIT avec</w:t>
        </w:r>
      </w:hyperlink>
      <w:r w:rsidR="00685941" w:rsidRPr="00020C58">
        <w:rPr>
          <w:shd w:val="clear" w:color="auto" w:fill="FFFFFF"/>
          <w:lang w:val="fr-FR"/>
        </w:rPr>
        <w:t xml:space="preserve"> </w:t>
      </w:r>
      <w:hyperlink r:id="rId19" w:history="1">
        <w:r w:rsidR="00685941" w:rsidRPr="00020C58">
          <w:rPr>
            <w:rStyle w:val="Hyperlink"/>
            <w:shd w:val="clear" w:color="auto" w:fill="FFFFFF"/>
            <w:lang w:val="fr-FR"/>
          </w:rPr>
          <w:t>accès TIES</w:t>
        </w:r>
      </w:hyperlink>
      <w:r w:rsidRPr="00020C58">
        <w:rPr>
          <w:shd w:val="clear" w:color="auto" w:fill="FFFFFF"/>
          <w:lang w:val="fr-FR"/>
        </w:rPr>
        <w:t xml:space="preserve"> nécessaire pour accéder aux documents de la CMR</w:t>
      </w:r>
      <w:r w:rsidRPr="00020C58">
        <w:rPr>
          <w:shd w:val="clear" w:color="auto" w:fill="FFFFFF"/>
          <w:lang w:val="fr-FR"/>
        </w:rPr>
        <w:noBreakHyphen/>
      </w:r>
      <w:r w:rsidR="00F45C5D" w:rsidRPr="00020C58">
        <w:rPr>
          <w:shd w:val="clear" w:color="auto" w:fill="FFFFFF"/>
          <w:lang w:val="fr-FR"/>
        </w:rPr>
        <w:t>23</w:t>
      </w:r>
      <w:r w:rsidRPr="00020C58">
        <w:rPr>
          <w:shd w:val="clear" w:color="auto" w:fill="FFFFFF"/>
          <w:lang w:val="fr-FR"/>
        </w:rPr>
        <w:t xml:space="preserve"> et à d'autres ressources électroniques.</w:t>
      </w:r>
    </w:p>
    <w:p w14:paraId="2829EEE0" w14:textId="2842688C" w:rsidR="0057658C" w:rsidRPr="00020C58" w:rsidRDefault="0057658C" w:rsidP="0060601B">
      <w:pPr>
        <w:pStyle w:val="Headingb"/>
        <w:spacing w:line="240" w:lineRule="auto"/>
        <w:jc w:val="left"/>
        <w:rPr>
          <w:lang w:val="fr-FR"/>
        </w:rPr>
      </w:pPr>
      <w:r w:rsidRPr="00020C58">
        <w:rPr>
          <w:lang w:val="fr-FR"/>
        </w:rPr>
        <w:t>Exercice des droits et pouvoirs pour la Conférence</w:t>
      </w:r>
    </w:p>
    <w:p w14:paraId="6BBDBCCC" w14:textId="67512238" w:rsidR="0057658C" w:rsidRPr="00020C58" w:rsidRDefault="0057658C" w:rsidP="00DD2ECE">
      <w:pPr>
        <w:spacing w:line="240" w:lineRule="auto"/>
        <w:rPr>
          <w:lang w:val="fr-FR"/>
        </w:rPr>
      </w:pPr>
      <w:r w:rsidRPr="00020C58">
        <w:rPr>
          <w:lang w:val="fr-FR"/>
        </w:rPr>
        <w:t xml:space="preserve">Veuillez en outre noter que pour </w:t>
      </w:r>
      <w:r w:rsidR="00A67277" w:rsidRPr="00020C58">
        <w:rPr>
          <w:rFonts w:ascii="Segoe UI" w:hAnsi="Segoe UI" w:cs="Segoe UI"/>
          <w:color w:val="000000"/>
          <w:sz w:val="20"/>
          <w:szCs w:val="20"/>
          <w:shd w:val="clear" w:color="auto" w:fill="FFFFFF"/>
          <w:lang w:val="fr-FR"/>
        </w:rPr>
        <w:t>pouvoir exercer pleinement</w:t>
      </w:r>
      <w:r w:rsidR="00A67277" w:rsidRPr="00020C58">
        <w:rPr>
          <w:lang w:val="fr-FR"/>
        </w:rPr>
        <w:t xml:space="preserve"> </w:t>
      </w:r>
      <w:r w:rsidRPr="00020C58">
        <w:rPr>
          <w:lang w:val="fr-FR"/>
        </w:rPr>
        <w:t>leur</w:t>
      </w:r>
      <w:r w:rsidR="00A67277" w:rsidRPr="00020C58">
        <w:rPr>
          <w:lang w:val="fr-FR"/>
        </w:rPr>
        <w:t>s</w:t>
      </w:r>
      <w:r w:rsidRPr="00020C58">
        <w:rPr>
          <w:lang w:val="fr-FR"/>
        </w:rPr>
        <w:t xml:space="preserve"> droit</w:t>
      </w:r>
      <w:r w:rsidR="00A67277" w:rsidRPr="00020C58">
        <w:rPr>
          <w:lang w:val="fr-FR"/>
        </w:rPr>
        <w:t>s</w:t>
      </w:r>
      <w:r w:rsidRPr="00020C58">
        <w:rPr>
          <w:lang w:val="fr-FR"/>
        </w:rPr>
        <w:t xml:space="preserve"> souverain</w:t>
      </w:r>
      <w:r w:rsidR="00A67277" w:rsidRPr="00020C58">
        <w:rPr>
          <w:lang w:val="fr-FR"/>
        </w:rPr>
        <w:t>s</w:t>
      </w:r>
      <w:r w:rsidRPr="00020C58">
        <w:rPr>
          <w:lang w:val="fr-FR"/>
        </w:rPr>
        <w:t xml:space="preserve"> à la Conférence, les </w:t>
      </w:r>
      <w:r w:rsidR="00F45C5D" w:rsidRPr="00020C58">
        <w:rPr>
          <w:lang w:val="fr-FR"/>
        </w:rPr>
        <w:t>É</w:t>
      </w:r>
      <w:r w:rsidRPr="00020C58">
        <w:rPr>
          <w:lang w:val="fr-FR"/>
        </w:rPr>
        <w:t xml:space="preserve">tats Membres doivent s'assurer qu'ils disposent toujours de leur droit de vote, conformément aux numéros 169 et 210 de la Constitution, et que les délégations qui les représenteront à la Conférence seront dûment accréditées, </w:t>
      </w:r>
      <w:r w:rsidR="00A67277" w:rsidRPr="00020C58">
        <w:rPr>
          <w:lang w:val="fr-FR"/>
        </w:rPr>
        <w:t>en application de l</w:t>
      </w:r>
      <w:r w:rsidR="00906453" w:rsidRPr="00020C58">
        <w:rPr>
          <w:lang w:val="fr-FR"/>
        </w:rPr>
        <w:t>'</w:t>
      </w:r>
      <w:r w:rsidR="00A67277" w:rsidRPr="00020C58">
        <w:rPr>
          <w:lang w:val="fr-FR"/>
        </w:rPr>
        <w:t>Article</w:t>
      </w:r>
      <w:r w:rsidRPr="00020C58">
        <w:rPr>
          <w:lang w:val="fr-FR"/>
        </w:rPr>
        <w:t xml:space="preserve"> 31 de la Convention.</w:t>
      </w:r>
    </w:p>
    <w:p w14:paraId="1B7C061F" w14:textId="1B00C46F" w:rsidR="005B1E53" w:rsidRPr="00020C58" w:rsidRDefault="005B1E53" w:rsidP="00DD2ECE">
      <w:pPr>
        <w:spacing w:line="240" w:lineRule="auto"/>
        <w:rPr>
          <w:lang w:val="fr-FR"/>
        </w:rPr>
      </w:pPr>
      <w:r w:rsidRPr="00020C58">
        <w:rPr>
          <w:lang w:val="fr-FR"/>
        </w:rPr>
        <w:t>De plus amples informations sur la soumission des pouvoirs pour la CMR-</w:t>
      </w:r>
      <w:r w:rsidR="00A67277" w:rsidRPr="00020C58">
        <w:rPr>
          <w:lang w:val="fr-FR"/>
        </w:rPr>
        <w:t xml:space="preserve">23 </w:t>
      </w:r>
      <w:r w:rsidRPr="00020C58">
        <w:rPr>
          <w:lang w:val="fr-FR"/>
        </w:rPr>
        <w:t xml:space="preserve">seront envoyées </w:t>
      </w:r>
      <w:r w:rsidR="009968ED" w:rsidRPr="00020C58">
        <w:rPr>
          <w:lang w:val="fr-FR"/>
        </w:rPr>
        <w:t xml:space="preserve">séparément </w:t>
      </w:r>
      <w:r w:rsidRPr="00020C58">
        <w:rPr>
          <w:lang w:val="fr-FR"/>
        </w:rPr>
        <w:t xml:space="preserve">aux </w:t>
      </w:r>
      <w:r w:rsidR="0060601B" w:rsidRPr="00020C58">
        <w:rPr>
          <w:lang w:val="fr-FR"/>
        </w:rPr>
        <w:t>États</w:t>
      </w:r>
      <w:r w:rsidR="00A67277" w:rsidRPr="00020C58">
        <w:rPr>
          <w:lang w:val="fr-FR"/>
        </w:rPr>
        <w:t xml:space="preserve"> </w:t>
      </w:r>
      <w:r w:rsidRPr="00020C58">
        <w:rPr>
          <w:lang w:val="fr-FR"/>
        </w:rPr>
        <w:t>Membres.</w:t>
      </w:r>
    </w:p>
    <w:p w14:paraId="3AB79C34" w14:textId="3516BBDD" w:rsidR="005B1E53" w:rsidRPr="00020C58" w:rsidRDefault="00A67277" w:rsidP="0060601B">
      <w:pPr>
        <w:pStyle w:val="Headingb"/>
        <w:spacing w:line="240" w:lineRule="auto"/>
        <w:jc w:val="left"/>
        <w:rPr>
          <w:lang w:val="fr-FR"/>
        </w:rPr>
      </w:pPr>
      <w:r w:rsidRPr="00020C58">
        <w:rPr>
          <w:lang w:val="fr-FR"/>
        </w:rPr>
        <w:t>I</w:t>
      </w:r>
      <w:r w:rsidR="005B1E53" w:rsidRPr="00020C58">
        <w:rPr>
          <w:lang w:val="fr-FR"/>
        </w:rPr>
        <w:t>nterprétation et diffusion sur le web</w:t>
      </w:r>
    </w:p>
    <w:p w14:paraId="5204927E" w14:textId="331F4991" w:rsidR="005B1E53" w:rsidRPr="00020C58" w:rsidRDefault="005B1E53" w:rsidP="00DD2ECE">
      <w:pPr>
        <w:spacing w:line="240" w:lineRule="auto"/>
        <w:rPr>
          <w:lang w:val="fr-FR"/>
        </w:rPr>
      </w:pPr>
      <w:r w:rsidRPr="00020C58">
        <w:rPr>
          <w:lang w:val="fr-FR"/>
        </w:rPr>
        <w:t>Un service d'interprétation simultanée dans les six langues officielles de l'Union sera assuré</w:t>
      </w:r>
      <w:r w:rsidR="00A67277" w:rsidRPr="00020C58">
        <w:rPr>
          <w:lang w:val="fr-FR"/>
        </w:rPr>
        <w:t xml:space="preserve"> pour les séances plénières, les séances des commissions et les séances des groupes de travail, qui </w:t>
      </w:r>
      <w:r w:rsidRPr="00020C58">
        <w:rPr>
          <w:lang w:val="fr-FR"/>
        </w:rPr>
        <w:t xml:space="preserve">seront </w:t>
      </w:r>
      <w:r w:rsidR="00A67277" w:rsidRPr="00020C58">
        <w:rPr>
          <w:lang w:val="fr-FR"/>
        </w:rPr>
        <w:t>également</w:t>
      </w:r>
      <w:r w:rsidRPr="00020C58">
        <w:rPr>
          <w:lang w:val="fr-FR"/>
        </w:rPr>
        <w:t xml:space="preserve"> diffusées sur le web et enregistrées dans les six langues pour visionnage pendant et après </w:t>
      </w:r>
      <w:r w:rsidR="00A67277" w:rsidRPr="00020C58">
        <w:rPr>
          <w:lang w:val="fr-FR"/>
        </w:rPr>
        <w:t>les séances</w:t>
      </w:r>
      <w:r w:rsidR="00685941" w:rsidRPr="00020C58">
        <w:rPr>
          <w:lang w:val="fr-FR"/>
        </w:rPr>
        <w:t>.</w:t>
      </w:r>
    </w:p>
    <w:p w14:paraId="6900CB81" w14:textId="2E00279A" w:rsidR="0057658C" w:rsidRPr="00020C58" w:rsidRDefault="0057658C" w:rsidP="0060601B">
      <w:pPr>
        <w:pStyle w:val="Headingb"/>
        <w:spacing w:line="240" w:lineRule="auto"/>
        <w:jc w:val="left"/>
        <w:rPr>
          <w:bCs/>
          <w:sz w:val="22"/>
          <w:lang w:val="fr-FR" w:eastAsia="zh-CN"/>
        </w:rPr>
      </w:pPr>
      <w:r w:rsidRPr="00020C58">
        <w:rPr>
          <w:lang w:val="fr-FR"/>
        </w:rPr>
        <w:t>Inscription et demande</w:t>
      </w:r>
      <w:r w:rsidR="00A67277" w:rsidRPr="00020C58">
        <w:rPr>
          <w:lang w:val="fr-FR"/>
        </w:rPr>
        <w:t>s</w:t>
      </w:r>
      <w:r w:rsidRPr="00020C58">
        <w:rPr>
          <w:lang w:val="fr-FR"/>
        </w:rPr>
        <w:t xml:space="preserve"> de visa</w:t>
      </w:r>
    </w:p>
    <w:p w14:paraId="5E8BF532" w14:textId="10F8370B" w:rsidR="0057658C" w:rsidRPr="00020C58" w:rsidRDefault="0057658C" w:rsidP="00DD2ECE">
      <w:pPr>
        <w:spacing w:line="240" w:lineRule="auto"/>
        <w:rPr>
          <w:color w:val="000000"/>
          <w:lang w:val="fr-FR"/>
        </w:rPr>
      </w:pPr>
      <w:r w:rsidRPr="00020C58">
        <w:rPr>
          <w:lang w:val="fr-FR"/>
        </w:rPr>
        <w:t>L'inscription à la CMR-</w:t>
      </w:r>
      <w:r w:rsidR="005B1E53" w:rsidRPr="00020C58">
        <w:rPr>
          <w:lang w:val="fr-FR"/>
        </w:rPr>
        <w:t>23</w:t>
      </w:r>
      <w:r w:rsidRPr="00020C58">
        <w:rPr>
          <w:lang w:val="fr-FR"/>
        </w:rPr>
        <w:t xml:space="preserve"> débutera </w:t>
      </w:r>
      <w:r w:rsidR="007510C7" w:rsidRPr="00020C58">
        <w:rPr>
          <w:lang w:val="fr-FR"/>
        </w:rPr>
        <w:t xml:space="preserve">au plus tard </w:t>
      </w:r>
      <w:r w:rsidRPr="00020C58">
        <w:rPr>
          <w:lang w:val="fr-FR"/>
        </w:rPr>
        <w:t>en juin 20</w:t>
      </w:r>
      <w:r w:rsidR="005B1E53" w:rsidRPr="00020C58">
        <w:rPr>
          <w:lang w:val="fr-FR"/>
        </w:rPr>
        <w:t>23</w:t>
      </w:r>
      <w:r w:rsidRPr="00020C58">
        <w:rPr>
          <w:color w:val="000000"/>
          <w:lang w:val="fr-FR"/>
        </w:rPr>
        <w:t xml:space="preserve">. </w:t>
      </w:r>
      <w:r w:rsidRPr="00020C58">
        <w:rPr>
          <w:lang w:val="fr-FR"/>
        </w:rPr>
        <w:t xml:space="preserve">L'inscription préalable à la </w:t>
      </w:r>
      <w:r w:rsidR="007510C7" w:rsidRPr="00020C58">
        <w:rPr>
          <w:lang w:val="fr-FR"/>
        </w:rPr>
        <w:t>CMR</w:t>
      </w:r>
      <w:r w:rsidR="00804495" w:rsidRPr="00020C58">
        <w:rPr>
          <w:lang w:val="fr-FR"/>
        </w:rPr>
        <w:noBreakHyphen/>
      </w:r>
      <w:r w:rsidR="007510C7" w:rsidRPr="00020C58">
        <w:rPr>
          <w:lang w:val="fr-FR"/>
        </w:rPr>
        <w:t>23</w:t>
      </w:r>
      <w:r w:rsidR="00804495" w:rsidRPr="00020C58">
        <w:rPr>
          <w:lang w:val="fr-FR"/>
        </w:rPr>
        <w:t xml:space="preserve"> </w:t>
      </w:r>
      <w:r w:rsidRPr="00020C58">
        <w:rPr>
          <w:lang w:val="fr-FR"/>
        </w:rPr>
        <w:t>est obligatoire et s'effectue</w:t>
      </w:r>
      <w:r w:rsidR="007510C7" w:rsidRPr="00020C58">
        <w:rPr>
          <w:lang w:val="fr-FR"/>
        </w:rPr>
        <w:t>ra</w:t>
      </w:r>
      <w:r w:rsidRPr="00020C58">
        <w:rPr>
          <w:lang w:val="fr-FR"/>
        </w:rPr>
        <w:t xml:space="preserve"> exclusivement en ligne par l'intermédiaire des coordonnateurs désignés </w:t>
      </w:r>
      <w:r w:rsidRPr="00020C58">
        <w:rPr>
          <w:color w:val="000000"/>
          <w:lang w:val="fr-FR"/>
        </w:rPr>
        <w:t xml:space="preserve">chargés de l'inscription aux réunions et manifestations de l'UIT-R. De plus amples informations seront mises à disposition en temps voulu sur le </w:t>
      </w:r>
      <w:hyperlink r:id="rId20" w:history="1">
        <w:r w:rsidRPr="00020C58">
          <w:rPr>
            <w:rStyle w:val="Hyperlink"/>
            <w:lang w:val="fr-FR"/>
          </w:rPr>
          <w:t>site web de la CMR-</w:t>
        </w:r>
      </w:hyperlink>
      <w:r w:rsidR="005B1E53" w:rsidRPr="00020C58">
        <w:rPr>
          <w:rStyle w:val="Hyperlink"/>
          <w:lang w:val="fr-FR"/>
        </w:rPr>
        <w:t>23</w:t>
      </w:r>
      <w:r w:rsidRPr="00020C58">
        <w:rPr>
          <w:color w:val="000000"/>
          <w:lang w:val="fr-FR"/>
        </w:rPr>
        <w:t>.</w:t>
      </w:r>
    </w:p>
    <w:p w14:paraId="50FD7044" w14:textId="2ED562F0" w:rsidR="0057658C" w:rsidRPr="00020C58" w:rsidRDefault="0057658C" w:rsidP="00DD2ECE">
      <w:pPr>
        <w:keepNext/>
        <w:keepLines/>
        <w:spacing w:line="240" w:lineRule="auto"/>
        <w:rPr>
          <w:color w:val="000000"/>
          <w:lang w:val="fr-FR"/>
        </w:rPr>
      </w:pPr>
      <w:r w:rsidRPr="00020C58">
        <w:rPr>
          <w:color w:val="000000"/>
          <w:lang w:val="fr-FR"/>
        </w:rPr>
        <w:lastRenderedPageBreak/>
        <w:t xml:space="preserve">Veuillez noter qu'il n'est pas possible d'obtenir un visa pour se rendre </w:t>
      </w:r>
      <w:r w:rsidR="005B1E53" w:rsidRPr="00020C58">
        <w:rPr>
          <w:color w:val="000000"/>
          <w:lang w:val="fr-FR"/>
        </w:rPr>
        <w:t>aux</w:t>
      </w:r>
      <w:r w:rsidRPr="00020C58">
        <w:rPr>
          <w:color w:val="000000"/>
          <w:lang w:val="fr-FR"/>
        </w:rPr>
        <w:t xml:space="preserve"> </w:t>
      </w:r>
      <w:r w:rsidR="005B1E53" w:rsidRPr="00020C58">
        <w:rPr>
          <w:caps/>
          <w:color w:val="000000"/>
          <w:lang w:val="fr-FR"/>
        </w:rPr>
        <w:t>é</w:t>
      </w:r>
      <w:r w:rsidR="005B1E53" w:rsidRPr="00020C58">
        <w:rPr>
          <w:color w:val="000000"/>
          <w:lang w:val="fr-FR"/>
        </w:rPr>
        <w:t>mirats arabes unis</w:t>
      </w:r>
      <w:r w:rsidRPr="00020C58">
        <w:rPr>
          <w:color w:val="000000"/>
          <w:lang w:val="fr-FR"/>
        </w:rPr>
        <w:t xml:space="preserve"> </w:t>
      </w:r>
      <w:r w:rsidR="007510C7" w:rsidRPr="00020C58">
        <w:rPr>
          <w:color w:val="000000"/>
          <w:lang w:val="fr-FR"/>
        </w:rPr>
        <w:t xml:space="preserve">(EAU) </w:t>
      </w:r>
      <w:r w:rsidRPr="00020C58">
        <w:rPr>
          <w:color w:val="000000"/>
          <w:lang w:val="fr-FR"/>
        </w:rPr>
        <w:t xml:space="preserve">par l'intermédiaire du </w:t>
      </w:r>
      <w:r w:rsidR="007510C7" w:rsidRPr="00020C58">
        <w:rPr>
          <w:color w:val="000000"/>
          <w:lang w:val="fr-FR"/>
        </w:rPr>
        <w:t xml:space="preserve">secrétariat </w:t>
      </w:r>
      <w:r w:rsidRPr="00020C58">
        <w:rPr>
          <w:color w:val="000000"/>
          <w:lang w:val="fr-FR"/>
        </w:rPr>
        <w:t xml:space="preserve">de l'UIT. </w:t>
      </w:r>
      <w:r w:rsidR="005B1E53" w:rsidRPr="00020C58">
        <w:rPr>
          <w:color w:val="000000"/>
          <w:lang w:val="fr-FR"/>
        </w:rPr>
        <w:t xml:space="preserve">La confirmation de votre inscription à </w:t>
      </w:r>
      <w:r w:rsidR="007510C7" w:rsidRPr="00020C58">
        <w:rPr>
          <w:color w:val="000000"/>
          <w:lang w:val="fr-FR"/>
        </w:rPr>
        <w:t>la CMR</w:t>
      </w:r>
      <w:r w:rsidR="005B1E53" w:rsidRPr="00020C58">
        <w:rPr>
          <w:color w:val="000000"/>
          <w:lang w:val="fr-FR"/>
        </w:rPr>
        <w:t>-23</w:t>
      </w:r>
      <w:r w:rsidR="00804495" w:rsidRPr="00020C58">
        <w:rPr>
          <w:color w:val="000000"/>
          <w:lang w:val="fr-FR"/>
        </w:rPr>
        <w:t xml:space="preserve"> </w:t>
      </w:r>
      <w:r w:rsidR="005B1E53" w:rsidRPr="00020C58">
        <w:rPr>
          <w:color w:val="000000"/>
          <w:lang w:val="fr-FR"/>
        </w:rPr>
        <w:t>devra être indiquée dans votre demande de visa, que vous dev</w:t>
      </w:r>
      <w:r w:rsidR="007510C7" w:rsidRPr="00020C58">
        <w:rPr>
          <w:color w:val="000000"/>
          <w:lang w:val="fr-FR"/>
        </w:rPr>
        <w:t>r</w:t>
      </w:r>
      <w:r w:rsidR="005B1E53" w:rsidRPr="00020C58">
        <w:rPr>
          <w:color w:val="000000"/>
          <w:lang w:val="fr-FR"/>
        </w:rPr>
        <w:t xml:space="preserve">ez soumettre directement aux autorités des </w:t>
      </w:r>
      <w:r w:rsidR="005B1E53" w:rsidRPr="00020C58">
        <w:rPr>
          <w:caps/>
          <w:color w:val="000000"/>
          <w:lang w:val="fr-FR"/>
        </w:rPr>
        <w:t>é</w:t>
      </w:r>
      <w:r w:rsidR="005B1E53" w:rsidRPr="00020C58">
        <w:rPr>
          <w:color w:val="000000"/>
          <w:lang w:val="fr-FR"/>
        </w:rPr>
        <w:t xml:space="preserve">mirats arabes unis. </w:t>
      </w:r>
      <w:r w:rsidR="007510C7" w:rsidRPr="00020C58">
        <w:rPr>
          <w:color w:val="000000"/>
          <w:lang w:val="fr-FR"/>
        </w:rPr>
        <w:t xml:space="preserve">Vous </w:t>
      </w:r>
      <w:r w:rsidRPr="00020C58">
        <w:rPr>
          <w:color w:val="000000"/>
          <w:lang w:val="fr-FR"/>
        </w:rPr>
        <w:t>trouver</w:t>
      </w:r>
      <w:r w:rsidR="007510C7" w:rsidRPr="00020C58">
        <w:rPr>
          <w:color w:val="000000"/>
          <w:lang w:val="fr-FR"/>
        </w:rPr>
        <w:t xml:space="preserve">ez </w:t>
      </w:r>
      <w:r w:rsidRPr="00020C58">
        <w:rPr>
          <w:color w:val="000000"/>
          <w:lang w:val="fr-FR"/>
        </w:rPr>
        <w:t xml:space="preserve">sur le site web du pays hôte, </w:t>
      </w:r>
      <w:r w:rsidR="007510C7" w:rsidRPr="00020C58">
        <w:rPr>
          <w:color w:val="000000"/>
          <w:lang w:val="fr-FR"/>
        </w:rPr>
        <w:t xml:space="preserve">qui sera </w:t>
      </w:r>
      <w:r w:rsidRPr="00020C58">
        <w:rPr>
          <w:color w:val="000000"/>
          <w:lang w:val="fr-FR"/>
        </w:rPr>
        <w:t xml:space="preserve">accessible depuis le </w:t>
      </w:r>
      <w:hyperlink r:id="rId21" w:history="1">
        <w:r w:rsidR="00AF22B9" w:rsidRPr="00020C58">
          <w:rPr>
            <w:rStyle w:val="Hyperlink"/>
            <w:lang w:val="fr-FR"/>
          </w:rPr>
          <w:t>site web de la CMR-23</w:t>
        </w:r>
      </w:hyperlink>
      <w:r w:rsidRPr="00020C58">
        <w:rPr>
          <w:color w:val="000000"/>
          <w:lang w:val="fr-FR"/>
        </w:rPr>
        <w:t xml:space="preserve">, des renseignements concernant les demandes de visa pour entrer </w:t>
      </w:r>
      <w:r w:rsidR="005B1E53" w:rsidRPr="00020C58">
        <w:rPr>
          <w:color w:val="000000"/>
          <w:lang w:val="fr-FR"/>
        </w:rPr>
        <w:t xml:space="preserve">aux </w:t>
      </w:r>
      <w:r w:rsidR="005B1E53" w:rsidRPr="00020C58">
        <w:rPr>
          <w:caps/>
          <w:color w:val="000000"/>
          <w:lang w:val="fr-FR"/>
        </w:rPr>
        <w:t>é</w:t>
      </w:r>
      <w:r w:rsidR="005B1E53" w:rsidRPr="00020C58">
        <w:rPr>
          <w:color w:val="000000"/>
          <w:lang w:val="fr-FR"/>
        </w:rPr>
        <w:t>mirats arabes unis</w:t>
      </w:r>
      <w:r w:rsidRPr="00020C58">
        <w:rPr>
          <w:color w:val="000000"/>
          <w:lang w:val="fr-FR"/>
        </w:rPr>
        <w:t>.</w:t>
      </w:r>
    </w:p>
    <w:p w14:paraId="25C8D465" w14:textId="77777777" w:rsidR="0057658C" w:rsidRPr="00020C58" w:rsidRDefault="0057658C" w:rsidP="0060601B">
      <w:pPr>
        <w:pStyle w:val="Headingb"/>
        <w:spacing w:line="240" w:lineRule="auto"/>
        <w:jc w:val="left"/>
        <w:rPr>
          <w:lang w:val="fr-FR"/>
        </w:rPr>
      </w:pPr>
      <w:r w:rsidRPr="00020C58">
        <w:rPr>
          <w:lang w:val="fr-FR"/>
        </w:rPr>
        <w:t>Informations pratiques</w:t>
      </w:r>
    </w:p>
    <w:p w14:paraId="2488EB8D" w14:textId="6841B350" w:rsidR="0057658C" w:rsidRPr="00020C58" w:rsidRDefault="0057658C" w:rsidP="00DD2ECE">
      <w:pPr>
        <w:widowControl w:val="0"/>
        <w:spacing w:before="120" w:line="240" w:lineRule="auto"/>
        <w:rPr>
          <w:lang w:val="fr-FR"/>
        </w:rPr>
      </w:pPr>
      <w:r w:rsidRPr="00020C58">
        <w:rPr>
          <w:lang w:val="fr-FR"/>
        </w:rPr>
        <w:t xml:space="preserve">Le site web du pays hôte, accessible depuis le </w:t>
      </w:r>
      <w:hyperlink r:id="rId22" w:history="1">
        <w:r w:rsidRPr="00020C58">
          <w:rPr>
            <w:rStyle w:val="Hyperlink"/>
            <w:lang w:val="fr-FR"/>
          </w:rPr>
          <w:t>site web de la CMR-</w:t>
        </w:r>
        <w:r w:rsidR="005B1E53" w:rsidRPr="00020C58">
          <w:rPr>
            <w:rStyle w:val="Hyperlink"/>
            <w:lang w:val="fr-FR"/>
          </w:rPr>
          <w:t>23</w:t>
        </w:r>
      </w:hyperlink>
      <w:r w:rsidRPr="00020C58">
        <w:rPr>
          <w:lang w:val="fr-FR"/>
        </w:rPr>
        <w:t xml:space="preserve">, présentera des informations pratiques sur la réservation des hôtels, les demandes de visa, le séjour </w:t>
      </w:r>
      <w:r w:rsidR="005B1E53" w:rsidRPr="00020C58">
        <w:rPr>
          <w:lang w:val="fr-FR"/>
        </w:rPr>
        <w:t xml:space="preserve">aux </w:t>
      </w:r>
      <w:r w:rsidR="005B1E53" w:rsidRPr="00020C58">
        <w:rPr>
          <w:caps/>
          <w:color w:val="000000"/>
          <w:lang w:val="fr-FR"/>
        </w:rPr>
        <w:t>é</w:t>
      </w:r>
      <w:r w:rsidR="005B1E53" w:rsidRPr="00020C58">
        <w:rPr>
          <w:color w:val="000000"/>
          <w:lang w:val="fr-FR"/>
        </w:rPr>
        <w:t>mirats arabes unis</w:t>
      </w:r>
      <w:r w:rsidRPr="00020C58">
        <w:rPr>
          <w:lang w:val="fr-FR"/>
        </w:rPr>
        <w:t xml:space="preserve">, les transports locaux, etc. Il sera </w:t>
      </w:r>
      <w:r w:rsidRPr="00020C58">
        <w:rPr>
          <w:color w:val="000000"/>
          <w:lang w:val="fr-FR"/>
        </w:rPr>
        <w:t>actualisé</w:t>
      </w:r>
      <w:r w:rsidR="009968ED" w:rsidRPr="00020C58">
        <w:rPr>
          <w:color w:val="000000"/>
          <w:lang w:val="fr-FR"/>
        </w:rPr>
        <w:t xml:space="preserve"> périodiquement </w:t>
      </w:r>
      <w:r w:rsidRPr="00020C58">
        <w:rPr>
          <w:color w:val="000000"/>
          <w:lang w:val="fr-FR"/>
        </w:rPr>
        <w:t>à mesure que parviendront des informations nouvelles.</w:t>
      </w:r>
    </w:p>
    <w:p w14:paraId="33C1574A" w14:textId="77777777" w:rsidR="0057658C" w:rsidRPr="00020C58" w:rsidRDefault="0057658C" w:rsidP="0060601B">
      <w:pPr>
        <w:pStyle w:val="Headingb"/>
        <w:spacing w:line="240" w:lineRule="auto"/>
        <w:jc w:val="left"/>
        <w:rPr>
          <w:lang w:val="fr-FR"/>
        </w:rPr>
      </w:pPr>
      <w:r w:rsidRPr="00020C58">
        <w:rPr>
          <w:lang w:val="fr-FR"/>
        </w:rPr>
        <w:t>Informations complémentaires</w:t>
      </w:r>
    </w:p>
    <w:p w14:paraId="1B3E8E46" w14:textId="2B8463FB" w:rsidR="0057658C" w:rsidRPr="00020C58" w:rsidRDefault="0057658C" w:rsidP="00DD2ECE">
      <w:pPr>
        <w:widowControl w:val="0"/>
        <w:spacing w:before="120" w:line="240" w:lineRule="auto"/>
        <w:rPr>
          <w:color w:val="000000"/>
          <w:lang w:val="fr-FR"/>
        </w:rPr>
      </w:pPr>
      <w:r w:rsidRPr="00020C58">
        <w:rPr>
          <w:color w:val="000000"/>
          <w:lang w:val="fr-FR"/>
        </w:rPr>
        <w:t>Veuillez faire parvenir toute question d'ordre général concernant la CMR-</w:t>
      </w:r>
      <w:r w:rsidR="005B1E53" w:rsidRPr="00020C58">
        <w:rPr>
          <w:color w:val="000000"/>
          <w:lang w:val="fr-FR"/>
        </w:rPr>
        <w:t>23</w:t>
      </w:r>
      <w:r w:rsidRPr="00020C58">
        <w:rPr>
          <w:color w:val="000000"/>
          <w:lang w:val="fr-FR"/>
        </w:rPr>
        <w:t xml:space="preserve"> à l'adresse électronique </w:t>
      </w:r>
      <w:hyperlink r:id="rId23" w:history="1">
        <w:r w:rsidR="005B1E53" w:rsidRPr="00020C58">
          <w:rPr>
            <w:rStyle w:val="Hyperlink"/>
            <w:lang w:val="fr-FR"/>
          </w:rPr>
          <w:t>wrc23contact@itu.int</w:t>
        </w:r>
      </w:hyperlink>
      <w:r w:rsidRPr="00020C58">
        <w:rPr>
          <w:lang w:val="fr-FR"/>
        </w:rPr>
        <w:t>.</w:t>
      </w:r>
    </w:p>
    <w:p w14:paraId="49E4C57B" w14:textId="77777777" w:rsidR="0057658C" w:rsidRPr="00020C58" w:rsidRDefault="0057658C" w:rsidP="00DD2ECE">
      <w:pPr>
        <w:widowControl w:val="0"/>
        <w:spacing w:before="1200" w:line="240" w:lineRule="auto"/>
        <w:jc w:val="left"/>
        <w:rPr>
          <w:rFonts w:asciiTheme="minorHAnsi" w:hAnsiTheme="minorHAnsi" w:cstheme="minorHAnsi"/>
          <w:szCs w:val="24"/>
          <w:lang w:val="fr-FR"/>
        </w:rPr>
      </w:pPr>
      <w:bookmarkStart w:id="0" w:name="_GoBack"/>
      <w:r w:rsidRPr="00020C58">
        <w:rPr>
          <w:rFonts w:asciiTheme="minorHAnsi" w:hAnsiTheme="minorHAnsi" w:cstheme="minorHAnsi"/>
          <w:szCs w:val="24"/>
          <w:lang w:val="fr-FR"/>
        </w:rPr>
        <w:t>Mario Maniewicz</w:t>
      </w:r>
      <w:bookmarkEnd w:id="0"/>
      <w:r w:rsidRPr="00020C58">
        <w:rPr>
          <w:rFonts w:asciiTheme="minorHAnsi" w:hAnsiTheme="minorHAnsi"/>
          <w:szCs w:val="24"/>
          <w:lang w:val="fr-FR"/>
        </w:rPr>
        <w:br/>
        <w:t>Directeur</w:t>
      </w:r>
    </w:p>
    <w:p w14:paraId="444C1143" w14:textId="77777777" w:rsidR="00DD2ECE" w:rsidRDefault="00DD2ECE" w:rsidP="0060601B">
      <w:pPr>
        <w:tabs>
          <w:tab w:val="left" w:pos="284"/>
          <w:tab w:val="left" w:pos="568"/>
        </w:tabs>
        <w:spacing w:before="1200" w:line="240" w:lineRule="auto"/>
        <w:jc w:val="left"/>
        <w:rPr>
          <w:rFonts w:asciiTheme="minorHAnsi" w:hAnsiTheme="minorHAnsi"/>
          <w:szCs w:val="24"/>
          <w:lang w:val="fr-FR"/>
        </w:rPr>
      </w:pPr>
    </w:p>
    <w:p w14:paraId="4DF3555C" w14:textId="77777777" w:rsidR="00DD2ECE" w:rsidRDefault="00DD2ECE" w:rsidP="0060601B">
      <w:pPr>
        <w:tabs>
          <w:tab w:val="left" w:pos="284"/>
          <w:tab w:val="left" w:pos="568"/>
        </w:tabs>
        <w:spacing w:before="1200" w:line="240" w:lineRule="auto"/>
        <w:jc w:val="left"/>
        <w:rPr>
          <w:rFonts w:asciiTheme="minorHAnsi" w:hAnsiTheme="minorHAnsi"/>
          <w:szCs w:val="24"/>
          <w:lang w:val="fr-FR"/>
        </w:rPr>
      </w:pPr>
    </w:p>
    <w:p w14:paraId="2C4EF551" w14:textId="77777777" w:rsidR="00DD2ECE" w:rsidRDefault="00DD2ECE" w:rsidP="0060601B">
      <w:pPr>
        <w:tabs>
          <w:tab w:val="left" w:pos="284"/>
          <w:tab w:val="left" w:pos="568"/>
        </w:tabs>
        <w:spacing w:before="1200" w:line="240" w:lineRule="auto"/>
        <w:jc w:val="left"/>
        <w:rPr>
          <w:rFonts w:asciiTheme="minorHAnsi" w:hAnsiTheme="minorHAnsi"/>
          <w:szCs w:val="24"/>
          <w:lang w:val="fr-FR"/>
        </w:rPr>
      </w:pPr>
    </w:p>
    <w:p w14:paraId="6878E668" w14:textId="0B1E8131" w:rsidR="0057658C" w:rsidRPr="00020C58" w:rsidRDefault="0057658C" w:rsidP="0060601B">
      <w:pPr>
        <w:tabs>
          <w:tab w:val="left" w:pos="284"/>
          <w:tab w:val="left" w:pos="568"/>
        </w:tabs>
        <w:spacing w:before="1200" w:line="240" w:lineRule="auto"/>
        <w:jc w:val="left"/>
        <w:rPr>
          <w:rFonts w:asciiTheme="minorHAnsi" w:hAnsiTheme="minorHAnsi"/>
          <w:szCs w:val="24"/>
          <w:lang w:val="fr-FR"/>
        </w:rPr>
      </w:pPr>
      <w:proofErr w:type="gramStart"/>
      <w:r w:rsidRPr="00020C58">
        <w:rPr>
          <w:rFonts w:asciiTheme="minorHAnsi" w:hAnsiTheme="minorHAnsi"/>
          <w:szCs w:val="24"/>
          <w:lang w:val="fr-FR"/>
        </w:rPr>
        <w:t>Annexe:</w:t>
      </w:r>
      <w:proofErr w:type="gramEnd"/>
      <w:r w:rsidR="00804495" w:rsidRPr="00020C58">
        <w:rPr>
          <w:rFonts w:asciiTheme="minorHAnsi" w:hAnsiTheme="minorHAnsi"/>
          <w:szCs w:val="24"/>
          <w:lang w:val="fr-FR"/>
        </w:rPr>
        <w:tab/>
      </w:r>
      <w:r w:rsidRPr="00020C58">
        <w:rPr>
          <w:rFonts w:asciiTheme="minorHAnsi" w:hAnsiTheme="minorHAnsi"/>
          <w:szCs w:val="24"/>
          <w:lang w:val="fr-FR"/>
        </w:rPr>
        <w:t>1</w:t>
      </w:r>
    </w:p>
    <w:p w14:paraId="3B6F77E2" w14:textId="3E56EF1F" w:rsidR="005B1E53" w:rsidRPr="00020C58" w:rsidRDefault="005B1E53" w:rsidP="0060601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val="fr-FR"/>
        </w:rPr>
      </w:pPr>
      <w:r w:rsidRPr="00020C58">
        <w:rPr>
          <w:rFonts w:asciiTheme="minorHAnsi" w:hAnsiTheme="minorHAnsi"/>
          <w:szCs w:val="24"/>
          <w:lang w:val="fr-FR"/>
        </w:rPr>
        <w:br w:type="page"/>
      </w:r>
    </w:p>
    <w:p w14:paraId="3EC94689" w14:textId="36451E65" w:rsidR="00BA2232" w:rsidRPr="00020C58" w:rsidRDefault="00BA2232" w:rsidP="0060601B">
      <w:pPr>
        <w:pStyle w:val="AnnexNotitle0"/>
      </w:pPr>
      <w:r w:rsidRPr="00020C58">
        <w:lastRenderedPageBreak/>
        <w:t>ANNEXE</w:t>
      </w:r>
    </w:p>
    <w:p w14:paraId="7652E07E" w14:textId="45D3E0C4" w:rsidR="00BA2232" w:rsidRPr="00020C58" w:rsidRDefault="00BA2232" w:rsidP="0060601B">
      <w:pPr>
        <w:pStyle w:val="ResNo"/>
        <w:spacing w:before="240" w:line="240" w:lineRule="auto"/>
        <w:rPr>
          <w:lang w:val="fr-FR"/>
        </w:rPr>
      </w:pPr>
      <w:r w:rsidRPr="00020C58">
        <w:rPr>
          <w:lang w:val="fr-FR"/>
        </w:rPr>
        <w:t>rÉsolution 1399</w:t>
      </w:r>
    </w:p>
    <w:p w14:paraId="6C62A507" w14:textId="525BC182" w:rsidR="00BA2232" w:rsidRPr="00020C58" w:rsidRDefault="00BA2232" w:rsidP="0060601B">
      <w:pPr>
        <w:spacing w:before="240" w:line="240" w:lineRule="auto"/>
        <w:jc w:val="center"/>
        <w:rPr>
          <w:lang w:val="fr-FR"/>
        </w:rPr>
      </w:pPr>
      <w:r w:rsidRPr="00020C58">
        <w:rPr>
          <w:lang w:val="fr-FR"/>
        </w:rPr>
        <w:t>(</w:t>
      </w:r>
      <w:r w:rsidR="00DC1266" w:rsidRPr="00020C58">
        <w:rPr>
          <w:lang w:val="fr-FR"/>
        </w:rPr>
        <w:t>Adoptée</w:t>
      </w:r>
      <w:r w:rsidRPr="00020C58">
        <w:rPr>
          <w:lang w:val="fr-FR"/>
        </w:rPr>
        <w:t xml:space="preserve"> par correspondance)</w:t>
      </w:r>
    </w:p>
    <w:p w14:paraId="647B486B" w14:textId="77777777" w:rsidR="00BA2232" w:rsidRPr="00020C58" w:rsidRDefault="00BA2232" w:rsidP="0060601B">
      <w:pPr>
        <w:pStyle w:val="Restitle"/>
        <w:rPr>
          <w:lang w:val="fr-FR"/>
        </w:rPr>
      </w:pPr>
      <w:r w:rsidRPr="00020C58">
        <w:rPr>
          <w:lang w:val="fr-FR"/>
        </w:rPr>
        <w:t>Ordre du jour de la Conférence mondiale des radiocommunications de 2023</w:t>
      </w:r>
    </w:p>
    <w:p w14:paraId="0E0F3609" w14:textId="518D6C8B" w:rsidR="00156614" w:rsidRPr="00020C58" w:rsidRDefault="00156614" w:rsidP="0060601B">
      <w:pPr>
        <w:pStyle w:val="Normalaftertitle0"/>
        <w:rPr>
          <w:iCs/>
        </w:rPr>
      </w:pPr>
      <w:r w:rsidRPr="00020C58">
        <w:t>Le Conseil de l'UIT,</w:t>
      </w:r>
    </w:p>
    <w:p w14:paraId="7898B229" w14:textId="77777777" w:rsidR="00156614" w:rsidRPr="00020C58" w:rsidRDefault="00156614" w:rsidP="0060601B">
      <w:pPr>
        <w:pStyle w:val="Call"/>
        <w:spacing w:line="240" w:lineRule="auto"/>
        <w:rPr>
          <w:lang w:val="fr-FR"/>
        </w:rPr>
      </w:pPr>
      <w:r w:rsidRPr="00020C58">
        <w:rPr>
          <w:lang w:val="fr-FR"/>
        </w:rPr>
        <w:t>notant</w:t>
      </w:r>
    </w:p>
    <w:p w14:paraId="14F7C642" w14:textId="0C8AF428" w:rsidR="00156614" w:rsidRPr="00020C58" w:rsidRDefault="00156614" w:rsidP="00804495">
      <w:pPr>
        <w:spacing w:line="240" w:lineRule="auto"/>
        <w:jc w:val="left"/>
        <w:rPr>
          <w:iCs/>
          <w:lang w:val="fr-FR"/>
        </w:rPr>
      </w:pPr>
      <w:r w:rsidRPr="00020C58">
        <w:rPr>
          <w:lang w:val="fr-FR"/>
        </w:rPr>
        <w:t>que, par sa Résolution 811, la Conférence mondiale des radiocommunications (Charm</w:t>
      </w:r>
      <w:r w:rsidR="00804495" w:rsidRPr="00020C58">
        <w:rPr>
          <w:lang w:val="fr-FR"/>
        </w:rPr>
        <w:t> </w:t>
      </w:r>
      <w:r w:rsidRPr="00020C58">
        <w:rPr>
          <w:lang w:val="fr-FR"/>
        </w:rPr>
        <w:t>el</w:t>
      </w:r>
      <w:r w:rsidR="00804495" w:rsidRPr="00020C58">
        <w:rPr>
          <w:lang w:val="fr-FR"/>
        </w:rPr>
        <w:noBreakHyphen/>
      </w:r>
      <w:r w:rsidRPr="00020C58">
        <w:rPr>
          <w:lang w:val="fr-FR"/>
        </w:rPr>
        <w:t>Cheikh, 2019):</w:t>
      </w:r>
    </w:p>
    <w:p w14:paraId="007D9318" w14:textId="77777777" w:rsidR="00156614" w:rsidRPr="00020C58" w:rsidRDefault="00156614" w:rsidP="00804495">
      <w:pPr>
        <w:jc w:val="left"/>
        <w:rPr>
          <w:iCs/>
          <w:lang w:val="fr-FR"/>
        </w:rPr>
      </w:pPr>
      <w:r w:rsidRPr="00020C58">
        <w:rPr>
          <w:i/>
          <w:iCs/>
          <w:lang w:val="fr-FR"/>
        </w:rPr>
        <w:t>a)</w:t>
      </w:r>
      <w:r w:rsidRPr="00020C58">
        <w:rPr>
          <w:lang w:val="fr-FR"/>
        </w:rPr>
        <w:tab/>
        <w:t>a décidé de recommander au Conseil de convoquer en 2023 une Conférence mondiale des radiocommunications (CMR-23) d'une durée maximale de quatre semaines;</w:t>
      </w:r>
    </w:p>
    <w:p w14:paraId="6C80AD46" w14:textId="77777777" w:rsidR="00156614" w:rsidRPr="00020C58" w:rsidRDefault="00156614" w:rsidP="00804495">
      <w:pPr>
        <w:jc w:val="left"/>
        <w:rPr>
          <w:lang w:val="fr-FR"/>
        </w:rPr>
      </w:pPr>
      <w:r w:rsidRPr="00020C58">
        <w:rPr>
          <w:i/>
          <w:iCs/>
          <w:lang w:val="fr-FR"/>
        </w:rPr>
        <w:t>b)</w:t>
      </w:r>
      <w:r w:rsidRPr="00020C58">
        <w:rPr>
          <w:lang w:val="fr-FR"/>
        </w:rPr>
        <w:tab/>
        <w:t>a recommandé des points à inscrire à l'ordre du jour de cette conférence et a invité le Conseil à arrêter définitivement cet ordre du jour, à prendre les dispositions nécessaires pour la convocation de la CMR-23 et à engager dès que possible les consultations nécessaires avec les États Membres,</w:t>
      </w:r>
    </w:p>
    <w:p w14:paraId="1F84410E" w14:textId="77777777" w:rsidR="00156614" w:rsidRPr="00020C58" w:rsidRDefault="00156614" w:rsidP="00804495">
      <w:pPr>
        <w:pStyle w:val="Call"/>
        <w:spacing w:line="240" w:lineRule="auto"/>
        <w:rPr>
          <w:lang w:val="fr-FR"/>
        </w:rPr>
      </w:pPr>
      <w:r w:rsidRPr="00020C58">
        <w:rPr>
          <w:lang w:val="fr-FR"/>
        </w:rPr>
        <w:t>décide</w:t>
      </w:r>
    </w:p>
    <w:p w14:paraId="2FC08762" w14:textId="77777777" w:rsidR="00156614" w:rsidRPr="00020C58" w:rsidRDefault="00156614" w:rsidP="00804495">
      <w:pPr>
        <w:spacing w:line="240" w:lineRule="auto"/>
        <w:jc w:val="left"/>
        <w:rPr>
          <w:lang w:val="fr-FR"/>
        </w:rPr>
      </w:pPr>
      <w:r w:rsidRPr="00020C58">
        <w:rPr>
          <w:lang w:val="fr-FR"/>
        </w:rPr>
        <w:t>de convoquer en 2023 une Conférence mondiale des radiocommunications (CMR-23), précédée par une Assemblée des radiocommunications, dont l'ordre du jour sera le suivant:</w:t>
      </w:r>
    </w:p>
    <w:p w14:paraId="08169784" w14:textId="77777777" w:rsidR="00156614" w:rsidRPr="00020C58" w:rsidRDefault="00156614" w:rsidP="00804495">
      <w:pPr>
        <w:jc w:val="left"/>
        <w:rPr>
          <w:rFonts w:ascii="Times New Roman" w:hAnsi="Times New Roman"/>
          <w:lang w:val="fr-FR"/>
        </w:rPr>
      </w:pPr>
      <w:r w:rsidRPr="00020C58">
        <w:rPr>
          <w:lang w:val="fr-FR"/>
        </w:rPr>
        <w:t>1</w:t>
      </w:r>
      <w:r w:rsidRPr="00020C58">
        <w:rPr>
          <w:lang w:val="fr-FR"/>
        </w:rPr>
        <w:tab/>
        <w:t>sur la base des propositions des administrations, compte tenu des résultats de la CMR</w:t>
      </w:r>
      <w:r w:rsidRPr="00020C58">
        <w:rPr>
          <w:lang w:val="fr-FR"/>
        </w:rPr>
        <w:noBreakHyphen/>
        <w:t>19 ainsi que du rapport de la Réunion de préparation à la Conférence et compte dûment tenu des besoins des services existants ou futurs dans les bandes de fréquences considérées, examiner les points suivants et prendre les mesures appropriées:</w:t>
      </w:r>
    </w:p>
    <w:p w14:paraId="65BF5F6B" w14:textId="5AC97E96" w:rsidR="00156614" w:rsidRPr="00020C58" w:rsidRDefault="00156614" w:rsidP="00804495">
      <w:pPr>
        <w:spacing w:line="240" w:lineRule="auto"/>
        <w:jc w:val="left"/>
        <w:rPr>
          <w:lang w:val="fr-FR"/>
        </w:rPr>
      </w:pPr>
      <w:r w:rsidRPr="00020C58">
        <w:rPr>
          <w:lang w:val="fr-FR"/>
        </w:rPr>
        <w:t>1.1</w:t>
      </w:r>
      <w:r w:rsidRPr="00020C58">
        <w:rPr>
          <w:lang w:val="fr-FR"/>
        </w:rPr>
        <w:tab/>
        <w:t xml:space="preserve">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indiqué dans le renvoi </w:t>
      </w:r>
      <w:r w:rsidRPr="00020C58">
        <w:rPr>
          <w:b/>
          <w:bCs/>
          <w:lang w:val="fr-FR"/>
        </w:rPr>
        <w:t>5.441B</w:t>
      </w:r>
      <w:r w:rsidR="00804495" w:rsidRPr="00020C58">
        <w:rPr>
          <w:b/>
          <w:bCs/>
          <w:lang w:val="fr-FR"/>
        </w:rPr>
        <w:t xml:space="preserve"> </w:t>
      </w:r>
      <w:r w:rsidRPr="00020C58">
        <w:rPr>
          <w:lang w:val="fr-FR"/>
        </w:rPr>
        <w:t xml:space="preserve">conformément à la Résolution </w:t>
      </w:r>
      <w:r w:rsidRPr="00020C58">
        <w:rPr>
          <w:b/>
          <w:bCs/>
          <w:lang w:val="fr-FR"/>
        </w:rPr>
        <w:t>223 (Rév.CMR-19)</w:t>
      </w:r>
      <w:r w:rsidRPr="00020C58">
        <w:rPr>
          <w:lang w:val="fr-FR"/>
        </w:rPr>
        <w:t>;</w:t>
      </w:r>
    </w:p>
    <w:p w14:paraId="79BC7C1C" w14:textId="77777777" w:rsidR="00156614" w:rsidRPr="00020C58" w:rsidRDefault="00156614" w:rsidP="00804495">
      <w:pPr>
        <w:spacing w:line="240" w:lineRule="auto"/>
        <w:jc w:val="left"/>
        <w:rPr>
          <w:lang w:val="fr-FR"/>
        </w:rPr>
      </w:pPr>
      <w:r w:rsidRPr="00020C58">
        <w:rPr>
          <w:lang w:val="fr-FR"/>
        </w:rPr>
        <w:t>1.2</w:t>
      </w:r>
      <w:r w:rsidRPr="00020C58">
        <w:rPr>
          <w:lang w:val="fr-FR"/>
        </w:rPr>
        <w:tab/>
        <w:t xml:space="preserve">envisager l'identification des bandes de fréquences </w:t>
      </w:r>
      <w:r w:rsidRPr="00020C58">
        <w:rPr>
          <w:rFonts w:eastAsia="MS Mincho"/>
          <w:lang w:val="fr-FR"/>
        </w:rPr>
        <w:t>3 300-3 400 MHz, 3 600</w:t>
      </w:r>
      <w:r w:rsidRPr="00020C58">
        <w:rPr>
          <w:rFonts w:eastAsia="MS Mincho"/>
          <w:lang w:val="fr-FR"/>
        </w:rPr>
        <w:noBreakHyphen/>
        <w:t xml:space="preserve">3 800 MHz, 6 425-7 025 MHz, 7 025-7 125 MHz et 10,0-10,5 GHz </w:t>
      </w:r>
      <w:r w:rsidRPr="00020C58">
        <w:rPr>
          <w:lang w:val="fr-FR"/>
        </w:rPr>
        <w:t xml:space="preserve">pour les Télécommunications mobiles internationales (IMT), y compris des attributions additionnelles possibles au service mobile à titre primaire, conformément à la Résolution </w:t>
      </w:r>
      <w:r w:rsidRPr="00020C58">
        <w:rPr>
          <w:b/>
          <w:lang w:val="fr-FR"/>
        </w:rPr>
        <w:t>245 (CMR-19)</w:t>
      </w:r>
      <w:r w:rsidRPr="00020C58">
        <w:rPr>
          <w:bCs/>
          <w:lang w:val="fr-FR"/>
        </w:rPr>
        <w:t>;</w:t>
      </w:r>
    </w:p>
    <w:p w14:paraId="4EF2421F" w14:textId="77777777" w:rsidR="00156614" w:rsidRPr="00020C58" w:rsidRDefault="00156614" w:rsidP="00804495">
      <w:pPr>
        <w:spacing w:line="240" w:lineRule="auto"/>
        <w:jc w:val="left"/>
        <w:rPr>
          <w:bCs/>
          <w:iCs/>
          <w:lang w:val="fr-FR"/>
        </w:rPr>
      </w:pPr>
      <w:r w:rsidRPr="00020C58">
        <w:rPr>
          <w:bCs/>
          <w:iCs/>
          <w:lang w:val="fr-FR"/>
        </w:rPr>
        <w:t>1.3</w:t>
      </w:r>
      <w:r w:rsidRPr="00020C58">
        <w:rPr>
          <w:bCs/>
          <w:iCs/>
          <w:lang w:val="fr-FR"/>
        </w:rPr>
        <w:tab/>
        <w:t xml:space="preserve">envisager l'attribution à titre primaire de la bande de fréquences 3 600-3 800 MHz au service mobile en Région 1 et prendre les mesures réglementaires appropriées, conformément à la Résolution </w:t>
      </w:r>
      <w:r w:rsidRPr="00020C58">
        <w:rPr>
          <w:b/>
          <w:iCs/>
          <w:lang w:val="fr-FR"/>
        </w:rPr>
        <w:t>246 (CMR-19)</w:t>
      </w:r>
      <w:r w:rsidRPr="00020C58">
        <w:rPr>
          <w:bCs/>
          <w:iCs/>
          <w:lang w:val="fr-FR"/>
        </w:rPr>
        <w:t>;</w:t>
      </w:r>
    </w:p>
    <w:p w14:paraId="3EDF7428" w14:textId="77777777" w:rsidR="00156614" w:rsidRPr="00020C58" w:rsidRDefault="00156614" w:rsidP="00804495">
      <w:pPr>
        <w:spacing w:line="240" w:lineRule="auto"/>
        <w:jc w:val="left"/>
        <w:rPr>
          <w:bCs/>
          <w:iCs/>
          <w:lang w:val="fr-FR"/>
        </w:rPr>
      </w:pPr>
      <w:r w:rsidRPr="00020C58">
        <w:rPr>
          <w:bCs/>
          <w:iCs/>
          <w:lang w:val="fr-FR"/>
        </w:rPr>
        <w:t>1.4</w:t>
      </w:r>
      <w:r w:rsidRPr="00020C58">
        <w:rPr>
          <w:bCs/>
          <w:iCs/>
          <w:lang w:val="fr-FR"/>
        </w:rPr>
        <w:tab/>
        <w:t xml:space="preserve">examiner, conformément à la Résolution </w:t>
      </w:r>
      <w:r w:rsidRPr="00020C58">
        <w:rPr>
          <w:b/>
          <w:iCs/>
          <w:lang w:val="fr-FR"/>
        </w:rPr>
        <w:t>247 (CMR-19)</w:t>
      </w:r>
      <w:r w:rsidRPr="00020C58">
        <w:rPr>
          <w:bCs/>
          <w:iCs/>
          <w:lang w:val="fr-FR"/>
        </w:rPr>
        <w:t>, l'utilisation de stations placées sur des plates-formes à haute altitude en tant que stations de base IMT (HIBS) dans le service mobile dans certaines bandes au-dessous de 2,7 GHz qui sont déjà identifiées pour les IMT, à l'échelle mondiale ou régionale;</w:t>
      </w:r>
    </w:p>
    <w:p w14:paraId="1D77F4A8" w14:textId="77777777" w:rsidR="00156614" w:rsidRPr="00020C58" w:rsidRDefault="00156614" w:rsidP="00804495">
      <w:pPr>
        <w:spacing w:line="240" w:lineRule="auto"/>
        <w:jc w:val="left"/>
        <w:rPr>
          <w:bCs/>
          <w:iCs/>
          <w:lang w:val="fr-FR"/>
        </w:rPr>
      </w:pPr>
      <w:r w:rsidRPr="00020C58">
        <w:rPr>
          <w:bCs/>
          <w:iCs/>
          <w:lang w:val="fr-FR"/>
        </w:rPr>
        <w:lastRenderedPageBreak/>
        <w:t>1.5</w:t>
      </w:r>
      <w:r w:rsidRPr="00020C58">
        <w:rPr>
          <w:bCs/>
          <w:iCs/>
          <w:lang w:val="fr-FR"/>
        </w:rPr>
        <w:tab/>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020C58">
        <w:rPr>
          <w:b/>
          <w:bCs/>
          <w:iCs/>
          <w:lang w:val="fr-FR"/>
        </w:rPr>
        <w:t>235 (CMR-15)</w:t>
      </w:r>
      <w:r w:rsidRPr="00020C58">
        <w:rPr>
          <w:bCs/>
          <w:iCs/>
          <w:lang w:val="fr-FR"/>
        </w:rPr>
        <w:t>;</w:t>
      </w:r>
    </w:p>
    <w:p w14:paraId="1DF18782" w14:textId="77777777" w:rsidR="00156614" w:rsidRPr="00020C58" w:rsidRDefault="00156614" w:rsidP="00804495">
      <w:pPr>
        <w:spacing w:line="240" w:lineRule="auto"/>
        <w:jc w:val="left"/>
        <w:rPr>
          <w:bCs/>
          <w:iCs/>
          <w:lang w:val="fr-FR"/>
        </w:rPr>
      </w:pPr>
      <w:r w:rsidRPr="00020C58">
        <w:rPr>
          <w:bCs/>
          <w:iCs/>
          <w:lang w:val="fr-FR"/>
        </w:rPr>
        <w:t>1.6</w:t>
      </w:r>
      <w:r w:rsidRPr="00020C58">
        <w:rPr>
          <w:bCs/>
          <w:iCs/>
          <w:lang w:val="fr-FR"/>
        </w:rPr>
        <w:tab/>
        <w:t xml:space="preserve">étudier, conformément à la Résolution </w:t>
      </w:r>
      <w:r w:rsidRPr="00020C58">
        <w:rPr>
          <w:b/>
          <w:bCs/>
          <w:iCs/>
          <w:lang w:val="fr-FR"/>
        </w:rPr>
        <w:t>772 (CMR</w:t>
      </w:r>
      <w:r w:rsidRPr="00020C58">
        <w:rPr>
          <w:b/>
          <w:bCs/>
          <w:iCs/>
          <w:lang w:val="fr-FR"/>
        </w:rPr>
        <w:noBreakHyphen/>
        <w:t>19)</w:t>
      </w:r>
      <w:r w:rsidRPr="00020C58">
        <w:rPr>
          <w:bCs/>
          <w:iCs/>
          <w:lang w:val="fr-FR"/>
        </w:rPr>
        <w:t>, les dispositions réglementaires propres à faciliter les radiocommunications pour les véhicules suborbitaux;</w:t>
      </w:r>
    </w:p>
    <w:p w14:paraId="55E83BB9" w14:textId="77777777" w:rsidR="00156614" w:rsidRPr="00020C58" w:rsidRDefault="00156614" w:rsidP="00804495">
      <w:pPr>
        <w:spacing w:line="240" w:lineRule="auto"/>
        <w:jc w:val="left"/>
        <w:rPr>
          <w:bCs/>
          <w:iCs/>
          <w:lang w:val="fr-FR"/>
        </w:rPr>
      </w:pPr>
      <w:r w:rsidRPr="00020C58">
        <w:rPr>
          <w:bCs/>
          <w:iCs/>
          <w:lang w:val="fr-FR"/>
        </w:rPr>
        <w:t>1.7</w:t>
      </w:r>
      <w:r w:rsidRPr="00020C58">
        <w:rPr>
          <w:bCs/>
          <w:iCs/>
          <w:lang w:val="fr-FR"/>
        </w:rPr>
        <w:tab/>
        <w:t xml:space="preserve">envisager une nouvelle attribution au service mobile aéronautique (R) par satellite (SMA(R)S), conformément à la Résolution </w:t>
      </w:r>
      <w:r w:rsidRPr="00020C58">
        <w:rPr>
          <w:b/>
          <w:iCs/>
          <w:lang w:val="fr-FR"/>
        </w:rPr>
        <w:t>428</w:t>
      </w:r>
      <w:r w:rsidRPr="00020C58">
        <w:rPr>
          <w:bCs/>
          <w:iCs/>
          <w:lang w:val="fr-FR"/>
        </w:rPr>
        <w:t xml:space="preserve"> </w:t>
      </w:r>
      <w:r w:rsidRPr="00020C58">
        <w:rPr>
          <w:b/>
          <w:iCs/>
          <w:lang w:val="fr-FR"/>
        </w:rPr>
        <w:t>(CMR-19)</w:t>
      </w:r>
      <w:r w:rsidRPr="00020C58">
        <w:rPr>
          <w:bCs/>
          <w:iCs/>
          <w:lang w:val="fr-FR"/>
        </w:rPr>
        <w:t xml:space="preserve"> pour les communications aéronautiques en ondes métriques dans les sens Terre vers espace et espace vers Terre dans tout ou partie de la bande de fréquences 117,975-137 MHz, tout en évitant d'imposer des contraintes excessives aux systèmes existants en ondes métriques fonctionnant dans le service mobile aéronautique (R), le service de radionavigation aéronautique et dans les bandes de fréquences adjacentes;</w:t>
      </w:r>
    </w:p>
    <w:p w14:paraId="49481C92" w14:textId="2AD6B21F" w:rsidR="00156614" w:rsidRPr="00020C58" w:rsidRDefault="00156614" w:rsidP="00804495">
      <w:pPr>
        <w:spacing w:line="240" w:lineRule="auto"/>
        <w:jc w:val="left"/>
        <w:rPr>
          <w:bCs/>
          <w:iCs/>
          <w:lang w:val="fr-FR"/>
        </w:rPr>
      </w:pPr>
      <w:r w:rsidRPr="00020C58">
        <w:rPr>
          <w:bCs/>
          <w:iCs/>
          <w:lang w:val="fr-FR"/>
        </w:rPr>
        <w:t>1.8</w:t>
      </w:r>
      <w:r w:rsidRPr="00020C58">
        <w:rPr>
          <w:bCs/>
          <w:iCs/>
          <w:lang w:val="fr-FR"/>
        </w:rPr>
        <w:tab/>
        <w:t>envisager, sur la base des études menées par l'UIT-R conformément à la Résolution </w:t>
      </w:r>
      <w:r w:rsidRPr="00020C58">
        <w:rPr>
          <w:b/>
          <w:bCs/>
          <w:iCs/>
          <w:lang w:val="fr-FR"/>
        </w:rPr>
        <w:t>171</w:t>
      </w:r>
      <w:r w:rsidR="00DC1266" w:rsidRPr="00020C58">
        <w:rPr>
          <w:b/>
          <w:bCs/>
          <w:iCs/>
          <w:lang w:val="fr-FR"/>
        </w:rPr>
        <w:t> </w:t>
      </w:r>
      <w:r w:rsidRPr="00020C58">
        <w:rPr>
          <w:b/>
          <w:bCs/>
          <w:iCs/>
          <w:lang w:val="fr-FR"/>
        </w:rPr>
        <w:t>(CMR-19)</w:t>
      </w:r>
      <w:r w:rsidRPr="00020C58">
        <w:rPr>
          <w:bCs/>
          <w:iCs/>
          <w:lang w:val="fr-FR"/>
        </w:rPr>
        <w:t xml:space="preserve">, des mesures réglementaires appropriées, en vue d'examiner et, au besoin, de réviser la Résolution </w:t>
      </w:r>
      <w:r w:rsidRPr="00020C58">
        <w:rPr>
          <w:b/>
          <w:bCs/>
          <w:iCs/>
          <w:lang w:val="fr-FR"/>
        </w:rPr>
        <w:t>155 (Rév.CMR-19)</w:t>
      </w:r>
      <w:r w:rsidRPr="00020C58">
        <w:rPr>
          <w:bCs/>
          <w:iCs/>
          <w:lang w:val="fr-FR"/>
        </w:rPr>
        <w:t xml:space="preserve"> et le numéro </w:t>
      </w:r>
      <w:r w:rsidRPr="00020C58">
        <w:rPr>
          <w:b/>
          <w:bCs/>
          <w:iCs/>
          <w:lang w:val="fr-FR"/>
        </w:rPr>
        <w:t>5.484B</w:t>
      </w:r>
      <w:r w:rsidRPr="00020C58">
        <w:rPr>
          <w:bCs/>
          <w:iCs/>
          <w:lang w:val="fr-FR"/>
        </w:rPr>
        <w:t>, pour tenir compte de l'utilisation des réseaux du service fixe par satellite pour les communications de contrôle et non associées à la charge utile des systèmes d'aéronef sans pilote;</w:t>
      </w:r>
    </w:p>
    <w:p w14:paraId="6E7CEA3F" w14:textId="77777777" w:rsidR="00156614" w:rsidRPr="00020C58" w:rsidRDefault="00156614" w:rsidP="00804495">
      <w:pPr>
        <w:spacing w:line="240" w:lineRule="auto"/>
        <w:jc w:val="left"/>
        <w:rPr>
          <w:bCs/>
          <w:iCs/>
          <w:lang w:val="fr-FR"/>
        </w:rPr>
      </w:pPr>
      <w:r w:rsidRPr="00020C58">
        <w:rPr>
          <w:bCs/>
          <w:iCs/>
          <w:lang w:val="fr-FR"/>
        </w:rPr>
        <w:t>1.9</w:t>
      </w:r>
      <w:r w:rsidRPr="00020C58">
        <w:rPr>
          <w:bCs/>
          <w:iCs/>
          <w:lang w:val="fr-FR"/>
        </w:rPr>
        <w:tab/>
        <w:t xml:space="preserve">examiner l'Appendice </w:t>
      </w:r>
      <w:r w:rsidRPr="00020C58">
        <w:rPr>
          <w:b/>
          <w:bCs/>
          <w:iCs/>
          <w:lang w:val="fr-FR"/>
        </w:rPr>
        <w:t>27</w:t>
      </w:r>
      <w:r w:rsidRPr="00020C58">
        <w:rPr>
          <w:bCs/>
          <w:iCs/>
          <w:lang w:val="fr-FR"/>
        </w:rPr>
        <w:t xml:space="preserve"> du Règlement des radiocommunications et envisager des mesures et des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(R) et d'assurer la coexistence entre les systèmes actuels en ondes décamétriques et les systèmes modernisés en ondes décamétriques, conformément à la Résolution </w:t>
      </w:r>
      <w:r w:rsidRPr="00020C58">
        <w:rPr>
          <w:b/>
          <w:iCs/>
          <w:lang w:val="fr-FR"/>
        </w:rPr>
        <w:t>429</w:t>
      </w:r>
      <w:r w:rsidRPr="00020C58">
        <w:rPr>
          <w:b/>
          <w:bCs/>
          <w:iCs/>
          <w:lang w:val="fr-FR"/>
        </w:rPr>
        <w:t xml:space="preserve"> (CMR-19)</w:t>
      </w:r>
      <w:r w:rsidRPr="00020C58">
        <w:rPr>
          <w:bCs/>
          <w:iCs/>
          <w:lang w:val="fr-FR"/>
        </w:rPr>
        <w:t>;</w:t>
      </w:r>
    </w:p>
    <w:p w14:paraId="49337197" w14:textId="77777777" w:rsidR="00156614" w:rsidRPr="00020C58" w:rsidRDefault="00156614" w:rsidP="00804495">
      <w:pPr>
        <w:spacing w:line="240" w:lineRule="auto"/>
        <w:jc w:val="left"/>
        <w:rPr>
          <w:b/>
          <w:bCs/>
          <w:iCs/>
          <w:lang w:val="fr-FR"/>
        </w:rPr>
      </w:pPr>
      <w:r w:rsidRPr="00020C58">
        <w:rPr>
          <w:bCs/>
          <w:iCs/>
          <w:lang w:val="fr-FR"/>
        </w:rPr>
        <w:t>1.10</w:t>
      </w:r>
      <w:r w:rsidRPr="00020C58">
        <w:rPr>
          <w:bCs/>
          <w:iCs/>
          <w:lang w:val="fr-FR"/>
        </w:rPr>
        <w:tab/>
        <w:t xml:space="preserve">procéder à des études sur les besoins de spectre, la coexistence avec les services de radiocommunication et les mesures réglementaires à prendre en vue de faire de nouvelles attributions éventuelles au service mobile aéronautique pour l'utilisation des applications du service mobile aéronautique non liées à la sécurité, conformément à la Résolution </w:t>
      </w:r>
      <w:r w:rsidRPr="00020C58">
        <w:rPr>
          <w:b/>
          <w:bCs/>
          <w:iCs/>
          <w:lang w:val="fr-FR"/>
        </w:rPr>
        <w:t>430 (CMR-19)</w:t>
      </w:r>
      <w:r w:rsidRPr="00020C58">
        <w:rPr>
          <w:bCs/>
          <w:iCs/>
          <w:lang w:val="fr-FR"/>
        </w:rPr>
        <w:t>;</w:t>
      </w:r>
    </w:p>
    <w:p w14:paraId="55998DB0" w14:textId="77777777" w:rsidR="00156614" w:rsidRPr="00020C58" w:rsidRDefault="00156614" w:rsidP="00804495">
      <w:pPr>
        <w:spacing w:line="240" w:lineRule="auto"/>
        <w:jc w:val="left"/>
        <w:rPr>
          <w:bCs/>
          <w:iCs/>
          <w:lang w:val="fr-FR"/>
        </w:rPr>
      </w:pPr>
      <w:r w:rsidRPr="00020C58">
        <w:rPr>
          <w:bCs/>
          <w:iCs/>
          <w:lang w:val="fr-FR"/>
        </w:rPr>
        <w:t>1.11</w:t>
      </w:r>
      <w:r w:rsidRPr="00020C58">
        <w:rPr>
          <w:bCs/>
          <w:iCs/>
          <w:lang w:val="fr-FR"/>
        </w:rPr>
        <w:tab/>
        <w:t xml:space="preserve">examiner les mesures réglementaires qui pourraient être prises en vue de permettre la modernisation du Système mondial de détresse et de sécurité en mer (SMDSM) et la mise en œuvre de la navigation électronique, conformément à la Résolution </w:t>
      </w:r>
      <w:r w:rsidRPr="00020C58">
        <w:rPr>
          <w:b/>
          <w:iCs/>
          <w:lang w:val="fr-FR"/>
        </w:rPr>
        <w:t>361 (Rév.CMR-19)</w:t>
      </w:r>
      <w:r w:rsidRPr="00020C58">
        <w:rPr>
          <w:bCs/>
          <w:iCs/>
          <w:lang w:val="fr-FR"/>
        </w:rPr>
        <w:t>;</w:t>
      </w:r>
    </w:p>
    <w:p w14:paraId="7EDD7EFC" w14:textId="77777777" w:rsidR="00156614" w:rsidRPr="00020C58" w:rsidRDefault="00156614" w:rsidP="00804495">
      <w:pPr>
        <w:spacing w:line="240" w:lineRule="auto"/>
        <w:jc w:val="left"/>
        <w:rPr>
          <w:bCs/>
          <w:iCs/>
          <w:lang w:val="fr-FR"/>
        </w:rPr>
      </w:pPr>
      <w:r w:rsidRPr="00020C58">
        <w:rPr>
          <w:bCs/>
          <w:iCs/>
          <w:lang w:val="fr-FR"/>
        </w:rPr>
        <w:t>1.12</w:t>
      </w:r>
      <w:r w:rsidRPr="00020C58">
        <w:rPr>
          <w:bCs/>
          <w:iCs/>
          <w:lang w:val="fr-FR"/>
        </w:rPr>
        <w:tab/>
        <w:t xml:space="preserve">mener, et achever à temps pour la CMR-23, des études concernant la possibilité de faire une nouvelle attribution à titre secondaire au service d'exploration de la Terre par satellite (active) pour les sondeurs radar spatioportés dans la gamme de fréquences au voisinage de 45 MHz, compte tenu de la protection des services existants, y compris dans les bandes de fréquences adjacentes, conformément à la Résolution </w:t>
      </w:r>
      <w:r w:rsidRPr="00020C58">
        <w:rPr>
          <w:b/>
          <w:bCs/>
          <w:iCs/>
          <w:lang w:val="fr-FR"/>
        </w:rPr>
        <w:t>656 (Rév.CMR-19)</w:t>
      </w:r>
      <w:r w:rsidRPr="00020C58">
        <w:rPr>
          <w:bCs/>
          <w:iCs/>
          <w:lang w:val="fr-FR"/>
        </w:rPr>
        <w:t>;</w:t>
      </w:r>
    </w:p>
    <w:p w14:paraId="125D98E3" w14:textId="3B32F31A" w:rsidR="00156614" w:rsidRPr="00020C58" w:rsidRDefault="00156614" w:rsidP="00804495">
      <w:pPr>
        <w:spacing w:line="240" w:lineRule="auto"/>
        <w:jc w:val="left"/>
        <w:rPr>
          <w:bCs/>
          <w:iCs/>
          <w:lang w:val="fr-FR"/>
        </w:rPr>
      </w:pPr>
      <w:r w:rsidRPr="00020C58">
        <w:rPr>
          <w:bCs/>
          <w:iCs/>
          <w:lang w:val="fr-FR"/>
        </w:rPr>
        <w:t>1.13</w:t>
      </w:r>
      <w:r w:rsidRPr="00020C58">
        <w:rPr>
          <w:bCs/>
          <w:iCs/>
          <w:lang w:val="fr-FR"/>
        </w:rPr>
        <w:tab/>
        <w:t>envisager la possibilité de relever le statut de l'attribution de la bande de fréquences 14,8</w:t>
      </w:r>
      <w:r w:rsidR="00DC1266" w:rsidRPr="00020C58">
        <w:rPr>
          <w:bCs/>
          <w:iCs/>
          <w:lang w:val="fr-FR"/>
        </w:rPr>
        <w:t> </w:t>
      </w:r>
      <w:r w:rsidRPr="00020C58">
        <w:rPr>
          <w:bCs/>
          <w:iCs/>
          <w:lang w:val="fr-FR"/>
        </w:rPr>
        <w:t xml:space="preserve">15,35 GHz au service de recherche spatiale, conformément à la Résolution </w:t>
      </w:r>
      <w:r w:rsidRPr="00020C58">
        <w:rPr>
          <w:b/>
          <w:bCs/>
          <w:iCs/>
          <w:lang w:val="fr-FR"/>
        </w:rPr>
        <w:t>661 (CMR</w:t>
      </w:r>
      <w:r w:rsidRPr="00020C58">
        <w:rPr>
          <w:b/>
          <w:bCs/>
          <w:iCs/>
          <w:lang w:val="fr-FR"/>
        </w:rPr>
        <w:noBreakHyphen/>
        <w:t>19)</w:t>
      </w:r>
      <w:r w:rsidRPr="00020C58">
        <w:rPr>
          <w:bCs/>
          <w:iCs/>
          <w:lang w:val="fr-FR"/>
        </w:rPr>
        <w:t>;</w:t>
      </w:r>
    </w:p>
    <w:p w14:paraId="2BBF0260" w14:textId="77777777" w:rsidR="00156614" w:rsidRPr="00020C58" w:rsidRDefault="00156614" w:rsidP="00804495">
      <w:pPr>
        <w:spacing w:line="240" w:lineRule="auto"/>
        <w:jc w:val="left"/>
        <w:rPr>
          <w:lang w:val="fr-FR"/>
        </w:rPr>
      </w:pPr>
      <w:r w:rsidRPr="00020C58">
        <w:rPr>
          <w:lang w:val="fr-FR"/>
        </w:rPr>
        <w:t>1.14</w:t>
      </w:r>
      <w:r w:rsidRPr="00020C58">
        <w:rPr>
          <w:lang w:val="fr-FR"/>
        </w:rPr>
        <w:tab/>
        <w:t xml:space="preserve">examiner et envisager la possibilité d'apporter des ajustements aux attributions de fréquences existantes ou de faire de nouvelles attributions de fréquences à titre primaire au service d'exploration de la Terre par satellite (passive) dans la gamme de fréquences 231,5-252 GHz, pour s'assurer qu'elles correspondent aux besoins récents en matière d'observation des systèmes de télédétection, conformément à la Résolution </w:t>
      </w:r>
      <w:r w:rsidRPr="00020C58">
        <w:rPr>
          <w:b/>
          <w:lang w:val="fr-FR"/>
        </w:rPr>
        <w:t>662 (CMR-19)</w:t>
      </w:r>
      <w:r w:rsidRPr="00020C58">
        <w:rPr>
          <w:lang w:val="fr-FR"/>
        </w:rPr>
        <w:t>;</w:t>
      </w:r>
    </w:p>
    <w:p w14:paraId="59CAE268" w14:textId="77777777" w:rsidR="00156614" w:rsidRPr="00020C58" w:rsidRDefault="00156614" w:rsidP="00804495">
      <w:pPr>
        <w:spacing w:line="240" w:lineRule="auto"/>
        <w:jc w:val="left"/>
        <w:rPr>
          <w:bCs/>
          <w:iCs/>
          <w:lang w:val="fr-FR"/>
        </w:rPr>
      </w:pPr>
      <w:r w:rsidRPr="00020C58">
        <w:rPr>
          <w:bCs/>
          <w:iCs/>
          <w:lang w:val="fr-FR"/>
        </w:rPr>
        <w:lastRenderedPageBreak/>
        <w:t>1.15</w:t>
      </w:r>
      <w:r w:rsidRPr="00020C58">
        <w:rPr>
          <w:bCs/>
          <w:iCs/>
          <w:lang w:val="fr-FR"/>
        </w:rPr>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020C58">
        <w:rPr>
          <w:b/>
          <w:iCs/>
          <w:lang w:val="fr-FR"/>
        </w:rPr>
        <w:t>172 (CMR-19)</w:t>
      </w:r>
      <w:r w:rsidRPr="00020C58">
        <w:rPr>
          <w:bCs/>
          <w:iCs/>
          <w:lang w:val="fr-FR"/>
        </w:rPr>
        <w:t>;</w:t>
      </w:r>
    </w:p>
    <w:p w14:paraId="575C9F33" w14:textId="77777777" w:rsidR="00156614" w:rsidRPr="00020C58" w:rsidRDefault="00156614" w:rsidP="00804495">
      <w:pPr>
        <w:spacing w:line="240" w:lineRule="auto"/>
        <w:jc w:val="left"/>
        <w:rPr>
          <w:bCs/>
          <w:iCs/>
          <w:lang w:val="fr-FR"/>
        </w:rPr>
      </w:pPr>
      <w:r w:rsidRPr="00020C58">
        <w:rPr>
          <w:bCs/>
          <w:iCs/>
          <w:lang w:val="fr-FR"/>
        </w:rPr>
        <w:t>1.16</w:t>
      </w:r>
      <w:r w:rsidRPr="00020C58">
        <w:rPr>
          <w:bCs/>
          <w:iCs/>
          <w:lang w:val="fr-FR"/>
        </w:rPr>
        <w:tab/>
        <w:t>étudier et définir les mesures d'ordre technique, opérationnel et réglementaire, selon le cas, à prendre pour faciliter l'utilisation des bandes de fréquences 17,7-18,6 GHz, 18,8-19,3 GHz et 19,7</w:t>
      </w:r>
      <w:r w:rsidRPr="00020C58">
        <w:rPr>
          <w:bCs/>
          <w:iCs/>
          <w:lang w:val="fr-FR"/>
        </w:rPr>
        <w:noBreakHyphen/>
        <w:t xml:space="preserve">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w:t>
      </w:r>
      <w:r w:rsidRPr="00020C58">
        <w:rPr>
          <w:b/>
          <w:iCs/>
          <w:lang w:val="fr-FR"/>
        </w:rPr>
        <w:t>173 (CMR-19)</w:t>
      </w:r>
      <w:r w:rsidRPr="00020C58">
        <w:rPr>
          <w:bCs/>
          <w:iCs/>
          <w:lang w:val="fr-FR"/>
        </w:rPr>
        <w:t>;</w:t>
      </w:r>
    </w:p>
    <w:p w14:paraId="17544531" w14:textId="77777777" w:rsidR="00156614" w:rsidRPr="00020C58" w:rsidRDefault="00156614" w:rsidP="00804495">
      <w:pPr>
        <w:spacing w:line="240" w:lineRule="auto"/>
        <w:jc w:val="left"/>
        <w:rPr>
          <w:bCs/>
          <w:iCs/>
          <w:lang w:val="fr-FR"/>
        </w:rPr>
      </w:pPr>
      <w:r w:rsidRPr="00020C58">
        <w:rPr>
          <w:bCs/>
          <w:iCs/>
          <w:lang w:val="fr-FR"/>
        </w:rPr>
        <w:t>1.17</w:t>
      </w:r>
      <w:r w:rsidRPr="00020C58">
        <w:rPr>
          <w:bCs/>
          <w:iCs/>
          <w:lang w:val="fr-FR"/>
        </w:rPr>
        <w:tab/>
        <w:t xml:space="preserve">déterminer et prendre, sur la base des études menées par l'UIT-R conformément à la Résolution </w:t>
      </w:r>
      <w:r w:rsidRPr="00020C58">
        <w:rPr>
          <w:b/>
          <w:bCs/>
          <w:iCs/>
          <w:lang w:val="fr-FR"/>
        </w:rPr>
        <w:t>773 (CMR-19)</w:t>
      </w:r>
      <w:r w:rsidRPr="00020C58">
        <w:rPr>
          <w:bCs/>
          <w:iCs/>
          <w:lang w:val="fr-FR"/>
        </w:rPr>
        <w:t>, les mesures réglementaires qui conviennent concernant l'établissement de liaisons inter-satellites dans certaines bandes de fréquences, ou dans des parties de ces bandes, en ajoutant une attribution au service inter-satellites, s'il y a lieu;</w:t>
      </w:r>
    </w:p>
    <w:p w14:paraId="16EF1E3A" w14:textId="77777777" w:rsidR="00156614" w:rsidRPr="00020C58" w:rsidRDefault="00156614" w:rsidP="00804495">
      <w:pPr>
        <w:spacing w:line="240" w:lineRule="auto"/>
        <w:jc w:val="left"/>
        <w:rPr>
          <w:bCs/>
          <w:iCs/>
          <w:lang w:val="fr-FR"/>
        </w:rPr>
      </w:pPr>
      <w:r w:rsidRPr="00020C58">
        <w:rPr>
          <w:bCs/>
          <w:iCs/>
          <w:lang w:val="fr-FR"/>
        </w:rPr>
        <w:t>1.18</w:t>
      </w:r>
      <w:r w:rsidRPr="00020C58">
        <w:rPr>
          <w:bCs/>
          <w:iCs/>
          <w:lang w:val="fr-FR"/>
        </w:rPr>
        <w:tab/>
        <w:t xml:space="preserve">envisager des études relatives aux besoins de spectre et aux nouvelles attributions éventuelles au service mobile par satellite pour le développement futur des systèmes mobiles à satellites à bande étroite, conformément à la Résolution </w:t>
      </w:r>
      <w:r w:rsidRPr="00020C58">
        <w:rPr>
          <w:b/>
          <w:iCs/>
          <w:lang w:val="fr-FR"/>
        </w:rPr>
        <w:t>248</w:t>
      </w:r>
      <w:r w:rsidRPr="00020C58">
        <w:rPr>
          <w:b/>
          <w:bCs/>
          <w:iCs/>
          <w:lang w:val="fr-FR"/>
        </w:rPr>
        <w:t xml:space="preserve"> (CMR-19)</w:t>
      </w:r>
      <w:r w:rsidRPr="00020C58">
        <w:rPr>
          <w:bCs/>
          <w:iCs/>
          <w:lang w:val="fr-FR"/>
        </w:rPr>
        <w:t>;</w:t>
      </w:r>
    </w:p>
    <w:p w14:paraId="6E675E1A" w14:textId="77777777" w:rsidR="00156614" w:rsidRPr="00020C58" w:rsidRDefault="00156614" w:rsidP="00804495">
      <w:pPr>
        <w:spacing w:line="240" w:lineRule="auto"/>
        <w:jc w:val="left"/>
        <w:rPr>
          <w:bCs/>
          <w:iCs/>
          <w:lang w:val="fr-FR"/>
        </w:rPr>
      </w:pPr>
      <w:r w:rsidRPr="00020C58">
        <w:rPr>
          <w:bCs/>
          <w:iCs/>
          <w:lang w:val="fr-FR"/>
        </w:rPr>
        <w:t>1.19</w:t>
      </w:r>
      <w:r w:rsidRPr="00020C58">
        <w:rPr>
          <w:b/>
          <w:bCs/>
          <w:iCs/>
          <w:lang w:val="fr-FR"/>
        </w:rPr>
        <w:tab/>
      </w:r>
      <w:r w:rsidRPr="00020C58">
        <w:rPr>
          <w:bCs/>
          <w:iCs/>
          <w:lang w:val="fr-FR"/>
        </w:rPr>
        <w:t>envisager une nouvelle attribution à titre primaire au service fixe par satellite dans le sens espace vers Terre dans la bande de fréquences 17,3-17,7 GHz en Région 2, tout en assurant la protection des services primaires existants dans la bande de fréquences, conformément à la Résolution </w:t>
      </w:r>
      <w:r w:rsidRPr="00020C58">
        <w:rPr>
          <w:b/>
          <w:iCs/>
          <w:lang w:val="fr-FR"/>
        </w:rPr>
        <w:t>174</w:t>
      </w:r>
      <w:r w:rsidRPr="00020C58">
        <w:rPr>
          <w:bCs/>
          <w:iCs/>
          <w:lang w:val="fr-FR"/>
        </w:rPr>
        <w:t xml:space="preserve"> </w:t>
      </w:r>
      <w:r w:rsidRPr="00020C58">
        <w:rPr>
          <w:b/>
          <w:bCs/>
          <w:iCs/>
          <w:lang w:val="fr-FR"/>
        </w:rPr>
        <w:t>(CMR-19)</w:t>
      </w:r>
      <w:r w:rsidRPr="00020C58">
        <w:rPr>
          <w:bCs/>
          <w:iCs/>
          <w:lang w:val="fr-FR"/>
        </w:rPr>
        <w:t>;</w:t>
      </w:r>
    </w:p>
    <w:p w14:paraId="0E91ECC8" w14:textId="77777777" w:rsidR="00156614" w:rsidRPr="00020C58" w:rsidRDefault="00156614" w:rsidP="00804495">
      <w:pPr>
        <w:spacing w:line="240" w:lineRule="auto"/>
        <w:jc w:val="left"/>
        <w:rPr>
          <w:lang w:val="fr-FR"/>
        </w:rPr>
      </w:pPr>
      <w:r w:rsidRPr="00020C58">
        <w:rPr>
          <w:lang w:val="fr-FR"/>
        </w:rPr>
        <w:t>2</w:t>
      </w:r>
      <w:r w:rsidRPr="00020C58">
        <w:rPr>
          <w:lang w:val="fr-FR"/>
        </w:rPr>
        <w:tab/>
        <w:t xml:space="preserve">examiner les Recommandations UIT-R révisées et incorporées par référence dans le Règlement des radiocommunications, communiquées par l'Assemblée des radiocommunications conformément au </w:t>
      </w:r>
      <w:r w:rsidRPr="00020C58">
        <w:rPr>
          <w:i/>
          <w:lang w:val="fr-FR"/>
        </w:rPr>
        <w:t>décide en outre</w:t>
      </w:r>
      <w:r w:rsidRPr="00020C58">
        <w:rPr>
          <w:lang w:val="fr-FR"/>
        </w:rPr>
        <w:t xml:space="preserve"> de la Résolution </w:t>
      </w:r>
      <w:r w:rsidRPr="00020C58">
        <w:rPr>
          <w:b/>
          <w:bCs/>
          <w:lang w:val="fr-FR"/>
        </w:rPr>
        <w:t>27</w:t>
      </w:r>
      <w:r w:rsidRPr="00020C58">
        <w:rPr>
          <w:lang w:val="fr-FR"/>
        </w:rPr>
        <w:t xml:space="preserve"> </w:t>
      </w:r>
      <w:r w:rsidRPr="00020C58">
        <w:rPr>
          <w:b/>
          <w:bCs/>
          <w:lang w:val="fr-FR"/>
        </w:rPr>
        <w:t>(Rév.CMR-19)</w:t>
      </w:r>
      <w:r w:rsidRPr="00020C58">
        <w:rPr>
          <w:lang w:val="fr-FR"/>
        </w:rPr>
        <w:t>,</w:t>
      </w:r>
      <w:r w:rsidRPr="00020C58">
        <w:rPr>
          <w:b/>
          <w:bCs/>
          <w:lang w:val="fr-FR"/>
        </w:rPr>
        <w:t xml:space="preserve"> </w:t>
      </w:r>
      <w:r w:rsidRPr="00020C58">
        <w:rPr>
          <w:lang w:val="fr-FR"/>
        </w:rPr>
        <w:t xml:space="preserve">et décider s'il convient ou non de mettre à jour les références correspondantes dans le Règlement des radiocommunications, conformément aux principes énoncés dans le </w:t>
      </w:r>
      <w:r w:rsidRPr="00020C58">
        <w:rPr>
          <w:i/>
          <w:lang w:val="fr-FR"/>
        </w:rPr>
        <w:t>décide</w:t>
      </w:r>
      <w:r w:rsidRPr="00020C58">
        <w:rPr>
          <w:lang w:val="fr-FR"/>
        </w:rPr>
        <w:t xml:space="preserve"> de cette Résolution;</w:t>
      </w:r>
    </w:p>
    <w:p w14:paraId="0F356656" w14:textId="77777777" w:rsidR="00156614" w:rsidRPr="00020C58" w:rsidRDefault="00156614" w:rsidP="00804495">
      <w:pPr>
        <w:spacing w:line="240" w:lineRule="auto"/>
        <w:jc w:val="left"/>
        <w:rPr>
          <w:lang w:val="fr-FR"/>
        </w:rPr>
      </w:pPr>
      <w:r w:rsidRPr="00020C58">
        <w:rPr>
          <w:lang w:val="fr-FR"/>
        </w:rPr>
        <w:t>3</w:t>
      </w:r>
      <w:r w:rsidRPr="00020C58">
        <w:rPr>
          <w:lang w:val="fr-FR"/>
        </w:rPr>
        <w:tab/>
        <w:t>examiner les modifications et amendements à apporter éventuellement au Règlement des radiocommunications à la suite des décisions prises par la Conférence;</w:t>
      </w:r>
    </w:p>
    <w:p w14:paraId="0EA3B521" w14:textId="77777777" w:rsidR="00156614" w:rsidRPr="00020C58" w:rsidRDefault="00156614" w:rsidP="00804495">
      <w:pPr>
        <w:spacing w:line="240" w:lineRule="auto"/>
        <w:jc w:val="left"/>
        <w:rPr>
          <w:lang w:val="fr-FR"/>
        </w:rPr>
      </w:pPr>
      <w:r w:rsidRPr="00020C58">
        <w:rPr>
          <w:lang w:val="fr-FR"/>
        </w:rPr>
        <w:t>4</w:t>
      </w:r>
      <w:r w:rsidRPr="00020C58">
        <w:rPr>
          <w:lang w:val="fr-FR"/>
        </w:rPr>
        <w:tab/>
        <w:t xml:space="preserve">conformément à la Résolution </w:t>
      </w:r>
      <w:r w:rsidRPr="00020C58">
        <w:rPr>
          <w:b/>
          <w:bCs/>
          <w:lang w:val="fr-FR"/>
        </w:rPr>
        <w:t>95 (Rév.CMR-19)</w:t>
      </w:r>
      <w:r w:rsidRPr="00020C58">
        <w:rPr>
          <w:lang w:val="fr-FR"/>
        </w:rPr>
        <w:t>, examiner les Résolutions et Recommandations des conférences précédentes en vue, le cas échéant, de les réviser, de les remplacer ou de les supprimer;</w:t>
      </w:r>
    </w:p>
    <w:p w14:paraId="39687C32" w14:textId="77777777" w:rsidR="00156614" w:rsidRPr="00020C58" w:rsidRDefault="00156614" w:rsidP="00804495">
      <w:pPr>
        <w:spacing w:line="240" w:lineRule="auto"/>
        <w:jc w:val="left"/>
        <w:rPr>
          <w:lang w:val="fr-FR"/>
        </w:rPr>
      </w:pPr>
      <w:r w:rsidRPr="00020C58">
        <w:rPr>
          <w:lang w:val="fr-FR"/>
        </w:rPr>
        <w:t>5</w:t>
      </w:r>
      <w:r w:rsidRPr="00020C58">
        <w:rPr>
          <w:lang w:val="fr-FR"/>
        </w:rPr>
        <w:tab/>
        <w:t>examiner le Rapport de l'Assemblée des radiocommunications soumis conformément aux numéros 135 et 136 de la Convention de l'UIT et lui donner la suite voulue;</w:t>
      </w:r>
    </w:p>
    <w:p w14:paraId="78714F65" w14:textId="77777777" w:rsidR="00156614" w:rsidRPr="00020C58" w:rsidRDefault="00156614" w:rsidP="00804495">
      <w:pPr>
        <w:spacing w:line="240" w:lineRule="auto"/>
        <w:jc w:val="left"/>
        <w:rPr>
          <w:lang w:val="fr-FR"/>
        </w:rPr>
      </w:pPr>
      <w:r w:rsidRPr="00020C58">
        <w:rPr>
          <w:lang w:val="fr-FR"/>
        </w:rPr>
        <w:t>6</w:t>
      </w:r>
      <w:r w:rsidRPr="00020C58">
        <w:rPr>
          <w:lang w:val="fr-FR"/>
        </w:rPr>
        <w:tab/>
        <w:t>identifier les points auxquels les commissions d'études des radiocommunications doivent d'urgence donner suite, en vue de la conférence mondiale des radiocommunications suivante;</w:t>
      </w:r>
    </w:p>
    <w:p w14:paraId="2DFFCF9A" w14:textId="4F115C52" w:rsidR="00156614" w:rsidRPr="00020C58" w:rsidRDefault="00156614" w:rsidP="00804495">
      <w:pPr>
        <w:spacing w:line="240" w:lineRule="auto"/>
        <w:jc w:val="left"/>
        <w:rPr>
          <w:lang w:val="fr-FR"/>
        </w:rPr>
      </w:pPr>
      <w:r w:rsidRPr="00020C58">
        <w:rPr>
          <w:lang w:val="fr-FR"/>
        </w:rPr>
        <w:t>7</w:t>
      </w:r>
      <w:r w:rsidRPr="00020C58">
        <w:rPr>
          <w:lang w:val="fr-FR"/>
        </w:rPr>
        <w:tab/>
        <w:t xml:space="preserve">examiner d'éventuels changements à apporter en application de la Résolution 86 (Rév. Marrakech, 2002) de la Conférence de plénipotentiaires, intitulée </w:t>
      </w:r>
      <w:r w:rsidR="00041EA1" w:rsidRPr="00020C58">
        <w:rPr>
          <w:lang w:val="fr-FR"/>
        </w:rPr>
        <w:t>«</w:t>
      </w:r>
      <w:r w:rsidRPr="00020C58">
        <w:rPr>
          <w:lang w:val="fr-FR"/>
        </w:rPr>
        <w:t>Procédures de publication anticipée, de coordination, de notification et d'inscription des assignations de fréquence relatives aux réseaux à satellite</w:t>
      </w:r>
      <w:r w:rsidR="00041EA1" w:rsidRPr="00020C58">
        <w:rPr>
          <w:lang w:val="fr-FR"/>
        </w:rPr>
        <w:t>»</w:t>
      </w:r>
      <w:r w:rsidRPr="00020C58">
        <w:rPr>
          <w:lang w:val="fr-FR"/>
        </w:rPr>
        <w:t>, conformément à la Résolution </w:t>
      </w:r>
      <w:r w:rsidRPr="00020C58">
        <w:rPr>
          <w:b/>
          <w:bCs/>
          <w:lang w:val="fr-FR"/>
        </w:rPr>
        <w:t>86 (Rév.CMR-07)</w:t>
      </w:r>
      <w:r w:rsidRPr="00020C58">
        <w:rPr>
          <w:lang w:val="fr-FR"/>
        </w:rPr>
        <w:t>, afin de faciliter l'utilisation rationnelle, efficace et économique des fréquences radioélectriques et des orbites associées, y compris de l'orbite des satellites géostationnaires;</w:t>
      </w:r>
    </w:p>
    <w:p w14:paraId="49CC0ECD" w14:textId="77777777" w:rsidR="00156614" w:rsidRPr="00020C58" w:rsidRDefault="00156614" w:rsidP="00804495">
      <w:pPr>
        <w:spacing w:line="240" w:lineRule="auto"/>
        <w:jc w:val="left"/>
        <w:rPr>
          <w:lang w:val="fr-FR"/>
        </w:rPr>
      </w:pPr>
      <w:r w:rsidRPr="00020C58">
        <w:rPr>
          <w:lang w:val="fr-FR"/>
        </w:rPr>
        <w:t>8</w:t>
      </w:r>
      <w:r w:rsidRPr="00020C58">
        <w:rPr>
          <w:lang w:val="fr-FR"/>
        </w:rPr>
        <w:tab/>
        <w:t xml:space="preserve">examiner les demandes des administrations qui souhaitent supprimer des renvois relatifs à leur pays ou le nom de leur pays de certains renvois, s'ils ne sont plus nécessaires, compte tenu de la Résolution </w:t>
      </w:r>
      <w:r w:rsidRPr="00020C58">
        <w:rPr>
          <w:b/>
          <w:bCs/>
          <w:lang w:val="fr-FR"/>
        </w:rPr>
        <w:t>26 (Rév.CMR-19)</w:t>
      </w:r>
      <w:r w:rsidRPr="00020C58">
        <w:rPr>
          <w:lang w:val="fr-FR"/>
        </w:rPr>
        <w:t>, et prendre les mesures voulues à ce sujet;</w:t>
      </w:r>
    </w:p>
    <w:p w14:paraId="3460AFBB" w14:textId="77777777" w:rsidR="00156614" w:rsidRPr="00020C58" w:rsidRDefault="00156614" w:rsidP="00804495">
      <w:pPr>
        <w:spacing w:line="240" w:lineRule="auto"/>
        <w:jc w:val="left"/>
        <w:rPr>
          <w:lang w:val="fr-FR"/>
        </w:rPr>
      </w:pPr>
      <w:r w:rsidRPr="00020C58">
        <w:rPr>
          <w:lang w:val="fr-FR"/>
        </w:rPr>
        <w:lastRenderedPageBreak/>
        <w:t>9</w:t>
      </w:r>
      <w:r w:rsidRPr="00020C58">
        <w:rPr>
          <w:lang w:val="fr-FR"/>
        </w:rPr>
        <w:tab/>
        <w:t>examiner et approuver le rapport du Directeur du Bureau des radiocommunications, conformément à l'article 7 de la Convention de l'UIT:</w:t>
      </w:r>
    </w:p>
    <w:p w14:paraId="7C4269ED" w14:textId="77777777" w:rsidR="00156614" w:rsidRPr="00020C58" w:rsidRDefault="00156614" w:rsidP="00804495">
      <w:pPr>
        <w:spacing w:line="240" w:lineRule="auto"/>
        <w:jc w:val="left"/>
        <w:rPr>
          <w:lang w:val="fr-FR"/>
        </w:rPr>
      </w:pPr>
      <w:r w:rsidRPr="00020C58">
        <w:rPr>
          <w:lang w:val="fr-FR"/>
        </w:rPr>
        <w:t>9.1</w:t>
      </w:r>
      <w:r w:rsidRPr="00020C58">
        <w:rPr>
          <w:lang w:val="fr-FR"/>
        </w:rPr>
        <w:tab/>
        <w:t>sur les activités du Secteur des radiocommunications de l'UIT depuis la CMR</w:t>
      </w:r>
      <w:r w:rsidRPr="00020C58">
        <w:rPr>
          <w:lang w:val="fr-FR"/>
        </w:rPr>
        <w:noBreakHyphen/>
        <w:t>19;</w:t>
      </w:r>
    </w:p>
    <w:p w14:paraId="1AE6B6DD" w14:textId="77777777" w:rsidR="00156614" w:rsidRPr="00020C58" w:rsidRDefault="00156614" w:rsidP="00804495">
      <w:pPr>
        <w:pStyle w:val="enumlev1"/>
        <w:spacing w:line="240" w:lineRule="auto"/>
        <w:jc w:val="left"/>
        <w:rPr>
          <w:lang w:val="fr-FR"/>
        </w:rPr>
      </w:pPr>
      <w:r w:rsidRPr="00020C58">
        <w:rPr>
          <w:lang w:val="fr-FR"/>
        </w:rPr>
        <w:t>–</w:t>
      </w:r>
      <w:r w:rsidRPr="00020C58">
        <w:rPr>
          <w:lang w:val="fr-FR"/>
        </w:rPr>
        <w:tab/>
        <w:t xml:space="preserve">Conformément à la Résolution </w:t>
      </w:r>
      <w:r w:rsidRPr="00020C58">
        <w:rPr>
          <w:b/>
          <w:bCs/>
          <w:lang w:val="fr-FR"/>
        </w:rPr>
        <w:t>657 (Rév.CMR-19)</w:t>
      </w:r>
      <w:r w:rsidRPr="00020C58">
        <w:rPr>
          <w:lang w:val="fr-FR"/>
        </w:rPr>
        <w:t>, examiner les résultats des études relatives aux caractéristiques techniques et opérationnelles et aux besoins de spectre des capteurs de météorologie spatiale, ainsi qu'aux désignations de service de radiocommunication qui conviennent pour ces capteurs, afin qu'ils bénéficient d'une reconnaissance et d'une protection appropriées dans le Règlement des radiocommunications, sans imposer de contraintes additionnelles aux services existants;</w:t>
      </w:r>
    </w:p>
    <w:p w14:paraId="2002093D" w14:textId="77777777" w:rsidR="00156614" w:rsidRPr="00020C58" w:rsidRDefault="00156614" w:rsidP="00804495">
      <w:pPr>
        <w:pStyle w:val="enumlev1"/>
        <w:spacing w:line="240" w:lineRule="auto"/>
        <w:jc w:val="left"/>
        <w:rPr>
          <w:lang w:val="fr-FR"/>
        </w:rPr>
      </w:pPr>
      <w:r w:rsidRPr="00020C58">
        <w:rPr>
          <w:lang w:val="fr-FR"/>
        </w:rPr>
        <w:t>–</w:t>
      </w:r>
      <w:r w:rsidRPr="00020C58">
        <w:rPr>
          <w:lang w:val="fr-FR"/>
        </w:rPr>
        <w:tab/>
        <w:t xml:space="preserve">Examiner les attributions au service d'amateur et au service d'amateur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w:t>
      </w:r>
      <w:r w:rsidRPr="00020C58">
        <w:rPr>
          <w:b/>
          <w:bCs/>
          <w:lang w:val="fr-FR"/>
        </w:rPr>
        <w:t>774 (CMR-19)</w:t>
      </w:r>
      <w:r w:rsidRPr="00020C58">
        <w:rPr>
          <w:lang w:val="fr-FR"/>
        </w:rPr>
        <w:t>;</w:t>
      </w:r>
    </w:p>
    <w:p w14:paraId="0929318B" w14:textId="23B7F75B" w:rsidR="00156614" w:rsidRPr="00020C58" w:rsidRDefault="00156614" w:rsidP="00804495">
      <w:pPr>
        <w:pStyle w:val="enumlev1"/>
        <w:spacing w:line="240" w:lineRule="auto"/>
        <w:jc w:val="left"/>
        <w:rPr>
          <w:lang w:val="fr-FR"/>
        </w:rPr>
      </w:pPr>
      <w:r w:rsidRPr="00020C58">
        <w:rPr>
          <w:lang w:val="fr-FR"/>
        </w:rPr>
        <w:t>–</w:t>
      </w:r>
      <w:r w:rsidRPr="00020C58">
        <w:rPr>
          <w:lang w:val="fr-FR"/>
        </w:rPr>
        <w:tab/>
        <w:t xml:space="preserve">Étudier l'utilisation des systèmes de Télécommunications mobiles internationales pour </w:t>
      </w:r>
      <w:r w:rsidR="00DC1266" w:rsidRPr="00020C58">
        <w:rPr>
          <w:lang w:val="fr-FR"/>
        </w:rPr>
        <w:t>la large bande hertzienne</w:t>
      </w:r>
      <w:r w:rsidRPr="00020C58">
        <w:rPr>
          <w:lang w:val="fr-FR"/>
        </w:rPr>
        <w:t xml:space="preserve"> fixe dans les bandes de fréquences attribuées au service fixe à titre primaire, conformément à la Résolution </w:t>
      </w:r>
      <w:r w:rsidRPr="00020C58">
        <w:rPr>
          <w:b/>
          <w:bCs/>
          <w:lang w:val="fr-FR"/>
        </w:rPr>
        <w:t>175 (CMR</w:t>
      </w:r>
      <w:r w:rsidRPr="00020C58">
        <w:rPr>
          <w:b/>
          <w:bCs/>
          <w:lang w:val="fr-FR"/>
        </w:rPr>
        <w:noBreakHyphen/>
        <w:t>19)</w:t>
      </w:r>
      <w:r w:rsidRPr="00020C58">
        <w:rPr>
          <w:lang w:val="fr-FR"/>
        </w:rPr>
        <w:t>;</w:t>
      </w:r>
    </w:p>
    <w:p w14:paraId="0C5E66CF" w14:textId="77777777" w:rsidR="00156614" w:rsidRPr="00020C58" w:rsidRDefault="00156614" w:rsidP="00804495">
      <w:pPr>
        <w:spacing w:line="240" w:lineRule="auto"/>
        <w:jc w:val="left"/>
        <w:rPr>
          <w:lang w:val="fr-FR"/>
        </w:rPr>
      </w:pPr>
      <w:r w:rsidRPr="00020C58">
        <w:rPr>
          <w:lang w:val="fr-FR"/>
        </w:rPr>
        <w:t>9.2</w:t>
      </w:r>
      <w:r w:rsidRPr="00020C58">
        <w:rPr>
          <w:lang w:val="fr-FR"/>
        </w:rPr>
        <w:tab/>
        <w:t>sur les difficultés rencontrées ou les incohérences constatées dans l'application du Règlement des radiocommunications</w:t>
      </w:r>
      <w:r w:rsidRPr="00020C58">
        <w:rPr>
          <w:rStyle w:val="FootnoteReference"/>
          <w:lang w:val="fr-FR"/>
        </w:rPr>
        <w:footnoteReference w:customMarkFollows="1" w:id="1"/>
        <w:t>1</w:t>
      </w:r>
      <w:r w:rsidRPr="00020C58">
        <w:rPr>
          <w:lang w:val="fr-FR"/>
        </w:rPr>
        <w:t>; et</w:t>
      </w:r>
    </w:p>
    <w:p w14:paraId="1C9AC75A" w14:textId="77777777" w:rsidR="00156614" w:rsidRPr="00020C58" w:rsidRDefault="00156614" w:rsidP="00804495">
      <w:pPr>
        <w:spacing w:line="240" w:lineRule="auto"/>
        <w:jc w:val="left"/>
        <w:rPr>
          <w:lang w:val="fr-FR"/>
        </w:rPr>
      </w:pPr>
      <w:r w:rsidRPr="00020C58">
        <w:rPr>
          <w:lang w:val="fr-FR"/>
        </w:rPr>
        <w:t>9.3</w:t>
      </w:r>
      <w:r w:rsidRPr="00020C58">
        <w:rPr>
          <w:lang w:val="fr-FR"/>
        </w:rPr>
        <w:tab/>
        <w:t>sur la suite donnée à la Résolution </w:t>
      </w:r>
      <w:r w:rsidRPr="00020C58">
        <w:rPr>
          <w:b/>
          <w:bCs/>
          <w:lang w:val="fr-FR"/>
        </w:rPr>
        <w:t>80 (Rév.CMR-07)</w:t>
      </w:r>
      <w:r w:rsidRPr="00020C58">
        <w:rPr>
          <w:lang w:val="fr-FR"/>
        </w:rPr>
        <w:t>;</w:t>
      </w:r>
    </w:p>
    <w:p w14:paraId="78DE8B5A" w14:textId="436CEBDC" w:rsidR="00156614" w:rsidRPr="00020C58" w:rsidRDefault="00156614" w:rsidP="00804495">
      <w:pPr>
        <w:spacing w:line="240" w:lineRule="auto"/>
        <w:jc w:val="left"/>
        <w:rPr>
          <w:lang w:val="fr-FR"/>
        </w:rPr>
      </w:pPr>
      <w:r w:rsidRPr="00020C58">
        <w:rPr>
          <w:lang w:val="fr-FR"/>
        </w:rPr>
        <w:t>10</w:t>
      </w:r>
      <w:r w:rsidRPr="00020C58">
        <w:rPr>
          <w:lang w:val="fr-FR"/>
        </w:rPr>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020C58">
        <w:rPr>
          <w:b/>
          <w:lang w:val="fr-FR"/>
        </w:rPr>
        <w:t>804</w:t>
      </w:r>
      <w:r w:rsidR="00804495" w:rsidRPr="00020C58">
        <w:rPr>
          <w:b/>
          <w:lang w:val="fr-FR"/>
        </w:rPr>
        <w:t xml:space="preserve"> </w:t>
      </w:r>
      <w:r w:rsidRPr="00020C58">
        <w:rPr>
          <w:b/>
          <w:lang w:val="fr-FR"/>
        </w:rPr>
        <w:t>(Rév.CMR-19)</w:t>
      </w:r>
      <w:r w:rsidRPr="00020C58">
        <w:rPr>
          <w:lang w:val="fr-FR"/>
        </w:rPr>
        <w:t>.</w:t>
      </w:r>
    </w:p>
    <w:p w14:paraId="7BFA0C9E" w14:textId="77777777" w:rsidR="00DC525C" w:rsidRPr="00020C58" w:rsidRDefault="00DC525C" w:rsidP="00DC525C">
      <w:pPr>
        <w:pStyle w:val="Reasons"/>
        <w:rPr>
          <w:lang w:val="fr-FR"/>
        </w:rPr>
      </w:pPr>
    </w:p>
    <w:p w14:paraId="0C94FCBA" w14:textId="77777777" w:rsidR="00156614" w:rsidRPr="00020C58" w:rsidRDefault="00156614" w:rsidP="0060601B">
      <w:pPr>
        <w:spacing w:line="240" w:lineRule="auto"/>
        <w:jc w:val="center"/>
        <w:rPr>
          <w:lang w:val="fr-FR"/>
        </w:rPr>
      </w:pPr>
      <w:r w:rsidRPr="00020C58">
        <w:rPr>
          <w:lang w:val="fr-FR"/>
        </w:rPr>
        <w:t>______________</w:t>
      </w:r>
    </w:p>
    <w:sectPr w:rsidR="00156614" w:rsidRPr="00020C58" w:rsidSect="003F2F3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40596" w14:textId="77777777" w:rsidR="002E27C4" w:rsidRDefault="002E27C4">
      <w:r>
        <w:separator/>
      </w:r>
    </w:p>
  </w:endnote>
  <w:endnote w:type="continuationSeparator" w:id="0">
    <w:p w14:paraId="31E963E9" w14:textId="77777777" w:rsidR="002E27C4" w:rsidRDefault="002E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0005" w14:textId="0D2435E1"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F45C5D">
      <w:rPr>
        <w:sz w:val="18"/>
        <w:szCs w:val="18"/>
        <w:lang w:val="fr-CH"/>
      </w:rPr>
      <w:t>.</w:t>
    </w:r>
    <w:r w:rsidRPr="009E2358">
      <w:rPr>
        <w:sz w:val="18"/>
        <w:szCs w:val="18"/>
        <w:lang w:val="fr-CH"/>
      </w:rPr>
      <w:t xml:space="preserve">: +41 22 730 5111 • Fax: +41 22 733 7256 </w:t>
    </w:r>
    <w:r w:rsidRPr="000E443D">
      <w:rPr>
        <w:sz w:val="18"/>
        <w:szCs w:val="18"/>
        <w:lang w:val="fr-CH"/>
      </w:rPr>
      <w:t xml:space="preserve">• Courriel: </w:t>
    </w:r>
    <w:r w:rsidR="00DD2ECE">
      <w:fldChar w:fldCharType="begin"/>
    </w:r>
    <w:r w:rsidR="00DD2ECE" w:rsidRPr="00FE0134">
      <w:rPr>
        <w:lang w:val="fr-CH"/>
      </w:rPr>
      <w:instrText xml:space="preserve"> HYPERLINK "mailto:itumail@itu.int" </w:instrText>
    </w:r>
    <w:r w:rsidR="00DD2ECE">
      <w:fldChar w:fldCharType="separate"/>
    </w:r>
    <w:r w:rsidRPr="000E443D">
      <w:rPr>
        <w:rStyle w:val="Hyperlink"/>
        <w:sz w:val="18"/>
        <w:szCs w:val="18"/>
        <w:lang w:val="fr-CH"/>
      </w:rPr>
      <w:t>itumail@itu.int</w:t>
    </w:r>
    <w:r w:rsidR="00DD2ECE">
      <w:rPr>
        <w:rStyle w:val="Hyperlink"/>
        <w:sz w:val="18"/>
        <w:szCs w:val="18"/>
        <w:lang w:val="fr-CH"/>
      </w:rPr>
      <w:fldChar w:fldCharType="end"/>
    </w:r>
    <w:r w:rsidRPr="000E443D">
      <w:rPr>
        <w:sz w:val="18"/>
        <w:szCs w:val="18"/>
        <w:lang w:val="fr-CH"/>
      </w:rPr>
      <w:t xml:space="preserve"> • </w:t>
    </w:r>
    <w:hyperlink r:id="rId1"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001D5" w14:textId="77777777" w:rsidR="002E27C4" w:rsidRDefault="002E27C4">
      <w:r>
        <w:t>____________________</w:t>
      </w:r>
    </w:p>
  </w:footnote>
  <w:footnote w:type="continuationSeparator" w:id="0">
    <w:p w14:paraId="5815AE35" w14:textId="77777777" w:rsidR="002E27C4" w:rsidRDefault="002E27C4">
      <w:r>
        <w:continuationSeparator/>
      </w:r>
    </w:p>
  </w:footnote>
  <w:footnote w:id="1">
    <w:p w14:paraId="4AB016F4" w14:textId="77777777" w:rsidR="00156614" w:rsidRDefault="00156614" w:rsidP="00156614">
      <w:pPr>
        <w:pStyle w:val="FootnoteText"/>
        <w:rPr>
          <w:lang w:val="fr-CH"/>
        </w:rPr>
      </w:pPr>
      <w:r w:rsidRPr="00B77C98">
        <w:rPr>
          <w:rStyle w:val="FootnoteReference"/>
          <w:lang w:val="fr-CH"/>
        </w:rPr>
        <w:t>1</w:t>
      </w:r>
      <w:r w:rsidRPr="00B77C98">
        <w:rPr>
          <w:lang w:val="fr-CH"/>
        </w:rPr>
        <w:tab/>
      </w:r>
      <w:r>
        <w:rPr>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214D" w14:textId="581D37B3" w:rsidR="003F2F34" w:rsidRPr="003F2F34" w:rsidRDefault="00006EAB"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4D293F3F" w14:textId="77777777" w:rsidTr="00D6287C">
      <w:tc>
        <w:tcPr>
          <w:tcW w:w="4792" w:type="dxa"/>
          <w:tcMar>
            <w:left w:w="0" w:type="dxa"/>
          </w:tcMar>
        </w:tcPr>
        <w:p w14:paraId="3EF1D6AB" w14:textId="0D4D8DB0" w:rsidR="004F47EA" w:rsidRDefault="002E27C4" w:rsidP="002E27C4">
          <w:pPr>
            <w:pStyle w:val="Header"/>
            <w:spacing w:line="360" w:lineRule="auto"/>
            <w:jc w:val="both"/>
          </w:pPr>
          <w:r>
            <w:tab/>
          </w:r>
          <w:r>
            <w:rPr>
              <w:noProof/>
              <w:lang w:val="en-GB" w:eastAsia="en-GB"/>
            </w:rPr>
            <w:drawing>
              <wp:inline distT="0" distB="0" distL="0" distR="0" wp14:anchorId="553F4E32" wp14:editId="78A7C647">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r>
            <w:tab/>
          </w:r>
          <w:r w:rsidR="00906453">
            <w:t xml:space="preserve">                                   </w:t>
          </w:r>
        </w:p>
      </w:tc>
      <w:tc>
        <w:tcPr>
          <w:tcW w:w="5131" w:type="dxa"/>
        </w:tcPr>
        <w:p w14:paraId="5EC52BAC" w14:textId="7D3FDF61" w:rsidR="004F47EA" w:rsidRDefault="002E27C4" w:rsidP="002E27C4">
          <w:pPr>
            <w:pStyle w:val="Header"/>
            <w:spacing w:line="360" w:lineRule="auto"/>
            <w:jc w:val="right"/>
          </w:pPr>
          <w:r>
            <w:rPr>
              <w:noProof/>
            </w:rPr>
            <w:drawing>
              <wp:inline distT="0" distB="0" distL="0" distR="0" wp14:anchorId="1669846D" wp14:editId="690A0A8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2E27C4"/>
    <w:rsid w:val="00006A31"/>
    <w:rsid w:val="00006C82"/>
    <w:rsid w:val="00006EAB"/>
    <w:rsid w:val="00010E30"/>
    <w:rsid w:val="00015C76"/>
    <w:rsid w:val="00020C58"/>
    <w:rsid w:val="00026CF8"/>
    <w:rsid w:val="00030BD7"/>
    <w:rsid w:val="00031E64"/>
    <w:rsid w:val="00034340"/>
    <w:rsid w:val="00035CB3"/>
    <w:rsid w:val="00041EA1"/>
    <w:rsid w:val="00045A8D"/>
    <w:rsid w:val="0005167A"/>
    <w:rsid w:val="00054E5D"/>
    <w:rsid w:val="00056776"/>
    <w:rsid w:val="00070258"/>
    <w:rsid w:val="0007323C"/>
    <w:rsid w:val="00086D03"/>
    <w:rsid w:val="000A096A"/>
    <w:rsid w:val="000A375E"/>
    <w:rsid w:val="000A7051"/>
    <w:rsid w:val="000B0AF6"/>
    <w:rsid w:val="000B0E9B"/>
    <w:rsid w:val="000B2CAE"/>
    <w:rsid w:val="000B6F4D"/>
    <w:rsid w:val="000C03C7"/>
    <w:rsid w:val="000C2AD0"/>
    <w:rsid w:val="000E3DEE"/>
    <w:rsid w:val="000E443D"/>
    <w:rsid w:val="00100B72"/>
    <w:rsid w:val="00101F7D"/>
    <w:rsid w:val="00103C76"/>
    <w:rsid w:val="0011265F"/>
    <w:rsid w:val="001144DA"/>
    <w:rsid w:val="00117282"/>
    <w:rsid w:val="00117389"/>
    <w:rsid w:val="00121C2D"/>
    <w:rsid w:val="00134404"/>
    <w:rsid w:val="00144DFB"/>
    <w:rsid w:val="00156614"/>
    <w:rsid w:val="00187CA3"/>
    <w:rsid w:val="00196710"/>
    <w:rsid w:val="00196770"/>
    <w:rsid w:val="00197324"/>
    <w:rsid w:val="001B351B"/>
    <w:rsid w:val="001B42C9"/>
    <w:rsid w:val="001C06DB"/>
    <w:rsid w:val="001C6971"/>
    <w:rsid w:val="001D2785"/>
    <w:rsid w:val="001D7070"/>
    <w:rsid w:val="001E3212"/>
    <w:rsid w:val="001F2170"/>
    <w:rsid w:val="001F3948"/>
    <w:rsid w:val="001F5A49"/>
    <w:rsid w:val="001F66E4"/>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27C4"/>
    <w:rsid w:val="002E3D27"/>
    <w:rsid w:val="002F0890"/>
    <w:rsid w:val="002F2531"/>
    <w:rsid w:val="002F4967"/>
    <w:rsid w:val="002F5AA5"/>
    <w:rsid w:val="00316935"/>
    <w:rsid w:val="003266ED"/>
    <w:rsid w:val="00326C68"/>
    <w:rsid w:val="003370B8"/>
    <w:rsid w:val="00345379"/>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7658C"/>
    <w:rsid w:val="00580814"/>
    <w:rsid w:val="00583A0B"/>
    <w:rsid w:val="005A03A3"/>
    <w:rsid w:val="005A2B92"/>
    <w:rsid w:val="005A3F66"/>
    <w:rsid w:val="005A79E9"/>
    <w:rsid w:val="005B1E53"/>
    <w:rsid w:val="005B214C"/>
    <w:rsid w:val="005B3AD3"/>
    <w:rsid w:val="005B4CDA"/>
    <w:rsid w:val="005B62F0"/>
    <w:rsid w:val="005D3669"/>
    <w:rsid w:val="005E42F8"/>
    <w:rsid w:val="005E5EB3"/>
    <w:rsid w:val="005F3CB6"/>
    <w:rsid w:val="005F657C"/>
    <w:rsid w:val="00602D53"/>
    <w:rsid w:val="006047E5"/>
    <w:rsid w:val="0060601B"/>
    <w:rsid w:val="00642050"/>
    <w:rsid w:val="0064371D"/>
    <w:rsid w:val="00650543"/>
    <w:rsid w:val="00650B2A"/>
    <w:rsid w:val="00651777"/>
    <w:rsid w:val="006550F8"/>
    <w:rsid w:val="006829F3"/>
    <w:rsid w:val="00685941"/>
    <w:rsid w:val="006A518B"/>
    <w:rsid w:val="006B0590"/>
    <w:rsid w:val="006B49DA"/>
    <w:rsid w:val="006C53F8"/>
    <w:rsid w:val="006C7CDE"/>
    <w:rsid w:val="006F5C4F"/>
    <w:rsid w:val="007234B1"/>
    <w:rsid w:val="00723D08"/>
    <w:rsid w:val="00725FDA"/>
    <w:rsid w:val="00727816"/>
    <w:rsid w:val="00730B9A"/>
    <w:rsid w:val="00750CFA"/>
    <w:rsid w:val="007510C7"/>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4495"/>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6453"/>
    <w:rsid w:val="009076D7"/>
    <w:rsid w:val="009151BA"/>
    <w:rsid w:val="00925023"/>
    <w:rsid w:val="009277BC"/>
    <w:rsid w:val="00927D57"/>
    <w:rsid w:val="00931A51"/>
    <w:rsid w:val="00947185"/>
    <w:rsid w:val="009518B3"/>
    <w:rsid w:val="0095297D"/>
    <w:rsid w:val="00963D9D"/>
    <w:rsid w:val="0098013E"/>
    <w:rsid w:val="00981B54"/>
    <w:rsid w:val="009842C3"/>
    <w:rsid w:val="009968ED"/>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67277"/>
    <w:rsid w:val="00A7596D"/>
    <w:rsid w:val="00A963DF"/>
    <w:rsid w:val="00AA211B"/>
    <w:rsid w:val="00AA781A"/>
    <w:rsid w:val="00AC0C22"/>
    <w:rsid w:val="00AC3896"/>
    <w:rsid w:val="00AD2CF2"/>
    <w:rsid w:val="00AE2D88"/>
    <w:rsid w:val="00AE6F6F"/>
    <w:rsid w:val="00AF22B9"/>
    <w:rsid w:val="00AF3325"/>
    <w:rsid w:val="00AF34D9"/>
    <w:rsid w:val="00AF70DA"/>
    <w:rsid w:val="00B019D3"/>
    <w:rsid w:val="00B34CF9"/>
    <w:rsid w:val="00B37559"/>
    <w:rsid w:val="00B4054B"/>
    <w:rsid w:val="00B579B0"/>
    <w:rsid w:val="00B57D11"/>
    <w:rsid w:val="00B649D7"/>
    <w:rsid w:val="00B77C98"/>
    <w:rsid w:val="00B81C2F"/>
    <w:rsid w:val="00B90743"/>
    <w:rsid w:val="00B90C45"/>
    <w:rsid w:val="00B933BE"/>
    <w:rsid w:val="00BA2232"/>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1772"/>
    <w:rsid w:val="00CB3771"/>
    <w:rsid w:val="00CB44BF"/>
    <w:rsid w:val="00CB5153"/>
    <w:rsid w:val="00CE076A"/>
    <w:rsid w:val="00CE463D"/>
    <w:rsid w:val="00CE52FC"/>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C1266"/>
    <w:rsid w:val="00DC525C"/>
    <w:rsid w:val="00DC6D20"/>
    <w:rsid w:val="00DD2ECE"/>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56FE"/>
    <w:rsid w:val="00E915AF"/>
    <w:rsid w:val="00E96415"/>
    <w:rsid w:val="00EA15B3"/>
    <w:rsid w:val="00EA2C83"/>
    <w:rsid w:val="00EB2358"/>
    <w:rsid w:val="00EB3EB8"/>
    <w:rsid w:val="00EC00EF"/>
    <w:rsid w:val="00EC02FE"/>
    <w:rsid w:val="00EC4A96"/>
    <w:rsid w:val="00EE03A0"/>
    <w:rsid w:val="00EE1A57"/>
    <w:rsid w:val="00F424BF"/>
    <w:rsid w:val="00F44FC3"/>
    <w:rsid w:val="00F45C5D"/>
    <w:rsid w:val="00F46107"/>
    <w:rsid w:val="00F468C5"/>
    <w:rsid w:val="00F52F39"/>
    <w:rsid w:val="00F6184F"/>
    <w:rsid w:val="00F73DBD"/>
    <w:rsid w:val="00F8310E"/>
    <w:rsid w:val="00F914DD"/>
    <w:rsid w:val="00FA2358"/>
    <w:rsid w:val="00FB2592"/>
    <w:rsid w:val="00FB2810"/>
    <w:rsid w:val="00FB7A2C"/>
    <w:rsid w:val="00FC2947"/>
    <w:rsid w:val="00FE0134"/>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CallChar">
    <w:name w:val="Call Char"/>
    <w:basedOn w:val="DefaultParagraphFont"/>
    <w:link w:val="Call"/>
    <w:rsid w:val="0057658C"/>
    <w:rPr>
      <w:i/>
      <w:sz w:val="24"/>
      <w:szCs w:val="22"/>
      <w:lang w:val="en-US" w:eastAsia="en-US"/>
    </w:rPr>
  </w:style>
  <w:style w:type="paragraph" w:customStyle="1" w:styleId="AnnexNotitle0">
    <w:name w:val="Annex_No &amp; title"/>
    <w:basedOn w:val="Normal"/>
    <w:next w:val="Normalaftertitle"/>
    <w:rsid w:val="0057658C"/>
    <w:pPr>
      <w:keepNext/>
      <w:keepLines/>
      <w:spacing w:before="480" w:line="240" w:lineRule="auto"/>
      <w:jc w:val="center"/>
    </w:pPr>
    <w:rPr>
      <w:rFonts w:ascii="Times New Roman" w:hAnsi="Times New Roman" w:cs="Times New Roman"/>
      <w:b/>
      <w:sz w:val="28"/>
      <w:szCs w:val="20"/>
      <w:lang w:val="fr-FR"/>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qFormat/>
    <w:rsid w:val="0057658C"/>
    <w:rPr>
      <w:szCs w:val="22"/>
      <w:lang w:val="en-US" w:eastAsia="en-US"/>
    </w:rPr>
  </w:style>
  <w:style w:type="character" w:styleId="UnresolvedMention">
    <w:name w:val="Unresolved Mention"/>
    <w:basedOn w:val="DefaultParagraphFont"/>
    <w:uiPriority w:val="99"/>
    <w:semiHidden/>
    <w:unhideWhenUsed/>
    <w:rsid w:val="0057658C"/>
    <w:rPr>
      <w:color w:val="605E5C"/>
      <w:shd w:val="clear" w:color="auto" w:fill="E1DFDD"/>
    </w:rPr>
  </w:style>
  <w:style w:type="paragraph" w:customStyle="1" w:styleId="Normalaftertitle0">
    <w:name w:val="Normal after title"/>
    <w:basedOn w:val="Normal"/>
    <w:next w:val="Normal"/>
    <w:link w:val="NormalaftertitleChar"/>
    <w:rsid w:val="00BA2232"/>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lang w:val="fr-FR"/>
    </w:rPr>
  </w:style>
  <w:style w:type="character" w:customStyle="1" w:styleId="enumlev1Char">
    <w:name w:val="enumlev1 Char"/>
    <w:basedOn w:val="DefaultParagraphFont"/>
    <w:link w:val="enumlev1"/>
    <w:locked/>
    <w:rsid w:val="00BA2232"/>
    <w:rPr>
      <w:sz w:val="24"/>
      <w:szCs w:val="22"/>
      <w:lang w:val="en-US" w:eastAsia="en-US"/>
    </w:rPr>
  </w:style>
  <w:style w:type="character" w:customStyle="1" w:styleId="NormalaftertitleChar">
    <w:name w:val="Normal after title Char"/>
    <w:basedOn w:val="DefaultParagraphFont"/>
    <w:link w:val="Normalaftertitle0"/>
    <w:rsid w:val="00BA2232"/>
    <w:rPr>
      <w:rFonts w:cs="Times New Roman"/>
      <w:sz w:val="24"/>
      <w:lang w:val="fr-FR" w:eastAsia="en-US"/>
    </w:rPr>
  </w:style>
  <w:style w:type="paragraph" w:styleId="Revision">
    <w:name w:val="Revision"/>
    <w:hidden/>
    <w:uiPriority w:val="99"/>
    <w:semiHidden/>
    <w:rsid w:val="001144DA"/>
    <w:rPr>
      <w:sz w:val="24"/>
      <w:szCs w:val="22"/>
      <w:lang w:val="en-US" w:eastAsia="en-US"/>
    </w:rPr>
  </w:style>
  <w:style w:type="character" w:styleId="FollowedHyperlink">
    <w:name w:val="FollowedHyperlink"/>
    <w:basedOn w:val="DefaultParagraphFont"/>
    <w:semiHidden/>
    <w:unhideWhenUsed/>
    <w:rsid w:val="0060601B"/>
    <w:rPr>
      <w:color w:val="800080" w:themeColor="followedHyperlink"/>
      <w:u w:val="single"/>
    </w:rPr>
  </w:style>
  <w:style w:type="paragraph" w:customStyle="1" w:styleId="Reasons">
    <w:name w:val="Reasons"/>
    <w:basedOn w:val="Normal"/>
    <w:rsid w:val="00DC525C"/>
    <w:pPr>
      <w:spacing w:line="240" w:lineRule="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773554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SG-CIR-0040/en" TargetMode="External"/><Relationship Id="rId13" Type="http://schemas.openxmlformats.org/officeDocument/2006/relationships/hyperlink" Target="https://www.itu.int/md/S20-CL-C-0069/fr" TargetMode="External"/><Relationship Id="rId18" Type="http://schemas.openxmlformats.org/officeDocument/2006/relationships/hyperlink" Target="https://www.itu.int/en/ties-services/Pages/default.asp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wrc-23/" TargetMode="External"/><Relationship Id="rId7" Type="http://schemas.openxmlformats.org/officeDocument/2006/relationships/endnotes" Target="endnotes.xml"/><Relationship Id="rId12" Type="http://schemas.openxmlformats.org/officeDocument/2006/relationships/hyperlink" Target="https://www.itu.int/ra-23/fr/" TargetMode="External"/><Relationship Id="rId17" Type="http://schemas.openxmlformats.org/officeDocument/2006/relationships/hyperlink" Target="https://www.itu.int/net4/proposals/CPI/WRC2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wrc-23/fr/" TargetMode="External"/><Relationship Id="rId20" Type="http://schemas.openxmlformats.org/officeDocument/2006/relationships/hyperlink" Target="https://www.itu.int/wrc-23/fr/"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wrc-23/f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net/about/basic-texts/rules.aspx" TargetMode="External"/><Relationship Id="rId23" Type="http://schemas.openxmlformats.org/officeDocument/2006/relationships/hyperlink" Target="mailto:wrc23contact@itu.int" TargetMode="External"/><Relationship Id="rId28" Type="http://schemas.openxmlformats.org/officeDocument/2006/relationships/fontTable" Target="fontTable.xml"/><Relationship Id="rId10" Type="http://schemas.openxmlformats.org/officeDocument/2006/relationships/hyperlink" Target="https://www.itu.int/md/S22-DM-CIR-01012/en" TargetMode="External"/><Relationship Id="rId19" Type="http://schemas.openxmlformats.org/officeDocument/2006/relationships/hyperlink" Target="https://www.itu.int/en/ties-services/Pages/default.aspx" TargetMode="External"/><Relationship Id="rId4" Type="http://schemas.openxmlformats.org/officeDocument/2006/relationships/settings" Target="settings.xml"/><Relationship Id="rId9" Type="http://schemas.openxmlformats.org/officeDocument/2006/relationships/hyperlink" Target="https://www.itu.int/md/S22-SG-CIR-0041/en" TargetMode="External"/><Relationship Id="rId14" Type="http://schemas.openxmlformats.org/officeDocument/2006/relationships/hyperlink" Target="mailto:wrc23@itu.int" TargetMode="External"/><Relationship Id="rId22" Type="http://schemas.openxmlformats.org/officeDocument/2006/relationships/hyperlink" Target="https://www.itu.int/wrc-23/"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pages/default.asp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060AC34D174DCA9D38A47725A31D71"/>
        <w:category>
          <w:name w:val="General"/>
          <w:gallery w:val="placeholder"/>
        </w:category>
        <w:types>
          <w:type w:val="bbPlcHdr"/>
        </w:types>
        <w:behaviors>
          <w:behavior w:val="content"/>
        </w:behaviors>
        <w:guid w:val="{868AD84C-BB28-4D87-A5A6-EF9DD9F99067}"/>
      </w:docPartPr>
      <w:docPartBody>
        <w:p w:rsidR="00BC6828" w:rsidRDefault="00BC6828">
          <w:pPr>
            <w:pStyle w:val="EF060AC34D174DCA9D38A47725A31D7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28"/>
    <w:rsid w:val="00BC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060AC34D174DCA9D38A47725A31D71">
    <w:name w:val="EF060AC34D174DCA9D38A47725A31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6ACA3-35AE-4774-B250-6B0AD343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2700</Words>
  <Characters>16380</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19042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13</cp:revision>
  <cp:lastPrinted>2013-03-08T10:15:00Z</cp:lastPrinted>
  <dcterms:created xsi:type="dcterms:W3CDTF">2023-02-24T14:02:00Z</dcterms:created>
  <dcterms:modified xsi:type="dcterms:W3CDTF">2023-03-07T14:12:00Z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