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73E4E" w14:paraId="6737C98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6CF9CA" w14:textId="77777777" w:rsidR="00E53DCE" w:rsidRPr="00573E4E" w:rsidRDefault="00A96D3A" w:rsidP="00573E4E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573E4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2C58D6DE" w14:textId="77777777" w:rsidR="00E53DCE" w:rsidRPr="00573E4E" w:rsidRDefault="00E53DCE" w:rsidP="00573E4E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573E4E" w14:paraId="57D0C364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3B39CD" w14:textId="3D9FE10B" w:rsidR="00E53DCE" w:rsidRPr="00573E4E" w:rsidRDefault="00A96D3A" w:rsidP="00573E4E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573E4E">
              <w:rPr>
                <w:szCs w:val="24"/>
                <w:lang w:val="es-ES_tradnl"/>
              </w:rPr>
              <w:t>Circular Administrativa</w:t>
            </w:r>
          </w:p>
          <w:p w14:paraId="15254DAF" w14:textId="72FB847F" w:rsidR="00E53DCE" w:rsidRPr="00573E4E" w:rsidRDefault="00E53DCE" w:rsidP="00573E4E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573E4E">
              <w:rPr>
                <w:b/>
                <w:bCs/>
                <w:szCs w:val="24"/>
                <w:lang w:val="es-ES_tradnl"/>
              </w:rPr>
              <w:t>CA/</w:t>
            </w:r>
            <w:r w:rsidR="001A4EC4" w:rsidRPr="00573E4E">
              <w:rPr>
                <w:b/>
                <w:bCs/>
                <w:szCs w:val="24"/>
                <w:lang w:val="es-ES_tradnl"/>
              </w:rPr>
              <w:t>2</w:t>
            </w:r>
            <w:r w:rsidR="0076416E" w:rsidRPr="00573E4E">
              <w:rPr>
                <w:b/>
                <w:bCs/>
                <w:szCs w:val="24"/>
                <w:lang w:val="es-ES_tradnl"/>
              </w:rPr>
              <w:t>61</w:t>
            </w:r>
          </w:p>
        </w:tc>
        <w:tc>
          <w:tcPr>
            <w:tcW w:w="2835" w:type="dxa"/>
            <w:shd w:val="clear" w:color="auto" w:fill="auto"/>
          </w:tcPr>
          <w:p w14:paraId="5321EEBE" w14:textId="092E82CA" w:rsidR="00E53DCE" w:rsidRPr="00573E4E" w:rsidRDefault="00010BDD" w:rsidP="00573E4E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 w:rsidRPr="00573E4E">
              <w:rPr>
                <w:bCs/>
                <w:szCs w:val="24"/>
                <w:lang w:val="es-ES_tradnl"/>
              </w:rPr>
              <w:t>1</w:t>
            </w:r>
            <w:r w:rsidR="00BC4EA9">
              <w:rPr>
                <w:bCs/>
                <w:szCs w:val="24"/>
                <w:lang w:val="es-ES_tradnl"/>
              </w:rPr>
              <w:t>5</w:t>
            </w:r>
            <w:r w:rsidRPr="00573E4E">
              <w:rPr>
                <w:bCs/>
                <w:szCs w:val="24"/>
                <w:lang w:val="es-ES_tradnl"/>
              </w:rPr>
              <w:t xml:space="preserve"> </w:t>
            </w:r>
            <w:r w:rsidR="001A4EC4" w:rsidRPr="00573E4E">
              <w:rPr>
                <w:bCs/>
                <w:szCs w:val="24"/>
                <w:lang w:val="es-ES_tradnl"/>
              </w:rPr>
              <w:t xml:space="preserve">de </w:t>
            </w:r>
            <w:r w:rsidRPr="00573E4E">
              <w:rPr>
                <w:bCs/>
                <w:szCs w:val="24"/>
                <w:lang w:val="es-ES_tradnl"/>
              </w:rPr>
              <w:t>julio</w:t>
            </w:r>
            <w:r w:rsidR="00A96D3A" w:rsidRPr="00573E4E">
              <w:rPr>
                <w:bCs/>
                <w:szCs w:val="24"/>
                <w:lang w:val="es-ES_tradnl"/>
              </w:rPr>
              <w:t xml:space="preserve"> de 20</w:t>
            </w:r>
            <w:r w:rsidR="007E368D" w:rsidRPr="00573E4E">
              <w:rPr>
                <w:bCs/>
                <w:szCs w:val="24"/>
                <w:lang w:val="es-ES_tradnl"/>
              </w:rPr>
              <w:t>2</w:t>
            </w:r>
            <w:r w:rsidR="007B6838">
              <w:rPr>
                <w:bCs/>
                <w:szCs w:val="24"/>
                <w:lang w:val="es-ES_tradnl"/>
              </w:rPr>
              <w:t>2</w:t>
            </w:r>
          </w:p>
        </w:tc>
      </w:tr>
      <w:tr w:rsidR="00E53DCE" w:rsidRPr="00573E4E" w14:paraId="28DC396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EE4C165" w14:textId="77777777" w:rsidR="00E53DCE" w:rsidRPr="00573E4E" w:rsidRDefault="00E53DCE" w:rsidP="00573E4E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B85727" w14:paraId="40506A8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35216E" w14:textId="17DFF8C5" w:rsidR="00E53DCE" w:rsidRPr="00573E4E" w:rsidRDefault="00FE4822" w:rsidP="00573E4E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573E4E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212807" w:rsidRPr="00573E4E">
              <w:rPr>
                <w:b/>
                <w:szCs w:val="24"/>
                <w:lang w:val="es-ES_tradnl"/>
              </w:rPr>
              <w:t xml:space="preserve"> </w:t>
            </w:r>
            <w:r w:rsidR="00212807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y a los Miembros del Sector de Radiocomunicaciones</w:t>
            </w:r>
            <w:r w:rsidR="00463FE0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</w:t>
            </w:r>
            <w:r w:rsidR="00212807" w:rsidRPr="00573E4E">
              <w:rPr>
                <w:szCs w:val="24"/>
                <w:lang w:val="es-ES_tradnl"/>
              </w:rPr>
              <w:t>(también están invitados al evento: los Asociados del Sector de Radiocomunicaciones y las Instituciones Académicas</w:t>
            </w:r>
            <w:r w:rsidR="001604EE" w:rsidRPr="00573E4E">
              <w:rPr>
                <w:szCs w:val="24"/>
                <w:lang w:val="es-ES_tradnl"/>
              </w:rPr>
              <w:t xml:space="preserve"> de la UIT</w:t>
            </w:r>
            <w:r w:rsidR="00212807" w:rsidRPr="00573E4E">
              <w:rPr>
                <w:szCs w:val="24"/>
                <w:lang w:val="es-ES_tradnl"/>
              </w:rPr>
              <w:t>)</w:t>
            </w:r>
          </w:p>
        </w:tc>
      </w:tr>
      <w:tr w:rsidR="00E53DCE" w:rsidRPr="00B85727" w14:paraId="772B082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8148B25" w14:textId="77777777" w:rsidR="00E53DCE" w:rsidRPr="00573E4E" w:rsidRDefault="00E53DCE" w:rsidP="00573E4E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B85727" w14:paraId="2083131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E551E1" w14:textId="77777777" w:rsidR="00E53DCE" w:rsidRPr="00573E4E" w:rsidRDefault="00E53DCE" w:rsidP="00573E4E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212807" w:rsidRPr="00B85727" w14:paraId="1B49AC0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F80E200" w14:textId="77777777" w:rsidR="00212807" w:rsidRPr="00573E4E" w:rsidRDefault="00212807" w:rsidP="00573E4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573E4E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E6B091E" w14:textId="3B6AB715" w:rsidR="00212807" w:rsidRPr="00573E4E" w:rsidRDefault="00212807" w:rsidP="00573E4E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Seminario Mundial de Radiocomunicaciones de 20</w:t>
            </w:r>
            <w:r w:rsidR="009674D2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2</w:t>
            </w:r>
            <w:r w:rsidR="00010BDD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2</w:t>
            </w:r>
            <w:r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(SMR-</w:t>
            </w:r>
            <w:r w:rsidR="009674D2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2</w:t>
            </w:r>
            <w:r w:rsidR="00010BDD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2</w:t>
            </w:r>
            <w:r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) de la UIT</w:t>
            </w:r>
            <w:r w:rsidR="00222CF1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br/>
            </w:r>
            <w:r w:rsidR="00692076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del </w:t>
            </w:r>
            <w:r w:rsidR="00A30D1A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2</w:t>
            </w:r>
            <w:r w:rsidR="00010BDD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4</w:t>
            </w:r>
            <w:r w:rsidR="009674D2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 </w:t>
            </w:r>
            <w:r w:rsidR="00010BDD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al 28 </w:t>
            </w:r>
            <w:r w:rsidR="009674D2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de </w:t>
            </w:r>
            <w:r w:rsidR="00010BDD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octu</w:t>
            </w:r>
            <w:r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bre de 20</w:t>
            </w:r>
            <w:r w:rsidR="009674D2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2</w:t>
            </w:r>
            <w:r w:rsidR="00010BDD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2</w:t>
            </w:r>
            <w:r w:rsidR="00A30D1A" w:rsidRPr="00573E4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, Ginebra, Suiza</w:t>
            </w:r>
          </w:p>
        </w:tc>
      </w:tr>
      <w:tr w:rsidR="00212807" w:rsidRPr="00B85727" w14:paraId="131CA2F4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745A34C7" w14:textId="77777777" w:rsidR="00212807" w:rsidRPr="00573E4E" w:rsidRDefault="00212807" w:rsidP="00573E4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3A7B020" w14:textId="77777777" w:rsidR="00212807" w:rsidRPr="00573E4E" w:rsidRDefault="00212807" w:rsidP="00573E4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212807" w:rsidRPr="00B85727" w14:paraId="213E836D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CA430A0" w14:textId="77777777" w:rsidR="00212807" w:rsidRPr="00573E4E" w:rsidRDefault="00212807" w:rsidP="00573E4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1EA36A0" w14:textId="77777777" w:rsidR="00212807" w:rsidRPr="00573E4E" w:rsidRDefault="00212807" w:rsidP="00573E4E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  <w:tr w:rsidR="00212807" w:rsidRPr="00B85727" w14:paraId="425EC35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644A444" w14:textId="77777777" w:rsidR="00212807" w:rsidRPr="00573E4E" w:rsidRDefault="00212807" w:rsidP="00573E4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</w:tbl>
    <w:p w14:paraId="6E5E93A7" w14:textId="2865E39A" w:rsidR="00212807" w:rsidRPr="00573E4E" w:rsidRDefault="00212807" w:rsidP="00573E4E">
      <w:pPr>
        <w:pStyle w:val="Normalaftertitle"/>
        <w:spacing w:line="240" w:lineRule="auto"/>
        <w:rPr>
          <w:lang w:val="es-ES_tradnl"/>
        </w:rPr>
      </w:pPr>
      <w:r w:rsidRPr="00573E4E">
        <w:rPr>
          <w:lang w:val="es-ES_tradnl"/>
        </w:rPr>
        <w:t xml:space="preserve">Mediante la presente Circular Administrativa, la Oficina de Radiocomunicaciones de la UIT tiene el placer de invitar a su Administración u organización al </w:t>
      </w:r>
      <w:r w:rsidRPr="00573E4E">
        <w:rPr>
          <w:b/>
          <w:bCs/>
          <w:lang w:val="es-ES_tradnl"/>
        </w:rPr>
        <w:t>Seminario Mundial de Radiocomunicaciones de</w:t>
      </w:r>
      <w:r w:rsidRPr="00573E4E">
        <w:rPr>
          <w:lang w:val="es-ES_tradnl"/>
        </w:rPr>
        <w:t xml:space="preserve"> </w:t>
      </w:r>
      <w:r w:rsidRPr="00573E4E">
        <w:rPr>
          <w:b/>
          <w:bCs/>
          <w:lang w:val="es-ES_tradnl"/>
        </w:rPr>
        <w:t>20</w:t>
      </w:r>
      <w:r w:rsidR="009674D2" w:rsidRPr="00573E4E">
        <w:rPr>
          <w:b/>
          <w:bCs/>
          <w:lang w:val="es-ES_tradnl"/>
        </w:rPr>
        <w:t>2</w:t>
      </w:r>
      <w:r w:rsidR="0076416E" w:rsidRPr="00573E4E">
        <w:rPr>
          <w:b/>
          <w:bCs/>
          <w:lang w:val="es-ES_tradnl"/>
        </w:rPr>
        <w:t>2</w:t>
      </w:r>
      <w:r w:rsidRPr="00573E4E">
        <w:rPr>
          <w:b/>
          <w:bCs/>
          <w:lang w:val="es-ES_tradnl"/>
        </w:rPr>
        <w:t xml:space="preserve"> (SMR-</w:t>
      </w:r>
      <w:r w:rsidR="009674D2" w:rsidRPr="00573E4E">
        <w:rPr>
          <w:b/>
          <w:bCs/>
          <w:lang w:val="es-ES_tradnl"/>
        </w:rPr>
        <w:t>2</w:t>
      </w:r>
      <w:r w:rsidR="00010BDD" w:rsidRPr="00573E4E">
        <w:rPr>
          <w:b/>
          <w:bCs/>
          <w:lang w:val="es-ES_tradnl"/>
        </w:rPr>
        <w:t>2</w:t>
      </w:r>
      <w:r w:rsidRPr="00573E4E">
        <w:rPr>
          <w:b/>
          <w:bCs/>
          <w:lang w:val="es-ES_tradnl"/>
        </w:rPr>
        <w:t>)</w:t>
      </w:r>
      <w:r w:rsidR="00B30497" w:rsidRPr="00573E4E">
        <w:rPr>
          <w:b/>
          <w:bCs/>
          <w:lang w:val="es-ES_tradnl"/>
        </w:rPr>
        <w:t xml:space="preserve"> de la UIT</w:t>
      </w:r>
      <w:r w:rsidR="00FC5110" w:rsidRPr="00573E4E">
        <w:rPr>
          <w:lang w:val="es-ES_tradnl"/>
        </w:rPr>
        <w:t>.</w:t>
      </w:r>
    </w:p>
    <w:p w14:paraId="3D535DC3" w14:textId="6CD0A607" w:rsidR="00212807" w:rsidRPr="00573E4E" w:rsidRDefault="00212807" w:rsidP="00573E4E">
      <w:pPr>
        <w:spacing w:line="240" w:lineRule="auto"/>
        <w:rPr>
          <w:lang w:val="es-ES_tradnl"/>
        </w:rPr>
      </w:pPr>
      <w:r w:rsidRPr="00573E4E">
        <w:rPr>
          <w:lang w:val="es-ES_tradnl"/>
        </w:rPr>
        <w:t xml:space="preserve">La UIT organiza cada dos años </w:t>
      </w:r>
      <w:r w:rsidR="00352116" w:rsidRPr="00573E4E">
        <w:rPr>
          <w:lang w:val="es-ES_tradnl"/>
        </w:rPr>
        <w:t xml:space="preserve">Seminarios Mundiales </w:t>
      </w:r>
      <w:r w:rsidRPr="00573E4E">
        <w:rPr>
          <w:lang w:val="es-ES_tradnl"/>
        </w:rPr>
        <w:t xml:space="preserve">de </w:t>
      </w:r>
      <w:r w:rsidR="00352116" w:rsidRPr="00573E4E">
        <w:rPr>
          <w:lang w:val="es-ES_tradnl"/>
        </w:rPr>
        <w:t xml:space="preserve">Radiocomunicaciones </w:t>
      </w:r>
      <w:r w:rsidRPr="00573E4E">
        <w:rPr>
          <w:lang w:val="es-ES_tradnl"/>
        </w:rPr>
        <w:t xml:space="preserve">(SMR) como complemento del ciclo de </w:t>
      </w:r>
      <w:r w:rsidR="00352116" w:rsidRPr="00573E4E">
        <w:rPr>
          <w:lang w:val="es-ES_tradnl"/>
        </w:rPr>
        <w:t xml:space="preserve">Seminarios Regionales </w:t>
      </w:r>
      <w:r w:rsidRPr="00573E4E">
        <w:rPr>
          <w:lang w:val="es-ES_tradnl"/>
        </w:rPr>
        <w:t xml:space="preserve">de </w:t>
      </w:r>
      <w:r w:rsidR="00352116" w:rsidRPr="00573E4E">
        <w:rPr>
          <w:lang w:val="es-ES_tradnl"/>
        </w:rPr>
        <w:t xml:space="preserve">Radiocomunicaciones </w:t>
      </w:r>
      <w:r w:rsidRPr="00573E4E">
        <w:rPr>
          <w:lang w:val="es-ES_tradnl"/>
        </w:rPr>
        <w:t>(SRR). En los SMR se aborda la utilización del espectro de frecuencias radioeléctricas y las órbitas de satélites y la aplicación de las disposiciones del Reglamento de Radiocomunicaciones de la UIT</w:t>
      </w:r>
      <w:r w:rsidR="0044077A" w:rsidRPr="00573E4E">
        <w:rPr>
          <w:lang w:val="es-ES_tradnl"/>
        </w:rPr>
        <w:t>.</w:t>
      </w:r>
    </w:p>
    <w:p w14:paraId="4240D17D" w14:textId="0A5E7410" w:rsidR="00445653" w:rsidRPr="00573E4E" w:rsidRDefault="00212807" w:rsidP="00573E4E">
      <w:pPr>
        <w:spacing w:line="240" w:lineRule="auto"/>
        <w:rPr>
          <w:lang w:val="es-ES_tradnl"/>
        </w:rPr>
      </w:pPr>
      <w:r w:rsidRPr="00573E4E">
        <w:rPr>
          <w:lang w:val="es-ES_tradnl"/>
        </w:rPr>
        <w:t>En el sitio web del evento</w:t>
      </w:r>
      <w:r w:rsidR="009674D2" w:rsidRPr="00573E4E">
        <w:rPr>
          <w:lang w:val="es-ES_tradnl"/>
        </w:rPr>
        <w:t xml:space="preserve"> en la dirección</w:t>
      </w:r>
      <w:r w:rsidR="00010BDD" w:rsidRPr="00573E4E">
        <w:rPr>
          <w:lang w:val="es-ES_tradnl"/>
        </w:rPr>
        <w:t xml:space="preserve"> </w:t>
      </w:r>
      <w:hyperlink r:id="rId8">
        <w:r w:rsidR="00010BDD" w:rsidRPr="00573E4E">
          <w:rPr>
            <w:rStyle w:val="Hyperlink"/>
            <w:lang w:val="es-ES"/>
          </w:rPr>
          <w:t>www.itu.int/go/WRS-22</w:t>
        </w:r>
      </w:hyperlink>
      <w:r w:rsidRPr="00573E4E">
        <w:rPr>
          <w:lang w:val="es-ES_tradnl"/>
        </w:rPr>
        <w:t xml:space="preserve"> se irá publicando información sobre el SMR-</w:t>
      </w:r>
      <w:r w:rsidR="009674D2" w:rsidRPr="00573E4E">
        <w:rPr>
          <w:lang w:val="es-ES_tradnl"/>
        </w:rPr>
        <w:t>2</w:t>
      </w:r>
      <w:r w:rsidR="00010BDD" w:rsidRPr="00573E4E">
        <w:rPr>
          <w:lang w:val="es-ES_tradnl"/>
        </w:rPr>
        <w:t>2</w:t>
      </w:r>
      <w:r w:rsidRPr="00573E4E">
        <w:rPr>
          <w:lang w:val="es-ES_tradnl"/>
        </w:rPr>
        <w:t xml:space="preserve"> a medida en que esté disponible</w:t>
      </w:r>
      <w:r w:rsidR="009674D2" w:rsidRPr="00573E4E">
        <w:rPr>
          <w:lang w:val="es-ES_tradnl"/>
        </w:rPr>
        <w:t>.</w:t>
      </w:r>
    </w:p>
    <w:p w14:paraId="745A3D5C" w14:textId="77777777" w:rsidR="00212807" w:rsidRPr="00573E4E" w:rsidRDefault="00212807" w:rsidP="00573E4E">
      <w:pPr>
        <w:pStyle w:val="Headingb"/>
        <w:spacing w:line="240" w:lineRule="auto"/>
        <w:rPr>
          <w:lang w:val="es-ES_tradnl"/>
        </w:rPr>
      </w:pPr>
      <w:r w:rsidRPr="00573E4E">
        <w:rPr>
          <w:lang w:val="es-ES_tradnl"/>
        </w:rPr>
        <w:t>Programa</w:t>
      </w:r>
    </w:p>
    <w:p w14:paraId="44F0DA6C" w14:textId="4A0606F0" w:rsidR="00205F9D" w:rsidRPr="00573E4E" w:rsidRDefault="00212807" w:rsidP="00573E4E">
      <w:pPr>
        <w:spacing w:line="240" w:lineRule="auto"/>
        <w:rPr>
          <w:lang w:val="es-ES_tradnl"/>
        </w:rPr>
      </w:pPr>
      <w:r w:rsidRPr="00573E4E">
        <w:rPr>
          <w:lang w:val="es-ES_tradnl"/>
        </w:rPr>
        <w:t>El SMR-</w:t>
      </w:r>
      <w:r w:rsidR="00010BDD" w:rsidRPr="00573E4E">
        <w:rPr>
          <w:lang w:val="es-ES_tradnl"/>
        </w:rPr>
        <w:t>22</w:t>
      </w:r>
      <w:r w:rsidRPr="00573E4E">
        <w:rPr>
          <w:lang w:val="es-ES_tradnl"/>
        </w:rPr>
        <w:t xml:space="preserve"> se organizará en </w:t>
      </w:r>
      <w:r w:rsidR="002B5046" w:rsidRPr="00573E4E">
        <w:rPr>
          <w:lang w:val="es-ES_tradnl"/>
        </w:rPr>
        <w:t>dos</w:t>
      </w:r>
      <w:r w:rsidRPr="00573E4E">
        <w:rPr>
          <w:lang w:val="es-ES_tradnl"/>
        </w:rPr>
        <w:t xml:space="preserve"> partes</w:t>
      </w:r>
      <w:r w:rsidR="00FB404C" w:rsidRPr="00573E4E">
        <w:rPr>
          <w:lang w:val="es-ES_tradnl"/>
        </w:rPr>
        <w:t>:</w:t>
      </w:r>
    </w:p>
    <w:p w14:paraId="66F83F91" w14:textId="7A713F5A" w:rsidR="00BF2DD7" w:rsidRPr="00573E4E" w:rsidRDefault="0012753F" w:rsidP="00573E4E">
      <w:pPr>
        <w:pStyle w:val="enumlev1"/>
        <w:spacing w:line="240" w:lineRule="auto"/>
        <w:rPr>
          <w:b/>
          <w:lang w:val="es-ES_tradnl"/>
        </w:rPr>
      </w:pPr>
      <w:r w:rsidRPr="00573E4E">
        <w:rPr>
          <w:b/>
          <w:lang w:val="es-ES_tradnl"/>
        </w:rPr>
        <w:tab/>
      </w:r>
      <w:r w:rsidR="00692076" w:rsidRPr="00573E4E">
        <w:rPr>
          <w:b/>
          <w:lang w:val="es-ES_tradnl"/>
        </w:rPr>
        <w:t xml:space="preserve">Parte 1: </w:t>
      </w:r>
      <w:r w:rsidR="008D2445" w:rsidRPr="00573E4E">
        <w:rPr>
          <w:b/>
          <w:lang w:val="es-ES_tradnl"/>
        </w:rPr>
        <w:t>SMR-</w:t>
      </w:r>
      <w:r w:rsidR="009674D2" w:rsidRPr="00573E4E">
        <w:rPr>
          <w:b/>
          <w:lang w:val="es-ES_tradnl"/>
        </w:rPr>
        <w:t>2</w:t>
      </w:r>
      <w:r w:rsidR="00010BDD" w:rsidRPr="00573E4E">
        <w:rPr>
          <w:b/>
          <w:lang w:val="es-ES_tradnl"/>
        </w:rPr>
        <w:t>2</w:t>
      </w:r>
      <w:r w:rsidR="008D2445" w:rsidRPr="00573E4E">
        <w:rPr>
          <w:b/>
          <w:lang w:val="es-ES_tradnl"/>
        </w:rPr>
        <w:t xml:space="preserve"> – </w:t>
      </w:r>
      <w:r w:rsidR="00BF2DD7" w:rsidRPr="00573E4E">
        <w:rPr>
          <w:b/>
          <w:lang w:val="es-ES_tradnl"/>
        </w:rPr>
        <w:t xml:space="preserve">Sesiones </w:t>
      </w:r>
      <w:r w:rsidR="00ED41A3" w:rsidRPr="00573E4E">
        <w:rPr>
          <w:b/>
          <w:lang w:val="es-ES_tradnl"/>
        </w:rPr>
        <w:t xml:space="preserve">Plenarias </w:t>
      </w:r>
      <w:r w:rsidR="0076416E" w:rsidRPr="00573E4E">
        <w:rPr>
          <w:b/>
          <w:lang w:val="es-ES"/>
        </w:rPr>
        <w:t xml:space="preserve">24 </w:t>
      </w:r>
      <w:r w:rsidR="0014372A" w:rsidRPr="00573E4E">
        <w:rPr>
          <w:b/>
          <w:lang w:val="es-ES"/>
        </w:rPr>
        <w:t>de octubre</w:t>
      </w:r>
      <w:r w:rsidR="0076416E" w:rsidRPr="00573E4E">
        <w:rPr>
          <w:b/>
          <w:lang w:val="es-ES"/>
        </w:rPr>
        <w:t xml:space="preserve"> </w:t>
      </w:r>
      <w:r w:rsidR="0014372A" w:rsidRPr="00573E4E">
        <w:rPr>
          <w:b/>
          <w:lang w:val="es-ES"/>
        </w:rPr>
        <w:t xml:space="preserve">de </w:t>
      </w:r>
      <w:r w:rsidR="0076416E" w:rsidRPr="00573E4E">
        <w:rPr>
          <w:b/>
          <w:lang w:val="es-ES"/>
        </w:rPr>
        <w:t>2022</w:t>
      </w:r>
      <w:r w:rsidR="0076416E" w:rsidRPr="007B6838">
        <w:rPr>
          <w:bCs/>
          <w:lang w:val="es-ES"/>
        </w:rPr>
        <w:t xml:space="preserve"> (09</w:t>
      </w:r>
      <w:r w:rsidR="0014372A" w:rsidRPr="007B6838">
        <w:rPr>
          <w:bCs/>
          <w:lang w:val="es-ES"/>
        </w:rPr>
        <w:t>.</w:t>
      </w:r>
      <w:r w:rsidR="0076416E" w:rsidRPr="007B6838">
        <w:rPr>
          <w:bCs/>
          <w:lang w:val="es-ES"/>
        </w:rPr>
        <w:t>30-12</w:t>
      </w:r>
      <w:r w:rsidR="0014372A" w:rsidRPr="007B6838">
        <w:rPr>
          <w:bCs/>
          <w:lang w:val="es-ES"/>
        </w:rPr>
        <w:t>.</w:t>
      </w:r>
      <w:r w:rsidR="0076416E" w:rsidRPr="007B6838">
        <w:rPr>
          <w:bCs/>
          <w:lang w:val="es-ES"/>
        </w:rPr>
        <w:t>30/14</w:t>
      </w:r>
      <w:r w:rsidR="0014372A" w:rsidRPr="007B6838">
        <w:rPr>
          <w:bCs/>
          <w:lang w:val="es-ES"/>
        </w:rPr>
        <w:t>.</w:t>
      </w:r>
      <w:r w:rsidR="0076416E" w:rsidRPr="007B6838">
        <w:rPr>
          <w:bCs/>
          <w:lang w:val="es-ES"/>
        </w:rPr>
        <w:t>00-17</w:t>
      </w:r>
      <w:r w:rsidR="0014372A" w:rsidRPr="007B6838">
        <w:rPr>
          <w:bCs/>
          <w:lang w:val="es-ES"/>
        </w:rPr>
        <w:t>.</w:t>
      </w:r>
      <w:r w:rsidR="0076416E" w:rsidRPr="007B6838">
        <w:rPr>
          <w:bCs/>
          <w:lang w:val="es-ES"/>
        </w:rPr>
        <w:t>00)</w:t>
      </w:r>
    </w:p>
    <w:p w14:paraId="5CAB91D0" w14:textId="6E1CC288" w:rsidR="00BF2DD7" w:rsidRPr="00573E4E" w:rsidRDefault="00ED41A3" w:rsidP="00573E4E">
      <w:pPr>
        <w:pStyle w:val="enumlev1"/>
        <w:spacing w:line="240" w:lineRule="auto"/>
        <w:rPr>
          <w:lang w:val="es-ES_tradnl"/>
        </w:rPr>
      </w:pPr>
      <w:r w:rsidRPr="00573E4E">
        <w:rPr>
          <w:lang w:val="es-ES_tradnl"/>
        </w:rPr>
        <w:tab/>
      </w:r>
      <w:r w:rsidR="009674D2" w:rsidRPr="00573E4E">
        <w:rPr>
          <w:lang w:val="es-ES_tradnl"/>
        </w:rPr>
        <w:t>En l</w:t>
      </w:r>
      <w:r w:rsidR="00BF2DD7" w:rsidRPr="00573E4E">
        <w:rPr>
          <w:lang w:val="es-ES_tradnl"/>
        </w:rPr>
        <w:t xml:space="preserve">as </w:t>
      </w:r>
      <w:r w:rsidRPr="00573E4E">
        <w:rPr>
          <w:lang w:val="es-ES_tradnl"/>
        </w:rPr>
        <w:t xml:space="preserve">Sesiones Plenarias </w:t>
      </w:r>
      <w:r w:rsidR="009674D2" w:rsidRPr="00573E4E">
        <w:rPr>
          <w:lang w:val="es-ES_tradnl"/>
        </w:rPr>
        <w:t>s</w:t>
      </w:r>
      <w:r w:rsidR="00BF2DD7" w:rsidRPr="00573E4E">
        <w:rPr>
          <w:lang w:val="es-ES_tradnl"/>
        </w:rPr>
        <w:t xml:space="preserve">e abordarán cuestiones relacionadas con las radiocomunicaciones en general, la aplicación del Reglamento de Radiocomunicaciones de la UIT y las tendencias en distintos servicios de radiocomunicaciones. También incluirán una presentación de las actividades de las Comisiones de Estudio del UIT-R, </w:t>
      </w:r>
      <w:r w:rsidR="009674D2" w:rsidRPr="00573E4E">
        <w:rPr>
          <w:lang w:val="es-ES_tradnl"/>
        </w:rPr>
        <w:t xml:space="preserve">la Junta del Reglamento de Radiocomunicaciones, </w:t>
      </w:r>
      <w:r w:rsidR="00BF2DD7" w:rsidRPr="00573E4E">
        <w:rPr>
          <w:lang w:val="es-ES_tradnl"/>
        </w:rPr>
        <w:t>las Asambleas de Radiocomunicaciones (AR) y las Conferencias Mundiales de Radiocomunicaciones (CMR),</w:t>
      </w:r>
      <w:r w:rsidR="0014372A" w:rsidRPr="00573E4E">
        <w:rPr>
          <w:lang w:val="es-ES_tradnl"/>
        </w:rPr>
        <w:t xml:space="preserve"> con referencia a la última información de los </w:t>
      </w:r>
      <w:r w:rsidR="00A30D1A" w:rsidRPr="00573E4E">
        <w:rPr>
          <w:lang w:val="es-ES_tradnl"/>
        </w:rPr>
        <w:t>T</w:t>
      </w:r>
      <w:r w:rsidR="0014372A" w:rsidRPr="00573E4E">
        <w:rPr>
          <w:lang w:val="es-ES_tradnl"/>
        </w:rPr>
        <w:t xml:space="preserve">alleres </w:t>
      </w:r>
      <w:r w:rsidR="00A30D1A" w:rsidRPr="00573E4E">
        <w:rPr>
          <w:lang w:val="es-ES_tradnl"/>
        </w:rPr>
        <w:t>I</w:t>
      </w:r>
      <w:r w:rsidR="0014372A" w:rsidRPr="00573E4E">
        <w:rPr>
          <w:lang w:val="es-ES_tradnl"/>
        </w:rPr>
        <w:t xml:space="preserve">nterregionales para la preparación de la CMR-23 (disponible en la dirección </w:t>
      </w:r>
      <w:hyperlink r:id="rId9">
        <w:r w:rsidR="00010BDD" w:rsidRPr="00573E4E">
          <w:rPr>
            <w:rStyle w:val="Hyperlink"/>
            <w:lang w:val="es-ES"/>
          </w:rPr>
          <w:t>www.itu.int/en/ITU-R/conferences/wrc/2023/irwsp</w:t>
        </w:r>
      </w:hyperlink>
      <w:r w:rsidR="00010BDD" w:rsidRPr="00573E4E">
        <w:rPr>
          <w:lang w:val="es-ES"/>
        </w:rPr>
        <w:t>).</w:t>
      </w:r>
    </w:p>
    <w:p w14:paraId="103C376C" w14:textId="06F91A16" w:rsidR="00FC5110" w:rsidRPr="00573E4E" w:rsidRDefault="00FC5110" w:rsidP="00573E4E">
      <w:pPr>
        <w:pStyle w:val="enumlev1"/>
        <w:spacing w:line="240" w:lineRule="auto"/>
        <w:rPr>
          <w:b/>
          <w:lang w:val="es-ES_tradnl"/>
        </w:rPr>
      </w:pPr>
      <w:r w:rsidRPr="00573E4E">
        <w:rPr>
          <w:lang w:val="es-ES_tradnl"/>
        </w:rPr>
        <w:tab/>
      </w:r>
      <w:r w:rsidR="00010BDD" w:rsidRPr="00573E4E">
        <w:rPr>
          <w:b/>
          <w:lang w:val="es-ES_tradnl"/>
        </w:rPr>
        <w:t xml:space="preserve">La </w:t>
      </w:r>
      <w:r w:rsidRPr="00573E4E">
        <w:rPr>
          <w:b/>
          <w:lang w:val="es-ES_tradnl"/>
        </w:rPr>
        <w:t xml:space="preserve">participación en </w:t>
      </w:r>
      <w:r w:rsidR="00A30D1A" w:rsidRPr="00573E4E">
        <w:rPr>
          <w:b/>
          <w:lang w:val="es-ES_tradnl"/>
        </w:rPr>
        <w:t>las</w:t>
      </w:r>
      <w:r w:rsidRPr="00573E4E">
        <w:rPr>
          <w:b/>
          <w:lang w:val="es-ES_tradnl"/>
        </w:rPr>
        <w:t xml:space="preserve"> sesiones plenarias estará abierta a todo el mundo.</w:t>
      </w:r>
    </w:p>
    <w:p w14:paraId="3D05C73B" w14:textId="1BFE8F36" w:rsidR="00212807" w:rsidRPr="00573E4E" w:rsidRDefault="0012753F" w:rsidP="00573E4E">
      <w:pPr>
        <w:pStyle w:val="enumlev1"/>
        <w:keepNext/>
        <w:spacing w:line="240" w:lineRule="auto"/>
        <w:rPr>
          <w:b/>
          <w:lang w:val="es-ES_tradnl"/>
        </w:rPr>
      </w:pPr>
      <w:r w:rsidRPr="00573E4E">
        <w:rPr>
          <w:b/>
          <w:lang w:val="es-ES_tradnl"/>
        </w:rPr>
        <w:tab/>
      </w:r>
      <w:r w:rsidR="00692076" w:rsidRPr="00573E4E">
        <w:rPr>
          <w:b/>
          <w:lang w:val="es-ES_tradnl"/>
        </w:rPr>
        <w:t xml:space="preserve">Parte 2: </w:t>
      </w:r>
      <w:r w:rsidR="00DE0D06" w:rsidRPr="00573E4E">
        <w:rPr>
          <w:b/>
          <w:lang w:val="es-ES_tradnl"/>
        </w:rPr>
        <w:t>SMR-</w:t>
      </w:r>
      <w:r w:rsidR="009674D2" w:rsidRPr="00573E4E">
        <w:rPr>
          <w:b/>
          <w:lang w:val="es-ES_tradnl"/>
        </w:rPr>
        <w:t>2</w:t>
      </w:r>
      <w:r w:rsidR="00010BDD" w:rsidRPr="00573E4E">
        <w:rPr>
          <w:b/>
          <w:lang w:val="es-ES_tradnl"/>
        </w:rPr>
        <w:t>2</w:t>
      </w:r>
      <w:r w:rsidR="00DE0D06" w:rsidRPr="00573E4E">
        <w:rPr>
          <w:b/>
          <w:lang w:val="es-ES_tradnl"/>
        </w:rPr>
        <w:t xml:space="preserve"> – </w:t>
      </w:r>
      <w:r w:rsidR="00212807" w:rsidRPr="00573E4E">
        <w:rPr>
          <w:b/>
          <w:lang w:val="es-ES_tradnl"/>
        </w:rPr>
        <w:t xml:space="preserve">Talleres </w:t>
      </w:r>
      <w:r w:rsidR="009674D2" w:rsidRPr="00573E4E">
        <w:rPr>
          <w:b/>
          <w:lang w:val="es-ES_tradnl"/>
        </w:rPr>
        <w:t>terrenales y espaciales</w:t>
      </w:r>
      <w:r w:rsidR="00010BDD" w:rsidRPr="00573E4E">
        <w:rPr>
          <w:b/>
          <w:lang w:val="es-ES"/>
        </w:rPr>
        <w:t xml:space="preserve">, 25 </w:t>
      </w:r>
      <w:r w:rsidR="0014372A" w:rsidRPr="00573E4E">
        <w:rPr>
          <w:b/>
          <w:lang w:val="es-ES"/>
        </w:rPr>
        <w:t>al</w:t>
      </w:r>
      <w:r w:rsidR="00010BDD" w:rsidRPr="00573E4E">
        <w:rPr>
          <w:b/>
          <w:lang w:val="es-ES"/>
        </w:rPr>
        <w:t xml:space="preserve"> 28 </w:t>
      </w:r>
      <w:r w:rsidR="0014372A" w:rsidRPr="00573E4E">
        <w:rPr>
          <w:b/>
          <w:lang w:val="es-ES"/>
        </w:rPr>
        <w:t>de octubre de</w:t>
      </w:r>
      <w:r w:rsidR="00010BDD" w:rsidRPr="00573E4E">
        <w:rPr>
          <w:b/>
          <w:lang w:val="es-ES"/>
        </w:rPr>
        <w:t xml:space="preserve"> 2022 </w:t>
      </w:r>
      <w:r w:rsidR="00010BDD" w:rsidRPr="00573E4E">
        <w:rPr>
          <w:b/>
          <w:bCs/>
          <w:lang w:val="es-ES"/>
        </w:rPr>
        <w:t>(</w:t>
      </w:r>
      <w:r w:rsidR="00A30D1A" w:rsidRPr="00573E4E">
        <w:rPr>
          <w:b/>
          <w:bCs/>
          <w:lang w:val="es-ES"/>
        </w:rPr>
        <w:t>el horario puede consultarse en el programa de los talleres</w:t>
      </w:r>
      <w:r w:rsidR="00010BDD" w:rsidRPr="00573E4E">
        <w:rPr>
          <w:b/>
          <w:bCs/>
          <w:lang w:val="es-ES"/>
        </w:rPr>
        <w:t>)</w:t>
      </w:r>
    </w:p>
    <w:p w14:paraId="21B90724" w14:textId="3B635909" w:rsidR="00212807" w:rsidRPr="00573E4E" w:rsidRDefault="00205F9D" w:rsidP="00573E4E">
      <w:pPr>
        <w:pStyle w:val="enumlev1"/>
        <w:spacing w:line="240" w:lineRule="auto"/>
        <w:rPr>
          <w:bCs/>
          <w:lang w:val="es-ES_tradnl"/>
        </w:rPr>
      </w:pPr>
      <w:r w:rsidRPr="00573E4E">
        <w:rPr>
          <w:lang w:val="es-ES_tradnl"/>
        </w:rPr>
        <w:tab/>
      </w:r>
      <w:r w:rsidR="00212807" w:rsidRPr="00573E4E">
        <w:rPr>
          <w:bCs/>
          <w:lang w:val="es-ES_tradnl"/>
        </w:rPr>
        <w:t xml:space="preserve">Los talleres </w:t>
      </w:r>
      <w:r w:rsidR="006711CE" w:rsidRPr="00573E4E">
        <w:rPr>
          <w:bCs/>
          <w:lang w:val="es-ES_tradnl"/>
        </w:rPr>
        <w:t xml:space="preserve">(sesiones paralelas para los servicios espaciales y terrenales) </w:t>
      </w:r>
      <w:r w:rsidR="009674D2" w:rsidRPr="00573E4E">
        <w:rPr>
          <w:bCs/>
          <w:lang w:val="es-ES_tradnl"/>
        </w:rPr>
        <w:t xml:space="preserve">harán posible que </w:t>
      </w:r>
      <w:r w:rsidR="00212807" w:rsidRPr="00573E4E">
        <w:rPr>
          <w:bCs/>
          <w:lang w:val="es-ES_tradnl"/>
        </w:rPr>
        <w:t xml:space="preserve">los participantes </w:t>
      </w:r>
      <w:r w:rsidR="0027308E" w:rsidRPr="00573E4E">
        <w:rPr>
          <w:bCs/>
          <w:lang w:val="es-ES_tradnl"/>
        </w:rPr>
        <w:t>preparen</w:t>
      </w:r>
      <w:r w:rsidR="00212807" w:rsidRPr="00573E4E">
        <w:rPr>
          <w:bCs/>
          <w:lang w:val="es-ES_tradnl"/>
        </w:rPr>
        <w:t xml:space="preserve"> sus propios programas de trabajo con arreglo a sus intereses y </w:t>
      </w:r>
      <w:r w:rsidR="00A30D1A" w:rsidRPr="00573E4E">
        <w:rPr>
          <w:bCs/>
          <w:lang w:val="es-ES_tradnl"/>
        </w:rPr>
        <w:lastRenderedPageBreak/>
        <w:t xml:space="preserve">puedan </w:t>
      </w:r>
      <w:r w:rsidR="00212807" w:rsidRPr="00573E4E">
        <w:rPr>
          <w:bCs/>
          <w:lang w:val="es-ES_tradnl"/>
        </w:rPr>
        <w:t>altern</w:t>
      </w:r>
      <w:r w:rsidR="00A30D1A" w:rsidRPr="00573E4E">
        <w:rPr>
          <w:bCs/>
          <w:lang w:val="es-ES_tradnl"/>
        </w:rPr>
        <w:t>ar</w:t>
      </w:r>
      <w:r w:rsidR="00212807" w:rsidRPr="00573E4E">
        <w:rPr>
          <w:bCs/>
          <w:lang w:val="es-ES_tradnl"/>
        </w:rPr>
        <w:t xml:space="preserve"> su asistencia entre los servicios espaciales y terrenales, y entre las ponencias y los talleres. </w:t>
      </w:r>
      <w:r w:rsidR="009674D2" w:rsidRPr="00573E4E">
        <w:rPr>
          <w:bCs/>
          <w:lang w:val="es-ES_tradnl"/>
        </w:rPr>
        <w:t>P</w:t>
      </w:r>
      <w:r w:rsidR="00212807" w:rsidRPr="00573E4E">
        <w:rPr>
          <w:bCs/>
          <w:lang w:val="es-ES_tradnl"/>
        </w:rPr>
        <w:t xml:space="preserve">ermitirán a los participantes </w:t>
      </w:r>
      <w:r w:rsidR="006711CE" w:rsidRPr="00573E4E">
        <w:rPr>
          <w:bCs/>
          <w:lang w:val="es-ES_tradnl"/>
        </w:rPr>
        <w:t>obtener una experiencia práctica</w:t>
      </w:r>
      <w:r w:rsidR="00212807" w:rsidRPr="00573E4E">
        <w:rPr>
          <w:bCs/>
          <w:lang w:val="es-ES_tradnl"/>
        </w:rPr>
        <w:t xml:space="preserve"> con los procedimientos de notificación de frecuencias de la UIT, así como con </w:t>
      </w:r>
      <w:r w:rsidR="0027308E" w:rsidRPr="00573E4E">
        <w:rPr>
          <w:bCs/>
          <w:lang w:val="es-ES_tradnl"/>
        </w:rPr>
        <w:t>el software</w:t>
      </w:r>
      <w:r w:rsidR="006711CE" w:rsidRPr="00573E4E">
        <w:rPr>
          <w:bCs/>
          <w:lang w:val="es-ES_tradnl"/>
        </w:rPr>
        <w:t xml:space="preserve">, las bases de datos </w:t>
      </w:r>
      <w:r w:rsidR="00212807" w:rsidRPr="00573E4E">
        <w:rPr>
          <w:bCs/>
          <w:lang w:val="es-ES_tradnl"/>
        </w:rPr>
        <w:t>y</w:t>
      </w:r>
      <w:r w:rsidR="006711CE" w:rsidRPr="00573E4E">
        <w:rPr>
          <w:bCs/>
          <w:lang w:val="es-ES_tradnl"/>
        </w:rPr>
        <w:t xml:space="preserve"> las</w:t>
      </w:r>
      <w:r w:rsidR="00212807" w:rsidRPr="00573E4E">
        <w:rPr>
          <w:bCs/>
          <w:lang w:val="es-ES_tradnl"/>
        </w:rPr>
        <w:t xml:space="preserve"> publicaciones electrónicas que la Oficina de Radiocomunicaciones </w:t>
      </w:r>
      <w:r w:rsidR="006711CE" w:rsidRPr="00573E4E">
        <w:rPr>
          <w:bCs/>
          <w:lang w:val="es-ES_tradnl"/>
        </w:rPr>
        <w:t>pone a disposición de</w:t>
      </w:r>
      <w:r w:rsidR="00212807" w:rsidRPr="00573E4E">
        <w:rPr>
          <w:bCs/>
          <w:lang w:val="es-ES_tradnl"/>
        </w:rPr>
        <w:t xml:space="preserve"> los </w:t>
      </w:r>
      <w:r w:rsidR="005B5D07" w:rsidRPr="00573E4E">
        <w:rPr>
          <w:bCs/>
          <w:lang w:val="es-ES_tradnl"/>
        </w:rPr>
        <w:t xml:space="preserve">miembros </w:t>
      </w:r>
      <w:r w:rsidR="00212807" w:rsidRPr="00573E4E">
        <w:rPr>
          <w:bCs/>
          <w:lang w:val="es-ES_tradnl"/>
        </w:rPr>
        <w:t>de la UIT.</w:t>
      </w:r>
      <w:r w:rsidR="006711CE" w:rsidRPr="00573E4E">
        <w:rPr>
          <w:bCs/>
          <w:lang w:val="es-ES_tradnl"/>
        </w:rPr>
        <w:t xml:space="preserve"> Se dispondrán sesiones adaptadas tanto para nuevos usuarios como para usuarios avanzados</w:t>
      </w:r>
      <w:r w:rsidR="00692076" w:rsidRPr="00573E4E">
        <w:rPr>
          <w:bCs/>
          <w:lang w:val="es-ES_tradnl"/>
        </w:rPr>
        <w:t xml:space="preserve"> de las herramientas informáticas de la BR</w:t>
      </w:r>
      <w:r w:rsidR="006711CE" w:rsidRPr="00573E4E">
        <w:rPr>
          <w:bCs/>
          <w:lang w:val="es-ES_tradnl"/>
        </w:rPr>
        <w:t>.</w:t>
      </w:r>
    </w:p>
    <w:p w14:paraId="7CAC7753" w14:textId="6C2DE415" w:rsidR="00FC5110" w:rsidRPr="00573E4E" w:rsidRDefault="00FC5110" w:rsidP="00573E4E">
      <w:pPr>
        <w:pStyle w:val="enumlev1"/>
        <w:spacing w:line="240" w:lineRule="auto"/>
        <w:rPr>
          <w:lang w:val="es-ES_tradnl"/>
        </w:rPr>
      </w:pPr>
      <w:r w:rsidRPr="00573E4E">
        <w:rPr>
          <w:b/>
          <w:lang w:val="es-ES_tradnl"/>
        </w:rPr>
        <w:tab/>
      </w:r>
      <w:r w:rsidR="001B45BF" w:rsidRPr="00573E4E">
        <w:rPr>
          <w:b/>
          <w:lang w:val="es-ES_tradnl"/>
        </w:rPr>
        <w:t xml:space="preserve">La </w:t>
      </w:r>
      <w:r w:rsidRPr="00573E4E">
        <w:rPr>
          <w:b/>
          <w:lang w:val="es-ES_tradnl"/>
        </w:rPr>
        <w:t xml:space="preserve">participación en los talleres se limita a las </w:t>
      </w:r>
      <w:r w:rsidR="00010BDD" w:rsidRPr="00573E4E">
        <w:rPr>
          <w:b/>
          <w:lang w:val="es-ES_tradnl"/>
        </w:rPr>
        <w:t xml:space="preserve">Instituciones Académicas </w:t>
      </w:r>
      <w:r w:rsidRPr="00573E4E">
        <w:rPr>
          <w:b/>
          <w:lang w:val="es-ES_tradnl"/>
        </w:rPr>
        <w:t xml:space="preserve">y Estados Miembros de la UIT, así como a los </w:t>
      </w:r>
      <w:r w:rsidR="00A30D1A" w:rsidRPr="00573E4E">
        <w:rPr>
          <w:b/>
          <w:lang w:val="es-ES_tradnl"/>
        </w:rPr>
        <w:t>A</w:t>
      </w:r>
      <w:r w:rsidRPr="00573E4E">
        <w:rPr>
          <w:b/>
          <w:lang w:val="es-ES_tradnl"/>
        </w:rPr>
        <w:t>sociados y Miembros del Sector del UIT-R.</w:t>
      </w:r>
    </w:p>
    <w:p w14:paraId="5253A859" w14:textId="4182C2E7" w:rsidR="00212807" w:rsidRPr="00573E4E" w:rsidRDefault="0027308E" w:rsidP="00573E4E">
      <w:pPr>
        <w:spacing w:line="240" w:lineRule="auto"/>
        <w:rPr>
          <w:lang w:val="es-ES_tradnl"/>
        </w:rPr>
      </w:pPr>
      <w:r w:rsidRPr="00573E4E">
        <w:rPr>
          <w:lang w:val="es-ES_tradnl"/>
        </w:rPr>
        <w:t xml:space="preserve">Se </w:t>
      </w:r>
      <w:r w:rsidR="00FC5110" w:rsidRPr="00573E4E">
        <w:rPr>
          <w:lang w:val="es-ES_tradnl"/>
        </w:rPr>
        <w:t>publica</w:t>
      </w:r>
      <w:r w:rsidR="00A30D1A" w:rsidRPr="00573E4E">
        <w:rPr>
          <w:lang w:val="es-ES_tradnl"/>
        </w:rPr>
        <w:t>rá</w:t>
      </w:r>
      <w:r w:rsidR="00FC5110" w:rsidRPr="00573E4E">
        <w:rPr>
          <w:lang w:val="es-ES_tradnl"/>
        </w:rPr>
        <w:t xml:space="preserve"> </w:t>
      </w:r>
      <w:r w:rsidRPr="00573E4E">
        <w:rPr>
          <w:lang w:val="es-ES_tradnl"/>
        </w:rPr>
        <w:t xml:space="preserve">un </w:t>
      </w:r>
      <w:r w:rsidR="00212807" w:rsidRPr="00573E4E">
        <w:rPr>
          <w:lang w:val="es-ES_tradnl"/>
        </w:rPr>
        <w:t xml:space="preserve">programa </w:t>
      </w:r>
      <w:r w:rsidR="00FC5110" w:rsidRPr="00573E4E">
        <w:rPr>
          <w:lang w:val="es-ES_tradnl"/>
        </w:rPr>
        <w:t xml:space="preserve">provisional </w:t>
      </w:r>
      <w:r w:rsidR="00212807" w:rsidRPr="00573E4E">
        <w:rPr>
          <w:lang w:val="es-ES_tradnl"/>
        </w:rPr>
        <w:t xml:space="preserve">en </w:t>
      </w:r>
      <w:r w:rsidR="006711CE" w:rsidRPr="00573E4E">
        <w:rPr>
          <w:rFonts w:asciiTheme="minorHAnsi" w:hAnsiTheme="minorHAnsi"/>
          <w:lang w:val="es-ES_tradnl"/>
        </w:rPr>
        <w:t>el</w:t>
      </w:r>
      <w:r w:rsidR="006711CE" w:rsidRPr="00573E4E">
        <w:rPr>
          <w:rStyle w:val="Hyperlink"/>
          <w:rFonts w:asciiTheme="minorHAnsi" w:hAnsiTheme="minorHAnsi"/>
          <w:u w:val="none"/>
          <w:lang w:val="es-ES_tradnl"/>
        </w:rPr>
        <w:t xml:space="preserve"> </w:t>
      </w:r>
      <w:r w:rsidR="006711CE" w:rsidRPr="00573E4E">
        <w:rPr>
          <w:rStyle w:val="Hyperlink"/>
          <w:rFonts w:asciiTheme="minorHAnsi" w:hAnsiTheme="minorHAnsi"/>
          <w:color w:val="auto"/>
          <w:u w:val="none"/>
          <w:lang w:val="es-ES_tradnl"/>
        </w:rPr>
        <w:t>sitio web del evento</w:t>
      </w:r>
      <w:r w:rsidR="00692076" w:rsidRPr="00573E4E">
        <w:rPr>
          <w:rStyle w:val="Hyperlink"/>
          <w:rFonts w:asciiTheme="minorHAnsi" w:hAnsiTheme="minorHAnsi"/>
          <w:color w:val="auto"/>
          <w:u w:val="none"/>
          <w:lang w:val="es-ES_tradnl"/>
        </w:rPr>
        <w:t xml:space="preserve">, </w:t>
      </w:r>
      <w:r w:rsidR="00A30D1A" w:rsidRPr="00573E4E">
        <w:rPr>
          <w:rStyle w:val="Hyperlink"/>
          <w:rFonts w:asciiTheme="minorHAnsi" w:hAnsiTheme="minorHAnsi"/>
          <w:color w:val="auto"/>
          <w:u w:val="none"/>
          <w:lang w:val="es-ES_tradnl"/>
        </w:rPr>
        <w:t>que</w:t>
      </w:r>
      <w:r w:rsidR="00692076" w:rsidRPr="00573E4E">
        <w:rPr>
          <w:rStyle w:val="Hyperlink"/>
          <w:rFonts w:asciiTheme="minorHAnsi" w:hAnsiTheme="minorHAnsi"/>
          <w:color w:val="auto"/>
          <w:u w:val="none"/>
          <w:lang w:val="es-ES_tradnl"/>
        </w:rPr>
        <w:t xml:space="preserve"> </w:t>
      </w:r>
      <w:r w:rsidR="00212807" w:rsidRPr="00573E4E">
        <w:rPr>
          <w:lang w:val="es-ES_tradnl"/>
        </w:rPr>
        <w:t xml:space="preserve">se </w:t>
      </w:r>
      <w:r w:rsidRPr="00573E4E">
        <w:rPr>
          <w:lang w:val="es-ES_tradnl"/>
        </w:rPr>
        <w:t>actualizará cuando se acerquen las fechas del evento.</w:t>
      </w:r>
    </w:p>
    <w:p w14:paraId="46F5737F" w14:textId="45B5630D" w:rsidR="00010BDD" w:rsidRPr="00573E4E" w:rsidRDefault="00010BDD" w:rsidP="00573E4E">
      <w:pPr>
        <w:spacing w:before="360" w:line="240" w:lineRule="auto"/>
        <w:rPr>
          <w:rFonts w:asciiTheme="minorHAnsi" w:hAnsiTheme="minorHAnsi"/>
          <w:szCs w:val="24"/>
          <w:lang w:val="es-ES"/>
        </w:rPr>
      </w:pPr>
      <w:r w:rsidRPr="00573E4E">
        <w:rPr>
          <w:rFonts w:asciiTheme="minorHAnsi" w:hAnsiTheme="minorHAnsi"/>
          <w:b/>
          <w:szCs w:val="24"/>
          <w:lang w:val="es-ES"/>
        </w:rPr>
        <w:t>Documenta</w:t>
      </w:r>
      <w:r w:rsidR="00A30D1A" w:rsidRPr="00573E4E">
        <w:rPr>
          <w:rFonts w:asciiTheme="minorHAnsi" w:hAnsiTheme="minorHAnsi"/>
          <w:b/>
          <w:szCs w:val="24"/>
          <w:lang w:val="es-ES"/>
        </w:rPr>
        <w:t>ción y material de apoyo</w:t>
      </w:r>
    </w:p>
    <w:p w14:paraId="515CBB42" w14:textId="49FD00D6" w:rsidR="00010BDD" w:rsidRPr="00573E4E" w:rsidRDefault="00D00BF8" w:rsidP="00573E4E">
      <w:pPr>
        <w:spacing w:before="120" w:line="240" w:lineRule="auto"/>
        <w:rPr>
          <w:rFonts w:asciiTheme="minorHAnsi" w:hAnsiTheme="minorHAnsi"/>
          <w:szCs w:val="24"/>
          <w:lang w:val="es-ES"/>
        </w:rPr>
      </w:pPr>
      <w:r w:rsidRPr="00573E4E">
        <w:rPr>
          <w:rFonts w:asciiTheme="minorHAnsi" w:hAnsiTheme="minorHAnsi"/>
          <w:szCs w:val="24"/>
          <w:lang w:val="es-ES"/>
        </w:rPr>
        <w:t xml:space="preserve">La documentación y los materiales de apoyo del Seminario (incluidos </w:t>
      </w:r>
      <w:proofErr w:type="gramStart"/>
      <w:r w:rsidRPr="00573E4E">
        <w:rPr>
          <w:rFonts w:asciiTheme="minorHAnsi" w:hAnsiTheme="minorHAnsi"/>
          <w:szCs w:val="24"/>
          <w:lang w:val="es-ES"/>
        </w:rPr>
        <w:t>los software</w:t>
      </w:r>
      <w:proofErr w:type="gramEnd"/>
      <w:r w:rsidRPr="00573E4E">
        <w:rPr>
          <w:rFonts w:asciiTheme="minorHAnsi" w:hAnsiTheme="minorHAnsi"/>
          <w:szCs w:val="24"/>
          <w:lang w:val="es-ES"/>
        </w:rPr>
        <w:t xml:space="preserve"> de la BR pertinentes) estarán disponibles en el sitio web del evento</w:t>
      </w:r>
      <w:r w:rsidR="00010BDD" w:rsidRPr="00573E4E">
        <w:rPr>
          <w:rFonts w:asciiTheme="minorHAnsi" w:hAnsiTheme="minorHAnsi"/>
          <w:szCs w:val="24"/>
          <w:lang w:val="es-ES"/>
        </w:rPr>
        <w:t xml:space="preserve">. </w:t>
      </w:r>
    </w:p>
    <w:p w14:paraId="6E6E47FA" w14:textId="54371A8D" w:rsidR="00212807" w:rsidRPr="00573E4E" w:rsidRDefault="00212807" w:rsidP="00573E4E">
      <w:pPr>
        <w:pStyle w:val="Headingb"/>
        <w:spacing w:line="240" w:lineRule="auto"/>
        <w:rPr>
          <w:lang w:val="es-ES_tradnl"/>
        </w:rPr>
      </w:pPr>
      <w:r w:rsidRPr="00573E4E">
        <w:rPr>
          <w:lang w:val="es-ES_tradnl"/>
        </w:rPr>
        <w:t>Interpretación</w:t>
      </w:r>
      <w:r w:rsidR="0027308E" w:rsidRPr="00573E4E">
        <w:rPr>
          <w:lang w:val="es-ES_tradnl"/>
        </w:rPr>
        <w:t>, participación a distancia</w:t>
      </w:r>
      <w:r w:rsidRPr="00573E4E">
        <w:rPr>
          <w:lang w:val="es-ES_tradnl"/>
        </w:rPr>
        <w:t xml:space="preserve"> y difusión por la web</w:t>
      </w:r>
    </w:p>
    <w:p w14:paraId="17CC465F" w14:textId="4DC502F8" w:rsidR="00212807" w:rsidRPr="00573E4E" w:rsidRDefault="006711CE" w:rsidP="00573E4E">
      <w:pPr>
        <w:spacing w:line="240" w:lineRule="auto"/>
        <w:rPr>
          <w:rFonts w:asciiTheme="minorHAnsi" w:hAnsiTheme="minorHAnsi" w:cstheme="minorHAnsi"/>
          <w:szCs w:val="24"/>
          <w:lang w:val="es-ES_tradnl"/>
        </w:rPr>
      </w:pPr>
      <w:r w:rsidRPr="00573E4E">
        <w:rPr>
          <w:lang w:val="es-ES_tradnl"/>
        </w:rPr>
        <w:t>L</w:t>
      </w:r>
      <w:r w:rsidR="00212807" w:rsidRPr="00573E4E">
        <w:rPr>
          <w:lang w:val="es-ES_tradnl"/>
        </w:rPr>
        <w:t>as Sesiones Plenarias del SMR</w:t>
      </w:r>
      <w:r w:rsidR="00212807" w:rsidRPr="00573E4E">
        <w:rPr>
          <w:lang w:val="es-ES_tradnl"/>
        </w:rPr>
        <w:noBreakHyphen/>
      </w:r>
      <w:r w:rsidR="0027308E" w:rsidRPr="00573E4E">
        <w:rPr>
          <w:lang w:val="es-ES_tradnl"/>
        </w:rPr>
        <w:t>2</w:t>
      </w:r>
      <w:r w:rsidR="00010BDD" w:rsidRPr="00573E4E">
        <w:rPr>
          <w:lang w:val="es-ES_tradnl"/>
        </w:rPr>
        <w:t>2</w:t>
      </w:r>
      <w:r w:rsidR="00212807" w:rsidRPr="00573E4E">
        <w:rPr>
          <w:lang w:val="es-ES_tradnl"/>
        </w:rPr>
        <w:t xml:space="preserve"> contarán con servicio de interpretación simultánea</w:t>
      </w:r>
      <w:r w:rsidR="0027308E" w:rsidRPr="00573E4E">
        <w:rPr>
          <w:lang w:val="es-ES_tradnl"/>
        </w:rPr>
        <w:t xml:space="preserve">, </w:t>
      </w:r>
      <w:r w:rsidR="00212807" w:rsidRPr="00573E4E">
        <w:rPr>
          <w:lang w:val="es-ES_tradnl"/>
        </w:rPr>
        <w:t>en los seis</w:t>
      </w:r>
      <w:r w:rsidR="00663BB1" w:rsidRPr="00573E4E">
        <w:rPr>
          <w:lang w:val="es-ES_tradnl"/>
        </w:rPr>
        <w:t xml:space="preserve"> idiomas oficiales de la Unión.</w:t>
      </w:r>
    </w:p>
    <w:p w14:paraId="05F4443F" w14:textId="24132039" w:rsidR="00010BDD" w:rsidRPr="00573E4E" w:rsidRDefault="00D00BF8" w:rsidP="00573E4E">
      <w:pPr>
        <w:spacing w:before="120" w:line="240" w:lineRule="auto"/>
        <w:rPr>
          <w:rFonts w:asciiTheme="minorHAnsi" w:hAnsiTheme="minorHAnsi"/>
          <w:szCs w:val="24"/>
          <w:lang w:val="es-ES_tradnl"/>
        </w:rPr>
      </w:pPr>
      <w:r w:rsidRPr="00573E4E">
        <w:rPr>
          <w:rFonts w:asciiTheme="minorHAnsi" w:hAnsiTheme="minorHAnsi" w:cstheme="minorBidi"/>
          <w:szCs w:val="24"/>
          <w:lang w:val="es-ES_tradnl" w:eastAsia="en-GB"/>
        </w:rPr>
        <w:t>Tradicionalmente los talleres se celebran un único idioma (inglés o francés, sin interpretación) para facilitar una mayor interacción entre los ponentes y los participantes.</w:t>
      </w:r>
    </w:p>
    <w:p w14:paraId="06EAD9DD" w14:textId="050A9437" w:rsidR="00010BDD" w:rsidRPr="00573E4E" w:rsidRDefault="00D00BF8" w:rsidP="00573E4E">
      <w:pPr>
        <w:spacing w:before="120" w:line="240" w:lineRule="auto"/>
        <w:rPr>
          <w:rFonts w:asciiTheme="minorHAnsi" w:hAnsiTheme="minorHAnsi"/>
          <w:szCs w:val="24"/>
          <w:lang w:val="es-ES"/>
        </w:rPr>
      </w:pPr>
      <w:r w:rsidRPr="00573E4E">
        <w:rPr>
          <w:rFonts w:asciiTheme="minorHAnsi" w:hAnsiTheme="minorHAnsi"/>
          <w:szCs w:val="24"/>
          <w:lang w:val="es-ES"/>
        </w:rPr>
        <w:t>Sólo las Sesiones Plenarias contarán con la posibilidad de participar a distancia. Los delegados que asistan a los talleres también podrán participar presencialmente en las Sesiones Plenarias. Los talleres no cuentan con la posibilidad de participar a distancia</w:t>
      </w:r>
      <w:r w:rsidR="00010BDD" w:rsidRPr="00573E4E">
        <w:rPr>
          <w:rFonts w:asciiTheme="minorHAnsi" w:hAnsiTheme="minorHAnsi"/>
          <w:szCs w:val="24"/>
          <w:lang w:val="es-ES"/>
        </w:rPr>
        <w:t xml:space="preserve">.  </w:t>
      </w:r>
    </w:p>
    <w:p w14:paraId="7AB4B6DE" w14:textId="18163D30" w:rsidR="00010BDD" w:rsidRPr="00BC4EA9" w:rsidRDefault="00D00BF8" w:rsidP="00573E4E">
      <w:pPr>
        <w:spacing w:before="120" w:line="240" w:lineRule="auto"/>
        <w:rPr>
          <w:rFonts w:asciiTheme="minorHAnsi" w:hAnsiTheme="minorHAnsi"/>
          <w:szCs w:val="24"/>
          <w:lang w:val="es-ES"/>
        </w:rPr>
      </w:pPr>
      <w:r w:rsidRPr="00573E4E">
        <w:rPr>
          <w:rFonts w:asciiTheme="minorHAnsi" w:hAnsiTheme="minorHAnsi"/>
          <w:lang w:val="es-ES"/>
        </w:rPr>
        <w:t>Las Sesiones Plenarias se difundirán por la web durante el evento y se grabarán para su consulta con posterioridad. No es necesario inscribirse al Seminario para acceder a la difusión web de las Sesiones Plenarias</w:t>
      </w:r>
      <w:r w:rsidRPr="00573E4E">
        <w:rPr>
          <w:rFonts w:asciiTheme="minorHAnsi" w:hAnsiTheme="minorHAnsi"/>
          <w:lang w:val="es-ES_tradnl"/>
        </w:rPr>
        <w:t>. No habrá dif</w:t>
      </w:r>
      <w:r w:rsidR="00573E4E" w:rsidRPr="00573E4E">
        <w:rPr>
          <w:rFonts w:asciiTheme="minorHAnsi" w:hAnsiTheme="minorHAnsi"/>
          <w:lang w:val="es-ES_tradnl"/>
        </w:rPr>
        <w:t>u</w:t>
      </w:r>
      <w:r w:rsidRPr="00573E4E">
        <w:rPr>
          <w:rFonts w:asciiTheme="minorHAnsi" w:hAnsiTheme="minorHAnsi"/>
          <w:lang w:val="es-ES_tradnl"/>
        </w:rPr>
        <w:t>sión web de los talleres</w:t>
      </w:r>
      <w:r w:rsidR="00010BDD" w:rsidRPr="00BC4EA9">
        <w:rPr>
          <w:rFonts w:asciiTheme="minorHAnsi" w:hAnsiTheme="minorHAnsi"/>
          <w:szCs w:val="24"/>
          <w:lang w:val="es-ES"/>
        </w:rPr>
        <w:t xml:space="preserve">. </w:t>
      </w:r>
    </w:p>
    <w:p w14:paraId="6469618B" w14:textId="65985DDF" w:rsidR="00010BDD" w:rsidRPr="00573E4E" w:rsidRDefault="00D00BF8" w:rsidP="00573E4E">
      <w:pPr>
        <w:spacing w:before="120" w:line="240" w:lineRule="auto"/>
        <w:rPr>
          <w:rFonts w:asciiTheme="minorHAnsi" w:hAnsiTheme="minorHAnsi"/>
          <w:szCs w:val="24"/>
          <w:lang w:val="es-ES"/>
        </w:rPr>
      </w:pPr>
      <w:r w:rsidRPr="00573E4E">
        <w:rPr>
          <w:rFonts w:asciiTheme="minorHAnsi" w:hAnsiTheme="minorHAnsi"/>
          <w:szCs w:val="24"/>
          <w:lang w:val="es-ES"/>
        </w:rPr>
        <w:t>En el</w:t>
      </w:r>
      <w:r w:rsidR="00010BDD" w:rsidRPr="00573E4E">
        <w:rPr>
          <w:rFonts w:asciiTheme="minorHAnsi" w:hAnsiTheme="minorHAnsi"/>
          <w:szCs w:val="24"/>
          <w:lang w:val="es-ES"/>
        </w:rPr>
        <w:t xml:space="preserve"> </w:t>
      </w:r>
      <w:r w:rsidR="00010BDD" w:rsidRPr="00573E4E">
        <w:rPr>
          <w:rFonts w:asciiTheme="minorHAnsi" w:hAnsiTheme="minorHAnsi"/>
          <w:b/>
          <w:bCs/>
          <w:szCs w:val="24"/>
          <w:lang w:val="es-ES"/>
        </w:rPr>
        <w:t>Anex</w:t>
      </w:r>
      <w:r w:rsidRPr="00573E4E">
        <w:rPr>
          <w:rFonts w:asciiTheme="minorHAnsi" w:hAnsiTheme="minorHAnsi"/>
          <w:b/>
          <w:bCs/>
          <w:szCs w:val="24"/>
          <w:lang w:val="es-ES"/>
        </w:rPr>
        <w:t>o</w:t>
      </w:r>
      <w:r w:rsidR="00010BDD" w:rsidRPr="00573E4E">
        <w:rPr>
          <w:rFonts w:asciiTheme="minorHAnsi" w:hAnsiTheme="minorHAnsi"/>
          <w:b/>
          <w:bCs/>
          <w:szCs w:val="24"/>
          <w:lang w:val="es-ES"/>
        </w:rPr>
        <w:t xml:space="preserve"> </w:t>
      </w:r>
      <w:r w:rsidRPr="00573E4E">
        <w:rPr>
          <w:rFonts w:asciiTheme="minorHAnsi" w:hAnsiTheme="minorHAnsi"/>
          <w:szCs w:val="24"/>
          <w:lang w:val="es-ES"/>
        </w:rPr>
        <w:t>puede encontrarse más información sobre la logística del evento</w:t>
      </w:r>
      <w:r w:rsidR="00010BDD" w:rsidRPr="00573E4E">
        <w:rPr>
          <w:rFonts w:asciiTheme="minorHAnsi" w:hAnsiTheme="minorHAnsi"/>
          <w:szCs w:val="24"/>
          <w:lang w:val="es-ES"/>
        </w:rPr>
        <w:t>.</w:t>
      </w:r>
    </w:p>
    <w:p w14:paraId="4BB35F98" w14:textId="5D8E07D7" w:rsidR="00212807" w:rsidRPr="00573E4E" w:rsidRDefault="00212807" w:rsidP="00573E4E">
      <w:pPr>
        <w:pStyle w:val="Headingb"/>
        <w:spacing w:line="240" w:lineRule="auto"/>
        <w:rPr>
          <w:lang w:val="es-ES_tradnl"/>
        </w:rPr>
      </w:pPr>
      <w:r w:rsidRPr="00573E4E">
        <w:rPr>
          <w:lang w:val="es-ES_tradnl"/>
        </w:rPr>
        <w:t xml:space="preserve">Inscripción </w:t>
      </w:r>
      <w:r w:rsidR="004B5B21" w:rsidRPr="00573E4E">
        <w:rPr>
          <w:lang w:val="es-ES_tradnl"/>
        </w:rPr>
        <w:t>y participación</w:t>
      </w:r>
    </w:p>
    <w:p w14:paraId="3B671765" w14:textId="2B969404" w:rsidR="00212807" w:rsidRPr="00573E4E" w:rsidRDefault="00212807" w:rsidP="00573E4E">
      <w:pPr>
        <w:spacing w:line="240" w:lineRule="auto"/>
        <w:rPr>
          <w:lang w:val="es-ES_tradnl"/>
        </w:rPr>
      </w:pPr>
      <w:r w:rsidRPr="00573E4E">
        <w:rPr>
          <w:lang w:val="es-ES_tradnl"/>
        </w:rPr>
        <w:t xml:space="preserve">La participación en el Seminario es gratuita para </w:t>
      </w:r>
      <w:r w:rsidR="004B5B21" w:rsidRPr="00573E4E">
        <w:rPr>
          <w:lang w:val="es-ES_tradnl"/>
        </w:rPr>
        <w:t xml:space="preserve">todo el mundo, independientemente de si </w:t>
      </w:r>
      <w:r w:rsidR="001B45BF" w:rsidRPr="00573E4E">
        <w:rPr>
          <w:lang w:val="es-ES_tradnl"/>
        </w:rPr>
        <w:t xml:space="preserve">se es </w:t>
      </w:r>
      <w:r w:rsidR="00495A2A" w:rsidRPr="00573E4E">
        <w:rPr>
          <w:lang w:val="es-ES_tradnl"/>
        </w:rPr>
        <w:t>M</w:t>
      </w:r>
      <w:r w:rsidR="001B45BF" w:rsidRPr="00573E4E">
        <w:rPr>
          <w:lang w:val="es-ES_tradnl"/>
        </w:rPr>
        <w:t>iembro</w:t>
      </w:r>
      <w:r w:rsidR="004B5B21" w:rsidRPr="00573E4E">
        <w:rPr>
          <w:lang w:val="es-ES_tradnl"/>
        </w:rPr>
        <w:t xml:space="preserve"> o no de la UIT</w:t>
      </w:r>
      <w:r w:rsidRPr="00573E4E">
        <w:rPr>
          <w:lang w:val="es-ES_tradnl"/>
        </w:rPr>
        <w:t>.</w:t>
      </w:r>
    </w:p>
    <w:p w14:paraId="148ED95C" w14:textId="6B0AC989" w:rsidR="00A9167C" w:rsidRPr="00573E4E" w:rsidRDefault="00495A2A" w:rsidP="00573E4E">
      <w:pPr>
        <w:spacing w:before="120" w:line="240" w:lineRule="auto"/>
        <w:rPr>
          <w:rFonts w:asciiTheme="minorHAnsi" w:hAnsiTheme="minorHAnsi"/>
          <w:szCs w:val="24"/>
          <w:lang w:val="es-ES"/>
        </w:rPr>
      </w:pPr>
      <w:r w:rsidRPr="00573E4E">
        <w:rPr>
          <w:rFonts w:asciiTheme="minorHAnsi" w:hAnsiTheme="minorHAnsi"/>
          <w:szCs w:val="24"/>
          <w:lang w:val="es-ES"/>
        </w:rPr>
        <w:t>Es obligatorio inscribirse por adelantado, incluso si se va a participar a distancia</w:t>
      </w:r>
      <w:r w:rsidR="00A9167C" w:rsidRPr="00573E4E">
        <w:rPr>
          <w:rFonts w:asciiTheme="minorHAnsi" w:hAnsiTheme="minorHAnsi"/>
          <w:szCs w:val="24"/>
          <w:lang w:val="es-ES"/>
        </w:rPr>
        <w:t>.</w:t>
      </w:r>
    </w:p>
    <w:p w14:paraId="7CF95AF9" w14:textId="7A79C9EF" w:rsidR="002D59E6" w:rsidRPr="00573E4E" w:rsidRDefault="00212807" w:rsidP="00573E4E">
      <w:pPr>
        <w:spacing w:before="120" w:line="240" w:lineRule="auto"/>
        <w:rPr>
          <w:rFonts w:asciiTheme="minorHAnsi" w:hAnsiTheme="minorHAnsi"/>
          <w:szCs w:val="24"/>
          <w:lang w:val="es-ES"/>
        </w:rPr>
      </w:pPr>
      <w:r w:rsidRPr="00573E4E">
        <w:rPr>
          <w:lang w:val="es-ES"/>
        </w:rPr>
        <w:t>La inscripción para este evento se llevará a</w:t>
      </w:r>
      <w:r w:rsidR="00F024A7" w:rsidRPr="00573E4E">
        <w:rPr>
          <w:lang w:val="es-ES"/>
        </w:rPr>
        <w:t xml:space="preserve"> </w:t>
      </w:r>
      <w:r w:rsidRPr="00573E4E">
        <w:rPr>
          <w:lang w:val="es-ES"/>
        </w:rPr>
        <w:t xml:space="preserve">cabo exclusivamente en línea a través de </w:t>
      </w:r>
      <w:r w:rsidR="004B5B21" w:rsidRPr="00573E4E">
        <w:rPr>
          <w:lang w:val="es-ES"/>
        </w:rPr>
        <w:t>dos</w:t>
      </w:r>
      <w:r w:rsidR="00A9167C" w:rsidRPr="00573E4E">
        <w:rPr>
          <w:lang w:val="es-ES"/>
        </w:rPr>
        <w:t xml:space="preserve"> (2)</w:t>
      </w:r>
      <w:r w:rsidR="004B5B21" w:rsidRPr="00573E4E">
        <w:rPr>
          <w:lang w:val="es-ES"/>
        </w:rPr>
        <w:t xml:space="preserve"> formularios de inscripción en línea: </w:t>
      </w:r>
      <w:r w:rsidR="00495A2A" w:rsidRPr="00573E4E">
        <w:rPr>
          <w:lang w:val="es-ES"/>
        </w:rPr>
        <w:t>un formulario para los Miembros de la UIT para todas las sesiones (Sesiones Plenarias y/o talleres) y otro para el público en general (no Miembros) únicamente para las Sesiones Plenarias</w:t>
      </w:r>
      <w:r w:rsidR="00A9167C" w:rsidRPr="00573E4E">
        <w:rPr>
          <w:rFonts w:asciiTheme="minorHAnsi" w:hAnsiTheme="minorHAnsi"/>
          <w:szCs w:val="24"/>
          <w:lang w:val="es-ES"/>
        </w:rPr>
        <w:t>.</w:t>
      </w:r>
    </w:p>
    <w:p w14:paraId="7CACD748" w14:textId="03F90BA0" w:rsidR="00A9167C" w:rsidRPr="00573E4E" w:rsidRDefault="00495A2A" w:rsidP="00573E4E">
      <w:pPr>
        <w:spacing w:before="120" w:line="240" w:lineRule="auto"/>
        <w:rPr>
          <w:rFonts w:asciiTheme="minorHAnsi" w:hAnsiTheme="minorHAnsi"/>
          <w:szCs w:val="24"/>
          <w:lang w:val="es-ES"/>
        </w:rPr>
      </w:pPr>
      <w:r w:rsidRPr="00573E4E">
        <w:rPr>
          <w:rFonts w:asciiTheme="minorHAnsi" w:hAnsiTheme="minorHAnsi"/>
          <w:szCs w:val="24"/>
          <w:lang w:val="es-ES"/>
        </w:rPr>
        <w:t>Véase en el</w:t>
      </w:r>
      <w:r w:rsidR="00A9167C" w:rsidRPr="00573E4E">
        <w:rPr>
          <w:rFonts w:asciiTheme="minorHAnsi" w:hAnsiTheme="minorHAnsi"/>
          <w:szCs w:val="24"/>
          <w:lang w:val="es-ES"/>
        </w:rPr>
        <w:t xml:space="preserve"> </w:t>
      </w:r>
      <w:r w:rsidR="00A9167C" w:rsidRPr="00573E4E">
        <w:rPr>
          <w:rFonts w:asciiTheme="minorHAnsi" w:hAnsiTheme="minorHAnsi"/>
          <w:b/>
          <w:bCs/>
          <w:szCs w:val="24"/>
          <w:lang w:val="es-ES"/>
        </w:rPr>
        <w:t>Anex</w:t>
      </w:r>
      <w:r w:rsidRPr="00573E4E">
        <w:rPr>
          <w:rFonts w:asciiTheme="minorHAnsi" w:hAnsiTheme="minorHAnsi"/>
          <w:b/>
          <w:bCs/>
          <w:szCs w:val="24"/>
          <w:lang w:val="es-ES"/>
        </w:rPr>
        <w:t>o</w:t>
      </w:r>
      <w:r w:rsidR="00A9167C" w:rsidRPr="00573E4E">
        <w:rPr>
          <w:rFonts w:asciiTheme="minorHAnsi" w:hAnsiTheme="minorHAnsi"/>
          <w:szCs w:val="24"/>
          <w:lang w:val="es-ES"/>
        </w:rPr>
        <w:t xml:space="preserve"> </w:t>
      </w:r>
      <w:r w:rsidRPr="00573E4E">
        <w:rPr>
          <w:rFonts w:asciiTheme="minorHAnsi" w:hAnsiTheme="minorHAnsi"/>
          <w:szCs w:val="24"/>
          <w:lang w:val="es-ES"/>
        </w:rPr>
        <w:t>más información sobre la inscripción al evento</w:t>
      </w:r>
      <w:r w:rsidR="00A9167C" w:rsidRPr="00573E4E">
        <w:rPr>
          <w:rFonts w:asciiTheme="minorHAnsi" w:hAnsiTheme="minorHAnsi"/>
          <w:szCs w:val="24"/>
          <w:lang w:val="es-ES"/>
        </w:rPr>
        <w:t xml:space="preserve">. </w:t>
      </w:r>
    </w:p>
    <w:p w14:paraId="0DC96968" w14:textId="597F38F3" w:rsidR="00A9167C" w:rsidRPr="00573E4E" w:rsidRDefault="00495A2A" w:rsidP="00573E4E">
      <w:pPr>
        <w:spacing w:before="120" w:line="240" w:lineRule="auto"/>
        <w:jc w:val="left"/>
        <w:rPr>
          <w:rFonts w:asciiTheme="minorHAnsi" w:hAnsiTheme="minorHAnsi"/>
          <w:szCs w:val="24"/>
          <w:lang w:val="es-ES"/>
        </w:rPr>
      </w:pPr>
      <w:r w:rsidRPr="00573E4E">
        <w:rPr>
          <w:rFonts w:asciiTheme="minorHAnsi" w:hAnsiTheme="minorHAnsi"/>
          <w:szCs w:val="24"/>
          <w:lang w:val="es-ES"/>
        </w:rPr>
        <w:t>Puede encontrar más información sobre la inscripción al evento en</w:t>
      </w:r>
      <w:r w:rsidR="00A9167C" w:rsidRPr="00573E4E">
        <w:rPr>
          <w:rFonts w:asciiTheme="minorHAnsi" w:hAnsiTheme="minorHAnsi"/>
          <w:color w:val="000000"/>
          <w:szCs w:val="24"/>
          <w:lang w:val="es-ES"/>
        </w:rPr>
        <w:t>:</w:t>
      </w:r>
      <w:r w:rsidR="00573E4E">
        <w:rPr>
          <w:rFonts w:asciiTheme="minorHAnsi" w:hAnsiTheme="minorHAnsi"/>
          <w:color w:val="000000"/>
          <w:szCs w:val="24"/>
          <w:lang w:val="es-ES"/>
        </w:rPr>
        <w:br/>
      </w:r>
      <w:hyperlink r:id="rId10" w:tgtFrame="_blank" w:history="1">
        <w:r w:rsidR="00A9167C" w:rsidRPr="00573E4E">
          <w:rPr>
            <w:rFonts w:asciiTheme="minorHAnsi" w:hAnsiTheme="minorHAnsi"/>
            <w:color w:val="0000FF"/>
            <w:szCs w:val="24"/>
            <w:u w:val="single"/>
            <w:lang w:val="es-ES"/>
          </w:rPr>
          <w:t>www.itu.int/en/ITU-R/information/events</w:t>
        </w:r>
      </w:hyperlink>
      <w:r w:rsidR="00A9167C" w:rsidRPr="00573E4E">
        <w:rPr>
          <w:rFonts w:asciiTheme="minorHAnsi" w:hAnsiTheme="minorHAnsi"/>
          <w:szCs w:val="24"/>
          <w:lang w:val="es-ES"/>
        </w:rPr>
        <w:t>.</w:t>
      </w:r>
    </w:p>
    <w:p w14:paraId="05240822" w14:textId="66B3EE4B" w:rsidR="00212807" w:rsidRPr="00573E4E" w:rsidRDefault="00212807" w:rsidP="00573E4E">
      <w:pPr>
        <w:spacing w:line="240" w:lineRule="auto"/>
        <w:rPr>
          <w:lang w:val="es-ES_tradnl"/>
        </w:rPr>
      </w:pPr>
      <w:r w:rsidRPr="00573E4E">
        <w:rPr>
          <w:lang w:val="es-ES_tradnl"/>
        </w:rPr>
        <w:t xml:space="preserve">Para cualquier pregunta en relación con la inscripción en este evento, </w:t>
      </w:r>
      <w:r w:rsidR="00495A2A" w:rsidRPr="00573E4E">
        <w:rPr>
          <w:lang w:val="es-ES_tradnl"/>
        </w:rPr>
        <w:t>diríjase a</w:t>
      </w:r>
      <w:r w:rsidRPr="00573E4E">
        <w:rPr>
          <w:lang w:val="es-ES_tradnl"/>
        </w:rPr>
        <w:t xml:space="preserve"> </w:t>
      </w:r>
      <w:hyperlink r:id="rId11" w:history="1">
        <w:r w:rsidRPr="00573E4E">
          <w:rPr>
            <w:rStyle w:val="Hyperlink"/>
            <w:rFonts w:asciiTheme="minorHAnsi" w:hAnsiTheme="minorHAnsi" w:cstheme="minorHAnsi"/>
            <w:szCs w:val="24"/>
            <w:lang w:val="es-ES_tradnl"/>
          </w:rPr>
          <w:t>ITU</w:t>
        </w:r>
        <w:r w:rsidRPr="00573E4E">
          <w:rPr>
            <w:rStyle w:val="Hyperlink"/>
            <w:rFonts w:asciiTheme="minorHAnsi" w:hAnsiTheme="minorHAnsi" w:cstheme="minorHAnsi"/>
            <w:szCs w:val="24"/>
            <w:lang w:val="es-ES_tradnl"/>
          </w:rPr>
          <w:noBreakHyphen/>
          <w:t>R.Registrations@itu.int</w:t>
        </w:r>
      </w:hyperlink>
      <w:r w:rsidRPr="00573E4E">
        <w:rPr>
          <w:lang w:val="es-ES_tradnl"/>
        </w:rPr>
        <w:t>.</w:t>
      </w:r>
    </w:p>
    <w:p w14:paraId="5258B5A0" w14:textId="77777777" w:rsidR="00212807" w:rsidRPr="00573E4E" w:rsidRDefault="00212807" w:rsidP="00573E4E">
      <w:pPr>
        <w:pStyle w:val="Headingb"/>
        <w:spacing w:line="240" w:lineRule="auto"/>
        <w:rPr>
          <w:lang w:val="es-ES_tradnl"/>
        </w:rPr>
      </w:pPr>
      <w:r w:rsidRPr="00573E4E">
        <w:rPr>
          <w:lang w:val="es-ES_tradnl"/>
        </w:rPr>
        <w:lastRenderedPageBreak/>
        <w:t>Becas</w:t>
      </w:r>
    </w:p>
    <w:p w14:paraId="262758F5" w14:textId="28CCD68F" w:rsidR="004B5B21" w:rsidRPr="00573E4E" w:rsidRDefault="00495A2A" w:rsidP="00573E4E">
      <w:pPr>
        <w:spacing w:before="120" w:line="240" w:lineRule="auto"/>
        <w:rPr>
          <w:lang w:val="es-ES"/>
        </w:rPr>
      </w:pPr>
      <w:r w:rsidRPr="00573E4E">
        <w:rPr>
          <w:lang w:val="es-ES"/>
        </w:rPr>
        <w:t>Nos complace informarle de que, a</w:t>
      </w:r>
      <w:r w:rsidR="00A9167C" w:rsidRPr="00573E4E">
        <w:rPr>
          <w:lang w:val="es-ES"/>
        </w:rPr>
        <w:t xml:space="preserve"> fin de fomentar la participación de los países en desarrollo se concederá una beca completa o dos</w:t>
      </w:r>
      <w:r w:rsidR="007B6838">
        <w:rPr>
          <w:lang w:val="es-ES"/>
        </w:rPr>
        <w:t> </w:t>
      </w:r>
      <w:r w:rsidR="00A9167C" w:rsidRPr="00573E4E">
        <w:rPr>
          <w:lang w:val="es-ES"/>
        </w:rPr>
        <w:t>parciales por Estado Miembro que reúna las condiciones requeridas, en función de la financiación disponible. La beca completa comprende un billete de avión (de ida y vuelta en clase económica por la ruta más directa y menos costosa del país de origen al lugar de celebración de la reunión) así como dietas para sufragar los gastos de alojamiento, comidas y otros gastos. Los Estados Miembros asumirán el resto del coste de la participación.</w:t>
      </w:r>
    </w:p>
    <w:p w14:paraId="6151E208" w14:textId="45BB10A7" w:rsidR="00A9167C" w:rsidRPr="00573E4E" w:rsidRDefault="00495A2A" w:rsidP="00573E4E">
      <w:pPr>
        <w:spacing w:line="240" w:lineRule="auto"/>
        <w:rPr>
          <w:szCs w:val="24"/>
          <w:lang w:val="es-ES"/>
        </w:rPr>
      </w:pPr>
      <w:r w:rsidRPr="00573E4E">
        <w:rPr>
          <w:szCs w:val="24"/>
          <w:lang w:val="es-ES"/>
        </w:rPr>
        <w:t>Se anima a los Estados Miembros a escoger a sus candidatos prestando la debida atención a la inclusión de personas con discapacidad y personas con necesidades especiales, así como al equilibrio de género</w:t>
      </w:r>
      <w:r w:rsidR="007B6838">
        <w:rPr>
          <w:szCs w:val="24"/>
          <w:lang w:val="es-ES"/>
        </w:rPr>
        <w:t>.</w:t>
      </w:r>
      <w:r w:rsidR="00A9167C" w:rsidRPr="00573E4E">
        <w:rPr>
          <w:szCs w:val="24"/>
          <w:lang w:val="es-ES"/>
        </w:rPr>
        <w:t xml:space="preserve"> </w:t>
      </w:r>
      <w:hyperlink r:id="rId12">
        <w:r w:rsidRPr="00573E4E">
          <w:rPr>
            <w:rStyle w:val="Hyperlink"/>
            <w:rFonts w:asciiTheme="minorHAnsi" w:hAnsiTheme="minorHAnsi" w:cstheme="minorBidi"/>
            <w:szCs w:val="24"/>
            <w:lang w:val="es-ES"/>
          </w:rPr>
          <w:t>Más información sobre la política de la UIT en materia de concesión de becas</w:t>
        </w:r>
      </w:hyperlink>
      <w:r w:rsidR="00A9167C" w:rsidRPr="00573E4E">
        <w:rPr>
          <w:rFonts w:asciiTheme="minorHAnsi" w:hAnsiTheme="minorHAnsi" w:cstheme="minorBidi"/>
          <w:szCs w:val="24"/>
          <w:lang w:val="es-ES"/>
        </w:rPr>
        <w:t>.</w:t>
      </w:r>
    </w:p>
    <w:p w14:paraId="1D593F53" w14:textId="296379ED" w:rsidR="00A9167C" w:rsidRPr="00573E4E" w:rsidRDefault="00CC084D" w:rsidP="00573E4E">
      <w:pPr>
        <w:spacing w:line="240" w:lineRule="auto"/>
        <w:rPr>
          <w:szCs w:val="24"/>
          <w:lang w:val="es-ES"/>
        </w:rPr>
      </w:pPr>
      <w:r w:rsidRPr="00573E4E">
        <w:rPr>
          <w:szCs w:val="24"/>
          <w:lang w:val="es-ES"/>
        </w:rPr>
        <w:t>El formulario de solicitud de beca debidamente cumplimentado y sus anexos, de haberlos, deberán enviarse al Servicio de Becas por correo electrónico (</w:t>
      </w:r>
      <w:hyperlink r:id="rId13" w:history="1">
        <w:r w:rsidR="00A9167C" w:rsidRPr="00573E4E">
          <w:rPr>
            <w:rStyle w:val="Hyperlink"/>
            <w:szCs w:val="24"/>
            <w:lang w:val="es-ES"/>
          </w:rPr>
          <w:t>fellowships@itu.int</w:t>
        </w:r>
      </w:hyperlink>
      <w:r w:rsidRPr="00573E4E">
        <w:rPr>
          <w:szCs w:val="24"/>
          <w:lang w:val="es-ES"/>
        </w:rPr>
        <w:t xml:space="preserve">) </w:t>
      </w:r>
      <w:r w:rsidR="00A9167C" w:rsidRPr="00573E4E">
        <w:rPr>
          <w:szCs w:val="24"/>
          <w:lang w:val="es-ES"/>
        </w:rPr>
        <w:t>o</w:t>
      </w:r>
      <w:r w:rsidRPr="00573E4E">
        <w:rPr>
          <w:szCs w:val="24"/>
          <w:lang w:val="es-ES"/>
        </w:rPr>
        <w:t xml:space="preserve"> por</w:t>
      </w:r>
      <w:r w:rsidR="00A9167C" w:rsidRPr="00573E4E">
        <w:rPr>
          <w:szCs w:val="24"/>
          <w:lang w:val="es-ES"/>
        </w:rPr>
        <w:t xml:space="preserve"> fax</w:t>
      </w:r>
      <w:r w:rsidRPr="00573E4E">
        <w:rPr>
          <w:szCs w:val="24"/>
          <w:lang w:val="es-ES"/>
        </w:rPr>
        <w:t xml:space="preserve"> (</w:t>
      </w:r>
      <w:r w:rsidR="00A9167C" w:rsidRPr="00573E4E">
        <w:rPr>
          <w:szCs w:val="24"/>
          <w:lang w:val="es-ES"/>
        </w:rPr>
        <w:t>+41</w:t>
      </w:r>
      <w:r w:rsidR="00514E60">
        <w:rPr>
          <w:szCs w:val="24"/>
          <w:lang w:val="es-ES"/>
        </w:rPr>
        <w:t> </w:t>
      </w:r>
      <w:r w:rsidR="00A9167C" w:rsidRPr="00573E4E">
        <w:rPr>
          <w:szCs w:val="24"/>
          <w:lang w:val="es-ES"/>
        </w:rPr>
        <w:t>22</w:t>
      </w:r>
      <w:r w:rsidR="00514E60">
        <w:rPr>
          <w:szCs w:val="24"/>
          <w:lang w:val="es-ES"/>
        </w:rPr>
        <w:t> </w:t>
      </w:r>
      <w:r w:rsidR="00A9167C" w:rsidRPr="00573E4E">
        <w:rPr>
          <w:szCs w:val="24"/>
          <w:lang w:val="es-ES"/>
        </w:rPr>
        <w:t>730</w:t>
      </w:r>
      <w:r w:rsidR="00514E60">
        <w:rPr>
          <w:szCs w:val="24"/>
          <w:lang w:val="es-ES"/>
        </w:rPr>
        <w:t> </w:t>
      </w:r>
      <w:r w:rsidR="00A9167C" w:rsidRPr="00573E4E">
        <w:rPr>
          <w:szCs w:val="24"/>
          <w:lang w:val="es-ES"/>
        </w:rPr>
        <w:t>57</w:t>
      </w:r>
      <w:r w:rsidR="00573E4E">
        <w:rPr>
          <w:szCs w:val="24"/>
          <w:lang w:val="es-ES"/>
        </w:rPr>
        <w:t> </w:t>
      </w:r>
      <w:r w:rsidR="00A9167C" w:rsidRPr="00573E4E">
        <w:rPr>
          <w:szCs w:val="24"/>
          <w:lang w:val="es-ES"/>
        </w:rPr>
        <w:t>78</w:t>
      </w:r>
      <w:r w:rsidRPr="00573E4E">
        <w:rPr>
          <w:szCs w:val="24"/>
          <w:lang w:val="es-ES"/>
        </w:rPr>
        <w:t>) antes del</w:t>
      </w:r>
      <w:r w:rsidR="00A9167C" w:rsidRPr="00573E4E">
        <w:rPr>
          <w:szCs w:val="24"/>
          <w:lang w:val="es-ES"/>
        </w:rPr>
        <w:t xml:space="preserve"> </w:t>
      </w:r>
      <w:r w:rsidR="00A9167C" w:rsidRPr="00573E4E">
        <w:rPr>
          <w:b/>
          <w:bCs/>
          <w:szCs w:val="24"/>
          <w:lang w:val="es-ES"/>
        </w:rPr>
        <w:t xml:space="preserve">9 </w:t>
      </w:r>
      <w:r w:rsidRPr="00573E4E">
        <w:rPr>
          <w:b/>
          <w:bCs/>
          <w:szCs w:val="24"/>
          <w:lang w:val="es-ES"/>
        </w:rPr>
        <w:t>de septiembre de</w:t>
      </w:r>
      <w:r w:rsidR="00A9167C" w:rsidRPr="00573E4E">
        <w:rPr>
          <w:b/>
          <w:bCs/>
          <w:szCs w:val="24"/>
          <w:lang w:val="es-ES"/>
        </w:rPr>
        <w:t xml:space="preserve"> 2022</w:t>
      </w:r>
      <w:r w:rsidR="00A9167C" w:rsidRPr="00573E4E">
        <w:rPr>
          <w:szCs w:val="24"/>
          <w:lang w:val="es-ES"/>
        </w:rPr>
        <w:t xml:space="preserve">. </w:t>
      </w:r>
      <w:r w:rsidRPr="00573E4E">
        <w:rPr>
          <w:szCs w:val="24"/>
          <w:lang w:val="es-ES"/>
        </w:rPr>
        <w:t>Es obligatorio proceder a la inscripción antes de solicitar la beca</w:t>
      </w:r>
      <w:r w:rsidR="00A9167C" w:rsidRPr="00573E4E">
        <w:rPr>
          <w:szCs w:val="24"/>
          <w:lang w:val="es-ES"/>
        </w:rPr>
        <w:t>.</w:t>
      </w:r>
    </w:p>
    <w:p w14:paraId="379A032A" w14:textId="77777777" w:rsidR="00A9167C" w:rsidRPr="00573E4E" w:rsidRDefault="00A9167C" w:rsidP="00573E4E">
      <w:pPr>
        <w:spacing w:line="240" w:lineRule="auto"/>
        <w:rPr>
          <w:lang w:val="es-ES"/>
        </w:rPr>
      </w:pPr>
    </w:p>
    <w:p w14:paraId="3549E39C" w14:textId="0CF5F0A1" w:rsidR="00212807" w:rsidRPr="00573E4E" w:rsidRDefault="00957DB7" w:rsidP="00573E4E">
      <w:pPr>
        <w:spacing w:before="1440" w:line="240" w:lineRule="auto"/>
        <w:jc w:val="left"/>
      </w:pPr>
      <w:r w:rsidRPr="00573E4E">
        <w:t>Mario Maniewicz</w:t>
      </w:r>
      <w:r w:rsidR="00AE2F07" w:rsidRPr="00573E4E">
        <w:br/>
      </w:r>
      <w:r w:rsidR="00212807" w:rsidRPr="00573E4E">
        <w:t>Director</w:t>
      </w:r>
    </w:p>
    <w:p w14:paraId="5B2DA00E" w14:textId="70BDA111" w:rsidR="00CC084D" w:rsidRDefault="00CC084D" w:rsidP="00573E4E">
      <w:pPr>
        <w:spacing w:before="4800" w:line="240" w:lineRule="auto"/>
        <w:rPr>
          <w:rFonts w:asciiTheme="minorHAnsi" w:hAnsiTheme="minorHAnsi"/>
          <w:bCs/>
          <w:szCs w:val="24"/>
          <w:lang w:val="en-CA"/>
        </w:rPr>
      </w:pPr>
      <w:r w:rsidRPr="00573E4E">
        <w:rPr>
          <w:rFonts w:asciiTheme="minorHAnsi" w:hAnsiTheme="minorHAnsi"/>
          <w:b/>
          <w:szCs w:val="24"/>
          <w:lang w:val="en-CA"/>
        </w:rPr>
        <w:t xml:space="preserve">Anexo: </w:t>
      </w:r>
      <w:r w:rsidRPr="00573E4E">
        <w:rPr>
          <w:rFonts w:asciiTheme="minorHAnsi" w:hAnsiTheme="minorHAnsi"/>
          <w:b/>
          <w:szCs w:val="24"/>
          <w:lang w:val="en-CA"/>
        </w:rPr>
        <w:tab/>
      </w:r>
      <w:r w:rsidRPr="00573E4E">
        <w:rPr>
          <w:rFonts w:asciiTheme="minorHAnsi" w:hAnsiTheme="minorHAnsi"/>
          <w:bCs/>
          <w:szCs w:val="24"/>
          <w:lang w:val="en-CA"/>
        </w:rPr>
        <w:t>1</w:t>
      </w:r>
    </w:p>
    <w:p w14:paraId="35D90F13" w14:textId="58F73E36" w:rsidR="00573E4E" w:rsidRDefault="00573E4E" w:rsidP="00573E4E">
      <w:r>
        <w:br w:type="page"/>
      </w:r>
    </w:p>
    <w:p w14:paraId="00621E2B" w14:textId="403B4D87" w:rsidR="00CC084D" w:rsidRPr="00573E4E" w:rsidRDefault="00CC084D" w:rsidP="00573E4E">
      <w:pPr>
        <w:spacing w:line="240" w:lineRule="auto"/>
        <w:jc w:val="center"/>
        <w:rPr>
          <w:szCs w:val="24"/>
          <w:lang w:val="es-ES"/>
        </w:rPr>
      </w:pPr>
      <w:r w:rsidRPr="00573E4E">
        <w:rPr>
          <w:szCs w:val="24"/>
          <w:lang w:val="es-ES"/>
        </w:rPr>
        <w:lastRenderedPageBreak/>
        <w:t>ANEXO</w:t>
      </w:r>
    </w:p>
    <w:p w14:paraId="4F2C0C5F" w14:textId="77777777" w:rsidR="00CC084D" w:rsidRPr="00573E4E" w:rsidRDefault="00CC084D" w:rsidP="00573E4E">
      <w:pPr>
        <w:spacing w:line="240" w:lineRule="auto"/>
        <w:jc w:val="center"/>
        <w:rPr>
          <w:szCs w:val="24"/>
          <w:lang w:val="es-ES"/>
        </w:rPr>
      </w:pPr>
    </w:p>
    <w:p w14:paraId="67E36D8E" w14:textId="7FED2D03" w:rsidR="00CC084D" w:rsidRPr="00573E4E" w:rsidRDefault="00CC084D" w:rsidP="00573E4E">
      <w:pPr>
        <w:spacing w:line="240" w:lineRule="auto"/>
        <w:jc w:val="center"/>
        <w:rPr>
          <w:szCs w:val="24"/>
          <w:lang w:val="es-ES"/>
        </w:rPr>
      </w:pPr>
      <w:r w:rsidRPr="00573E4E">
        <w:rPr>
          <w:szCs w:val="24"/>
          <w:lang w:val="es-ES"/>
        </w:rPr>
        <w:t xml:space="preserve">SMR-22 </w:t>
      </w:r>
      <w:r w:rsidRPr="00573E4E">
        <w:rPr>
          <w:szCs w:val="24"/>
          <w:lang w:val="es-ES"/>
        </w:rPr>
        <w:br/>
        <w:t xml:space="preserve">LOGÍSTICA E INSCRIPCIÓN </w:t>
      </w:r>
    </w:p>
    <w:p w14:paraId="1AEECF08" w14:textId="77777777" w:rsidR="00CC084D" w:rsidRPr="00573E4E" w:rsidRDefault="00CC084D" w:rsidP="00573E4E">
      <w:pPr>
        <w:spacing w:line="240" w:lineRule="auto"/>
        <w:jc w:val="center"/>
        <w:rPr>
          <w:szCs w:val="24"/>
          <w:lang w:val="es-ES"/>
        </w:rPr>
      </w:pPr>
    </w:p>
    <w:p w14:paraId="568935B4" w14:textId="65D38FB8" w:rsidR="00CC084D" w:rsidRPr="00573E4E" w:rsidRDefault="00CC084D" w:rsidP="00573E4E">
      <w:pPr>
        <w:spacing w:line="240" w:lineRule="auto"/>
        <w:jc w:val="center"/>
        <w:rPr>
          <w:b/>
          <w:bCs/>
          <w:szCs w:val="24"/>
          <w:lang w:val="es-ES"/>
        </w:rPr>
      </w:pPr>
      <w:r w:rsidRPr="00573E4E">
        <w:rPr>
          <w:b/>
          <w:bCs/>
          <w:szCs w:val="24"/>
          <w:lang w:val="es-ES"/>
        </w:rPr>
        <w:t xml:space="preserve">Logística del SMR-22 </w:t>
      </w:r>
    </w:p>
    <w:p w14:paraId="68DE2563" w14:textId="77777777" w:rsidR="00CC084D" w:rsidRPr="00573E4E" w:rsidRDefault="00CC084D" w:rsidP="00C4317E">
      <w:pPr>
        <w:spacing w:before="0" w:line="240" w:lineRule="auto"/>
        <w:rPr>
          <w:szCs w:val="24"/>
          <w:lang w:val="es-ES"/>
        </w:rPr>
      </w:pP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1814"/>
        <w:gridCol w:w="3685"/>
        <w:gridCol w:w="4139"/>
      </w:tblGrid>
      <w:tr w:rsidR="00CC084D" w:rsidRPr="00573E4E" w14:paraId="3287375E" w14:textId="77777777" w:rsidTr="005A6090">
        <w:trPr>
          <w:jc w:val="center"/>
        </w:trPr>
        <w:tc>
          <w:tcPr>
            <w:tcW w:w="1814" w:type="dxa"/>
            <w:shd w:val="clear" w:color="auto" w:fill="D9D9D9" w:themeFill="background1" w:themeFillShade="D9"/>
          </w:tcPr>
          <w:p w14:paraId="2D4D2F7E" w14:textId="77777777" w:rsidR="00CC084D" w:rsidRPr="00573E4E" w:rsidRDefault="00CC084D" w:rsidP="00573E4E">
            <w:pPr>
              <w:spacing w:before="80" w:after="80" w:line="240" w:lineRule="auto"/>
              <w:rPr>
                <w:b/>
                <w:bCs/>
                <w:lang w:val="es-ES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0523B72A" w14:textId="566093DC" w:rsidR="00CC084D" w:rsidRPr="00573E4E" w:rsidRDefault="00CC084D" w:rsidP="00573E4E">
            <w:pPr>
              <w:spacing w:before="80" w:after="80" w:line="240" w:lineRule="auto"/>
              <w:jc w:val="center"/>
              <w:rPr>
                <w:b/>
                <w:bCs/>
              </w:rPr>
            </w:pPr>
            <w:proofErr w:type="spellStart"/>
            <w:r w:rsidRPr="00573E4E">
              <w:rPr>
                <w:b/>
                <w:bCs/>
              </w:rPr>
              <w:t>Sesiones</w:t>
            </w:r>
            <w:proofErr w:type="spellEnd"/>
            <w:r w:rsidRPr="00573E4E">
              <w:rPr>
                <w:b/>
                <w:bCs/>
              </w:rPr>
              <w:t xml:space="preserve"> </w:t>
            </w:r>
            <w:proofErr w:type="spellStart"/>
            <w:r w:rsidRPr="00573E4E">
              <w:rPr>
                <w:b/>
                <w:bCs/>
              </w:rPr>
              <w:t>Plenarias</w:t>
            </w:r>
            <w:proofErr w:type="spellEnd"/>
          </w:p>
        </w:tc>
        <w:tc>
          <w:tcPr>
            <w:tcW w:w="4139" w:type="dxa"/>
            <w:shd w:val="clear" w:color="auto" w:fill="D9D9D9" w:themeFill="background1" w:themeFillShade="D9"/>
          </w:tcPr>
          <w:p w14:paraId="46367730" w14:textId="0D5FCF2A" w:rsidR="00CC084D" w:rsidRPr="00573E4E" w:rsidRDefault="00CC084D" w:rsidP="00573E4E">
            <w:pPr>
              <w:spacing w:before="80" w:after="80" w:line="240" w:lineRule="auto"/>
              <w:jc w:val="center"/>
              <w:rPr>
                <w:b/>
                <w:bCs/>
              </w:rPr>
            </w:pPr>
            <w:proofErr w:type="spellStart"/>
            <w:r w:rsidRPr="00573E4E">
              <w:rPr>
                <w:b/>
                <w:bCs/>
              </w:rPr>
              <w:t>Talleres</w:t>
            </w:r>
            <w:proofErr w:type="spellEnd"/>
            <w:r w:rsidRPr="00573E4E">
              <w:rPr>
                <w:b/>
                <w:bCs/>
              </w:rPr>
              <w:t xml:space="preserve"> </w:t>
            </w:r>
            <w:proofErr w:type="spellStart"/>
            <w:r w:rsidRPr="00573E4E">
              <w:rPr>
                <w:b/>
                <w:bCs/>
              </w:rPr>
              <w:t>espaciales</w:t>
            </w:r>
            <w:proofErr w:type="spellEnd"/>
            <w:r w:rsidRPr="00573E4E">
              <w:rPr>
                <w:b/>
                <w:bCs/>
              </w:rPr>
              <w:t xml:space="preserve"> y </w:t>
            </w:r>
            <w:proofErr w:type="spellStart"/>
            <w:r w:rsidRPr="00573E4E">
              <w:rPr>
                <w:b/>
                <w:bCs/>
              </w:rPr>
              <w:t>terrenales</w:t>
            </w:r>
            <w:proofErr w:type="spellEnd"/>
          </w:p>
        </w:tc>
      </w:tr>
      <w:tr w:rsidR="005A6090" w:rsidRPr="00B85727" w14:paraId="3B63D54F" w14:textId="77777777" w:rsidTr="005A6090">
        <w:trPr>
          <w:jc w:val="center"/>
        </w:trPr>
        <w:tc>
          <w:tcPr>
            <w:tcW w:w="1814" w:type="dxa"/>
          </w:tcPr>
          <w:p w14:paraId="0863DD34" w14:textId="6F1782C7" w:rsidR="00CC084D" w:rsidRPr="00573E4E" w:rsidRDefault="00CC084D" w:rsidP="00573E4E">
            <w:pPr>
              <w:spacing w:before="80" w:after="80" w:line="240" w:lineRule="auto"/>
              <w:rPr>
                <w:b/>
                <w:bCs/>
              </w:rPr>
            </w:pPr>
            <w:proofErr w:type="spellStart"/>
            <w:r w:rsidRPr="00573E4E">
              <w:rPr>
                <w:b/>
                <w:bCs/>
              </w:rPr>
              <w:t>Fecha</w:t>
            </w:r>
            <w:proofErr w:type="spellEnd"/>
            <w:r w:rsidRPr="00573E4E">
              <w:rPr>
                <w:b/>
                <w:bCs/>
              </w:rPr>
              <w:t>/hora</w:t>
            </w:r>
          </w:p>
        </w:tc>
        <w:tc>
          <w:tcPr>
            <w:tcW w:w="3685" w:type="dxa"/>
          </w:tcPr>
          <w:p w14:paraId="7A29D560" w14:textId="6A90D6DB" w:rsidR="00CC084D" w:rsidRPr="00573E4E" w:rsidRDefault="00CC084D" w:rsidP="00573E4E">
            <w:pPr>
              <w:spacing w:before="80" w:after="80" w:line="240" w:lineRule="auto"/>
              <w:jc w:val="center"/>
            </w:pPr>
            <w:r w:rsidRPr="00573E4E">
              <w:rPr>
                <w:b/>
                <w:bCs/>
              </w:rPr>
              <w:t xml:space="preserve">24 de </w:t>
            </w:r>
            <w:proofErr w:type="spellStart"/>
            <w:r w:rsidRPr="00573E4E">
              <w:rPr>
                <w:b/>
                <w:bCs/>
              </w:rPr>
              <w:t>octubre</w:t>
            </w:r>
            <w:proofErr w:type="spellEnd"/>
            <w:r w:rsidRPr="00573E4E">
              <w:rPr>
                <w:b/>
                <w:bCs/>
              </w:rPr>
              <w:t xml:space="preserve"> de 2022</w:t>
            </w:r>
            <w:r w:rsidRPr="00573E4E">
              <w:rPr>
                <w:b/>
                <w:bCs/>
              </w:rPr>
              <w:br/>
            </w:r>
            <w:r w:rsidRPr="00573E4E">
              <w:rPr>
                <w:rFonts w:asciiTheme="minorHAnsi" w:hAnsiTheme="minorHAnsi"/>
                <w:bCs/>
              </w:rPr>
              <w:t>09</w:t>
            </w:r>
            <w:r w:rsidR="005A6090">
              <w:rPr>
                <w:rFonts w:asciiTheme="minorHAnsi" w:hAnsiTheme="minorHAnsi"/>
                <w:bCs/>
              </w:rPr>
              <w:t>.</w:t>
            </w:r>
            <w:r w:rsidRPr="00573E4E">
              <w:rPr>
                <w:rFonts w:asciiTheme="minorHAnsi" w:hAnsiTheme="minorHAnsi"/>
                <w:bCs/>
              </w:rPr>
              <w:t>30-12</w:t>
            </w:r>
            <w:r w:rsidR="005A6090">
              <w:rPr>
                <w:rFonts w:asciiTheme="minorHAnsi" w:hAnsiTheme="minorHAnsi"/>
                <w:bCs/>
              </w:rPr>
              <w:t>.</w:t>
            </w:r>
            <w:r w:rsidRPr="00573E4E">
              <w:rPr>
                <w:rFonts w:asciiTheme="minorHAnsi" w:hAnsiTheme="minorHAnsi"/>
                <w:bCs/>
              </w:rPr>
              <w:t>30/14</w:t>
            </w:r>
            <w:r w:rsidR="005A6090">
              <w:rPr>
                <w:rFonts w:asciiTheme="minorHAnsi" w:hAnsiTheme="minorHAnsi"/>
                <w:bCs/>
              </w:rPr>
              <w:t>.</w:t>
            </w:r>
            <w:r w:rsidRPr="00573E4E">
              <w:rPr>
                <w:rFonts w:asciiTheme="minorHAnsi" w:hAnsiTheme="minorHAnsi"/>
                <w:bCs/>
              </w:rPr>
              <w:t>00-17</w:t>
            </w:r>
            <w:r w:rsidR="005A6090">
              <w:rPr>
                <w:rFonts w:asciiTheme="minorHAnsi" w:hAnsiTheme="minorHAnsi"/>
                <w:bCs/>
              </w:rPr>
              <w:t>.</w:t>
            </w:r>
            <w:r w:rsidRPr="00573E4E">
              <w:rPr>
                <w:rFonts w:asciiTheme="minorHAnsi" w:hAnsiTheme="minorHAnsi"/>
                <w:bCs/>
              </w:rPr>
              <w:t>00</w:t>
            </w:r>
          </w:p>
        </w:tc>
        <w:tc>
          <w:tcPr>
            <w:tcW w:w="4139" w:type="dxa"/>
          </w:tcPr>
          <w:p w14:paraId="31EBBAA3" w14:textId="3BB9EE4A" w:rsidR="00CC084D" w:rsidRPr="00573E4E" w:rsidRDefault="00CC084D" w:rsidP="00573E4E">
            <w:pPr>
              <w:spacing w:before="80" w:after="80" w:line="240" w:lineRule="auto"/>
              <w:jc w:val="center"/>
              <w:rPr>
                <w:lang w:val="es-ES"/>
              </w:rPr>
            </w:pPr>
            <w:r w:rsidRPr="00573E4E">
              <w:rPr>
                <w:b/>
                <w:bCs/>
                <w:lang w:val="es-ES"/>
              </w:rPr>
              <w:t>25-28 de octubre de 2022</w:t>
            </w:r>
            <w:r w:rsidRPr="00573E4E">
              <w:rPr>
                <w:b/>
                <w:bCs/>
                <w:lang w:val="es-ES"/>
              </w:rPr>
              <w:br/>
            </w:r>
            <w:r w:rsidRPr="00573E4E">
              <w:rPr>
                <w:lang w:val="es-ES"/>
              </w:rPr>
              <w:t>(véanse los horarios en los programas</w:t>
            </w:r>
            <w:r w:rsidR="00514E60">
              <w:rPr>
                <w:lang w:val="es-ES"/>
              </w:rPr>
              <w:t> </w:t>
            </w:r>
            <w:r w:rsidRPr="00573E4E">
              <w:rPr>
                <w:lang w:val="es-ES"/>
              </w:rPr>
              <w:t>de trabajo)</w:t>
            </w:r>
          </w:p>
        </w:tc>
      </w:tr>
      <w:tr w:rsidR="005A6090" w:rsidRPr="00B85727" w14:paraId="7685F48C" w14:textId="77777777" w:rsidTr="005A6090">
        <w:trPr>
          <w:jc w:val="center"/>
        </w:trPr>
        <w:tc>
          <w:tcPr>
            <w:tcW w:w="1814" w:type="dxa"/>
          </w:tcPr>
          <w:p w14:paraId="7FFB0638" w14:textId="4F65053C" w:rsidR="00CC084D" w:rsidRPr="00573E4E" w:rsidRDefault="00CC084D" w:rsidP="00573E4E">
            <w:pPr>
              <w:spacing w:before="80" w:after="80" w:line="240" w:lineRule="auto"/>
              <w:rPr>
                <w:b/>
                <w:bCs/>
              </w:rPr>
            </w:pPr>
            <w:proofErr w:type="spellStart"/>
            <w:r w:rsidRPr="00573E4E">
              <w:rPr>
                <w:b/>
                <w:bCs/>
              </w:rPr>
              <w:t>Participación</w:t>
            </w:r>
            <w:proofErr w:type="spellEnd"/>
          </w:p>
        </w:tc>
        <w:tc>
          <w:tcPr>
            <w:tcW w:w="3685" w:type="dxa"/>
          </w:tcPr>
          <w:p w14:paraId="5C2AA055" w14:textId="5F5FBA02" w:rsidR="00CC084D" w:rsidRPr="00573E4E" w:rsidRDefault="00CC084D" w:rsidP="00573E4E">
            <w:pPr>
              <w:spacing w:before="80" w:after="80" w:line="240" w:lineRule="auto"/>
              <w:jc w:val="center"/>
              <w:rPr>
                <w:b/>
                <w:bCs/>
              </w:rPr>
            </w:pPr>
            <w:proofErr w:type="spellStart"/>
            <w:r w:rsidRPr="00573E4E">
              <w:rPr>
                <w:b/>
                <w:bCs/>
              </w:rPr>
              <w:t>Abierta</w:t>
            </w:r>
            <w:proofErr w:type="spellEnd"/>
            <w:r w:rsidRPr="00573E4E">
              <w:rPr>
                <w:b/>
                <w:bCs/>
              </w:rPr>
              <w:t xml:space="preserve"> al </w:t>
            </w:r>
            <w:proofErr w:type="spellStart"/>
            <w:r w:rsidRPr="00573E4E">
              <w:rPr>
                <w:b/>
                <w:bCs/>
              </w:rPr>
              <w:t>público</w:t>
            </w:r>
            <w:proofErr w:type="spellEnd"/>
            <w:r w:rsidRPr="00514E60">
              <w:rPr>
                <w:vertAlign w:val="superscript"/>
              </w:rPr>
              <w:footnoteReference w:id="1"/>
            </w:r>
          </w:p>
        </w:tc>
        <w:tc>
          <w:tcPr>
            <w:tcW w:w="4139" w:type="dxa"/>
          </w:tcPr>
          <w:p w14:paraId="6A55BECF" w14:textId="729BEC09" w:rsidR="00CC084D" w:rsidRPr="00514E60" w:rsidRDefault="00CC084D" w:rsidP="00573E4E">
            <w:pPr>
              <w:spacing w:before="80" w:after="80" w:line="240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514E60">
              <w:rPr>
                <w:b/>
                <w:bCs/>
                <w:color w:val="000000" w:themeColor="text1"/>
                <w:lang w:val="es-ES"/>
              </w:rPr>
              <w:t xml:space="preserve">Sólo para representantes de los Estados Miembros y las Instituciones Académicas de la UIT y para los Asociados y Miembros del Sector UIT-R </w:t>
            </w:r>
          </w:p>
        </w:tc>
      </w:tr>
      <w:tr w:rsidR="005A6090" w:rsidRPr="00573E4E" w14:paraId="235FE123" w14:textId="77777777" w:rsidTr="005A6090">
        <w:trPr>
          <w:jc w:val="center"/>
        </w:trPr>
        <w:tc>
          <w:tcPr>
            <w:tcW w:w="1814" w:type="dxa"/>
          </w:tcPr>
          <w:p w14:paraId="0C03878A" w14:textId="62BB08F5" w:rsidR="00CC084D" w:rsidRPr="00573E4E" w:rsidRDefault="00CC084D" w:rsidP="00573E4E">
            <w:pPr>
              <w:spacing w:before="80" w:after="80" w:line="240" w:lineRule="auto"/>
              <w:rPr>
                <w:b/>
                <w:bCs/>
              </w:rPr>
            </w:pPr>
            <w:proofErr w:type="spellStart"/>
            <w:r w:rsidRPr="00573E4E">
              <w:rPr>
                <w:b/>
                <w:bCs/>
              </w:rPr>
              <w:t>Formato</w:t>
            </w:r>
            <w:proofErr w:type="spellEnd"/>
          </w:p>
        </w:tc>
        <w:tc>
          <w:tcPr>
            <w:tcW w:w="3685" w:type="dxa"/>
          </w:tcPr>
          <w:p w14:paraId="7E73632A" w14:textId="7E973271" w:rsidR="00CC084D" w:rsidRPr="00573E4E" w:rsidRDefault="00A428BF" w:rsidP="00573E4E">
            <w:pPr>
              <w:spacing w:before="80" w:after="80" w:line="240" w:lineRule="auto"/>
              <w:jc w:val="center"/>
              <w:rPr>
                <w:lang w:val="es-ES"/>
              </w:rPr>
            </w:pPr>
            <w:r w:rsidRPr="00573E4E">
              <w:rPr>
                <w:lang w:val="es-ES"/>
              </w:rPr>
              <w:t>Presencial con posibilidad de participación a distancia</w:t>
            </w:r>
          </w:p>
        </w:tc>
        <w:tc>
          <w:tcPr>
            <w:tcW w:w="4139" w:type="dxa"/>
          </w:tcPr>
          <w:p w14:paraId="2BB03EA4" w14:textId="77E6076E" w:rsidR="00CC084D" w:rsidRPr="00573E4E" w:rsidRDefault="00A428BF" w:rsidP="00573E4E">
            <w:pPr>
              <w:spacing w:before="80" w:after="80" w:line="240" w:lineRule="auto"/>
              <w:jc w:val="center"/>
            </w:pPr>
            <w:r w:rsidRPr="00573E4E">
              <w:t xml:space="preserve">Solo </w:t>
            </w:r>
            <w:proofErr w:type="spellStart"/>
            <w:r w:rsidRPr="00573E4E">
              <w:t>presencial</w:t>
            </w:r>
            <w:proofErr w:type="spellEnd"/>
          </w:p>
        </w:tc>
      </w:tr>
      <w:tr w:rsidR="005A6090" w:rsidRPr="00B85727" w14:paraId="7DAD2336" w14:textId="77777777" w:rsidTr="005A6090">
        <w:trPr>
          <w:jc w:val="center"/>
        </w:trPr>
        <w:tc>
          <w:tcPr>
            <w:tcW w:w="1814" w:type="dxa"/>
          </w:tcPr>
          <w:p w14:paraId="304CC11A" w14:textId="5E19067B" w:rsidR="00CC084D" w:rsidRPr="00573E4E" w:rsidRDefault="00A428BF" w:rsidP="00573E4E">
            <w:pPr>
              <w:spacing w:before="80" w:after="80" w:line="240" w:lineRule="auto"/>
              <w:rPr>
                <w:b/>
                <w:bCs/>
              </w:rPr>
            </w:pPr>
            <w:proofErr w:type="spellStart"/>
            <w:r w:rsidRPr="00573E4E">
              <w:rPr>
                <w:b/>
                <w:bCs/>
              </w:rPr>
              <w:t>Becas</w:t>
            </w:r>
            <w:proofErr w:type="spellEnd"/>
          </w:p>
        </w:tc>
        <w:tc>
          <w:tcPr>
            <w:tcW w:w="7824" w:type="dxa"/>
            <w:gridSpan w:val="2"/>
          </w:tcPr>
          <w:p w14:paraId="0B98BD91" w14:textId="62102F4F" w:rsidR="00CC084D" w:rsidRPr="00573E4E" w:rsidRDefault="00A428BF" w:rsidP="005A6090">
            <w:pPr>
              <w:spacing w:before="80" w:after="80" w:line="240" w:lineRule="auto"/>
              <w:ind w:left="-113" w:right="-113"/>
              <w:jc w:val="center"/>
              <w:rPr>
                <w:lang w:val="es-ES"/>
              </w:rPr>
            </w:pPr>
            <w:r w:rsidRPr="00573E4E">
              <w:rPr>
                <w:lang w:val="es-ES"/>
              </w:rPr>
              <w:t>A disposición de los representantes de los Estados Miembros</w:t>
            </w:r>
            <w:r w:rsidR="005A6090">
              <w:rPr>
                <w:lang w:val="es-ES"/>
              </w:rPr>
              <w:br/>
            </w:r>
            <w:r w:rsidRPr="00573E4E">
              <w:rPr>
                <w:lang w:val="es-ES"/>
              </w:rPr>
              <w:t>que cumplan las con</w:t>
            </w:r>
            <w:r w:rsidR="005A6090">
              <w:rPr>
                <w:lang w:val="es-ES"/>
              </w:rPr>
              <w:t>d</w:t>
            </w:r>
            <w:r w:rsidRPr="00573E4E">
              <w:rPr>
                <w:lang w:val="es-ES"/>
              </w:rPr>
              <w:t>i</w:t>
            </w:r>
            <w:r w:rsidR="005A6090">
              <w:rPr>
                <w:lang w:val="es-ES"/>
              </w:rPr>
              <w:t>ci</w:t>
            </w:r>
            <w:r w:rsidRPr="00573E4E">
              <w:rPr>
                <w:lang w:val="es-ES"/>
              </w:rPr>
              <w:t>ones</w:t>
            </w:r>
            <w:r w:rsidR="00CC084D" w:rsidRPr="00573E4E">
              <w:rPr>
                <w:lang w:val="es-ES"/>
              </w:rPr>
              <w:t xml:space="preserve"> </w:t>
            </w:r>
            <w:r w:rsidR="00CC084D" w:rsidRPr="00573E4E">
              <w:rPr>
                <w:lang w:val="es-ES"/>
              </w:rPr>
              <w:br/>
              <w:t>(</w:t>
            </w:r>
            <w:r w:rsidRPr="00573E4E">
              <w:rPr>
                <w:lang w:val="es-ES"/>
              </w:rPr>
              <w:t>véase</w:t>
            </w:r>
            <w:r w:rsidR="00CC084D" w:rsidRPr="00573E4E">
              <w:rPr>
                <w:lang w:val="es-ES"/>
              </w:rPr>
              <w:t xml:space="preserve"> </w:t>
            </w:r>
            <w:hyperlink r:id="rId14" w:history="1">
              <w:r w:rsidR="00CC084D" w:rsidRPr="005A6090">
                <w:rPr>
                  <w:rStyle w:val="Hyperlink"/>
                  <w:sz w:val="22"/>
                  <w:lang w:val="es-ES"/>
                </w:rPr>
                <w:t>https://www.itu.int/en/ITU-R/information/events/Pages/Fellowships.aspx</w:t>
              </w:r>
            </w:hyperlink>
            <w:r w:rsidR="00CC084D" w:rsidRPr="00573E4E">
              <w:rPr>
                <w:lang w:val="es-ES"/>
              </w:rPr>
              <w:t>)</w:t>
            </w:r>
          </w:p>
        </w:tc>
      </w:tr>
      <w:tr w:rsidR="00CC084D" w:rsidRPr="00B85727" w14:paraId="18C5A2B6" w14:textId="77777777" w:rsidTr="005A6090">
        <w:trPr>
          <w:jc w:val="center"/>
        </w:trPr>
        <w:tc>
          <w:tcPr>
            <w:tcW w:w="1814" w:type="dxa"/>
          </w:tcPr>
          <w:p w14:paraId="762CD004" w14:textId="1D3E9537" w:rsidR="00CC084D" w:rsidRPr="00573E4E" w:rsidRDefault="00A428BF" w:rsidP="00573E4E">
            <w:pPr>
              <w:spacing w:before="80" w:after="80" w:line="240" w:lineRule="auto"/>
              <w:rPr>
                <w:b/>
                <w:bCs/>
              </w:rPr>
            </w:pPr>
            <w:proofErr w:type="spellStart"/>
            <w:r w:rsidRPr="00573E4E">
              <w:rPr>
                <w:b/>
                <w:bCs/>
              </w:rPr>
              <w:t>Idioma</w:t>
            </w:r>
            <w:proofErr w:type="spellEnd"/>
            <w:r w:rsidRPr="00573E4E">
              <w:rPr>
                <w:b/>
                <w:bCs/>
              </w:rPr>
              <w:t>(s)</w:t>
            </w:r>
          </w:p>
        </w:tc>
        <w:tc>
          <w:tcPr>
            <w:tcW w:w="3685" w:type="dxa"/>
          </w:tcPr>
          <w:p w14:paraId="30351DF8" w14:textId="7CD0564F" w:rsidR="00CC084D" w:rsidRPr="00573E4E" w:rsidRDefault="00A428BF" w:rsidP="00573E4E">
            <w:pPr>
              <w:spacing w:before="80" w:after="80" w:line="240" w:lineRule="auto"/>
              <w:jc w:val="center"/>
            </w:pPr>
            <w:proofErr w:type="spellStart"/>
            <w:r w:rsidRPr="00573E4E">
              <w:t>Interpretación</w:t>
            </w:r>
            <w:proofErr w:type="spellEnd"/>
            <w:r w:rsidRPr="00573E4E">
              <w:t xml:space="preserve"> en los 6 </w:t>
            </w:r>
            <w:proofErr w:type="spellStart"/>
            <w:r w:rsidRPr="00573E4E">
              <w:t>idiomas</w:t>
            </w:r>
            <w:proofErr w:type="spellEnd"/>
          </w:p>
        </w:tc>
        <w:tc>
          <w:tcPr>
            <w:tcW w:w="4139" w:type="dxa"/>
          </w:tcPr>
          <w:p w14:paraId="00CB77F5" w14:textId="6A6079B4" w:rsidR="00CC084D" w:rsidRPr="00573E4E" w:rsidRDefault="00A428BF" w:rsidP="00573E4E">
            <w:pPr>
              <w:spacing w:before="80" w:after="80" w:line="240" w:lineRule="auto"/>
              <w:jc w:val="center"/>
              <w:rPr>
                <w:lang w:val="es-ES"/>
              </w:rPr>
            </w:pPr>
            <w:r w:rsidRPr="00573E4E">
              <w:rPr>
                <w:lang w:val="es-ES"/>
              </w:rPr>
              <w:t>Inglés o francés</w:t>
            </w:r>
            <w:r w:rsidR="00514E60">
              <w:rPr>
                <w:lang w:val="es-ES"/>
              </w:rPr>
              <w:br/>
            </w:r>
            <w:r w:rsidRPr="00573E4E">
              <w:rPr>
                <w:lang w:val="es-ES"/>
              </w:rPr>
              <w:t>(sin interpretación)</w:t>
            </w:r>
          </w:p>
        </w:tc>
      </w:tr>
      <w:tr w:rsidR="00CC084D" w:rsidRPr="00573E4E" w14:paraId="7E1FB29D" w14:textId="77777777" w:rsidTr="005A6090">
        <w:trPr>
          <w:jc w:val="center"/>
        </w:trPr>
        <w:tc>
          <w:tcPr>
            <w:tcW w:w="1814" w:type="dxa"/>
          </w:tcPr>
          <w:p w14:paraId="70FFD624" w14:textId="4C4F16BA" w:rsidR="00CC084D" w:rsidRPr="00573E4E" w:rsidRDefault="00A428BF" w:rsidP="00573E4E">
            <w:pPr>
              <w:spacing w:before="80" w:after="80" w:line="240" w:lineRule="auto"/>
              <w:rPr>
                <w:b/>
                <w:bCs/>
              </w:rPr>
            </w:pPr>
            <w:proofErr w:type="spellStart"/>
            <w:r w:rsidRPr="00573E4E">
              <w:rPr>
                <w:b/>
                <w:bCs/>
              </w:rPr>
              <w:t>Difusión</w:t>
            </w:r>
            <w:proofErr w:type="spellEnd"/>
            <w:r w:rsidRPr="00573E4E">
              <w:rPr>
                <w:b/>
                <w:bCs/>
              </w:rPr>
              <w:t xml:space="preserve"> web</w:t>
            </w:r>
          </w:p>
        </w:tc>
        <w:tc>
          <w:tcPr>
            <w:tcW w:w="3685" w:type="dxa"/>
          </w:tcPr>
          <w:p w14:paraId="21C706FF" w14:textId="68D45D46" w:rsidR="00CC084D" w:rsidRPr="00573E4E" w:rsidRDefault="00A428BF" w:rsidP="00573E4E">
            <w:pPr>
              <w:spacing w:before="80" w:after="80" w:line="240" w:lineRule="auto"/>
              <w:jc w:val="center"/>
              <w:rPr>
                <w:lang w:val="es-ES"/>
              </w:rPr>
            </w:pPr>
            <w:r w:rsidRPr="00573E4E">
              <w:rPr>
                <w:lang w:val="es-ES"/>
              </w:rPr>
              <w:t>En 6 idiomas</w:t>
            </w:r>
            <w:r w:rsidR="005A6090">
              <w:rPr>
                <w:lang w:val="es-ES"/>
              </w:rPr>
              <w:br/>
            </w:r>
            <w:r w:rsidRPr="00573E4E">
              <w:rPr>
                <w:lang w:val="es-ES"/>
              </w:rPr>
              <w:t>(inscripción no obligatoria)</w:t>
            </w:r>
          </w:p>
        </w:tc>
        <w:tc>
          <w:tcPr>
            <w:tcW w:w="4139" w:type="dxa"/>
          </w:tcPr>
          <w:p w14:paraId="6B6433AF" w14:textId="51730553" w:rsidR="00CC084D" w:rsidRPr="00573E4E" w:rsidRDefault="00A428BF" w:rsidP="00573E4E">
            <w:pPr>
              <w:spacing w:before="80" w:after="80" w:line="240" w:lineRule="auto"/>
              <w:jc w:val="center"/>
            </w:pPr>
            <w:proofErr w:type="spellStart"/>
            <w:r w:rsidRPr="00573E4E">
              <w:t>Ninguna</w:t>
            </w:r>
            <w:proofErr w:type="spellEnd"/>
          </w:p>
        </w:tc>
      </w:tr>
    </w:tbl>
    <w:p w14:paraId="21141C8F" w14:textId="77777777" w:rsidR="00CC084D" w:rsidRPr="00573E4E" w:rsidRDefault="00CC084D" w:rsidP="00573E4E">
      <w:pPr>
        <w:spacing w:line="240" w:lineRule="auto"/>
        <w:rPr>
          <w:szCs w:val="24"/>
        </w:rPr>
      </w:pPr>
    </w:p>
    <w:p w14:paraId="1B98669A" w14:textId="6E4DA1F5" w:rsidR="00822567" w:rsidRDefault="00822567" w:rsidP="00573E4E">
      <w:pPr>
        <w:spacing w:line="240" w:lineRule="auto"/>
        <w:rPr>
          <w:szCs w:val="24"/>
        </w:rPr>
      </w:pPr>
      <w:r>
        <w:rPr>
          <w:szCs w:val="24"/>
        </w:rPr>
        <w:br w:type="page"/>
      </w:r>
    </w:p>
    <w:p w14:paraId="334B2539" w14:textId="77777777" w:rsidR="00CC084D" w:rsidRPr="00573E4E" w:rsidRDefault="00CC084D" w:rsidP="00573E4E">
      <w:pPr>
        <w:spacing w:line="240" w:lineRule="auto"/>
        <w:rPr>
          <w:szCs w:val="24"/>
        </w:rPr>
      </w:pPr>
    </w:p>
    <w:p w14:paraId="40A4F4D1" w14:textId="718582A0" w:rsidR="00CC084D" w:rsidRPr="00573E4E" w:rsidRDefault="00A428BF" w:rsidP="005A6090">
      <w:pPr>
        <w:keepNext/>
        <w:spacing w:line="240" w:lineRule="auto"/>
        <w:jc w:val="center"/>
        <w:rPr>
          <w:b/>
          <w:bCs/>
          <w:szCs w:val="24"/>
        </w:rPr>
      </w:pPr>
      <w:proofErr w:type="spellStart"/>
      <w:r w:rsidRPr="00573E4E">
        <w:rPr>
          <w:b/>
          <w:bCs/>
          <w:szCs w:val="24"/>
        </w:rPr>
        <w:t>Inscripción</w:t>
      </w:r>
      <w:proofErr w:type="spellEnd"/>
      <w:r w:rsidRPr="00573E4E">
        <w:rPr>
          <w:b/>
          <w:bCs/>
          <w:szCs w:val="24"/>
        </w:rPr>
        <w:t xml:space="preserve"> al SMR</w:t>
      </w:r>
      <w:r w:rsidR="00CC084D" w:rsidRPr="00573E4E">
        <w:rPr>
          <w:b/>
          <w:bCs/>
          <w:szCs w:val="24"/>
        </w:rPr>
        <w:t>-22</w:t>
      </w:r>
    </w:p>
    <w:p w14:paraId="1350CBB9" w14:textId="77777777" w:rsidR="00CC084D" w:rsidRPr="00573E4E" w:rsidRDefault="00CC084D" w:rsidP="005A6090">
      <w:pPr>
        <w:keepNext/>
        <w:spacing w:before="0" w:line="240" w:lineRule="auto"/>
        <w:rPr>
          <w:szCs w:val="24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4252"/>
      </w:tblGrid>
      <w:tr w:rsidR="00CC084D" w:rsidRPr="00B85727" w14:paraId="3D785BCA" w14:textId="77777777" w:rsidTr="007B6838">
        <w:tc>
          <w:tcPr>
            <w:tcW w:w="2268" w:type="dxa"/>
            <w:shd w:val="clear" w:color="auto" w:fill="D9D9D9" w:themeFill="background1" w:themeFillShade="D9"/>
          </w:tcPr>
          <w:p w14:paraId="1DA42ADC" w14:textId="77777777" w:rsidR="00CC084D" w:rsidRPr="00573E4E" w:rsidRDefault="00CC084D" w:rsidP="005A6090">
            <w:pPr>
              <w:keepNext/>
              <w:keepLines/>
              <w:spacing w:before="60" w:after="60"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E0D0BAB" w14:textId="74ADAD6F" w:rsidR="00CC084D" w:rsidRPr="00573E4E" w:rsidRDefault="00A428BF" w:rsidP="007B6838">
            <w:pPr>
              <w:keepNext/>
              <w:keepLines/>
              <w:spacing w:before="60" w:after="6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573E4E">
              <w:rPr>
                <w:rFonts w:asciiTheme="minorHAnsi" w:hAnsiTheme="minorHAnsi"/>
                <w:b/>
                <w:bCs/>
              </w:rPr>
              <w:t>Inscripción</w:t>
            </w:r>
            <w:proofErr w:type="spellEnd"/>
            <w:r w:rsidRPr="00573E4E">
              <w:rPr>
                <w:rFonts w:asciiTheme="minorHAnsi" w:hAnsiTheme="minorHAnsi"/>
                <w:b/>
                <w:bCs/>
              </w:rPr>
              <w:t xml:space="preserve"> para el </w:t>
            </w:r>
            <w:proofErr w:type="spellStart"/>
            <w:r w:rsidRPr="00573E4E">
              <w:rPr>
                <w:rFonts w:asciiTheme="minorHAnsi" w:hAnsiTheme="minorHAnsi"/>
                <w:b/>
                <w:bCs/>
              </w:rPr>
              <w:t>público</w:t>
            </w:r>
            <w:proofErr w:type="spellEnd"/>
          </w:p>
        </w:tc>
        <w:tc>
          <w:tcPr>
            <w:tcW w:w="4252" w:type="dxa"/>
            <w:shd w:val="clear" w:color="auto" w:fill="D9D9D9" w:themeFill="background1" w:themeFillShade="D9"/>
          </w:tcPr>
          <w:p w14:paraId="15857F7B" w14:textId="6A8F07DB" w:rsidR="00CC084D" w:rsidRPr="00514E60" w:rsidRDefault="00A428BF" w:rsidP="005A6090">
            <w:pPr>
              <w:keepNext/>
              <w:keepLines/>
              <w:spacing w:before="60" w:after="60" w:line="240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 w:rsidRPr="00514E60">
              <w:rPr>
                <w:rFonts w:asciiTheme="minorHAnsi" w:hAnsiTheme="minorHAnsi"/>
                <w:b/>
                <w:bCs/>
                <w:color w:val="000000" w:themeColor="text1"/>
                <w:lang w:val="es-ES"/>
              </w:rPr>
              <w:t xml:space="preserve">Inscripción </w:t>
            </w:r>
            <w:r w:rsidRPr="00514E60">
              <w:rPr>
                <w:b/>
                <w:bCs/>
                <w:color w:val="000000" w:themeColor="text1"/>
                <w:lang w:val="es-ES"/>
              </w:rPr>
              <w:t>para representantes de los Estados Miembros y las Instituciones Académicas de la UIT y para los Asociados y Miembros del Sector UIT-R</w:t>
            </w:r>
          </w:p>
        </w:tc>
      </w:tr>
      <w:tr w:rsidR="00CC084D" w:rsidRPr="00B85727" w14:paraId="16B6559C" w14:textId="77777777" w:rsidTr="00514E60">
        <w:tc>
          <w:tcPr>
            <w:tcW w:w="2268" w:type="dxa"/>
          </w:tcPr>
          <w:p w14:paraId="4D662082" w14:textId="6D1C76FD" w:rsidR="00CC084D" w:rsidRPr="00573E4E" w:rsidRDefault="00A428BF" w:rsidP="005A6090">
            <w:pPr>
              <w:keepNext/>
              <w:keepLines/>
              <w:spacing w:before="60" w:after="6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proofErr w:type="spellStart"/>
            <w:r w:rsidRPr="00573E4E">
              <w:rPr>
                <w:rFonts w:asciiTheme="minorHAnsi" w:hAnsiTheme="minorHAnsi"/>
                <w:b/>
                <w:bCs/>
              </w:rPr>
              <w:t>Sesiones</w:t>
            </w:r>
            <w:proofErr w:type="spellEnd"/>
            <w:r w:rsidRPr="00573E4E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573E4E">
              <w:rPr>
                <w:rFonts w:asciiTheme="minorHAnsi" w:hAnsiTheme="minorHAnsi"/>
                <w:b/>
                <w:bCs/>
              </w:rPr>
              <w:t>disponibles</w:t>
            </w:r>
            <w:proofErr w:type="spellEnd"/>
          </w:p>
        </w:tc>
        <w:tc>
          <w:tcPr>
            <w:tcW w:w="3119" w:type="dxa"/>
          </w:tcPr>
          <w:p w14:paraId="61FA0A0B" w14:textId="5EBA3EFD" w:rsidR="00CC084D" w:rsidRPr="00573E4E" w:rsidRDefault="00A428BF" w:rsidP="005A6090">
            <w:pPr>
              <w:keepNext/>
              <w:keepLines/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73E4E">
              <w:rPr>
                <w:rFonts w:asciiTheme="minorHAnsi" w:hAnsiTheme="minorHAnsi"/>
              </w:rPr>
              <w:t>Sólo</w:t>
            </w:r>
            <w:proofErr w:type="spellEnd"/>
            <w:r w:rsidRPr="00573E4E">
              <w:rPr>
                <w:rFonts w:asciiTheme="minorHAnsi" w:hAnsiTheme="minorHAnsi"/>
              </w:rPr>
              <w:t xml:space="preserve"> las </w:t>
            </w:r>
            <w:proofErr w:type="spellStart"/>
            <w:r w:rsidRPr="00573E4E">
              <w:rPr>
                <w:rFonts w:asciiTheme="minorHAnsi" w:hAnsiTheme="minorHAnsi"/>
              </w:rPr>
              <w:t>Sesiones</w:t>
            </w:r>
            <w:proofErr w:type="spellEnd"/>
            <w:r w:rsidRPr="00573E4E">
              <w:rPr>
                <w:rFonts w:asciiTheme="minorHAnsi" w:hAnsiTheme="minorHAnsi"/>
              </w:rPr>
              <w:t xml:space="preserve"> </w:t>
            </w:r>
            <w:proofErr w:type="spellStart"/>
            <w:r w:rsidRPr="00573E4E">
              <w:rPr>
                <w:rFonts w:asciiTheme="minorHAnsi" w:hAnsiTheme="minorHAnsi"/>
              </w:rPr>
              <w:t>Plenarias</w:t>
            </w:r>
            <w:proofErr w:type="spellEnd"/>
          </w:p>
        </w:tc>
        <w:tc>
          <w:tcPr>
            <w:tcW w:w="4252" w:type="dxa"/>
          </w:tcPr>
          <w:p w14:paraId="50603AA3" w14:textId="1C65DCFF" w:rsidR="00CC084D" w:rsidRPr="00573E4E" w:rsidRDefault="00A428BF" w:rsidP="005A6090">
            <w:pPr>
              <w:keepNext/>
              <w:keepLines/>
              <w:spacing w:before="60" w:after="60" w:line="240" w:lineRule="auto"/>
              <w:jc w:val="center"/>
              <w:rPr>
                <w:rFonts w:asciiTheme="minorHAnsi" w:hAnsiTheme="minorHAnsi"/>
                <w:lang w:val="es-ES"/>
              </w:rPr>
            </w:pPr>
            <w:r w:rsidRPr="00573E4E">
              <w:rPr>
                <w:rFonts w:asciiTheme="minorHAnsi" w:hAnsiTheme="minorHAnsi"/>
                <w:lang w:val="es-ES"/>
              </w:rPr>
              <w:t>Todas las sesiones:</w:t>
            </w:r>
            <w:r w:rsidR="00D754DB">
              <w:rPr>
                <w:rFonts w:asciiTheme="minorHAnsi" w:hAnsiTheme="minorHAnsi"/>
                <w:lang w:val="es-ES"/>
              </w:rPr>
              <w:br/>
            </w:r>
            <w:r w:rsidRPr="00573E4E">
              <w:rPr>
                <w:rFonts w:asciiTheme="minorHAnsi" w:hAnsiTheme="minorHAnsi"/>
                <w:lang w:val="es-ES"/>
              </w:rPr>
              <w:t>Plenarias, taller terrenal y taller espacial</w:t>
            </w:r>
          </w:p>
        </w:tc>
      </w:tr>
      <w:tr w:rsidR="00CC084D" w:rsidRPr="00573E4E" w14:paraId="50E3D206" w14:textId="77777777" w:rsidTr="00514E60">
        <w:tc>
          <w:tcPr>
            <w:tcW w:w="2268" w:type="dxa"/>
          </w:tcPr>
          <w:p w14:paraId="6BFF05B4" w14:textId="777D5C9C" w:rsidR="00CC084D" w:rsidRPr="00573E4E" w:rsidRDefault="00A428BF" w:rsidP="00514E60">
            <w:pPr>
              <w:keepNext/>
              <w:keepLines/>
              <w:spacing w:before="60" w:after="6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proofErr w:type="spellStart"/>
            <w:r w:rsidRPr="00573E4E">
              <w:rPr>
                <w:rFonts w:asciiTheme="minorHAnsi" w:hAnsiTheme="minorHAnsi"/>
                <w:b/>
                <w:bCs/>
              </w:rPr>
              <w:t>Aprobación</w:t>
            </w:r>
            <w:proofErr w:type="spellEnd"/>
          </w:p>
        </w:tc>
        <w:tc>
          <w:tcPr>
            <w:tcW w:w="3119" w:type="dxa"/>
          </w:tcPr>
          <w:p w14:paraId="318AC7E6" w14:textId="45292EDC" w:rsidR="00CC084D" w:rsidRPr="00573E4E" w:rsidRDefault="00A428BF" w:rsidP="00514E60">
            <w:pPr>
              <w:keepNext/>
              <w:keepLines/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r w:rsidRPr="00573E4E">
              <w:rPr>
                <w:rFonts w:asciiTheme="minorHAnsi" w:hAnsiTheme="minorHAnsi"/>
              </w:rPr>
              <w:t xml:space="preserve">No es </w:t>
            </w:r>
            <w:proofErr w:type="spellStart"/>
            <w:r w:rsidRPr="00573E4E">
              <w:rPr>
                <w:rFonts w:asciiTheme="minorHAnsi" w:hAnsiTheme="minorHAnsi"/>
              </w:rPr>
              <w:t>necesaria</w:t>
            </w:r>
            <w:proofErr w:type="spellEnd"/>
          </w:p>
        </w:tc>
        <w:tc>
          <w:tcPr>
            <w:tcW w:w="4252" w:type="dxa"/>
          </w:tcPr>
          <w:p w14:paraId="34237F9F" w14:textId="59445D46" w:rsidR="00CC084D" w:rsidRPr="00573E4E" w:rsidRDefault="00A428BF" w:rsidP="00514E60">
            <w:pPr>
              <w:keepNext/>
              <w:keepLines/>
              <w:spacing w:before="60" w:after="6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73E4E">
              <w:rPr>
                <w:rFonts w:asciiTheme="minorHAnsi" w:hAnsiTheme="minorHAnsi"/>
              </w:rPr>
              <w:t>Aprobación</w:t>
            </w:r>
            <w:proofErr w:type="spellEnd"/>
            <w:r w:rsidRPr="00573E4E">
              <w:rPr>
                <w:rFonts w:asciiTheme="minorHAnsi" w:hAnsiTheme="minorHAnsi"/>
              </w:rPr>
              <w:t xml:space="preserve"> del </w:t>
            </w:r>
            <w:proofErr w:type="spellStart"/>
            <w:r w:rsidRPr="00573E4E">
              <w:rPr>
                <w:rFonts w:asciiTheme="minorHAnsi" w:hAnsiTheme="minorHAnsi"/>
              </w:rPr>
              <w:t>coordinador</w:t>
            </w:r>
            <w:proofErr w:type="spellEnd"/>
            <w:r w:rsidRPr="00573E4E">
              <w:rPr>
                <w:rFonts w:asciiTheme="minorHAnsi" w:hAnsiTheme="minorHAnsi"/>
              </w:rPr>
              <w:t xml:space="preserve"> </w:t>
            </w:r>
            <w:proofErr w:type="spellStart"/>
            <w:r w:rsidRPr="00573E4E">
              <w:rPr>
                <w:rFonts w:asciiTheme="minorHAnsi" w:hAnsiTheme="minorHAnsi"/>
              </w:rPr>
              <w:t>necesaria</w:t>
            </w:r>
            <w:proofErr w:type="spellEnd"/>
          </w:p>
        </w:tc>
      </w:tr>
      <w:tr w:rsidR="00CC084D" w:rsidRPr="00573E4E" w14:paraId="216F8E70" w14:textId="77777777" w:rsidTr="00514E60">
        <w:tc>
          <w:tcPr>
            <w:tcW w:w="2268" w:type="dxa"/>
          </w:tcPr>
          <w:p w14:paraId="4EFD1329" w14:textId="347AB0A8" w:rsidR="00CC084D" w:rsidRPr="00573E4E" w:rsidRDefault="00A428BF" w:rsidP="00573E4E">
            <w:pPr>
              <w:spacing w:before="60" w:after="6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proofErr w:type="spellStart"/>
            <w:r w:rsidRPr="00573E4E">
              <w:rPr>
                <w:rFonts w:asciiTheme="minorHAnsi" w:hAnsiTheme="minorHAnsi"/>
                <w:b/>
                <w:bCs/>
              </w:rPr>
              <w:t>Formato</w:t>
            </w:r>
            <w:proofErr w:type="spellEnd"/>
            <w:r w:rsidRPr="00573E4E">
              <w:rPr>
                <w:rFonts w:asciiTheme="minorHAnsi" w:hAnsiTheme="minorHAnsi"/>
                <w:b/>
                <w:bCs/>
              </w:rPr>
              <w:t xml:space="preserve"> de </w:t>
            </w:r>
            <w:proofErr w:type="spellStart"/>
            <w:r w:rsidRPr="00573E4E">
              <w:rPr>
                <w:rFonts w:asciiTheme="minorHAnsi" w:hAnsiTheme="minorHAnsi"/>
                <w:b/>
                <w:bCs/>
              </w:rPr>
              <w:t>asistenci</w:t>
            </w:r>
            <w:proofErr w:type="spellEnd"/>
          </w:p>
        </w:tc>
        <w:tc>
          <w:tcPr>
            <w:tcW w:w="3119" w:type="dxa"/>
          </w:tcPr>
          <w:p w14:paraId="5DD4E3B6" w14:textId="1FD0B3F1" w:rsidR="00CC084D" w:rsidRPr="00573E4E" w:rsidRDefault="00A428BF" w:rsidP="00573E4E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573E4E">
              <w:rPr>
                <w:rFonts w:asciiTheme="minorHAnsi" w:hAnsiTheme="minorHAnsi"/>
                <w:b/>
                <w:bCs/>
              </w:rPr>
              <w:t>Sólo</w:t>
            </w:r>
            <w:proofErr w:type="spellEnd"/>
            <w:r w:rsidRPr="00573E4E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573E4E">
              <w:rPr>
                <w:rFonts w:asciiTheme="minorHAnsi" w:hAnsiTheme="minorHAnsi"/>
                <w:b/>
                <w:bCs/>
              </w:rPr>
              <w:t>participación</w:t>
            </w:r>
            <w:proofErr w:type="spellEnd"/>
            <w:r w:rsidRPr="00573E4E">
              <w:rPr>
                <w:rFonts w:asciiTheme="minorHAnsi" w:hAnsiTheme="minorHAnsi"/>
                <w:b/>
                <w:bCs/>
              </w:rPr>
              <w:t xml:space="preserve"> a </w:t>
            </w:r>
            <w:proofErr w:type="spellStart"/>
            <w:r w:rsidRPr="00573E4E">
              <w:rPr>
                <w:rFonts w:asciiTheme="minorHAnsi" w:hAnsiTheme="minorHAnsi"/>
                <w:b/>
                <w:bCs/>
              </w:rPr>
              <w:t>distancia</w:t>
            </w:r>
            <w:proofErr w:type="spellEnd"/>
          </w:p>
        </w:tc>
        <w:tc>
          <w:tcPr>
            <w:tcW w:w="4252" w:type="dxa"/>
          </w:tcPr>
          <w:p w14:paraId="0A0BFC52" w14:textId="400D41C7" w:rsidR="00514E60" w:rsidRDefault="00A428BF" w:rsidP="00573E4E">
            <w:pPr>
              <w:spacing w:before="60" w:after="60" w:line="240" w:lineRule="auto"/>
              <w:jc w:val="center"/>
              <w:rPr>
                <w:rFonts w:asciiTheme="minorHAnsi" w:hAnsiTheme="minorHAnsi"/>
                <w:lang w:val="es-ES"/>
              </w:rPr>
            </w:pPr>
            <w:r w:rsidRPr="00573E4E">
              <w:rPr>
                <w:rFonts w:asciiTheme="minorHAnsi" w:hAnsiTheme="minorHAnsi"/>
                <w:b/>
                <w:bCs/>
                <w:lang w:val="es-ES"/>
              </w:rPr>
              <w:t>Sesiones Plenarias</w:t>
            </w:r>
            <w:r w:rsidR="00CC084D" w:rsidRPr="00573E4E">
              <w:rPr>
                <w:rFonts w:asciiTheme="minorHAnsi" w:hAnsiTheme="minorHAnsi"/>
                <w:b/>
                <w:bCs/>
                <w:lang w:val="es-ES"/>
              </w:rPr>
              <w:t>:</w:t>
            </w:r>
            <w:r w:rsidR="00514E60">
              <w:rPr>
                <w:rFonts w:asciiTheme="minorHAnsi" w:hAnsiTheme="minorHAnsi"/>
                <w:lang w:val="es-ES"/>
              </w:rPr>
              <w:br/>
            </w:r>
            <w:r w:rsidR="007B6838" w:rsidRPr="00573E4E">
              <w:rPr>
                <w:rFonts w:asciiTheme="minorHAnsi" w:hAnsiTheme="minorHAnsi"/>
                <w:lang w:val="es-ES"/>
              </w:rPr>
              <w:t>Participación</w:t>
            </w:r>
            <w:r w:rsidR="007B6838">
              <w:rPr>
                <w:rFonts w:asciiTheme="minorHAnsi" w:hAnsiTheme="minorHAnsi"/>
                <w:lang w:val="es-ES"/>
              </w:rPr>
              <w:t xml:space="preserve"> </w:t>
            </w:r>
            <w:r w:rsidRPr="00573E4E">
              <w:rPr>
                <w:rFonts w:asciiTheme="minorHAnsi" w:hAnsiTheme="minorHAnsi"/>
                <w:lang w:val="es-ES"/>
              </w:rPr>
              <w:t>a distancia y/o presencial</w:t>
            </w:r>
          </w:p>
          <w:p w14:paraId="4B309276" w14:textId="6217C82B" w:rsidR="00CC084D" w:rsidRPr="00573E4E" w:rsidRDefault="00A428BF" w:rsidP="00573E4E">
            <w:pPr>
              <w:spacing w:before="60" w:after="60" w:line="240" w:lineRule="auto"/>
              <w:jc w:val="center"/>
              <w:rPr>
                <w:rFonts w:asciiTheme="minorHAnsi" w:hAnsiTheme="minorHAnsi"/>
                <w:lang w:val="es-ES"/>
              </w:rPr>
            </w:pPr>
            <w:r w:rsidRPr="00573E4E">
              <w:rPr>
                <w:rFonts w:asciiTheme="minorHAnsi" w:hAnsiTheme="minorHAnsi"/>
                <w:b/>
                <w:bCs/>
                <w:lang w:val="es-ES"/>
              </w:rPr>
              <w:t>Talleres</w:t>
            </w:r>
            <w:r w:rsidR="00CC084D" w:rsidRPr="00573E4E">
              <w:rPr>
                <w:rFonts w:asciiTheme="minorHAnsi" w:hAnsiTheme="minorHAnsi"/>
                <w:b/>
                <w:bCs/>
                <w:lang w:val="es-ES"/>
              </w:rPr>
              <w:t>:</w:t>
            </w:r>
            <w:r w:rsidR="00514E60">
              <w:rPr>
                <w:rFonts w:asciiTheme="minorHAnsi" w:hAnsiTheme="minorHAnsi"/>
                <w:lang w:val="es-ES"/>
              </w:rPr>
              <w:br/>
            </w:r>
            <w:r w:rsidR="007B6838" w:rsidRPr="00573E4E">
              <w:rPr>
                <w:rFonts w:asciiTheme="minorHAnsi" w:hAnsiTheme="minorHAnsi"/>
                <w:lang w:val="es-ES"/>
              </w:rPr>
              <w:t xml:space="preserve">Sólo </w:t>
            </w:r>
            <w:r w:rsidRPr="00573E4E">
              <w:rPr>
                <w:rFonts w:asciiTheme="minorHAnsi" w:hAnsiTheme="minorHAnsi"/>
                <w:lang w:val="es-ES"/>
              </w:rPr>
              <w:t>participación presencial</w:t>
            </w:r>
          </w:p>
        </w:tc>
      </w:tr>
      <w:tr w:rsidR="00CC084D" w:rsidRPr="00B85727" w14:paraId="5329A594" w14:textId="77777777" w:rsidTr="00514E60">
        <w:tc>
          <w:tcPr>
            <w:tcW w:w="2268" w:type="dxa"/>
          </w:tcPr>
          <w:p w14:paraId="4FB822CC" w14:textId="110A653A" w:rsidR="00CC084D" w:rsidRPr="00573E4E" w:rsidRDefault="00A428BF" w:rsidP="00573E4E">
            <w:pPr>
              <w:spacing w:before="60" w:after="60" w:line="240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573E4E">
              <w:rPr>
                <w:rFonts w:asciiTheme="minorHAnsi" w:hAnsiTheme="minorHAnsi"/>
                <w:b/>
                <w:bCs/>
              </w:rPr>
              <w:t xml:space="preserve">Enlace para la </w:t>
            </w:r>
            <w:proofErr w:type="spellStart"/>
            <w:r w:rsidRPr="00573E4E">
              <w:rPr>
                <w:rFonts w:asciiTheme="minorHAnsi" w:hAnsiTheme="minorHAnsi"/>
                <w:b/>
                <w:bCs/>
              </w:rPr>
              <w:t>inscripción</w:t>
            </w:r>
            <w:proofErr w:type="spellEnd"/>
          </w:p>
        </w:tc>
        <w:tc>
          <w:tcPr>
            <w:tcW w:w="7370" w:type="dxa"/>
            <w:gridSpan w:val="2"/>
          </w:tcPr>
          <w:p w14:paraId="661BCA38" w14:textId="0DC86A71" w:rsidR="00CC084D" w:rsidRPr="00A428BF" w:rsidRDefault="00A428BF" w:rsidP="00573E4E">
            <w:pPr>
              <w:spacing w:before="60" w:after="60" w:line="240" w:lineRule="auto"/>
              <w:jc w:val="center"/>
              <w:rPr>
                <w:rFonts w:asciiTheme="minorHAnsi" w:hAnsiTheme="minorHAnsi"/>
                <w:lang w:val="es-ES"/>
              </w:rPr>
            </w:pPr>
            <w:r w:rsidRPr="00573E4E">
              <w:rPr>
                <w:rFonts w:asciiTheme="minorHAnsi" w:hAnsiTheme="minorHAnsi"/>
                <w:lang w:val="es-ES"/>
              </w:rPr>
              <w:t>Véase el sitio web del evento en la dirección</w:t>
            </w:r>
            <w:r w:rsidR="00CC084D" w:rsidRPr="00573E4E">
              <w:rPr>
                <w:rFonts w:asciiTheme="minorHAnsi" w:hAnsiTheme="minorHAnsi"/>
                <w:lang w:val="es-ES"/>
              </w:rPr>
              <w:t xml:space="preserve"> </w:t>
            </w:r>
            <w:hyperlink r:id="rId15" w:history="1">
              <w:r w:rsidR="00CC084D" w:rsidRPr="00514E60">
                <w:rPr>
                  <w:rStyle w:val="Hyperlink"/>
                  <w:rFonts w:asciiTheme="minorHAnsi" w:hAnsiTheme="minorHAnsi"/>
                  <w:sz w:val="22"/>
                  <w:lang w:val="es-ES"/>
                </w:rPr>
                <w:t>http://www.itu.int/go/WRS-22</w:t>
              </w:r>
            </w:hyperlink>
          </w:p>
        </w:tc>
      </w:tr>
    </w:tbl>
    <w:p w14:paraId="521D0CE1" w14:textId="797D7279" w:rsidR="0012753F" w:rsidRDefault="0012753F" w:rsidP="00573E4E">
      <w:pPr>
        <w:rPr>
          <w:lang w:val="es-ES"/>
        </w:rPr>
      </w:pPr>
    </w:p>
    <w:p w14:paraId="2308735D" w14:textId="77777777" w:rsidR="005A6090" w:rsidRPr="00BC4EA9" w:rsidRDefault="005A6090" w:rsidP="00411C49">
      <w:pPr>
        <w:pStyle w:val="Reasons"/>
        <w:rPr>
          <w:lang w:val="fr-CH"/>
        </w:rPr>
      </w:pPr>
    </w:p>
    <w:p w14:paraId="163E8C5B" w14:textId="77777777" w:rsidR="005A6090" w:rsidRDefault="005A6090">
      <w:pPr>
        <w:jc w:val="center"/>
      </w:pPr>
      <w:r>
        <w:t>______________</w:t>
      </w:r>
    </w:p>
    <w:p w14:paraId="5C9D8BC9" w14:textId="77777777" w:rsidR="005A6090" w:rsidRPr="00A428BF" w:rsidRDefault="005A6090" w:rsidP="00573E4E">
      <w:pPr>
        <w:rPr>
          <w:lang w:val="es-ES"/>
        </w:rPr>
      </w:pPr>
    </w:p>
    <w:sectPr w:rsidR="005A6090" w:rsidRPr="00A428BF" w:rsidSect="007053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993" w:right="1134" w:bottom="1134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71E89" w14:textId="77777777" w:rsidR="00223C2D" w:rsidRDefault="00223C2D">
      <w:r>
        <w:separator/>
      </w:r>
    </w:p>
  </w:endnote>
  <w:endnote w:type="continuationSeparator" w:id="0">
    <w:p w14:paraId="2EFFFE61" w14:textId="77777777" w:rsidR="00223C2D" w:rsidRDefault="0022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C131" w14:textId="77777777" w:rsidR="00B85727" w:rsidRDefault="00B85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5BF0F" w14:textId="64A620D9" w:rsidR="00FD5784" w:rsidRPr="00F943A8" w:rsidRDefault="00FD5784" w:rsidP="00FD5784">
    <w:pPr>
      <w:pStyle w:val="Footer"/>
      <w:rPr>
        <w:sz w:val="16"/>
        <w:szCs w:val="16"/>
        <w:lang w:val="en-GB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EC43" w14:textId="5FD4FDF2" w:rsidR="00D56FAB" w:rsidRPr="007A4688" w:rsidRDefault="00321E3E" w:rsidP="007A4688">
    <w:pPr>
      <w:pStyle w:val="Footer"/>
      <w:spacing w:before="0"/>
      <w:jc w:val="center"/>
      <w:rPr>
        <w:lang w:val="es-ES"/>
      </w:rPr>
    </w:pPr>
    <w:r w:rsidRPr="00AF052B">
      <w:rPr>
        <w:color w:val="0070C0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F052B">
      <w:rPr>
        <w:color w:val="0070C0"/>
        <w:sz w:val="18"/>
        <w:szCs w:val="18"/>
        <w:lang w:val="es-ES_tradnl"/>
      </w:rPr>
      <w:t>Nations</w:t>
    </w:r>
    <w:proofErr w:type="spellEnd"/>
    <w:r w:rsidRPr="00AF052B">
      <w:rPr>
        <w:color w:val="0070C0"/>
        <w:sz w:val="18"/>
        <w:szCs w:val="18"/>
        <w:lang w:val="es-ES_tradnl"/>
      </w:rPr>
      <w:t xml:space="preserve"> • CH</w:t>
    </w:r>
    <w:r w:rsidRPr="00AF052B">
      <w:rPr>
        <w:color w:val="0070C0"/>
        <w:sz w:val="18"/>
        <w:szCs w:val="18"/>
        <w:lang w:val="es-ES_tradnl"/>
      </w:rPr>
      <w:noBreakHyphen/>
      <w:t>1211 Ginebra 20 • Suiza</w:t>
    </w:r>
    <w:r w:rsidRPr="00AF052B">
      <w:rPr>
        <w:color w:val="0070C0"/>
        <w:sz w:val="18"/>
        <w:szCs w:val="18"/>
        <w:lang w:val="es-ES_tradnl"/>
      </w:rPr>
      <w:br/>
    </w:r>
    <w:r w:rsidR="00827814" w:rsidRPr="00AF052B">
      <w:rPr>
        <w:color w:val="0070C0"/>
        <w:sz w:val="18"/>
        <w:szCs w:val="18"/>
        <w:lang w:val="es-ES_tradnl"/>
      </w:rPr>
      <w:t>•</w:t>
    </w:r>
    <w:r w:rsidR="00827814">
      <w:rPr>
        <w:color w:val="0070C0"/>
        <w:sz w:val="18"/>
        <w:szCs w:val="18"/>
        <w:lang w:val="es-ES_tradnl"/>
      </w:rPr>
      <w:t xml:space="preserve"> </w:t>
    </w:r>
    <w:r w:rsidRPr="00AF052B">
      <w:rPr>
        <w:color w:val="0070C0"/>
        <w:sz w:val="18"/>
        <w:szCs w:val="18"/>
        <w:lang w:val="es-ES_tradnl"/>
      </w:rPr>
      <w:t xml:space="preserve">Tel: +41 22 730 5111 • Correo-e: </w:t>
    </w:r>
    <w:hyperlink r:id="rId1" w:history="1">
      <w:r w:rsidRPr="00AF052B">
        <w:rPr>
          <w:color w:val="0000FF"/>
          <w:sz w:val="18"/>
          <w:szCs w:val="18"/>
          <w:u w:val="single"/>
          <w:lang w:val="es-ES_tradnl"/>
        </w:rPr>
        <w:t>itumail@itu.int</w:t>
      </w:r>
    </w:hyperlink>
    <w:r w:rsidRPr="00AF052B">
      <w:rPr>
        <w:color w:val="0070C0"/>
        <w:sz w:val="18"/>
        <w:szCs w:val="18"/>
        <w:lang w:val="es-ES_tradnl"/>
      </w:rPr>
      <w:t xml:space="preserve"> • Fax: +41 22 733 7256 • </w:t>
    </w:r>
    <w:hyperlink r:id="rId2" w:history="1">
      <w:r w:rsidRPr="00AF052B">
        <w:rPr>
          <w:color w:val="0070C0"/>
          <w:sz w:val="18"/>
          <w:szCs w:val="18"/>
          <w:lang w:val="es-ES_tradnl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5F386" w14:textId="77777777" w:rsidR="00223C2D" w:rsidRDefault="00223C2D">
      <w:r>
        <w:t>____________________</w:t>
      </w:r>
    </w:p>
  </w:footnote>
  <w:footnote w:type="continuationSeparator" w:id="0">
    <w:p w14:paraId="7CA5615F" w14:textId="77777777" w:rsidR="00223C2D" w:rsidRDefault="00223C2D">
      <w:r>
        <w:continuationSeparator/>
      </w:r>
    </w:p>
  </w:footnote>
  <w:footnote w:id="1">
    <w:p w14:paraId="7FC1F36E" w14:textId="1A559F7D" w:rsidR="00CC084D" w:rsidRPr="0047286A" w:rsidRDefault="00CC084D" w:rsidP="00CC084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A428BF">
        <w:rPr>
          <w:lang w:val="es-ES"/>
        </w:rPr>
        <w:t xml:space="preserve"> </w:t>
      </w:r>
      <w:r w:rsidR="00F943A8">
        <w:rPr>
          <w:lang w:val="es-ES"/>
        </w:rPr>
        <w:tab/>
      </w:r>
      <w:r w:rsidR="00A428BF" w:rsidRPr="00A428BF">
        <w:rPr>
          <w:lang w:val="es-ES"/>
        </w:rPr>
        <w:t>El público en general sólo podrá participar en las Sesiones Plenarias a distancia.</w:t>
      </w:r>
      <w:r w:rsidR="00A428BF">
        <w:rPr>
          <w:lang w:val="es-ES"/>
        </w:rPr>
        <w:t xml:space="preserve"> </w:t>
      </w:r>
      <w:r w:rsidR="00A428BF" w:rsidRPr="00A428BF">
        <w:rPr>
          <w:lang w:val="es-ES"/>
        </w:rPr>
        <w:t xml:space="preserve">Los representantes de los Estados Miembros y </w:t>
      </w:r>
      <w:r w:rsidR="00A428BF">
        <w:rPr>
          <w:lang w:val="es-ES"/>
        </w:rPr>
        <w:t xml:space="preserve">las Instituciones Académicas de la UIT, así como de los Asociados y Miembros del Sector UIT-R, podrán asistir a las Sesiones Plenarias </w:t>
      </w:r>
      <w:r w:rsidR="0047286A">
        <w:rPr>
          <w:lang w:val="es-ES"/>
        </w:rPr>
        <w:t>en persona o a distancia</w:t>
      </w:r>
      <w:r w:rsidRPr="0047286A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60FC3" w14:textId="33C2EF81" w:rsidR="00D873C8" w:rsidRPr="007A4688" w:rsidRDefault="00D873C8" w:rsidP="007A4688">
    <w:pPr>
      <w:pStyle w:val="Header"/>
      <w:rPr>
        <w:sz w:val="22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Pr="007A4688">
      <w:rPr>
        <w:rStyle w:val="PageNumber"/>
        <w:sz w:val="22"/>
      </w:rPr>
      <w:fldChar w:fldCharType="begin"/>
    </w:r>
    <w:r w:rsidRPr="007A4688">
      <w:rPr>
        <w:rStyle w:val="PageNumber"/>
        <w:sz w:val="22"/>
      </w:rPr>
      <w:instrText xml:space="preserve"> PAGE </w:instrText>
    </w:r>
    <w:r w:rsidRPr="007A4688">
      <w:rPr>
        <w:rStyle w:val="PageNumber"/>
        <w:sz w:val="22"/>
      </w:rPr>
      <w:fldChar w:fldCharType="separate"/>
    </w:r>
    <w:r w:rsidR="004B5B21" w:rsidRPr="007A4688">
      <w:rPr>
        <w:rStyle w:val="PageNumber"/>
        <w:noProof/>
        <w:sz w:val="22"/>
      </w:rPr>
      <w:t>6</w:t>
    </w:r>
    <w:r w:rsidRPr="007A4688">
      <w:rPr>
        <w:rStyle w:val="PageNumber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5612" w14:textId="06E365B4" w:rsidR="00D873C8" w:rsidRDefault="00514E60" w:rsidP="00827814">
    <w:pPr>
      <w:pStyle w:val="Header"/>
      <w:jc w:val="center"/>
      <w:rPr>
        <w:rFonts w:asciiTheme="minorHAnsi" w:hAnsiTheme="minorHAnsi" w:cstheme="minorHAnsi"/>
        <w:iCs/>
        <w:sz w:val="18"/>
        <w:szCs w:val="18"/>
      </w:rPr>
    </w:pPr>
    <w:r>
      <w:rPr>
        <w:rFonts w:asciiTheme="minorHAnsi" w:hAnsiTheme="minorHAnsi" w:cstheme="minorHAnsi"/>
        <w:iCs/>
        <w:sz w:val="18"/>
        <w:szCs w:val="18"/>
      </w:rPr>
      <w:t xml:space="preserve">- </w:t>
    </w:r>
    <w:r w:rsidR="00D873C8" w:rsidRPr="00827814">
      <w:rPr>
        <w:rFonts w:asciiTheme="minorHAnsi" w:hAnsiTheme="minorHAnsi" w:cstheme="minorHAnsi"/>
        <w:iCs/>
        <w:sz w:val="18"/>
        <w:szCs w:val="18"/>
      </w:rPr>
      <w:fldChar w:fldCharType="begin"/>
    </w:r>
    <w:r w:rsidR="00D873C8" w:rsidRPr="00827814">
      <w:rPr>
        <w:rFonts w:asciiTheme="minorHAnsi" w:hAnsiTheme="minorHAnsi" w:cstheme="minorHAnsi"/>
        <w:iCs/>
        <w:sz w:val="18"/>
        <w:szCs w:val="18"/>
      </w:rPr>
      <w:instrText xml:space="preserve"> PAGE  \* MERGEFORMAT </w:instrText>
    </w:r>
    <w:r w:rsidR="00D873C8" w:rsidRPr="00827814">
      <w:rPr>
        <w:rFonts w:asciiTheme="minorHAnsi" w:hAnsiTheme="minorHAnsi" w:cstheme="minorHAnsi"/>
        <w:iCs/>
        <w:sz w:val="18"/>
        <w:szCs w:val="18"/>
      </w:rPr>
      <w:fldChar w:fldCharType="separate"/>
    </w:r>
    <w:r w:rsidR="004B5B21" w:rsidRPr="00827814">
      <w:rPr>
        <w:rFonts w:asciiTheme="minorHAnsi" w:hAnsiTheme="minorHAnsi" w:cstheme="minorHAnsi"/>
        <w:iCs/>
        <w:noProof/>
        <w:sz w:val="18"/>
        <w:szCs w:val="18"/>
      </w:rPr>
      <w:t>7</w:t>
    </w:r>
    <w:r w:rsidR="00D873C8" w:rsidRPr="00827814">
      <w:rPr>
        <w:rFonts w:asciiTheme="minorHAnsi" w:hAnsiTheme="minorHAnsi" w:cstheme="minorHAnsi"/>
        <w:iCs/>
        <w:sz w:val="18"/>
        <w:szCs w:val="18"/>
      </w:rPr>
      <w:fldChar w:fldCharType="end"/>
    </w:r>
    <w:r>
      <w:rPr>
        <w:rFonts w:asciiTheme="minorHAnsi" w:hAnsiTheme="minorHAnsi" w:cstheme="minorHAnsi"/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12753F" w14:paraId="0B90C610" w14:textId="77777777" w:rsidTr="004F4C37">
      <w:tc>
        <w:tcPr>
          <w:tcW w:w="9955" w:type="dxa"/>
          <w:noWrap/>
          <w:tcMar>
            <w:left w:w="0" w:type="dxa"/>
          </w:tcMar>
        </w:tcPr>
        <w:p w14:paraId="767BEF1B" w14:textId="77777777" w:rsidR="0012753F" w:rsidRDefault="0012753F" w:rsidP="0012753F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C0B12FA" wp14:editId="5FE3DF61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331A2C" w14:textId="77777777" w:rsidR="0012753F" w:rsidRDefault="00127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C0A0AB8"/>
    <w:multiLevelType w:val="hybridMultilevel"/>
    <w:tmpl w:val="B8ECB236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6" w15:restartNumberingAfterBreak="0">
    <w:nsid w:val="2B9704C4"/>
    <w:multiLevelType w:val="hybridMultilevel"/>
    <w:tmpl w:val="29D421EA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A44BE"/>
    <w:multiLevelType w:val="hybridMultilevel"/>
    <w:tmpl w:val="D5EC710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012AC"/>
    <w:multiLevelType w:val="hybridMultilevel"/>
    <w:tmpl w:val="44944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63690E03"/>
    <w:multiLevelType w:val="hybridMultilevel"/>
    <w:tmpl w:val="9C0E52DC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1A4EC4"/>
    <w:rsid w:val="00006A31"/>
    <w:rsid w:val="00006C82"/>
    <w:rsid w:val="00010BDD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5C0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3EE"/>
    <w:rsid w:val="00103C76"/>
    <w:rsid w:val="00107D47"/>
    <w:rsid w:val="0011265F"/>
    <w:rsid w:val="00117282"/>
    <w:rsid w:val="00117389"/>
    <w:rsid w:val="00121C2D"/>
    <w:rsid w:val="0012753F"/>
    <w:rsid w:val="00132FF6"/>
    <w:rsid w:val="00134404"/>
    <w:rsid w:val="00134B56"/>
    <w:rsid w:val="0014372A"/>
    <w:rsid w:val="00144DFB"/>
    <w:rsid w:val="001604EE"/>
    <w:rsid w:val="00187CA3"/>
    <w:rsid w:val="00193715"/>
    <w:rsid w:val="00196710"/>
    <w:rsid w:val="00196770"/>
    <w:rsid w:val="00197324"/>
    <w:rsid w:val="001A4EC4"/>
    <w:rsid w:val="001B2279"/>
    <w:rsid w:val="001B351B"/>
    <w:rsid w:val="001B42C9"/>
    <w:rsid w:val="001B45BF"/>
    <w:rsid w:val="001C06DB"/>
    <w:rsid w:val="001C6971"/>
    <w:rsid w:val="001D2785"/>
    <w:rsid w:val="001D549C"/>
    <w:rsid w:val="001D7070"/>
    <w:rsid w:val="001F2170"/>
    <w:rsid w:val="001F27E6"/>
    <w:rsid w:val="001F3948"/>
    <w:rsid w:val="001F5A49"/>
    <w:rsid w:val="00201097"/>
    <w:rsid w:val="00201B6E"/>
    <w:rsid w:val="00205F9D"/>
    <w:rsid w:val="00212807"/>
    <w:rsid w:val="00222CF1"/>
    <w:rsid w:val="00223C2D"/>
    <w:rsid w:val="002302B3"/>
    <w:rsid w:val="00230C66"/>
    <w:rsid w:val="00235A29"/>
    <w:rsid w:val="00236D65"/>
    <w:rsid w:val="00241526"/>
    <w:rsid w:val="002443A2"/>
    <w:rsid w:val="0024681C"/>
    <w:rsid w:val="00266E74"/>
    <w:rsid w:val="0027308E"/>
    <w:rsid w:val="00283C3B"/>
    <w:rsid w:val="002861E6"/>
    <w:rsid w:val="00287D18"/>
    <w:rsid w:val="00294F8C"/>
    <w:rsid w:val="002A2618"/>
    <w:rsid w:val="002A5DD7"/>
    <w:rsid w:val="002B0CAC"/>
    <w:rsid w:val="002B5046"/>
    <w:rsid w:val="002D59E6"/>
    <w:rsid w:val="002D5A15"/>
    <w:rsid w:val="002D5BDD"/>
    <w:rsid w:val="002E3D27"/>
    <w:rsid w:val="002F0890"/>
    <w:rsid w:val="002F1F2C"/>
    <w:rsid w:val="002F2531"/>
    <w:rsid w:val="002F3F0C"/>
    <w:rsid w:val="002F4967"/>
    <w:rsid w:val="00306452"/>
    <w:rsid w:val="00311970"/>
    <w:rsid w:val="00316935"/>
    <w:rsid w:val="00321E3E"/>
    <w:rsid w:val="003266ED"/>
    <w:rsid w:val="00326C68"/>
    <w:rsid w:val="0033029C"/>
    <w:rsid w:val="0033299D"/>
    <w:rsid w:val="003370B8"/>
    <w:rsid w:val="00345D38"/>
    <w:rsid w:val="00352097"/>
    <w:rsid w:val="00352116"/>
    <w:rsid w:val="0035322F"/>
    <w:rsid w:val="00364E35"/>
    <w:rsid w:val="003666FF"/>
    <w:rsid w:val="0037309C"/>
    <w:rsid w:val="00380A6E"/>
    <w:rsid w:val="003836D4"/>
    <w:rsid w:val="003974CD"/>
    <w:rsid w:val="003A1F49"/>
    <w:rsid w:val="003A462E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077A"/>
    <w:rsid w:val="00445653"/>
    <w:rsid w:val="00447ECB"/>
    <w:rsid w:val="0045151A"/>
    <w:rsid w:val="004623F7"/>
    <w:rsid w:val="00463FE0"/>
    <w:rsid w:val="0047286A"/>
    <w:rsid w:val="00480F51"/>
    <w:rsid w:val="00481124"/>
    <w:rsid w:val="004815EB"/>
    <w:rsid w:val="00487569"/>
    <w:rsid w:val="00495A2A"/>
    <w:rsid w:val="00496864"/>
    <w:rsid w:val="00496920"/>
    <w:rsid w:val="004A4496"/>
    <w:rsid w:val="004A5F47"/>
    <w:rsid w:val="004B11AB"/>
    <w:rsid w:val="004B5B21"/>
    <w:rsid w:val="004B7C9A"/>
    <w:rsid w:val="004C6779"/>
    <w:rsid w:val="004D733B"/>
    <w:rsid w:val="004E0DC4"/>
    <w:rsid w:val="004E0FB5"/>
    <w:rsid w:val="004E43BB"/>
    <w:rsid w:val="004E460D"/>
    <w:rsid w:val="004E6509"/>
    <w:rsid w:val="004E75EE"/>
    <w:rsid w:val="004F178E"/>
    <w:rsid w:val="004F4543"/>
    <w:rsid w:val="004F57BB"/>
    <w:rsid w:val="00505309"/>
    <w:rsid w:val="0050789B"/>
    <w:rsid w:val="0051383E"/>
    <w:rsid w:val="00514E60"/>
    <w:rsid w:val="005224A1"/>
    <w:rsid w:val="005334BF"/>
    <w:rsid w:val="00534372"/>
    <w:rsid w:val="005414BE"/>
    <w:rsid w:val="00543DF8"/>
    <w:rsid w:val="00546101"/>
    <w:rsid w:val="00553DD7"/>
    <w:rsid w:val="00555F2C"/>
    <w:rsid w:val="005638CF"/>
    <w:rsid w:val="0056741E"/>
    <w:rsid w:val="0057325A"/>
    <w:rsid w:val="00573E4E"/>
    <w:rsid w:val="0057469A"/>
    <w:rsid w:val="00575FEC"/>
    <w:rsid w:val="00580814"/>
    <w:rsid w:val="005812DD"/>
    <w:rsid w:val="00583A0B"/>
    <w:rsid w:val="005A03A3"/>
    <w:rsid w:val="005A2630"/>
    <w:rsid w:val="005A2B92"/>
    <w:rsid w:val="005A3F66"/>
    <w:rsid w:val="005A6090"/>
    <w:rsid w:val="005A79E9"/>
    <w:rsid w:val="005B214C"/>
    <w:rsid w:val="005B4CDA"/>
    <w:rsid w:val="005B5D07"/>
    <w:rsid w:val="005C4BD7"/>
    <w:rsid w:val="005D3669"/>
    <w:rsid w:val="005E5EB3"/>
    <w:rsid w:val="005F3CB6"/>
    <w:rsid w:val="005F5D56"/>
    <w:rsid w:val="005F657C"/>
    <w:rsid w:val="00602D53"/>
    <w:rsid w:val="006030D7"/>
    <w:rsid w:val="006047E5"/>
    <w:rsid w:val="0064371D"/>
    <w:rsid w:val="00650543"/>
    <w:rsid w:val="00650B2A"/>
    <w:rsid w:val="00651777"/>
    <w:rsid w:val="006550F8"/>
    <w:rsid w:val="00663BB1"/>
    <w:rsid w:val="006711CE"/>
    <w:rsid w:val="006829F3"/>
    <w:rsid w:val="00683C60"/>
    <w:rsid w:val="006861E0"/>
    <w:rsid w:val="00692076"/>
    <w:rsid w:val="006964E5"/>
    <w:rsid w:val="006A518B"/>
    <w:rsid w:val="006B0590"/>
    <w:rsid w:val="006B0871"/>
    <w:rsid w:val="006B49DA"/>
    <w:rsid w:val="006B6876"/>
    <w:rsid w:val="006C53F8"/>
    <w:rsid w:val="006C7CDE"/>
    <w:rsid w:val="006D15B3"/>
    <w:rsid w:val="00705355"/>
    <w:rsid w:val="0070606E"/>
    <w:rsid w:val="007234B1"/>
    <w:rsid w:val="00723D08"/>
    <w:rsid w:val="00725FDA"/>
    <w:rsid w:val="00727816"/>
    <w:rsid w:val="00730B9A"/>
    <w:rsid w:val="00734221"/>
    <w:rsid w:val="00750CFA"/>
    <w:rsid w:val="007553DA"/>
    <w:rsid w:val="0076416E"/>
    <w:rsid w:val="00775DB8"/>
    <w:rsid w:val="00782354"/>
    <w:rsid w:val="007921A7"/>
    <w:rsid w:val="007A4688"/>
    <w:rsid w:val="007B3DB1"/>
    <w:rsid w:val="007B6838"/>
    <w:rsid w:val="007D183E"/>
    <w:rsid w:val="007D43D0"/>
    <w:rsid w:val="007E1833"/>
    <w:rsid w:val="007E368D"/>
    <w:rsid w:val="007E3F13"/>
    <w:rsid w:val="007F751A"/>
    <w:rsid w:val="00800012"/>
    <w:rsid w:val="0080261F"/>
    <w:rsid w:val="00805A02"/>
    <w:rsid w:val="00806160"/>
    <w:rsid w:val="008143A4"/>
    <w:rsid w:val="0081513E"/>
    <w:rsid w:val="00822567"/>
    <w:rsid w:val="00827814"/>
    <w:rsid w:val="00844325"/>
    <w:rsid w:val="00854131"/>
    <w:rsid w:val="0085652D"/>
    <w:rsid w:val="0085709B"/>
    <w:rsid w:val="0087694B"/>
    <w:rsid w:val="00880F4D"/>
    <w:rsid w:val="00885036"/>
    <w:rsid w:val="008B35A3"/>
    <w:rsid w:val="008B37E1"/>
    <w:rsid w:val="008B45F8"/>
    <w:rsid w:val="008C2E74"/>
    <w:rsid w:val="008D2445"/>
    <w:rsid w:val="008D5409"/>
    <w:rsid w:val="008D65AA"/>
    <w:rsid w:val="008D7011"/>
    <w:rsid w:val="008E006D"/>
    <w:rsid w:val="008E38B4"/>
    <w:rsid w:val="008F2892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57DB7"/>
    <w:rsid w:val="00963D9D"/>
    <w:rsid w:val="009674D2"/>
    <w:rsid w:val="009737AE"/>
    <w:rsid w:val="0098013E"/>
    <w:rsid w:val="00981B54"/>
    <w:rsid w:val="009842C3"/>
    <w:rsid w:val="009A009A"/>
    <w:rsid w:val="009A414D"/>
    <w:rsid w:val="009A6BB6"/>
    <w:rsid w:val="009B192F"/>
    <w:rsid w:val="009B3F43"/>
    <w:rsid w:val="009B5CFA"/>
    <w:rsid w:val="009C161F"/>
    <w:rsid w:val="009C56B4"/>
    <w:rsid w:val="009D51A2"/>
    <w:rsid w:val="009E04A8"/>
    <w:rsid w:val="009E32C3"/>
    <w:rsid w:val="009E4595"/>
    <w:rsid w:val="009E4AEC"/>
    <w:rsid w:val="009E5BD8"/>
    <w:rsid w:val="009E681E"/>
    <w:rsid w:val="009F187D"/>
    <w:rsid w:val="00A119E6"/>
    <w:rsid w:val="00A200B2"/>
    <w:rsid w:val="00A20FBC"/>
    <w:rsid w:val="00A30D1A"/>
    <w:rsid w:val="00A31370"/>
    <w:rsid w:val="00A34D6F"/>
    <w:rsid w:val="00A37F24"/>
    <w:rsid w:val="00A41F91"/>
    <w:rsid w:val="00A428BF"/>
    <w:rsid w:val="00A603E6"/>
    <w:rsid w:val="00A63355"/>
    <w:rsid w:val="00A7596D"/>
    <w:rsid w:val="00A80EFE"/>
    <w:rsid w:val="00A9167C"/>
    <w:rsid w:val="00A963DF"/>
    <w:rsid w:val="00A96D3A"/>
    <w:rsid w:val="00AC0C22"/>
    <w:rsid w:val="00AC3896"/>
    <w:rsid w:val="00AC6BF3"/>
    <w:rsid w:val="00AD2CF2"/>
    <w:rsid w:val="00AE1649"/>
    <w:rsid w:val="00AE2D88"/>
    <w:rsid w:val="00AE2F07"/>
    <w:rsid w:val="00AE6F6F"/>
    <w:rsid w:val="00AF3325"/>
    <w:rsid w:val="00AF34D9"/>
    <w:rsid w:val="00AF5B37"/>
    <w:rsid w:val="00AF70DA"/>
    <w:rsid w:val="00B019D3"/>
    <w:rsid w:val="00B30497"/>
    <w:rsid w:val="00B3450F"/>
    <w:rsid w:val="00B34CF9"/>
    <w:rsid w:val="00B37559"/>
    <w:rsid w:val="00B4054B"/>
    <w:rsid w:val="00B440FF"/>
    <w:rsid w:val="00B579B0"/>
    <w:rsid w:val="00B57D11"/>
    <w:rsid w:val="00B649D7"/>
    <w:rsid w:val="00B6622B"/>
    <w:rsid w:val="00B73A8D"/>
    <w:rsid w:val="00B81C2F"/>
    <w:rsid w:val="00B83700"/>
    <w:rsid w:val="00B85727"/>
    <w:rsid w:val="00B90743"/>
    <w:rsid w:val="00B90C45"/>
    <w:rsid w:val="00B92577"/>
    <w:rsid w:val="00B933BE"/>
    <w:rsid w:val="00BC4EA9"/>
    <w:rsid w:val="00BD6738"/>
    <w:rsid w:val="00BD7E5E"/>
    <w:rsid w:val="00BE63DB"/>
    <w:rsid w:val="00BE6574"/>
    <w:rsid w:val="00BF2DD7"/>
    <w:rsid w:val="00C07319"/>
    <w:rsid w:val="00C16FD2"/>
    <w:rsid w:val="00C25A3E"/>
    <w:rsid w:val="00C4317E"/>
    <w:rsid w:val="00C4395E"/>
    <w:rsid w:val="00C47FFD"/>
    <w:rsid w:val="00C51E92"/>
    <w:rsid w:val="00C52D01"/>
    <w:rsid w:val="00C57E2C"/>
    <w:rsid w:val="00C608B7"/>
    <w:rsid w:val="00C66F24"/>
    <w:rsid w:val="00C76D7F"/>
    <w:rsid w:val="00C813AA"/>
    <w:rsid w:val="00C83CBF"/>
    <w:rsid w:val="00C9291E"/>
    <w:rsid w:val="00CA3F44"/>
    <w:rsid w:val="00CA4E58"/>
    <w:rsid w:val="00CA788A"/>
    <w:rsid w:val="00CB3771"/>
    <w:rsid w:val="00CB44BF"/>
    <w:rsid w:val="00CB5153"/>
    <w:rsid w:val="00CC084D"/>
    <w:rsid w:val="00CD44AB"/>
    <w:rsid w:val="00CE076A"/>
    <w:rsid w:val="00CE463D"/>
    <w:rsid w:val="00D00BF8"/>
    <w:rsid w:val="00D05CB0"/>
    <w:rsid w:val="00D10BA0"/>
    <w:rsid w:val="00D21694"/>
    <w:rsid w:val="00D239B4"/>
    <w:rsid w:val="00D24EB5"/>
    <w:rsid w:val="00D35AB9"/>
    <w:rsid w:val="00D41571"/>
    <w:rsid w:val="00D416A0"/>
    <w:rsid w:val="00D47672"/>
    <w:rsid w:val="00D501FA"/>
    <w:rsid w:val="00D5123C"/>
    <w:rsid w:val="00D520C4"/>
    <w:rsid w:val="00D55560"/>
    <w:rsid w:val="00D56FAB"/>
    <w:rsid w:val="00D61C5A"/>
    <w:rsid w:val="00D63BFF"/>
    <w:rsid w:val="00D6790C"/>
    <w:rsid w:val="00D73277"/>
    <w:rsid w:val="00D754DB"/>
    <w:rsid w:val="00D76586"/>
    <w:rsid w:val="00D82657"/>
    <w:rsid w:val="00D873C8"/>
    <w:rsid w:val="00D87E20"/>
    <w:rsid w:val="00D97EF5"/>
    <w:rsid w:val="00DA4037"/>
    <w:rsid w:val="00DC3DD8"/>
    <w:rsid w:val="00DD4862"/>
    <w:rsid w:val="00DD64C1"/>
    <w:rsid w:val="00DE0D06"/>
    <w:rsid w:val="00DE66A5"/>
    <w:rsid w:val="00DF17FD"/>
    <w:rsid w:val="00DF2B50"/>
    <w:rsid w:val="00E01059"/>
    <w:rsid w:val="00E04C86"/>
    <w:rsid w:val="00E05484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5424"/>
    <w:rsid w:val="00E47630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6ED3"/>
    <w:rsid w:val="00EA15B3"/>
    <w:rsid w:val="00EB2358"/>
    <w:rsid w:val="00EB382F"/>
    <w:rsid w:val="00EB3EB8"/>
    <w:rsid w:val="00EB7A9F"/>
    <w:rsid w:val="00EC00EF"/>
    <w:rsid w:val="00EC02FE"/>
    <w:rsid w:val="00EC19BB"/>
    <w:rsid w:val="00EC4A96"/>
    <w:rsid w:val="00EC5954"/>
    <w:rsid w:val="00ED41A3"/>
    <w:rsid w:val="00EE03A0"/>
    <w:rsid w:val="00EF0946"/>
    <w:rsid w:val="00F024A7"/>
    <w:rsid w:val="00F048A7"/>
    <w:rsid w:val="00F15AE4"/>
    <w:rsid w:val="00F301A3"/>
    <w:rsid w:val="00F41A86"/>
    <w:rsid w:val="00F424BF"/>
    <w:rsid w:val="00F44FC3"/>
    <w:rsid w:val="00F46107"/>
    <w:rsid w:val="00F468C5"/>
    <w:rsid w:val="00F52F39"/>
    <w:rsid w:val="00F6184F"/>
    <w:rsid w:val="00F64BE7"/>
    <w:rsid w:val="00F7784F"/>
    <w:rsid w:val="00F8310E"/>
    <w:rsid w:val="00F914DD"/>
    <w:rsid w:val="00F943A8"/>
    <w:rsid w:val="00FA2358"/>
    <w:rsid w:val="00FB2592"/>
    <w:rsid w:val="00FB2810"/>
    <w:rsid w:val="00FB404C"/>
    <w:rsid w:val="00FB7A2C"/>
    <w:rsid w:val="00FC2947"/>
    <w:rsid w:val="00FC5110"/>
    <w:rsid w:val="00FD5784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BF6D81B"/>
  <w15:docId w15:val="{5DB4FFA2-FF36-4843-A01D-D400A5A2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uiPriority w:val="39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212807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12807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rsid w:val="0021280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12807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Default">
    <w:name w:val="Default"/>
    <w:rsid w:val="002128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Reasons">
    <w:name w:val="Reasons"/>
    <w:basedOn w:val="Normal"/>
    <w:qFormat/>
    <w:rsid w:val="00B83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364E35"/>
    <w:rPr>
      <w:color w:val="800080" w:themeColor="followedHyperlink"/>
      <w:u w:val="single"/>
    </w:rPr>
  </w:style>
  <w:style w:type="paragraph" w:customStyle="1" w:styleId="AnnexNo">
    <w:name w:val="Annex_No"/>
    <w:basedOn w:val="AnnexNotitle0"/>
    <w:rsid w:val="0035322F"/>
    <w:pPr>
      <w:spacing w:before="240" w:after="120"/>
    </w:pPr>
    <w:rPr>
      <w:rFonts w:asciiTheme="minorHAnsi" w:hAnsiTheme="minorHAnsi"/>
      <w:sz w:val="24"/>
      <w:szCs w:val="24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957DB7"/>
    <w:rPr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4D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10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S-22" TargetMode="External"/><Relationship Id="rId13" Type="http://schemas.openxmlformats.org/officeDocument/2006/relationships/hyperlink" Target="mailto:fellowships@itu.in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en/fellowships/Documents/2021/SO_21-02_E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R.Registration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WRS-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R/information/event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conferences/wrc/2023/irwsp" TargetMode="External"/><Relationship Id="rId14" Type="http://schemas.openxmlformats.org/officeDocument/2006/relationships/hyperlink" Target="https://www.itu.int/en/ITU-R/information/events/Pages/Fellowships.aspx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B135-4A9D-47F6-8B8B-3425B7A3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33</TotalTime>
  <Pages>5</Pages>
  <Words>1161</Words>
  <Characters>7229</Characters>
  <Application>Microsoft Office Word</Application>
  <DocSecurity>0</DocSecurity>
  <Lines>168</Lines>
  <Paragraphs>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8299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11</cp:revision>
  <cp:lastPrinted>2016-08-15T12:11:00Z</cp:lastPrinted>
  <dcterms:created xsi:type="dcterms:W3CDTF">2022-07-11T09:26:00Z</dcterms:created>
  <dcterms:modified xsi:type="dcterms:W3CDTF">2022-07-15T09:06:00Z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