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89" w:type="dxa"/>
        <w:jc w:val="center"/>
        <w:tblLayout w:type="fixed"/>
        <w:tblLook w:val="04A0" w:firstRow="1" w:lastRow="0" w:firstColumn="1" w:lastColumn="0" w:noHBand="0" w:noVBand="1"/>
      </w:tblPr>
      <w:tblGrid>
        <w:gridCol w:w="7054"/>
        <w:gridCol w:w="2835"/>
      </w:tblGrid>
      <w:tr w:rsidR="00E53DCE" w:rsidRPr="0019710B" w14:paraId="3F9046E6" w14:textId="77777777" w:rsidTr="00306452">
        <w:trPr>
          <w:jc w:val="center"/>
        </w:trPr>
        <w:tc>
          <w:tcPr>
            <w:tcW w:w="9889" w:type="dxa"/>
            <w:gridSpan w:val="2"/>
            <w:shd w:val="clear" w:color="auto" w:fill="auto"/>
          </w:tcPr>
          <w:p w14:paraId="7734E282" w14:textId="54D1311A" w:rsidR="00E53DCE" w:rsidRPr="0019710B" w:rsidRDefault="00A96D3A" w:rsidP="00A4246F">
            <w:pPr>
              <w:tabs>
                <w:tab w:val="left" w:pos="1373"/>
              </w:tabs>
              <w:spacing w:before="0" w:line="240" w:lineRule="auto"/>
              <w:rPr>
                <w:rFonts w:cstheme="minorHAnsi"/>
                <w:b/>
                <w:bCs/>
                <w:color w:val="808080"/>
                <w:sz w:val="28"/>
                <w:szCs w:val="28"/>
                <w:lang w:val="es-ES_tradnl"/>
              </w:rPr>
            </w:pPr>
            <w:r w:rsidRPr="0019710B">
              <w:rPr>
                <w:rFonts w:cstheme="minorHAnsi"/>
                <w:b/>
                <w:bCs/>
                <w:color w:val="808080"/>
                <w:sz w:val="28"/>
                <w:szCs w:val="28"/>
                <w:lang w:val="es-ES_tradnl"/>
              </w:rPr>
              <w:t>Oficina de Radiocomunicaciones (BR)</w:t>
            </w:r>
          </w:p>
          <w:p w14:paraId="42E28877" w14:textId="77777777" w:rsidR="00E53DCE" w:rsidRPr="0019710B" w:rsidRDefault="00E53DCE" w:rsidP="00A4246F">
            <w:pPr>
              <w:spacing w:before="0" w:line="240" w:lineRule="auto"/>
              <w:rPr>
                <w:rFonts w:cstheme="minorHAnsi"/>
                <w:b/>
                <w:bCs/>
                <w:color w:val="808080"/>
                <w:sz w:val="28"/>
                <w:szCs w:val="28"/>
                <w:lang w:val="es-ES_tradnl"/>
              </w:rPr>
            </w:pPr>
          </w:p>
          <w:p w14:paraId="079A2529" w14:textId="77777777" w:rsidR="00E53DCE" w:rsidRPr="0019710B" w:rsidRDefault="00E53DCE" w:rsidP="00A4246F">
            <w:pPr>
              <w:spacing w:before="0" w:line="240" w:lineRule="auto"/>
              <w:rPr>
                <w:rFonts w:cs="Times New Roman Bold"/>
                <w:b/>
                <w:bCs/>
                <w:color w:val="808080"/>
                <w:sz w:val="28"/>
                <w:szCs w:val="28"/>
                <w:lang w:val="es-ES_tradnl"/>
              </w:rPr>
            </w:pPr>
          </w:p>
        </w:tc>
      </w:tr>
      <w:tr w:rsidR="00E53DCE" w:rsidRPr="0019710B" w14:paraId="7B49AB14" w14:textId="77777777" w:rsidTr="00306452">
        <w:trPr>
          <w:jc w:val="center"/>
        </w:trPr>
        <w:tc>
          <w:tcPr>
            <w:tcW w:w="7054" w:type="dxa"/>
            <w:shd w:val="clear" w:color="auto" w:fill="auto"/>
          </w:tcPr>
          <w:p w14:paraId="1CFCB774" w14:textId="77777777" w:rsidR="00E53DCE" w:rsidRPr="0019710B" w:rsidRDefault="00A96D3A" w:rsidP="00A4246F">
            <w:pPr>
              <w:spacing w:before="0" w:line="240" w:lineRule="auto"/>
              <w:rPr>
                <w:szCs w:val="24"/>
                <w:lang w:val="es-ES_tradnl"/>
              </w:rPr>
            </w:pPr>
            <w:r w:rsidRPr="0019710B">
              <w:rPr>
                <w:szCs w:val="24"/>
                <w:lang w:val="es-ES_tradnl"/>
              </w:rPr>
              <w:t>Circular Administrativa</w:t>
            </w:r>
          </w:p>
          <w:p w14:paraId="2616A513" w14:textId="4EEFFB01" w:rsidR="00E53DCE" w:rsidRPr="0019710B" w:rsidRDefault="001B3D4D" w:rsidP="00A4246F">
            <w:pPr>
              <w:spacing w:before="0" w:line="240" w:lineRule="auto"/>
              <w:rPr>
                <w:b/>
                <w:bCs/>
                <w:szCs w:val="24"/>
                <w:lang w:val="es-ES_tradnl"/>
              </w:rPr>
            </w:pPr>
            <w:r w:rsidRPr="0019710B">
              <w:rPr>
                <w:b/>
                <w:bCs/>
                <w:szCs w:val="24"/>
                <w:lang w:val="es-ES_tradnl"/>
              </w:rPr>
              <w:t>CA/</w:t>
            </w:r>
            <w:r w:rsidR="006C0D60" w:rsidRPr="0019710B">
              <w:rPr>
                <w:b/>
                <w:bCs/>
                <w:szCs w:val="24"/>
                <w:lang w:val="es-ES_tradnl"/>
              </w:rPr>
              <w:t>260</w:t>
            </w:r>
          </w:p>
        </w:tc>
        <w:tc>
          <w:tcPr>
            <w:tcW w:w="2835" w:type="dxa"/>
            <w:shd w:val="clear" w:color="auto" w:fill="auto"/>
          </w:tcPr>
          <w:p w14:paraId="4DC78BC4" w14:textId="6025CC21" w:rsidR="00E53DCE" w:rsidRPr="0019710B" w:rsidRDefault="006C0D60" w:rsidP="00A4246F">
            <w:pPr>
              <w:spacing w:before="0" w:line="240" w:lineRule="auto"/>
              <w:jc w:val="right"/>
              <w:rPr>
                <w:szCs w:val="24"/>
                <w:lang w:val="es-ES_tradnl"/>
              </w:rPr>
            </w:pPr>
            <w:r w:rsidRPr="0019710B">
              <w:rPr>
                <w:bCs/>
                <w:szCs w:val="24"/>
                <w:lang w:val="es-ES_tradnl"/>
              </w:rPr>
              <w:t>22</w:t>
            </w:r>
            <w:r w:rsidR="00A96D3A" w:rsidRPr="0019710B">
              <w:rPr>
                <w:bCs/>
                <w:szCs w:val="24"/>
                <w:lang w:val="es-ES_tradnl"/>
              </w:rPr>
              <w:t xml:space="preserve"> de </w:t>
            </w:r>
            <w:r w:rsidR="000A5851" w:rsidRPr="0019710B">
              <w:rPr>
                <w:bCs/>
                <w:szCs w:val="24"/>
                <w:lang w:val="es-ES_tradnl"/>
              </w:rPr>
              <w:t>abril</w:t>
            </w:r>
            <w:r w:rsidR="007B38A2" w:rsidRPr="0019710B">
              <w:rPr>
                <w:bCs/>
                <w:szCs w:val="24"/>
                <w:lang w:val="es-ES_tradnl"/>
              </w:rPr>
              <w:t xml:space="preserve"> </w:t>
            </w:r>
            <w:r w:rsidR="00A96D3A" w:rsidRPr="0019710B">
              <w:rPr>
                <w:bCs/>
                <w:szCs w:val="24"/>
                <w:lang w:val="es-ES_tradnl"/>
              </w:rPr>
              <w:t xml:space="preserve">de </w:t>
            </w:r>
            <w:r w:rsidRPr="0019710B">
              <w:rPr>
                <w:bCs/>
                <w:szCs w:val="24"/>
                <w:lang w:val="es-ES_tradnl"/>
              </w:rPr>
              <w:t>2022</w:t>
            </w:r>
          </w:p>
        </w:tc>
      </w:tr>
      <w:tr w:rsidR="00E53DCE" w:rsidRPr="0019710B" w14:paraId="11359D81" w14:textId="77777777" w:rsidTr="00306452">
        <w:trPr>
          <w:jc w:val="center"/>
        </w:trPr>
        <w:tc>
          <w:tcPr>
            <w:tcW w:w="9889" w:type="dxa"/>
            <w:gridSpan w:val="2"/>
            <w:shd w:val="clear" w:color="auto" w:fill="auto"/>
          </w:tcPr>
          <w:p w14:paraId="5435060A" w14:textId="77777777" w:rsidR="00E53DCE" w:rsidRPr="0019710B" w:rsidRDefault="00E53DCE" w:rsidP="00A4246F">
            <w:pPr>
              <w:spacing w:before="0" w:line="240" w:lineRule="auto"/>
              <w:rPr>
                <w:lang w:val="es-ES_tradnl"/>
              </w:rPr>
            </w:pPr>
          </w:p>
        </w:tc>
      </w:tr>
      <w:tr w:rsidR="00E53DCE" w:rsidRPr="0019710B" w14:paraId="7304DBBB" w14:textId="77777777" w:rsidTr="00306452">
        <w:trPr>
          <w:jc w:val="center"/>
        </w:trPr>
        <w:tc>
          <w:tcPr>
            <w:tcW w:w="9889" w:type="dxa"/>
            <w:gridSpan w:val="2"/>
            <w:shd w:val="clear" w:color="auto" w:fill="auto"/>
          </w:tcPr>
          <w:p w14:paraId="50E8189B" w14:textId="77777777" w:rsidR="00E53DCE" w:rsidRPr="0019710B" w:rsidRDefault="00E53DCE" w:rsidP="00A4246F">
            <w:pPr>
              <w:spacing w:before="0" w:line="240" w:lineRule="auto"/>
              <w:rPr>
                <w:lang w:val="es-ES_tradnl"/>
              </w:rPr>
            </w:pPr>
          </w:p>
        </w:tc>
      </w:tr>
      <w:tr w:rsidR="007B38A2" w:rsidRPr="00C216C9" w14:paraId="26D7277F" w14:textId="77777777" w:rsidTr="00306452">
        <w:trPr>
          <w:jc w:val="center"/>
        </w:trPr>
        <w:tc>
          <w:tcPr>
            <w:tcW w:w="9889" w:type="dxa"/>
            <w:gridSpan w:val="2"/>
            <w:shd w:val="clear" w:color="auto" w:fill="auto"/>
          </w:tcPr>
          <w:tbl>
            <w:tblPr>
              <w:tblW w:w="9889" w:type="dxa"/>
              <w:jc w:val="center"/>
              <w:tblLayout w:type="fixed"/>
              <w:tblLook w:val="04A0" w:firstRow="1" w:lastRow="0" w:firstColumn="1" w:lastColumn="0" w:noHBand="0" w:noVBand="1"/>
            </w:tblPr>
            <w:tblGrid>
              <w:gridCol w:w="1526"/>
              <w:gridCol w:w="8363"/>
            </w:tblGrid>
            <w:tr w:rsidR="007B38A2" w:rsidRPr="00C216C9" w14:paraId="56E0EE1E" w14:textId="77777777" w:rsidTr="00622D6F">
              <w:trPr>
                <w:jc w:val="center"/>
              </w:trPr>
              <w:tc>
                <w:tcPr>
                  <w:tcW w:w="9889" w:type="dxa"/>
                  <w:gridSpan w:val="2"/>
                  <w:shd w:val="clear" w:color="auto" w:fill="auto"/>
                </w:tcPr>
                <w:p w14:paraId="1C6E8494" w14:textId="3B1DF2D8" w:rsidR="007B38A2" w:rsidRPr="0019710B" w:rsidRDefault="007B38A2" w:rsidP="00A4246F">
                  <w:pPr>
                    <w:spacing w:before="0" w:line="240" w:lineRule="auto"/>
                    <w:rPr>
                      <w:b/>
                      <w:bCs/>
                      <w:lang w:val="es-ES_tradnl"/>
                    </w:rPr>
                  </w:pPr>
                  <w:r w:rsidRPr="0019710B">
                    <w:rPr>
                      <w:b/>
                      <w:bCs/>
                      <w:lang w:val="es-ES_tradnl"/>
                    </w:rPr>
                    <w:t>A las Administraciones de los Estados Miembros de la UIT y a los Miembros del Sector de</w:t>
                  </w:r>
                  <w:r w:rsidR="008C7E67" w:rsidRPr="0019710B">
                    <w:rPr>
                      <w:b/>
                      <w:bCs/>
                      <w:lang w:val="es-ES_tradnl"/>
                    </w:rPr>
                    <w:t> </w:t>
                  </w:r>
                  <w:r w:rsidRPr="0019710B">
                    <w:rPr>
                      <w:b/>
                      <w:bCs/>
                      <w:lang w:val="es-ES_tradnl"/>
                    </w:rPr>
                    <w:t>Radiocomunicaciones</w:t>
                  </w:r>
                </w:p>
              </w:tc>
            </w:tr>
            <w:tr w:rsidR="007B38A2" w:rsidRPr="00C216C9" w14:paraId="5C5E1441" w14:textId="77777777" w:rsidTr="00622D6F">
              <w:trPr>
                <w:jc w:val="center"/>
              </w:trPr>
              <w:tc>
                <w:tcPr>
                  <w:tcW w:w="9889" w:type="dxa"/>
                  <w:gridSpan w:val="2"/>
                  <w:shd w:val="clear" w:color="auto" w:fill="auto"/>
                </w:tcPr>
                <w:p w14:paraId="0E1BD243" w14:textId="77777777" w:rsidR="007B38A2" w:rsidRPr="0019710B" w:rsidRDefault="007B38A2" w:rsidP="00A4246F">
                  <w:pPr>
                    <w:spacing w:before="0" w:line="240" w:lineRule="auto"/>
                    <w:rPr>
                      <w:lang w:val="es-ES_tradnl"/>
                    </w:rPr>
                  </w:pPr>
                </w:p>
              </w:tc>
            </w:tr>
            <w:tr w:rsidR="007B38A2" w:rsidRPr="00C216C9" w14:paraId="3305A6D3" w14:textId="77777777" w:rsidTr="00622D6F">
              <w:trPr>
                <w:jc w:val="center"/>
              </w:trPr>
              <w:tc>
                <w:tcPr>
                  <w:tcW w:w="9889" w:type="dxa"/>
                  <w:gridSpan w:val="2"/>
                  <w:shd w:val="clear" w:color="auto" w:fill="auto"/>
                </w:tcPr>
                <w:p w14:paraId="203BD922" w14:textId="77777777" w:rsidR="007B38A2" w:rsidRPr="0019710B" w:rsidRDefault="007B38A2" w:rsidP="00A4246F">
                  <w:pPr>
                    <w:spacing w:before="0" w:line="240" w:lineRule="auto"/>
                    <w:rPr>
                      <w:lang w:val="es-ES_tradnl"/>
                    </w:rPr>
                  </w:pPr>
                </w:p>
              </w:tc>
            </w:tr>
            <w:tr w:rsidR="007B38A2" w:rsidRPr="00C216C9" w14:paraId="4184100A" w14:textId="77777777" w:rsidTr="00622D6F">
              <w:trPr>
                <w:jc w:val="center"/>
              </w:trPr>
              <w:tc>
                <w:tcPr>
                  <w:tcW w:w="1526" w:type="dxa"/>
                  <w:shd w:val="clear" w:color="auto" w:fill="auto"/>
                </w:tcPr>
                <w:p w14:paraId="7ADDAC57" w14:textId="77777777" w:rsidR="007B38A2" w:rsidRPr="0019710B" w:rsidRDefault="007B38A2" w:rsidP="00A4246F">
                  <w:pPr>
                    <w:spacing w:before="0" w:line="240" w:lineRule="auto"/>
                    <w:rPr>
                      <w:lang w:val="es-ES_tradnl"/>
                    </w:rPr>
                  </w:pPr>
                  <w:r w:rsidRPr="0019710B">
                    <w:rPr>
                      <w:lang w:val="es-ES_tradnl"/>
                    </w:rPr>
                    <w:t>Asunto:</w:t>
                  </w:r>
                </w:p>
              </w:tc>
              <w:tc>
                <w:tcPr>
                  <w:tcW w:w="8363" w:type="dxa"/>
                  <w:vMerge w:val="restart"/>
                  <w:shd w:val="clear" w:color="auto" w:fill="auto"/>
                </w:tcPr>
                <w:p w14:paraId="25296E95" w14:textId="2514E9B4" w:rsidR="007B38A2" w:rsidRPr="0019710B" w:rsidRDefault="007B38A2" w:rsidP="00A4246F">
                  <w:pPr>
                    <w:spacing w:before="0" w:line="240" w:lineRule="auto"/>
                    <w:rPr>
                      <w:b/>
                      <w:bCs/>
                      <w:lang w:val="es-ES_tradnl"/>
                    </w:rPr>
                  </w:pPr>
                  <w:r w:rsidRPr="0019710B">
                    <w:rPr>
                      <w:b/>
                      <w:bCs/>
                      <w:lang w:val="es-ES_tradnl"/>
                    </w:rPr>
                    <w:t xml:space="preserve">Resumen de conclusiones de la vigésima </w:t>
                  </w:r>
                  <w:r w:rsidR="00A4246F" w:rsidRPr="0019710B">
                    <w:rPr>
                      <w:b/>
                      <w:bCs/>
                      <w:lang w:val="es-ES_tradnl"/>
                    </w:rPr>
                    <w:t xml:space="preserve">novena </w:t>
                  </w:r>
                  <w:r w:rsidRPr="0019710B">
                    <w:rPr>
                      <w:b/>
                      <w:bCs/>
                      <w:lang w:val="es-ES_tradnl"/>
                    </w:rPr>
                    <w:t>reunión del Grupo Asesor de Radiocomunicaciones</w:t>
                  </w:r>
                </w:p>
              </w:tc>
            </w:tr>
            <w:tr w:rsidR="007B38A2" w:rsidRPr="00C216C9" w14:paraId="31F85983" w14:textId="77777777" w:rsidTr="00622D6F">
              <w:trPr>
                <w:jc w:val="center"/>
              </w:trPr>
              <w:tc>
                <w:tcPr>
                  <w:tcW w:w="1526" w:type="dxa"/>
                  <w:shd w:val="clear" w:color="auto" w:fill="auto"/>
                </w:tcPr>
                <w:p w14:paraId="0268152C" w14:textId="77777777" w:rsidR="007B38A2" w:rsidRPr="0019710B" w:rsidRDefault="007B38A2" w:rsidP="00A4246F">
                  <w:pPr>
                    <w:spacing w:before="0" w:line="240" w:lineRule="auto"/>
                    <w:rPr>
                      <w:b/>
                      <w:bCs/>
                      <w:lang w:val="es-ES_tradnl"/>
                    </w:rPr>
                  </w:pPr>
                </w:p>
              </w:tc>
              <w:tc>
                <w:tcPr>
                  <w:tcW w:w="8363" w:type="dxa"/>
                  <w:vMerge/>
                  <w:shd w:val="clear" w:color="auto" w:fill="auto"/>
                </w:tcPr>
                <w:p w14:paraId="6E00DBAC" w14:textId="77777777" w:rsidR="007B38A2" w:rsidRPr="0019710B" w:rsidRDefault="007B38A2" w:rsidP="00A4246F">
                  <w:pPr>
                    <w:spacing w:before="0" w:line="240" w:lineRule="auto"/>
                    <w:rPr>
                      <w:b/>
                      <w:bCs/>
                      <w:lang w:val="es-ES_tradnl"/>
                    </w:rPr>
                  </w:pPr>
                </w:p>
              </w:tc>
            </w:tr>
            <w:tr w:rsidR="007B38A2" w:rsidRPr="00C216C9" w14:paraId="07F3C8B5" w14:textId="77777777" w:rsidTr="00622D6F">
              <w:trPr>
                <w:jc w:val="center"/>
              </w:trPr>
              <w:tc>
                <w:tcPr>
                  <w:tcW w:w="1526" w:type="dxa"/>
                  <w:shd w:val="clear" w:color="auto" w:fill="auto"/>
                </w:tcPr>
                <w:p w14:paraId="1F8EC318" w14:textId="77777777" w:rsidR="007B38A2" w:rsidRPr="0019710B" w:rsidRDefault="007B38A2" w:rsidP="00A4246F">
                  <w:pPr>
                    <w:spacing w:before="0" w:line="240" w:lineRule="auto"/>
                    <w:rPr>
                      <w:b/>
                      <w:bCs/>
                      <w:lang w:val="es-ES_tradnl"/>
                    </w:rPr>
                  </w:pPr>
                </w:p>
              </w:tc>
              <w:tc>
                <w:tcPr>
                  <w:tcW w:w="8363" w:type="dxa"/>
                  <w:vMerge/>
                  <w:shd w:val="clear" w:color="auto" w:fill="auto"/>
                </w:tcPr>
                <w:p w14:paraId="42DF34A7" w14:textId="77777777" w:rsidR="007B38A2" w:rsidRPr="0019710B" w:rsidRDefault="007B38A2" w:rsidP="00A4246F">
                  <w:pPr>
                    <w:spacing w:before="0" w:line="240" w:lineRule="auto"/>
                    <w:rPr>
                      <w:b/>
                      <w:bCs/>
                      <w:lang w:val="es-ES_tradnl"/>
                    </w:rPr>
                  </w:pPr>
                </w:p>
              </w:tc>
            </w:tr>
            <w:tr w:rsidR="007B38A2" w:rsidRPr="00C216C9" w14:paraId="52B2FAD2" w14:textId="77777777" w:rsidTr="00622D6F">
              <w:trPr>
                <w:jc w:val="center"/>
              </w:trPr>
              <w:tc>
                <w:tcPr>
                  <w:tcW w:w="9889" w:type="dxa"/>
                  <w:gridSpan w:val="2"/>
                  <w:shd w:val="clear" w:color="auto" w:fill="auto"/>
                </w:tcPr>
                <w:p w14:paraId="2E6779A8" w14:textId="77777777" w:rsidR="007B38A2" w:rsidRPr="0019710B" w:rsidRDefault="007B38A2" w:rsidP="00A4246F">
                  <w:pPr>
                    <w:spacing w:before="0" w:line="240" w:lineRule="auto"/>
                    <w:rPr>
                      <w:b/>
                      <w:bCs/>
                      <w:lang w:val="es-ES_tradnl"/>
                    </w:rPr>
                  </w:pPr>
                </w:p>
              </w:tc>
            </w:tr>
            <w:tr w:rsidR="008A7CCE" w:rsidRPr="00C216C9" w14:paraId="2E6A7837" w14:textId="77777777" w:rsidTr="00622D6F">
              <w:trPr>
                <w:jc w:val="center"/>
              </w:trPr>
              <w:tc>
                <w:tcPr>
                  <w:tcW w:w="9889" w:type="dxa"/>
                  <w:gridSpan w:val="2"/>
                  <w:shd w:val="clear" w:color="auto" w:fill="auto"/>
                </w:tcPr>
                <w:p w14:paraId="217C08CE" w14:textId="77777777" w:rsidR="008A7CCE" w:rsidRPr="0019710B" w:rsidRDefault="008A7CCE" w:rsidP="00A4246F">
                  <w:pPr>
                    <w:spacing w:before="0" w:line="240" w:lineRule="auto"/>
                    <w:rPr>
                      <w:b/>
                      <w:bCs/>
                      <w:lang w:val="es-ES_tradnl"/>
                    </w:rPr>
                  </w:pPr>
                </w:p>
              </w:tc>
            </w:tr>
          </w:tbl>
          <w:p w14:paraId="374D2D7F" w14:textId="77777777" w:rsidR="007B38A2" w:rsidRPr="0019710B" w:rsidRDefault="007B38A2" w:rsidP="00A4246F">
            <w:pPr>
              <w:pStyle w:val="Normalaftertitle"/>
              <w:spacing w:line="240" w:lineRule="auto"/>
              <w:rPr>
                <w:lang w:val="es-ES_tradnl"/>
              </w:rPr>
            </w:pPr>
          </w:p>
        </w:tc>
      </w:tr>
    </w:tbl>
    <w:p w14:paraId="2712FC1E" w14:textId="41C947A3" w:rsidR="0004249C" w:rsidRPr="0019710B" w:rsidRDefault="00A6392A" w:rsidP="00103DFA">
      <w:pPr>
        <w:rPr>
          <w:lang w:val="es-ES_tradnl"/>
        </w:rPr>
      </w:pPr>
      <w:bookmarkStart w:id="0" w:name="_Hlk102399450"/>
      <w:r w:rsidRPr="0019710B">
        <w:rPr>
          <w:lang w:val="es-ES_tradnl"/>
        </w:rPr>
        <w:t xml:space="preserve">La vigésima </w:t>
      </w:r>
      <w:r w:rsidR="00A4246F" w:rsidRPr="0019710B">
        <w:rPr>
          <w:lang w:val="es-ES_tradnl"/>
        </w:rPr>
        <w:t xml:space="preserve">novena </w:t>
      </w:r>
      <w:r w:rsidRPr="0019710B">
        <w:rPr>
          <w:lang w:val="es-ES_tradnl"/>
        </w:rPr>
        <w:t>reunión del Grupo Asesor de Radiocomunicaciones (GAR) tuvo lugar del</w:t>
      </w:r>
      <w:r w:rsidR="00EC4CE8" w:rsidRPr="0019710B">
        <w:rPr>
          <w:lang w:val="es-ES_tradnl"/>
        </w:rPr>
        <w:t xml:space="preserve"> </w:t>
      </w:r>
      <w:r w:rsidR="008001D9" w:rsidRPr="0019710B">
        <w:rPr>
          <w:lang w:val="es-ES_tradnl"/>
        </w:rPr>
        <w:t>11</w:t>
      </w:r>
      <w:r w:rsidR="006E63F4" w:rsidRPr="0019710B">
        <w:rPr>
          <w:lang w:val="es-ES_tradnl"/>
        </w:rPr>
        <w:t> </w:t>
      </w:r>
      <w:r w:rsidR="000A5851" w:rsidRPr="0019710B">
        <w:rPr>
          <w:lang w:val="es-ES_tradnl"/>
        </w:rPr>
        <w:t xml:space="preserve">al </w:t>
      </w:r>
      <w:r w:rsidR="008001D9" w:rsidRPr="0019710B">
        <w:rPr>
          <w:lang w:val="es-ES_tradnl"/>
        </w:rPr>
        <w:t>14</w:t>
      </w:r>
      <w:r w:rsidR="000A5851" w:rsidRPr="0019710B">
        <w:rPr>
          <w:lang w:val="es-ES_tradnl"/>
        </w:rPr>
        <w:t xml:space="preserve"> de abril </w:t>
      </w:r>
      <w:r w:rsidR="00530812" w:rsidRPr="0019710B">
        <w:rPr>
          <w:lang w:val="es-ES_tradnl"/>
        </w:rPr>
        <w:t>de</w:t>
      </w:r>
      <w:r w:rsidR="00546107" w:rsidRPr="0019710B">
        <w:rPr>
          <w:lang w:val="es-ES_tradnl"/>
        </w:rPr>
        <w:t xml:space="preserve"> </w:t>
      </w:r>
      <w:r w:rsidR="008001D9" w:rsidRPr="0019710B">
        <w:rPr>
          <w:lang w:val="es-ES_tradnl"/>
        </w:rPr>
        <w:t>2022</w:t>
      </w:r>
      <w:r w:rsidRPr="0019710B">
        <w:rPr>
          <w:lang w:val="es-ES_tradnl"/>
        </w:rPr>
        <w:t>.</w:t>
      </w:r>
    </w:p>
    <w:p w14:paraId="1E5EE198" w14:textId="54D7FCAD" w:rsidR="00A6392A" w:rsidRPr="0019710B" w:rsidRDefault="00A6392A" w:rsidP="00103DFA">
      <w:pPr>
        <w:rPr>
          <w:lang w:val="es-ES_tradnl"/>
        </w:rPr>
      </w:pPr>
      <w:r w:rsidRPr="0019710B">
        <w:rPr>
          <w:lang w:val="es-ES_tradnl"/>
        </w:rPr>
        <w:t>En el Anexo a la presente Circular se adjunta el resumen de conclusiones de la reunión.</w:t>
      </w:r>
    </w:p>
    <w:p w14:paraId="39013DC4" w14:textId="2A438964" w:rsidR="00A6392A" w:rsidRPr="0019710B" w:rsidRDefault="00A6392A" w:rsidP="00103DFA">
      <w:pPr>
        <w:rPr>
          <w:lang w:val="es-ES_tradnl"/>
        </w:rPr>
      </w:pPr>
      <w:r w:rsidRPr="0019710B">
        <w:rPr>
          <w:lang w:val="es-ES_tradnl"/>
        </w:rPr>
        <w:t xml:space="preserve">Véase más información sobre esta reunión en la página web del GAR en </w:t>
      </w:r>
      <w:r w:rsidR="008A7CCE" w:rsidRPr="0019710B">
        <w:rPr>
          <w:lang w:val="es-ES_tradnl"/>
        </w:rPr>
        <w:br/>
      </w:r>
      <w:r w:rsidR="00C216C9">
        <w:fldChar w:fldCharType="begin"/>
      </w:r>
      <w:r w:rsidR="00C216C9" w:rsidRPr="00C216C9">
        <w:rPr>
          <w:lang w:val="fr-CH"/>
        </w:rPr>
        <w:instrText xml:space="preserve"> HYPERLINK "https://www.itu.int/es/ITU-R/conferences/rag/Pages/default.aspx" </w:instrText>
      </w:r>
      <w:r w:rsidR="00C216C9">
        <w:fldChar w:fldCharType="separate"/>
      </w:r>
      <w:r w:rsidR="008A7CCE" w:rsidRPr="0019710B">
        <w:rPr>
          <w:rStyle w:val="Hyperlink"/>
          <w:lang w:val="es-ES_tradnl"/>
        </w:rPr>
        <w:t>www.itu.int/ITU-R/go/RAG</w:t>
      </w:r>
      <w:r w:rsidR="00C216C9">
        <w:rPr>
          <w:rStyle w:val="Hyperlink"/>
          <w:lang w:val="es-ES_tradnl"/>
        </w:rPr>
        <w:fldChar w:fldCharType="end"/>
      </w:r>
      <w:r w:rsidRPr="0019710B">
        <w:rPr>
          <w:lang w:val="es-ES_tradnl"/>
        </w:rPr>
        <w:t>.</w:t>
      </w:r>
    </w:p>
    <w:p w14:paraId="7FAB4EDB" w14:textId="77777777" w:rsidR="00031E64" w:rsidRPr="0019710B" w:rsidRDefault="001B3D4D" w:rsidP="00A4246F">
      <w:pPr>
        <w:spacing w:before="1320" w:line="240" w:lineRule="auto"/>
        <w:rPr>
          <w:szCs w:val="24"/>
          <w:lang w:val="es-ES_tradnl"/>
        </w:rPr>
      </w:pPr>
      <w:r w:rsidRPr="0019710B">
        <w:rPr>
          <w:lang w:val="es-ES_tradnl"/>
        </w:rPr>
        <w:t>Mario Maniewicz</w:t>
      </w:r>
      <w:r w:rsidR="00E53DCE" w:rsidRPr="0019710B">
        <w:rPr>
          <w:szCs w:val="24"/>
          <w:lang w:val="es-ES_tradnl"/>
        </w:rPr>
        <w:br/>
      </w:r>
      <w:r w:rsidR="00A96D3A" w:rsidRPr="0019710B">
        <w:rPr>
          <w:szCs w:val="24"/>
          <w:lang w:val="es-ES_tradnl"/>
        </w:rPr>
        <w:t>Director</w:t>
      </w:r>
    </w:p>
    <w:p w14:paraId="69FD32C6" w14:textId="77777777" w:rsidR="007B38A2" w:rsidRPr="0019710B" w:rsidRDefault="007B38A2" w:rsidP="00A4246F">
      <w:pPr>
        <w:spacing w:before="1080" w:after="240" w:line="240" w:lineRule="auto"/>
        <w:rPr>
          <w:lang w:val="es-ES_tradnl"/>
        </w:rPr>
      </w:pPr>
      <w:r w:rsidRPr="0019710B">
        <w:rPr>
          <w:b/>
          <w:bCs/>
          <w:lang w:val="es-ES_tradnl"/>
        </w:rPr>
        <w:t>Anexo</w:t>
      </w:r>
      <w:r w:rsidR="00620661" w:rsidRPr="0019710B">
        <w:rPr>
          <w:lang w:val="es-ES_tradnl"/>
        </w:rPr>
        <w:t>:</w:t>
      </w:r>
      <w:r w:rsidRPr="0019710B">
        <w:rPr>
          <w:lang w:val="es-ES_tradnl"/>
        </w:rPr>
        <w:t xml:space="preserve"> 1</w:t>
      </w:r>
    </w:p>
    <w:p w14:paraId="3191C2A7" w14:textId="77777777" w:rsidR="007B38A2" w:rsidRPr="0019710B" w:rsidRDefault="007B38A2" w:rsidP="00103DFA">
      <w:pPr>
        <w:spacing w:before="840" w:line="240" w:lineRule="auto"/>
        <w:rPr>
          <w:b/>
          <w:bCs/>
          <w:sz w:val="18"/>
          <w:szCs w:val="18"/>
          <w:lang w:val="es-ES_tradnl"/>
        </w:rPr>
      </w:pPr>
      <w:r w:rsidRPr="0019710B">
        <w:rPr>
          <w:b/>
          <w:bCs/>
          <w:sz w:val="18"/>
          <w:szCs w:val="18"/>
          <w:lang w:val="es-ES_tradnl"/>
        </w:rPr>
        <w:t>Distribución:</w:t>
      </w:r>
    </w:p>
    <w:p w14:paraId="41F512E7" w14:textId="77777777" w:rsidR="00262F10" w:rsidRPr="0019710B" w:rsidRDefault="00262F10" w:rsidP="00A4246F">
      <w:pPr>
        <w:tabs>
          <w:tab w:val="clear" w:pos="1191"/>
          <w:tab w:val="left" w:pos="284"/>
        </w:tabs>
        <w:spacing w:before="120" w:line="240" w:lineRule="auto"/>
        <w:rPr>
          <w:sz w:val="18"/>
          <w:szCs w:val="18"/>
          <w:lang w:val="es-ES_tradnl"/>
        </w:rPr>
      </w:pPr>
      <w:r w:rsidRPr="0019710B">
        <w:rPr>
          <w:sz w:val="18"/>
          <w:szCs w:val="18"/>
          <w:lang w:val="es-ES_tradnl"/>
        </w:rPr>
        <w:sym w:font="Symbol" w:char="F02D"/>
      </w:r>
      <w:r w:rsidRPr="0019710B">
        <w:rPr>
          <w:sz w:val="18"/>
          <w:szCs w:val="18"/>
          <w:lang w:val="es-ES_tradnl"/>
        </w:rPr>
        <w:tab/>
        <w:t>Administraciones de los Estados Miembros de la UIT</w:t>
      </w:r>
    </w:p>
    <w:p w14:paraId="71E2FAF0" w14:textId="77777777" w:rsidR="00262F10" w:rsidRPr="0019710B" w:rsidRDefault="00262F10" w:rsidP="00A4246F">
      <w:pPr>
        <w:tabs>
          <w:tab w:val="clear" w:pos="1191"/>
          <w:tab w:val="left" w:pos="284"/>
        </w:tabs>
        <w:spacing w:before="0" w:line="240" w:lineRule="auto"/>
        <w:rPr>
          <w:sz w:val="18"/>
          <w:szCs w:val="18"/>
          <w:lang w:val="es-ES_tradnl"/>
        </w:rPr>
      </w:pPr>
      <w:r w:rsidRPr="0019710B">
        <w:rPr>
          <w:sz w:val="18"/>
          <w:szCs w:val="18"/>
          <w:lang w:val="es-ES_tradnl"/>
        </w:rPr>
        <w:sym w:font="Symbol" w:char="F02D"/>
      </w:r>
      <w:r w:rsidRPr="0019710B">
        <w:rPr>
          <w:sz w:val="18"/>
          <w:szCs w:val="18"/>
          <w:lang w:val="es-ES_tradnl"/>
        </w:rPr>
        <w:tab/>
        <w:t>Miembros del Sector de Radiocomunicaciones</w:t>
      </w:r>
    </w:p>
    <w:p w14:paraId="2BC1ACEB" w14:textId="77777777" w:rsidR="00262F10" w:rsidRPr="0019710B" w:rsidRDefault="00262F10" w:rsidP="00A4246F">
      <w:pPr>
        <w:tabs>
          <w:tab w:val="clear" w:pos="1191"/>
          <w:tab w:val="left" w:pos="284"/>
        </w:tabs>
        <w:spacing w:before="0" w:line="240" w:lineRule="auto"/>
        <w:rPr>
          <w:sz w:val="18"/>
          <w:szCs w:val="18"/>
          <w:lang w:val="es-ES_tradnl"/>
        </w:rPr>
      </w:pPr>
      <w:r w:rsidRPr="0019710B">
        <w:rPr>
          <w:sz w:val="18"/>
          <w:szCs w:val="18"/>
          <w:lang w:val="es-ES_tradnl"/>
        </w:rPr>
        <w:sym w:font="Symbol" w:char="F02D"/>
      </w:r>
      <w:r w:rsidRPr="0019710B">
        <w:rPr>
          <w:sz w:val="18"/>
          <w:szCs w:val="18"/>
          <w:lang w:val="es-ES_tradnl"/>
        </w:rPr>
        <w:tab/>
        <w:t>Instituciones Académicas de la UIT</w:t>
      </w:r>
    </w:p>
    <w:p w14:paraId="40138438" w14:textId="77777777" w:rsidR="00262F10" w:rsidRPr="0019710B" w:rsidRDefault="00262F10" w:rsidP="00A4246F">
      <w:pPr>
        <w:tabs>
          <w:tab w:val="clear" w:pos="1191"/>
          <w:tab w:val="left" w:pos="284"/>
        </w:tabs>
        <w:spacing w:before="0" w:line="240" w:lineRule="auto"/>
        <w:rPr>
          <w:sz w:val="18"/>
          <w:szCs w:val="18"/>
          <w:lang w:val="es-ES_tradnl"/>
        </w:rPr>
      </w:pPr>
      <w:r w:rsidRPr="0019710B">
        <w:rPr>
          <w:sz w:val="18"/>
          <w:szCs w:val="18"/>
          <w:lang w:val="es-ES_tradnl"/>
        </w:rPr>
        <w:sym w:font="Symbol" w:char="F02D"/>
      </w:r>
      <w:r w:rsidRPr="0019710B">
        <w:rPr>
          <w:sz w:val="18"/>
          <w:szCs w:val="18"/>
          <w:lang w:val="es-ES_tradnl"/>
        </w:rPr>
        <w:tab/>
        <w:t>Presidentes y Vicepresidentes de las Comisiones de Estudio de Radiocomunicaciones</w:t>
      </w:r>
    </w:p>
    <w:p w14:paraId="47C431CF" w14:textId="77777777" w:rsidR="00262F10" w:rsidRPr="0019710B" w:rsidRDefault="00262F10" w:rsidP="00A4246F">
      <w:pPr>
        <w:tabs>
          <w:tab w:val="clear" w:pos="1191"/>
          <w:tab w:val="left" w:pos="284"/>
        </w:tabs>
        <w:spacing w:before="0" w:line="240" w:lineRule="auto"/>
        <w:rPr>
          <w:sz w:val="18"/>
          <w:szCs w:val="18"/>
          <w:lang w:val="es-ES_tradnl"/>
        </w:rPr>
      </w:pPr>
      <w:r w:rsidRPr="0019710B">
        <w:rPr>
          <w:sz w:val="18"/>
          <w:szCs w:val="18"/>
          <w:lang w:val="es-ES_tradnl"/>
        </w:rPr>
        <w:sym w:font="Symbol" w:char="F02D"/>
      </w:r>
      <w:r w:rsidRPr="0019710B">
        <w:rPr>
          <w:sz w:val="18"/>
          <w:szCs w:val="18"/>
          <w:lang w:val="es-ES_tradnl"/>
        </w:rPr>
        <w:tab/>
        <w:t>Presidente y Vicepresidentes del Grupo Asesor de Radiocomunicaciones</w:t>
      </w:r>
    </w:p>
    <w:p w14:paraId="4CB7A764" w14:textId="77777777" w:rsidR="00262F10" w:rsidRPr="0019710B" w:rsidRDefault="00262F10" w:rsidP="00A4246F">
      <w:pPr>
        <w:tabs>
          <w:tab w:val="clear" w:pos="1191"/>
          <w:tab w:val="left" w:pos="284"/>
        </w:tabs>
        <w:spacing w:before="0" w:line="240" w:lineRule="auto"/>
        <w:rPr>
          <w:sz w:val="18"/>
          <w:szCs w:val="18"/>
          <w:lang w:val="es-ES_tradnl"/>
        </w:rPr>
      </w:pPr>
      <w:r w:rsidRPr="0019710B">
        <w:rPr>
          <w:sz w:val="18"/>
          <w:szCs w:val="18"/>
          <w:lang w:val="es-ES_tradnl"/>
        </w:rPr>
        <w:sym w:font="Symbol" w:char="F02D"/>
      </w:r>
      <w:r w:rsidRPr="0019710B">
        <w:rPr>
          <w:sz w:val="18"/>
          <w:szCs w:val="18"/>
          <w:lang w:val="es-ES_tradnl"/>
        </w:rPr>
        <w:tab/>
        <w:t>Presidente y Vicepresidentes de la Reunión Preparatoria de la Conferencia</w:t>
      </w:r>
    </w:p>
    <w:p w14:paraId="3C9D9553" w14:textId="77777777" w:rsidR="00262F10" w:rsidRPr="0019710B" w:rsidRDefault="00262F10" w:rsidP="00A4246F">
      <w:pPr>
        <w:tabs>
          <w:tab w:val="clear" w:pos="1191"/>
          <w:tab w:val="left" w:pos="284"/>
        </w:tabs>
        <w:spacing w:before="0" w:line="240" w:lineRule="auto"/>
        <w:rPr>
          <w:sz w:val="18"/>
          <w:szCs w:val="18"/>
          <w:lang w:val="es-ES_tradnl"/>
        </w:rPr>
      </w:pPr>
      <w:r w:rsidRPr="0019710B">
        <w:rPr>
          <w:sz w:val="18"/>
          <w:szCs w:val="18"/>
          <w:lang w:val="es-ES_tradnl"/>
        </w:rPr>
        <w:sym w:font="Symbol" w:char="F02D"/>
      </w:r>
      <w:r w:rsidRPr="0019710B">
        <w:rPr>
          <w:sz w:val="18"/>
          <w:szCs w:val="18"/>
          <w:lang w:val="es-ES_tradnl"/>
        </w:rPr>
        <w:tab/>
        <w:t>Miembros de la Junta del Reglamento de Radiocomunicaciones</w:t>
      </w:r>
    </w:p>
    <w:p w14:paraId="0C3C21EE" w14:textId="074B1B55" w:rsidR="00262F10" w:rsidRPr="0019710B" w:rsidRDefault="00262F10" w:rsidP="00A4246F">
      <w:pPr>
        <w:tabs>
          <w:tab w:val="clear" w:pos="1191"/>
          <w:tab w:val="left" w:pos="284"/>
        </w:tabs>
        <w:spacing w:before="0" w:line="240" w:lineRule="auto"/>
        <w:ind w:left="284" w:hanging="284"/>
        <w:rPr>
          <w:sz w:val="18"/>
          <w:szCs w:val="18"/>
          <w:lang w:val="es-ES_tradnl"/>
        </w:rPr>
      </w:pPr>
      <w:r w:rsidRPr="0019710B">
        <w:rPr>
          <w:sz w:val="18"/>
          <w:szCs w:val="18"/>
          <w:lang w:val="es-ES_tradnl"/>
        </w:rPr>
        <w:sym w:font="Symbol" w:char="F02D"/>
      </w:r>
      <w:r w:rsidRPr="0019710B">
        <w:rPr>
          <w:sz w:val="18"/>
          <w:szCs w:val="18"/>
          <w:lang w:val="es-ES_tradnl"/>
        </w:rPr>
        <w:tab/>
        <w:t xml:space="preserve">Secretario General de la UIT, Director de la Oficina de Normalización de las Telecomunicaciones, Directora de la Oficina de </w:t>
      </w:r>
      <w:r w:rsidRPr="0019710B">
        <w:rPr>
          <w:sz w:val="18"/>
          <w:szCs w:val="18"/>
          <w:lang w:val="es-ES_tradnl"/>
        </w:rPr>
        <w:br/>
        <w:t>Desarrollo de las Telecomunicaciones</w:t>
      </w:r>
    </w:p>
    <w:p w14:paraId="67645143" w14:textId="77777777" w:rsidR="008A7CCE" w:rsidRPr="0019710B" w:rsidRDefault="008A7CCE" w:rsidP="00A4246F">
      <w:pPr>
        <w:tabs>
          <w:tab w:val="clear" w:pos="1191"/>
          <w:tab w:val="left" w:pos="284"/>
        </w:tabs>
        <w:spacing w:before="0" w:line="240" w:lineRule="auto"/>
        <w:ind w:left="284" w:hanging="284"/>
        <w:rPr>
          <w:sz w:val="20"/>
          <w:szCs w:val="20"/>
          <w:lang w:val="es-ES_tradnl"/>
        </w:rPr>
      </w:pPr>
    </w:p>
    <w:p w14:paraId="7DFCE61F" w14:textId="77777777" w:rsidR="007B38A2" w:rsidRPr="0019710B" w:rsidRDefault="007B38A2" w:rsidP="00A4246F">
      <w:pPr>
        <w:spacing w:line="240" w:lineRule="auto"/>
        <w:rPr>
          <w:rFonts w:asciiTheme="minorHAnsi" w:hAnsiTheme="minorHAnsi" w:cstheme="minorHAnsi"/>
          <w:sz w:val="28"/>
          <w:szCs w:val="28"/>
          <w:lang w:val="es-ES_tradnl"/>
        </w:rPr>
        <w:sectPr w:rsidR="007B38A2" w:rsidRPr="0019710B" w:rsidSect="00031E64">
          <w:headerReference w:type="even" r:id="rId8"/>
          <w:headerReference w:type="default" r:id="rId9"/>
          <w:footerReference w:type="default" r:id="rId10"/>
          <w:headerReference w:type="first" r:id="rId11"/>
          <w:footerReference w:type="first" r:id="rId12"/>
          <w:pgSz w:w="11907" w:h="16834" w:code="9"/>
          <w:pgMar w:top="1134" w:right="1134" w:bottom="993" w:left="1134" w:header="567" w:footer="397" w:gutter="0"/>
          <w:cols w:space="720"/>
          <w:titlePg/>
        </w:sectPr>
      </w:pPr>
    </w:p>
    <w:p w14:paraId="0A2E3479" w14:textId="06F6DB6B" w:rsidR="00A74937" w:rsidRPr="0019710B" w:rsidRDefault="00350F58" w:rsidP="00A4246F">
      <w:pPr>
        <w:pStyle w:val="AnnexNo"/>
        <w:rPr>
          <w:lang w:val="es-ES_tradnl"/>
        </w:rPr>
      </w:pPr>
      <w:bookmarkStart w:id="1" w:name="_Hlk42604898"/>
      <w:bookmarkStart w:id="2" w:name="_Hlk42605374"/>
      <w:bookmarkStart w:id="3" w:name="_Hlk41920654"/>
      <w:r w:rsidRPr="0019710B">
        <w:rPr>
          <w:lang w:val="es-ES_tradnl"/>
        </w:rPr>
        <w:lastRenderedPageBreak/>
        <w:t>ANEX</w:t>
      </w:r>
      <w:r w:rsidR="00881762" w:rsidRPr="0019710B">
        <w:rPr>
          <w:lang w:val="es-ES_tradnl"/>
        </w:rPr>
        <w:t>O</w:t>
      </w:r>
    </w:p>
    <w:p w14:paraId="0454D0D7" w14:textId="47039A22" w:rsidR="00350F58" w:rsidRPr="0019710B" w:rsidRDefault="00881762" w:rsidP="00A4246F">
      <w:pPr>
        <w:pStyle w:val="AnnexNoTitle"/>
        <w:spacing w:before="360" w:line="240" w:lineRule="auto"/>
        <w:rPr>
          <w:sz w:val="28"/>
          <w:szCs w:val="28"/>
          <w:lang w:val="es-ES_tradnl"/>
        </w:rPr>
      </w:pPr>
      <w:r w:rsidRPr="0019710B">
        <w:rPr>
          <w:sz w:val="28"/>
          <w:szCs w:val="28"/>
          <w:lang w:val="es-ES_tradnl"/>
        </w:rPr>
        <w:t xml:space="preserve">RESUMEN DE CONCLUSIONES DE LA VIGÉSIMA </w:t>
      </w:r>
      <w:bookmarkEnd w:id="1"/>
      <w:r w:rsidR="00A4246F" w:rsidRPr="0019710B">
        <w:rPr>
          <w:sz w:val="28"/>
          <w:szCs w:val="28"/>
          <w:lang w:val="es-ES_tradnl"/>
        </w:rPr>
        <w:t xml:space="preserve">NOVENA </w:t>
      </w:r>
      <w:r w:rsidRPr="0019710B">
        <w:rPr>
          <w:sz w:val="28"/>
          <w:szCs w:val="28"/>
          <w:lang w:val="es-ES_tradnl"/>
        </w:rPr>
        <w:t xml:space="preserve">REUNIÓN DEL </w:t>
      </w:r>
      <w:r w:rsidR="00A74937" w:rsidRPr="0019710B">
        <w:rPr>
          <w:sz w:val="28"/>
          <w:szCs w:val="28"/>
          <w:lang w:val="es-ES_tradnl"/>
        </w:rPr>
        <w:br/>
      </w:r>
      <w:r w:rsidRPr="0019710B">
        <w:rPr>
          <w:sz w:val="28"/>
          <w:szCs w:val="28"/>
          <w:lang w:val="es-ES_tradnl"/>
        </w:rPr>
        <w:t>GRUPO ASESOR DE RADIOCOMUNICACIONES</w:t>
      </w:r>
    </w:p>
    <w:p w14:paraId="44DC75E3" w14:textId="0580A915" w:rsidR="00350F58" w:rsidRPr="0019710B" w:rsidRDefault="00350F58" w:rsidP="00A4246F">
      <w:pPr>
        <w:pStyle w:val="AnnexNoTitle"/>
        <w:spacing w:before="120" w:line="240" w:lineRule="auto"/>
        <w:rPr>
          <w:b w:val="0"/>
          <w:lang w:val="es-ES_tradnl"/>
        </w:rPr>
      </w:pPr>
      <w:r w:rsidRPr="0019710B">
        <w:rPr>
          <w:b w:val="0"/>
          <w:lang w:val="es-ES_tradnl"/>
        </w:rPr>
        <w:t>(</w:t>
      </w:r>
      <w:r w:rsidR="00881762" w:rsidRPr="0019710B">
        <w:rPr>
          <w:b w:val="0"/>
          <w:lang w:val="es-ES_tradnl"/>
        </w:rPr>
        <w:t>Fuente</w:t>
      </w:r>
      <w:r w:rsidRPr="0019710B">
        <w:rPr>
          <w:b w:val="0"/>
          <w:lang w:val="es-ES_tradnl"/>
        </w:rPr>
        <w:t>: Doc.</w:t>
      </w:r>
      <w:r w:rsidR="00CA596E" w:rsidRPr="0019710B">
        <w:rPr>
          <w:b w:val="0"/>
          <w:lang w:val="es-ES_tradnl"/>
        </w:rPr>
        <w:t xml:space="preserve"> </w:t>
      </w:r>
      <w:r w:rsidR="008001D9" w:rsidRPr="0019710B">
        <w:rPr>
          <w:b w:val="0"/>
          <w:lang w:val="es-ES_tradnl"/>
        </w:rPr>
        <w:t>RAG</w:t>
      </w:r>
      <w:r w:rsidRPr="0019710B">
        <w:rPr>
          <w:b w:val="0"/>
          <w:lang w:val="es-ES_tradnl"/>
        </w:rPr>
        <w:t>/TEMP/</w:t>
      </w:r>
      <w:r w:rsidR="008001D9" w:rsidRPr="0019710B">
        <w:rPr>
          <w:b w:val="0"/>
          <w:lang w:val="es-ES_tradnl"/>
        </w:rPr>
        <w:t>7-Rev.4</w:t>
      </w:r>
      <w:r w:rsidRPr="0019710B">
        <w:rPr>
          <w:b w:val="0"/>
          <w:lang w:val="es-ES_tradnl"/>
        </w:rPr>
        <w:t>)</w:t>
      </w:r>
    </w:p>
    <w:bookmarkEnd w:id="2"/>
    <w:bookmarkEnd w:id="3"/>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1017"/>
        <w:gridCol w:w="2662"/>
        <w:gridCol w:w="10886"/>
      </w:tblGrid>
      <w:tr w:rsidR="00350F58" w:rsidRPr="0019710B" w14:paraId="5E25ED0E" w14:textId="77777777" w:rsidTr="00606FE5">
        <w:trPr>
          <w:tblHeader/>
          <w:jc w:val="center"/>
        </w:trPr>
        <w:tc>
          <w:tcPr>
            <w:tcW w:w="349" w:type="pct"/>
            <w:vAlign w:val="center"/>
          </w:tcPr>
          <w:p w14:paraId="0E72262D" w14:textId="725EB38A" w:rsidR="00350F58" w:rsidRPr="0019710B" w:rsidRDefault="00350F58" w:rsidP="00457B8D">
            <w:pPr>
              <w:pStyle w:val="Tablehead"/>
              <w:rPr>
                <w:lang w:val="es-ES_tradnl"/>
              </w:rPr>
            </w:pPr>
            <w:r w:rsidRPr="0019710B">
              <w:rPr>
                <w:lang w:val="es-ES_tradnl"/>
              </w:rPr>
              <w:br w:type="page"/>
            </w:r>
            <w:r w:rsidR="00536F29" w:rsidRPr="0019710B">
              <w:rPr>
                <w:lang w:val="es-ES_tradnl"/>
              </w:rPr>
              <w:t>Punto del orden del día</w:t>
            </w:r>
          </w:p>
        </w:tc>
        <w:tc>
          <w:tcPr>
            <w:tcW w:w="914" w:type="pct"/>
            <w:vAlign w:val="center"/>
          </w:tcPr>
          <w:p w14:paraId="4C2F3E1A" w14:textId="2F5CEDCE" w:rsidR="00350F58" w:rsidRPr="0019710B" w:rsidRDefault="00536F29" w:rsidP="00457B8D">
            <w:pPr>
              <w:pStyle w:val="Tablehead"/>
              <w:rPr>
                <w:lang w:val="es-ES_tradnl"/>
              </w:rPr>
            </w:pPr>
            <w:r w:rsidRPr="0019710B">
              <w:rPr>
                <w:lang w:val="es-ES_tradnl"/>
              </w:rPr>
              <w:t>Asunto</w:t>
            </w:r>
            <w:r w:rsidR="00350F58" w:rsidRPr="0019710B">
              <w:rPr>
                <w:lang w:val="es-ES_tradnl"/>
              </w:rPr>
              <w:t>/</w:t>
            </w:r>
            <w:r w:rsidR="00350F58" w:rsidRPr="0019710B">
              <w:rPr>
                <w:lang w:val="es-ES_tradnl"/>
              </w:rPr>
              <w:br/>
              <w:t>Document</w:t>
            </w:r>
            <w:r w:rsidR="00881762" w:rsidRPr="0019710B">
              <w:rPr>
                <w:lang w:val="es-ES_tradnl"/>
              </w:rPr>
              <w:t>o</w:t>
            </w:r>
            <w:r w:rsidR="006E63F4" w:rsidRPr="0019710B">
              <w:rPr>
                <w:lang w:val="es-ES_tradnl"/>
              </w:rPr>
              <w:t>(s)</w:t>
            </w:r>
          </w:p>
        </w:tc>
        <w:tc>
          <w:tcPr>
            <w:tcW w:w="3737" w:type="pct"/>
            <w:vAlign w:val="center"/>
          </w:tcPr>
          <w:p w14:paraId="4B6E364C" w14:textId="0780F552" w:rsidR="00350F58" w:rsidRPr="0019710B" w:rsidRDefault="00536F29" w:rsidP="00457B8D">
            <w:pPr>
              <w:pStyle w:val="Tablehead"/>
              <w:rPr>
                <w:lang w:val="es-ES_tradnl"/>
              </w:rPr>
            </w:pPr>
            <w:r w:rsidRPr="0019710B">
              <w:rPr>
                <w:lang w:val="es-ES_tradnl"/>
              </w:rPr>
              <w:t>Conclusiones</w:t>
            </w:r>
          </w:p>
        </w:tc>
      </w:tr>
      <w:tr w:rsidR="00350F58" w:rsidRPr="00C216C9" w14:paraId="2ADC778D" w14:textId="77777777" w:rsidTr="00606FE5">
        <w:trPr>
          <w:jc w:val="center"/>
        </w:trPr>
        <w:tc>
          <w:tcPr>
            <w:tcW w:w="349" w:type="pct"/>
            <w:tcBorders>
              <w:bottom w:val="single" w:sz="4" w:space="0" w:color="auto"/>
            </w:tcBorders>
          </w:tcPr>
          <w:p w14:paraId="70041E0E" w14:textId="77777777" w:rsidR="00350F58" w:rsidRPr="0019710B" w:rsidRDefault="00350F58" w:rsidP="00457B8D">
            <w:pPr>
              <w:pStyle w:val="Tabletext"/>
              <w:rPr>
                <w:lang w:val="es-ES_tradnl"/>
              </w:rPr>
            </w:pPr>
            <w:r w:rsidRPr="0019710B">
              <w:rPr>
                <w:lang w:val="es-ES_tradnl"/>
              </w:rPr>
              <w:t>1</w:t>
            </w:r>
          </w:p>
        </w:tc>
        <w:tc>
          <w:tcPr>
            <w:tcW w:w="914" w:type="pct"/>
            <w:tcBorders>
              <w:bottom w:val="single" w:sz="4" w:space="0" w:color="auto"/>
            </w:tcBorders>
          </w:tcPr>
          <w:p w14:paraId="0B32FC80" w14:textId="0FECBECB" w:rsidR="00350F58" w:rsidRPr="0019710B" w:rsidRDefault="00350F58" w:rsidP="00457B8D">
            <w:pPr>
              <w:pStyle w:val="Tabletext"/>
              <w:rPr>
                <w:lang w:val="es-ES_tradnl"/>
              </w:rPr>
            </w:pPr>
            <w:r w:rsidRPr="0019710B">
              <w:rPr>
                <w:lang w:val="es-ES_tradnl"/>
              </w:rPr>
              <w:t>Observaciones preliminares</w:t>
            </w:r>
          </w:p>
        </w:tc>
        <w:tc>
          <w:tcPr>
            <w:tcW w:w="3737" w:type="pct"/>
            <w:tcBorders>
              <w:bottom w:val="single" w:sz="4" w:space="0" w:color="auto"/>
            </w:tcBorders>
          </w:tcPr>
          <w:p w14:paraId="3E0D704D" w14:textId="064EDFF5" w:rsidR="00350F58" w:rsidRPr="0019710B" w:rsidRDefault="00ED441C" w:rsidP="00457B8D">
            <w:pPr>
              <w:pStyle w:val="Tabletext"/>
              <w:rPr>
                <w:lang w:val="es-ES_tradnl"/>
              </w:rPr>
            </w:pPr>
            <w:r w:rsidRPr="0019710B">
              <w:rPr>
                <w:lang w:val="es-ES_tradnl"/>
              </w:rPr>
              <w:t xml:space="preserve">El </w:t>
            </w:r>
            <w:proofErr w:type="gramStart"/>
            <w:r w:rsidRPr="0019710B">
              <w:rPr>
                <w:lang w:val="es-ES_tradnl"/>
              </w:rPr>
              <w:t>Presidente</w:t>
            </w:r>
            <w:proofErr w:type="gramEnd"/>
            <w:r w:rsidR="00435ABD" w:rsidRPr="0019710B">
              <w:rPr>
                <w:rFonts w:eastAsia="Calibri"/>
                <w:color w:val="000000" w:themeColor="text1"/>
                <w:lang w:val="es-ES_tradnl"/>
              </w:rPr>
              <w:t xml:space="preserve"> </w:t>
            </w:r>
            <w:r w:rsidR="00A4246F" w:rsidRPr="0019710B">
              <w:rPr>
                <w:rFonts w:eastAsia="Calibri"/>
                <w:color w:val="000000" w:themeColor="text1"/>
                <w:lang w:val="es-ES_tradnl"/>
              </w:rPr>
              <w:t>del GAR</w:t>
            </w:r>
            <w:r w:rsidRPr="0019710B">
              <w:rPr>
                <w:lang w:val="es-ES_tradnl"/>
              </w:rPr>
              <w:t>, Sr. Daniel Obam (Kenya), declaró oficialmente abierta la reunión</w:t>
            </w:r>
            <w:r w:rsidR="00350F58" w:rsidRPr="0019710B">
              <w:rPr>
                <w:lang w:val="es-ES_tradnl"/>
              </w:rPr>
              <w:t>.</w:t>
            </w:r>
          </w:p>
          <w:p w14:paraId="41D145F8" w14:textId="7A2D9DD8" w:rsidR="00075E7C" w:rsidRPr="0019710B" w:rsidRDefault="00075E7C" w:rsidP="00457B8D">
            <w:pPr>
              <w:pStyle w:val="Tabletext"/>
              <w:rPr>
                <w:lang w:val="es-ES_tradnl"/>
              </w:rPr>
            </w:pPr>
            <w:r w:rsidRPr="0019710B">
              <w:rPr>
                <w:lang w:val="es-ES_tradnl"/>
              </w:rPr>
              <w:t xml:space="preserve">En su discurso de apertura, el </w:t>
            </w:r>
            <w:proofErr w:type="gramStart"/>
            <w:r w:rsidRPr="0019710B">
              <w:rPr>
                <w:lang w:val="es-ES_tradnl"/>
              </w:rPr>
              <w:t>Presidente</w:t>
            </w:r>
            <w:proofErr w:type="gramEnd"/>
            <w:r w:rsidRPr="0019710B">
              <w:rPr>
                <w:lang w:val="es-ES_tradnl"/>
              </w:rPr>
              <w:t xml:space="preserve"> del GAR agradeció la participación del Secretario General y de los tres Directores</w:t>
            </w:r>
            <w:r w:rsidR="00693A71">
              <w:rPr>
                <w:lang w:val="es-ES_tradnl"/>
              </w:rPr>
              <w:t>.</w:t>
            </w:r>
          </w:p>
          <w:p w14:paraId="14760CFE" w14:textId="426A390A" w:rsidR="00075E7C" w:rsidRPr="0019710B" w:rsidRDefault="00075E7C" w:rsidP="00457B8D">
            <w:pPr>
              <w:pStyle w:val="Tabletext"/>
              <w:rPr>
                <w:lang w:val="es-ES_tradnl"/>
              </w:rPr>
            </w:pPr>
            <w:r w:rsidRPr="0019710B">
              <w:rPr>
                <w:lang w:val="es-ES_tradnl"/>
              </w:rPr>
              <w:t xml:space="preserve">El </w:t>
            </w:r>
            <w:proofErr w:type="gramStart"/>
            <w:r w:rsidRPr="0019710B">
              <w:rPr>
                <w:lang w:val="es-ES_tradnl"/>
              </w:rPr>
              <w:t>Secretario General</w:t>
            </w:r>
            <w:proofErr w:type="gramEnd"/>
            <w:r w:rsidRPr="0019710B">
              <w:rPr>
                <w:lang w:val="es-ES_tradnl"/>
              </w:rPr>
              <w:t xml:space="preserve"> de la UIT pronunció su discurso de apertura. </w:t>
            </w:r>
            <w:r w:rsidR="002C3683" w:rsidRPr="0019710B">
              <w:rPr>
                <w:lang w:val="es-ES_tradnl"/>
              </w:rPr>
              <w:t xml:space="preserve">Reconoció el éxito de la AMNT y señaló las que próximas conferencias, a saber, la CMDT y la PP, también tendrán lugar en 2022. El </w:t>
            </w:r>
            <w:proofErr w:type="gramStart"/>
            <w:r w:rsidR="002C3683" w:rsidRPr="0019710B">
              <w:rPr>
                <w:lang w:val="es-ES_tradnl"/>
              </w:rPr>
              <w:t>Secretario General</w:t>
            </w:r>
            <w:proofErr w:type="gramEnd"/>
            <w:r w:rsidR="002C3683" w:rsidRPr="0019710B">
              <w:rPr>
                <w:lang w:val="es-ES_tradnl"/>
              </w:rPr>
              <w:t xml:space="preserve"> recordó la construcción del nuevo edificio e invitó a los Estados Miembros a acoger las reuniones del UIT-R</w:t>
            </w:r>
            <w:r w:rsidR="00435ABD" w:rsidRPr="0019710B">
              <w:rPr>
                <w:lang w:val="es-ES_tradnl"/>
              </w:rPr>
              <w:t>.</w:t>
            </w:r>
          </w:p>
          <w:p w14:paraId="44A7C81C" w14:textId="322E0853" w:rsidR="002C3683" w:rsidRPr="0019710B" w:rsidRDefault="00075E7C" w:rsidP="00457B8D">
            <w:pPr>
              <w:pStyle w:val="Tabletext"/>
              <w:rPr>
                <w:lang w:val="es-ES_tradnl"/>
              </w:rPr>
            </w:pPr>
            <w:r w:rsidRPr="0019710B">
              <w:rPr>
                <w:lang w:val="es-ES_tradnl"/>
              </w:rPr>
              <w:t xml:space="preserve">El </w:t>
            </w:r>
            <w:proofErr w:type="gramStart"/>
            <w:r w:rsidRPr="0019710B">
              <w:rPr>
                <w:lang w:val="es-ES_tradnl"/>
              </w:rPr>
              <w:t>Director</w:t>
            </w:r>
            <w:proofErr w:type="gramEnd"/>
            <w:r w:rsidRPr="0019710B">
              <w:rPr>
                <w:lang w:val="es-ES_tradnl"/>
              </w:rPr>
              <w:t xml:space="preserve"> de la TSB dio la bienvenida a los participantes y agradeció </w:t>
            </w:r>
            <w:r w:rsidR="000D03A0" w:rsidRPr="0019710B">
              <w:rPr>
                <w:lang w:val="es-ES_tradnl"/>
              </w:rPr>
              <w:t xml:space="preserve">haber sido </w:t>
            </w:r>
            <w:r w:rsidR="00254A80" w:rsidRPr="0019710B">
              <w:rPr>
                <w:lang w:val="es-ES_tradnl"/>
              </w:rPr>
              <w:t xml:space="preserve">invitado </w:t>
            </w:r>
            <w:r w:rsidRPr="0019710B">
              <w:rPr>
                <w:lang w:val="es-ES_tradnl"/>
              </w:rPr>
              <w:t>a dirigirse al GAR.</w:t>
            </w:r>
            <w:r w:rsidR="00CA596E" w:rsidRPr="0019710B">
              <w:rPr>
                <w:lang w:val="es-ES_tradnl"/>
              </w:rPr>
              <w:t xml:space="preserve"> </w:t>
            </w:r>
            <w:r w:rsidR="002C3683" w:rsidRPr="0019710B">
              <w:rPr>
                <w:lang w:val="es-ES_tradnl"/>
              </w:rPr>
              <w:t>Dio las gracias al GAR por la colaboración con el U</w:t>
            </w:r>
            <w:r w:rsidR="00435ABD" w:rsidRPr="0019710B">
              <w:rPr>
                <w:lang w:val="es-ES_tradnl"/>
              </w:rPr>
              <w:t>IT-T.</w:t>
            </w:r>
          </w:p>
          <w:p w14:paraId="558EF3C4" w14:textId="0AFD54B6" w:rsidR="00367AE9" w:rsidRPr="0019710B" w:rsidRDefault="002C3683" w:rsidP="00457B8D">
            <w:pPr>
              <w:pStyle w:val="Tabletext"/>
              <w:rPr>
                <w:rFonts w:eastAsia="Calibri"/>
                <w:color w:val="000000" w:themeColor="text1"/>
                <w:lang w:val="es-ES_tradnl"/>
              </w:rPr>
            </w:pPr>
            <w:r w:rsidRPr="0019710B">
              <w:rPr>
                <w:rFonts w:eastAsia="Calibri"/>
                <w:color w:val="000000" w:themeColor="text1"/>
                <w:lang w:val="es-ES_tradnl"/>
              </w:rPr>
              <w:t xml:space="preserve">El </w:t>
            </w:r>
            <w:proofErr w:type="gramStart"/>
            <w:r w:rsidRPr="0019710B">
              <w:rPr>
                <w:rFonts w:eastAsia="Calibri"/>
                <w:color w:val="000000" w:themeColor="text1"/>
                <w:lang w:val="es-ES_tradnl"/>
              </w:rPr>
              <w:t>Director</w:t>
            </w:r>
            <w:proofErr w:type="gramEnd"/>
            <w:r w:rsidRPr="0019710B">
              <w:rPr>
                <w:rFonts w:eastAsia="Calibri"/>
                <w:color w:val="000000" w:themeColor="text1"/>
                <w:lang w:val="es-ES_tradnl"/>
              </w:rPr>
              <w:t xml:space="preserve"> de la BR </w:t>
            </w:r>
            <w:r w:rsidR="00367AE9" w:rsidRPr="0019710B">
              <w:rPr>
                <w:rFonts w:eastAsia="Calibri"/>
                <w:color w:val="000000" w:themeColor="text1"/>
                <w:lang w:val="es-ES_tradnl"/>
              </w:rPr>
              <w:t>recordó</w:t>
            </w:r>
            <w:r w:rsidRPr="0019710B">
              <w:rPr>
                <w:rFonts w:eastAsia="Calibri"/>
                <w:color w:val="000000" w:themeColor="text1"/>
                <w:lang w:val="es-ES_tradnl"/>
              </w:rPr>
              <w:t xml:space="preserve"> los trabajos </w:t>
            </w:r>
            <w:r w:rsidR="00367AE9" w:rsidRPr="0019710B">
              <w:rPr>
                <w:rFonts w:eastAsia="Calibri"/>
                <w:color w:val="000000" w:themeColor="text1"/>
                <w:lang w:val="es-ES_tradnl"/>
              </w:rPr>
              <w:t xml:space="preserve">realizados por </w:t>
            </w:r>
            <w:r w:rsidRPr="0019710B">
              <w:rPr>
                <w:rFonts w:eastAsia="Calibri"/>
                <w:color w:val="000000" w:themeColor="text1"/>
                <w:lang w:val="es-ES_tradnl"/>
              </w:rPr>
              <w:t>el GAR en su reunión de febrero y los resultados de la reunión del Consejo. Apreció la revisión del proyecto de Plan Estratégico del UIT-R, que incluye la contribución del GAR y pone claramente de manifiesto el trabajo del UIT-R. También reconoció el trabajo de los grupos por correspondencia y del Grupo de Coordinación Intersectorial.</w:t>
            </w:r>
            <w:r w:rsidR="00CA596E" w:rsidRPr="0019710B">
              <w:rPr>
                <w:rFonts w:eastAsia="Calibri"/>
                <w:color w:val="000000" w:themeColor="text1"/>
                <w:lang w:val="es-ES_tradnl"/>
              </w:rPr>
              <w:t xml:space="preserve"> </w:t>
            </w:r>
            <w:r w:rsidRPr="0019710B">
              <w:rPr>
                <w:rFonts w:eastAsia="Calibri"/>
                <w:color w:val="000000" w:themeColor="text1"/>
                <w:lang w:val="es-ES_tradnl"/>
              </w:rPr>
              <w:t xml:space="preserve">Por último, el </w:t>
            </w:r>
            <w:proofErr w:type="gramStart"/>
            <w:r w:rsidRPr="0019710B">
              <w:rPr>
                <w:rFonts w:eastAsia="Calibri"/>
                <w:color w:val="000000" w:themeColor="text1"/>
                <w:lang w:val="es-ES_tradnl"/>
              </w:rPr>
              <w:t>Director</w:t>
            </w:r>
            <w:proofErr w:type="gramEnd"/>
            <w:r w:rsidRPr="0019710B">
              <w:rPr>
                <w:rFonts w:eastAsia="Calibri"/>
                <w:color w:val="000000" w:themeColor="text1"/>
                <w:lang w:val="es-ES_tradnl"/>
              </w:rPr>
              <w:t xml:space="preserve"> se congratuló de confirmar la vuelta a las reuniones presenciales con participación a distancia de las CE y los GT del UIT-R a partir de abril, y confía en que ello contribuya a hacer avanzar los trabajos y a resolver algunas de las cuestiones controvertidas pendientes</w:t>
            </w:r>
            <w:r w:rsidR="00435ABD" w:rsidRPr="0019710B">
              <w:rPr>
                <w:rFonts w:eastAsia="Calibri"/>
                <w:color w:val="000000" w:themeColor="text1"/>
                <w:lang w:val="es-ES_tradnl"/>
              </w:rPr>
              <w:t>.</w:t>
            </w:r>
          </w:p>
          <w:p w14:paraId="1EDB3919" w14:textId="4EB1FD08" w:rsidR="00367AE9" w:rsidRPr="0019710B" w:rsidRDefault="00367AE9" w:rsidP="00457B8D">
            <w:pPr>
              <w:pStyle w:val="Tabletext"/>
              <w:rPr>
                <w:lang w:val="es-ES_tradnl"/>
              </w:rPr>
            </w:pPr>
            <w:r w:rsidRPr="0019710B">
              <w:rPr>
                <w:rFonts w:eastAsia="Calibri" w:cstheme="minorBidi"/>
                <w:lang w:val="es-ES_tradnl"/>
              </w:rPr>
              <w:t xml:space="preserve">La </w:t>
            </w:r>
            <w:proofErr w:type="gramStart"/>
            <w:r w:rsidRPr="0019710B">
              <w:rPr>
                <w:rFonts w:eastAsia="Calibri" w:cstheme="minorBidi"/>
                <w:lang w:val="es-ES_tradnl"/>
              </w:rPr>
              <w:t>Directora</w:t>
            </w:r>
            <w:proofErr w:type="gramEnd"/>
            <w:r w:rsidRPr="0019710B">
              <w:rPr>
                <w:rFonts w:eastAsia="Calibri" w:cstheme="minorBidi"/>
                <w:lang w:val="es-ES_tradnl"/>
              </w:rPr>
              <w:t xml:space="preserve"> de la BDT pronunció su discurso de apertura al comenzar el segundo día de la reunión del GAR de 2022.</w:t>
            </w:r>
            <w:r w:rsidR="00CA596E" w:rsidRPr="0019710B">
              <w:rPr>
                <w:rFonts w:eastAsia="Calibri" w:cstheme="minorBidi"/>
                <w:lang w:val="es-ES_tradnl"/>
              </w:rPr>
              <w:t xml:space="preserve"> </w:t>
            </w:r>
            <w:r w:rsidRPr="0019710B">
              <w:rPr>
                <w:rFonts w:eastAsia="Calibri" w:cstheme="minorBidi"/>
                <w:lang w:val="es-ES_tradnl"/>
              </w:rPr>
              <w:t xml:space="preserve">Subrayó la importancia del trabajo del UIT-R y de las comunicaciones inalámbricas para avanzar en la conectividad. También recordó a los participantes la próxima reunión de la CMDT y los nuevos eventos Partner2Connect y Generation Connect. </w:t>
            </w:r>
          </w:p>
          <w:p w14:paraId="2A44C23D" w14:textId="661F58C8" w:rsidR="00435ABD" w:rsidRPr="0019710B" w:rsidRDefault="00367AE9" w:rsidP="00457B8D">
            <w:pPr>
              <w:pStyle w:val="Tabletext"/>
              <w:rPr>
                <w:rFonts w:eastAsia="Calibri" w:cstheme="minorBidi"/>
                <w:lang w:val="es-ES_tradnl"/>
              </w:rPr>
            </w:pPr>
            <w:r w:rsidRPr="0019710B">
              <w:rPr>
                <w:rFonts w:eastAsia="Calibri" w:cstheme="minorBidi"/>
                <w:lang w:val="es-ES_tradnl"/>
              </w:rPr>
              <w:t>Los Estados Miembros formularon declaraciones en la Sesión Plenaria del GAR, que se recogen en el ANEXO 1 al presente resumen de conclusiones.</w:t>
            </w:r>
          </w:p>
        </w:tc>
      </w:tr>
      <w:tr w:rsidR="0038682A" w:rsidRPr="0019710B" w14:paraId="51317B91" w14:textId="77777777" w:rsidTr="00606FE5">
        <w:trPr>
          <w:trHeight w:val="279"/>
          <w:jc w:val="center"/>
        </w:trPr>
        <w:tc>
          <w:tcPr>
            <w:tcW w:w="349" w:type="pct"/>
            <w:tcBorders>
              <w:bottom w:val="nil"/>
            </w:tcBorders>
          </w:tcPr>
          <w:p w14:paraId="66E32A72" w14:textId="77777777" w:rsidR="0038682A" w:rsidRPr="0019710B" w:rsidDel="002A034D" w:rsidRDefault="0038682A" w:rsidP="00457B8D">
            <w:pPr>
              <w:pStyle w:val="Tabletext"/>
              <w:rPr>
                <w:lang w:val="es-ES_tradnl"/>
              </w:rPr>
            </w:pPr>
            <w:r w:rsidRPr="0019710B">
              <w:rPr>
                <w:lang w:val="es-ES_tradnl"/>
              </w:rPr>
              <w:t>2</w:t>
            </w:r>
          </w:p>
        </w:tc>
        <w:tc>
          <w:tcPr>
            <w:tcW w:w="914" w:type="pct"/>
            <w:tcBorders>
              <w:bottom w:val="nil"/>
            </w:tcBorders>
          </w:tcPr>
          <w:p w14:paraId="3E71B262" w14:textId="70029A54" w:rsidR="0038682A" w:rsidRPr="0019710B" w:rsidRDefault="0038682A" w:rsidP="00457B8D">
            <w:pPr>
              <w:pStyle w:val="Tabletext"/>
              <w:rPr>
                <w:lang w:val="es-ES_tradnl"/>
              </w:rPr>
            </w:pPr>
            <w:r w:rsidRPr="0019710B">
              <w:rPr>
                <w:lang w:val="es-ES_tradnl"/>
              </w:rPr>
              <w:t>Aprobación del orden del día</w:t>
            </w:r>
          </w:p>
        </w:tc>
        <w:tc>
          <w:tcPr>
            <w:tcW w:w="3737" w:type="pct"/>
            <w:tcBorders>
              <w:bottom w:val="nil"/>
            </w:tcBorders>
          </w:tcPr>
          <w:p w14:paraId="2AD53A7C" w14:textId="10DBC784" w:rsidR="0038682A" w:rsidRPr="0019710B" w:rsidRDefault="0038682A" w:rsidP="00457B8D">
            <w:pPr>
              <w:pStyle w:val="Tabletext"/>
              <w:rPr>
                <w:lang w:val="es-ES_tradnl"/>
              </w:rPr>
            </w:pPr>
          </w:p>
        </w:tc>
      </w:tr>
      <w:tr w:rsidR="0038682A" w:rsidRPr="00C216C9" w14:paraId="0C747AD4" w14:textId="77777777" w:rsidTr="00606FE5">
        <w:trPr>
          <w:trHeight w:val="278"/>
          <w:jc w:val="center"/>
        </w:trPr>
        <w:tc>
          <w:tcPr>
            <w:tcW w:w="349" w:type="pct"/>
            <w:tcBorders>
              <w:top w:val="nil"/>
            </w:tcBorders>
          </w:tcPr>
          <w:p w14:paraId="083C1C2F" w14:textId="77777777" w:rsidR="0038682A" w:rsidRPr="0019710B" w:rsidRDefault="0038682A" w:rsidP="00457B8D">
            <w:pPr>
              <w:pStyle w:val="Tabletext"/>
              <w:rPr>
                <w:lang w:val="es-ES_tradnl"/>
              </w:rPr>
            </w:pPr>
          </w:p>
        </w:tc>
        <w:tc>
          <w:tcPr>
            <w:tcW w:w="914" w:type="pct"/>
            <w:tcBorders>
              <w:top w:val="nil"/>
            </w:tcBorders>
          </w:tcPr>
          <w:p w14:paraId="0511E229" w14:textId="5975CC71" w:rsidR="0038682A" w:rsidRPr="0019710B" w:rsidRDefault="0038682A" w:rsidP="00457B8D">
            <w:pPr>
              <w:pStyle w:val="Tabletext"/>
              <w:rPr>
                <w:lang w:val="es-ES_tradnl"/>
              </w:rPr>
            </w:pPr>
            <w:r w:rsidRPr="0019710B">
              <w:rPr>
                <w:lang w:val="es-ES_tradnl"/>
              </w:rPr>
              <w:t>AMD/4</w:t>
            </w:r>
          </w:p>
        </w:tc>
        <w:tc>
          <w:tcPr>
            <w:tcW w:w="3737" w:type="pct"/>
            <w:tcBorders>
              <w:top w:val="nil"/>
            </w:tcBorders>
          </w:tcPr>
          <w:p w14:paraId="1A1E0362" w14:textId="5F7AC567" w:rsidR="0038682A" w:rsidRPr="0019710B" w:rsidRDefault="0038682A" w:rsidP="00457B8D">
            <w:pPr>
              <w:pStyle w:val="Tabletext"/>
              <w:rPr>
                <w:lang w:val="es-ES_tradnl"/>
              </w:rPr>
            </w:pPr>
            <w:r w:rsidRPr="0019710B">
              <w:rPr>
                <w:lang w:val="es-ES_tradnl"/>
              </w:rPr>
              <w:t>Se</w:t>
            </w:r>
            <w:r w:rsidRPr="0019710B">
              <w:rPr>
                <w:rFonts w:eastAsia="Calibri" w:cstheme="minorBidi"/>
                <w:lang w:val="es-ES_tradnl"/>
              </w:rPr>
              <w:t xml:space="preserve"> adoptó sin modificaciones el proyecto de orden del día reproducido en el Documento RAG21/ADM/4 </w:t>
            </w:r>
            <w:r w:rsidR="00693A71">
              <w:rPr>
                <w:rFonts w:eastAsia="Calibri" w:cstheme="minorBidi"/>
                <w:lang w:val="es-ES_tradnl"/>
              </w:rPr>
              <w:t>a</w:t>
            </w:r>
            <w:r w:rsidRPr="0019710B">
              <w:rPr>
                <w:rFonts w:eastAsia="Calibri" w:cstheme="minorBidi"/>
                <w:lang w:val="es-ES_tradnl"/>
              </w:rPr>
              <w:t xml:space="preserve"> reserv</w:t>
            </w:r>
            <w:r w:rsidR="00693A71">
              <w:rPr>
                <w:rFonts w:eastAsia="Calibri" w:cstheme="minorBidi"/>
                <w:lang w:val="es-ES_tradnl"/>
              </w:rPr>
              <w:t>a</w:t>
            </w:r>
            <w:r w:rsidRPr="0019710B">
              <w:rPr>
                <w:rFonts w:eastAsia="Calibri" w:cstheme="minorBidi"/>
                <w:lang w:val="es-ES_tradnl"/>
              </w:rPr>
              <w:t xml:space="preserve"> de que se proceda con estricta aplicación del Artículo 11A del Convenio.</w:t>
            </w:r>
          </w:p>
        </w:tc>
      </w:tr>
      <w:tr w:rsidR="00350F58" w:rsidRPr="00C216C9" w14:paraId="7B05D611" w14:textId="77777777" w:rsidTr="00606FE5">
        <w:trPr>
          <w:jc w:val="center"/>
        </w:trPr>
        <w:tc>
          <w:tcPr>
            <w:tcW w:w="349" w:type="pct"/>
            <w:tcBorders>
              <w:bottom w:val="single" w:sz="4" w:space="0" w:color="auto"/>
            </w:tcBorders>
          </w:tcPr>
          <w:p w14:paraId="725E3F51" w14:textId="77777777" w:rsidR="00350F58" w:rsidRPr="0019710B" w:rsidRDefault="00350F58" w:rsidP="00457B8D">
            <w:pPr>
              <w:pStyle w:val="Tabletext"/>
              <w:rPr>
                <w:lang w:val="es-ES_tradnl"/>
              </w:rPr>
            </w:pPr>
            <w:r w:rsidRPr="0019710B">
              <w:rPr>
                <w:lang w:val="es-ES_tradnl"/>
              </w:rPr>
              <w:t>3</w:t>
            </w:r>
          </w:p>
        </w:tc>
        <w:tc>
          <w:tcPr>
            <w:tcW w:w="914" w:type="pct"/>
            <w:tcBorders>
              <w:bottom w:val="single" w:sz="4" w:space="0" w:color="auto"/>
            </w:tcBorders>
          </w:tcPr>
          <w:p w14:paraId="0DC4D9CA" w14:textId="0C072ADC" w:rsidR="00350F58" w:rsidRPr="0019710B" w:rsidRDefault="00BD26D2" w:rsidP="00457B8D">
            <w:pPr>
              <w:pStyle w:val="Tabletext"/>
              <w:rPr>
                <w:lang w:val="es-ES_tradnl"/>
              </w:rPr>
            </w:pPr>
            <w:r w:rsidRPr="0019710B">
              <w:rPr>
                <w:lang w:val="es-ES_tradnl"/>
              </w:rPr>
              <w:t xml:space="preserve">Informe a la </w:t>
            </w:r>
            <w:r w:rsidR="00435ABD" w:rsidRPr="0019710B">
              <w:rPr>
                <w:lang w:val="es-ES_tradnl"/>
              </w:rPr>
              <w:t>29</w:t>
            </w:r>
            <w:r w:rsidRPr="0019710B">
              <w:rPr>
                <w:lang w:val="es-ES_tradnl"/>
              </w:rPr>
              <w:t>ª</w:t>
            </w:r>
            <w:r w:rsidR="00435ABD" w:rsidRPr="0019710B">
              <w:rPr>
                <w:lang w:val="es-ES_tradnl"/>
              </w:rPr>
              <w:t xml:space="preserve"> </w:t>
            </w:r>
            <w:r w:rsidRPr="0019710B">
              <w:rPr>
                <w:lang w:val="es-ES_tradnl"/>
              </w:rPr>
              <w:t>reunión del GA</w:t>
            </w:r>
            <w:r w:rsidR="00435ABD" w:rsidRPr="0019710B">
              <w:rPr>
                <w:lang w:val="es-ES_tradnl"/>
              </w:rPr>
              <w:t>R</w:t>
            </w:r>
          </w:p>
        </w:tc>
        <w:tc>
          <w:tcPr>
            <w:tcW w:w="3737" w:type="pct"/>
            <w:tcBorders>
              <w:bottom w:val="single" w:sz="4" w:space="0" w:color="auto"/>
            </w:tcBorders>
          </w:tcPr>
          <w:p w14:paraId="5DE0255A" w14:textId="1652B741" w:rsidR="004555A1" w:rsidRPr="0019710B" w:rsidRDefault="007E33AA" w:rsidP="00457B8D">
            <w:pPr>
              <w:pStyle w:val="Tabletext"/>
              <w:rPr>
                <w:sz w:val="28"/>
                <w:szCs w:val="28"/>
                <w:lang w:val="es-ES_tradnl"/>
              </w:rPr>
            </w:pPr>
            <w:r w:rsidRPr="0019710B">
              <w:rPr>
                <w:lang w:val="es-ES_tradnl"/>
              </w:rPr>
              <w:t>El GAR tomó nota de</w:t>
            </w:r>
            <w:r w:rsidR="00367AE9" w:rsidRPr="0019710B">
              <w:rPr>
                <w:lang w:val="es-ES_tradnl"/>
              </w:rPr>
              <w:t xml:space="preserve"> la presentación del informe del </w:t>
            </w:r>
            <w:proofErr w:type="gramStart"/>
            <w:r w:rsidR="00367AE9" w:rsidRPr="0019710B">
              <w:rPr>
                <w:lang w:val="es-ES_tradnl"/>
              </w:rPr>
              <w:t>Director</w:t>
            </w:r>
            <w:proofErr w:type="gramEnd"/>
            <w:r w:rsidR="00367AE9" w:rsidRPr="0019710B">
              <w:rPr>
                <w:lang w:val="es-ES_tradnl"/>
              </w:rPr>
              <w:t xml:space="preserve">, contenido en el Documento </w:t>
            </w:r>
            <w:r w:rsidR="007163C2" w:rsidRPr="0019710B">
              <w:rPr>
                <w:lang w:val="es-ES_tradnl"/>
              </w:rPr>
              <w:t>RAG/44 (Rev1).</w:t>
            </w:r>
          </w:p>
        </w:tc>
      </w:tr>
      <w:tr w:rsidR="00350F58" w:rsidRPr="00C216C9" w14:paraId="6DFB5139" w14:textId="77777777" w:rsidTr="00606FE5">
        <w:trPr>
          <w:trHeight w:val="556"/>
          <w:jc w:val="center"/>
        </w:trPr>
        <w:tc>
          <w:tcPr>
            <w:tcW w:w="349" w:type="pct"/>
            <w:tcBorders>
              <w:bottom w:val="nil"/>
            </w:tcBorders>
          </w:tcPr>
          <w:p w14:paraId="29F24B5B" w14:textId="77777777" w:rsidR="00350F58" w:rsidRPr="0019710B" w:rsidRDefault="00350F58" w:rsidP="00457B8D">
            <w:pPr>
              <w:pStyle w:val="Tabletext"/>
              <w:rPr>
                <w:lang w:val="es-ES_tradnl"/>
              </w:rPr>
            </w:pPr>
            <w:r w:rsidRPr="0019710B">
              <w:rPr>
                <w:lang w:val="es-ES_tradnl"/>
              </w:rPr>
              <w:lastRenderedPageBreak/>
              <w:t>4</w:t>
            </w:r>
          </w:p>
        </w:tc>
        <w:tc>
          <w:tcPr>
            <w:tcW w:w="914" w:type="pct"/>
            <w:tcBorders>
              <w:bottom w:val="nil"/>
            </w:tcBorders>
          </w:tcPr>
          <w:p w14:paraId="22ECF09D" w14:textId="0BB78B6E" w:rsidR="00350F58" w:rsidRPr="0019710B" w:rsidRDefault="007163C2" w:rsidP="00457B8D">
            <w:pPr>
              <w:pStyle w:val="Tabletext"/>
              <w:rPr>
                <w:lang w:val="es-ES_tradnl"/>
              </w:rPr>
            </w:pPr>
            <w:r w:rsidRPr="0019710B">
              <w:rPr>
                <w:lang w:val="es-ES_tradnl"/>
              </w:rPr>
              <w:t>Asuntos relativos al Consejo</w:t>
            </w:r>
          </w:p>
        </w:tc>
        <w:tc>
          <w:tcPr>
            <w:tcW w:w="3737" w:type="pct"/>
            <w:tcBorders>
              <w:bottom w:val="nil"/>
            </w:tcBorders>
          </w:tcPr>
          <w:p w14:paraId="4DC732F9" w14:textId="6A0B8AC6" w:rsidR="007163C2" w:rsidRPr="0019710B" w:rsidRDefault="001C28F8" w:rsidP="0038682A">
            <w:pPr>
              <w:pStyle w:val="Tabletext"/>
              <w:rPr>
                <w:highlight w:val="green"/>
                <w:lang w:val="es-ES_tradnl"/>
              </w:rPr>
            </w:pPr>
            <w:r w:rsidRPr="0019710B">
              <w:rPr>
                <w:rFonts w:eastAsia="Calibri"/>
                <w:lang w:val="es-ES_tradnl"/>
              </w:rPr>
              <w:t>Teniendo en cuenta que la reunión del Consejo de 2022 se celebró del 21 al 30 de marzo de 2022, es decir, antes de esta reunión, el GAR tomó nota de los resultados de la reunión del Consejo sobre los temas pertinentes para el UIT-R</w:t>
            </w:r>
            <w:r w:rsidR="007163C2" w:rsidRPr="0019710B">
              <w:rPr>
                <w:rFonts w:eastAsia="Calibri"/>
                <w:lang w:val="es-ES_tradnl"/>
              </w:rPr>
              <w:t>.</w:t>
            </w:r>
          </w:p>
        </w:tc>
      </w:tr>
      <w:tr w:rsidR="0038682A" w:rsidRPr="00C216C9" w14:paraId="10C182F2" w14:textId="77777777" w:rsidTr="00606FE5">
        <w:trPr>
          <w:trHeight w:val="1069"/>
          <w:jc w:val="center"/>
        </w:trPr>
        <w:tc>
          <w:tcPr>
            <w:tcW w:w="349" w:type="pct"/>
            <w:tcBorders>
              <w:top w:val="nil"/>
              <w:bottom w:val="nil"/>
            </w:tcBorders>
          </w:tcPr>
          <w:p w14:paraId="09D8B9AD" w14:textId="77777777" w:rsidR="0038682A" w:rsidRPr="0019710B" w:rsidRDefault="0038682A" w:rsidP="00457B8D">
            <w:pPr>
              <w:pStyle w:val="Tabletext"/>
              <w:rPr>
                <w:lang w:val="es-ES_tradnl"/>
              </w:rPr>
            </w:pPr>
          </w:p>
        </w:tc>
        <w:tc>
          <w:tcPr>
            <w:tcW w:w="914" w:type="pct"/>
            <w:tcBorders>
              <w:top w:val="nil"/>
              <w:bottom w:val="nil"/>
            </w:tcBorders>
          </w:tcPr>
          <w:p w14:paraId="5A57CC7B" w14:textId="355151B0" w:rsidR="0038682A" w:rsidRPr="0019710B" w:rsidRDefault="0038682A" w:rsidP="00620C2A">
            <w:pPr>
              <w:pStyle w:val="Tabletext"/>
              <w:rPr>
                <w:lang w:val="es-ES_tradnl"/>
              </w:rPr>
            </w:pPr>
            <w:r w:rsidRPr="0019710B">
              <w:rPr>
                <w:lang w:val="es-ES_tradnl"/>
              </w:rPr>
              <w:t>44Rev1 (§2.2), INF/17 (C22/16)</w:t>
            </w:r>
          </w:p>
        </w:tc>
        <w:tc>
          <w:tcPr>
            <w:tcW w:w="3737" w:type="pct"/>
            <w:tcBorders>
              <w:top w:val="nil"/>
              <w:bottom w:val="nil"/>
            </w:tcBorders>
          </w:tcPr>
          <w:p w14:paraId="754C7215" w14:textId="56169FF5" w:rsidR="0038682A" w:rsidRPr="0019710B" w:rsidRDefault="0038682A" w:rsidP="0038682A">
            <w:pPr>
              <w:pStyle w:val="Tabletext"/>
              <w:rPr>
                <w:rFonts w:eastAsia="Calibri"/>
                <w:color w:val="000000" w:themeColor="text1"/>
                <w:lang w:val="es-ES_tradnl"/>
              </w:rPr>
            </w:pPr>
            <w:r w:rsidRPr="0019710B">
              <w:rPr>
                <w:szCs w:val="24"/>
                <w:lang w:val="es-ES_tradnl"/>
              </w:rPr>
              <w:t xml:space="preserve">El GAR tomó nota de la información presentada acerca de la recuperación de costes de notificaciones de redes de satélites. </w:t>
            </w:r>
            <w:r w:rsidRPr="0019710B">
              <w:rPr>
                <w:rFonts w:eastAsia="Calibri"/>
                <w:color w:val="000000" w:themeColor="text1"/>
                <w:lang w:val="es-ES_tradnl"/>
              </w:rPr>
              <w:t xml:space="preserve">El GAR señaló que </w:t>
            </w:r>
            <w:r w:rsidR="00693A71">
              <w:rPr>
                <w:rFonts w:eastAsia="Calibri"/>
                <w:color w:val="000000" w:themeColor="text1"/>
                <w:lang w:val="es-ES_tradnl"/>
              </w:rPr>
              <w:t xml:space="preserve">la </w:t>
            </w:r>
            <w:r w:rsidRPr="0019710B">
              <w:rPr>
                <w:rFonts w:eastAsia="Calibri"/>
                <w:color w:val="000000" w:themeColor="text1"/>
                <w:lang w:val="es-ES_tradnl"/>
              </w:rPr>
              <w:t>BR preparará un informe para evaluar si la metodología de recuperación de costes, instaurada por primera vez en 2005 y revisada por última vez en 2020, sigue siendo adecuada y si permite sufragar el coste real de la tramitación de notificaciones de satélite.</w:t>
            </w:r>
          </w:p>
        </w:tc>
      </w:tr>
      <w:tr w:rsidR="0038682A" w:rsidRPr="00C216C9" w14:paraId="3FBD84C2" w14:textId="77777777" w:rsidTr="00606FE5">
        <w:trPr>
          <w:trHeight w:val="715"/>
          <w:jc w:val="center"/>
        </w:trPr>
        <w:tc>
          <w:tcPr>
            <w:tcW w:w="349" w:type="pct"/>
            <w:tcBorders>
              <w:top w:val="nil"/>
              <w:bottom w:val="nil"/>
            </w:tcBorders>
          </w:tcPr>
          <w:p w14:paraId="30D13EFF" w14:textId="77777777" w:rsidR="0038682A" w:rsidRPr="0019710B" w:rsidRDefault="0038682A" w:rsidP="00457B8D">
            <w:pPr>
              <w:pStyle w:val="Tabletext"/>
              <w:rPr>
                <w:lang w:val="es-ES_tradnl"/>
              </w:rPr>
            </w:pPr>
          </w:p>
        </w:tc>
        <w:tc>
          <w:tcPr>
            <w:tcW w:w="914" w:type="pct"/>
            <w:tcBorders>
              <w:top w:val="nil"/>
              <w:bottom w:val="nil"/>
            </w:tcBorders>
          </w:tcPr>
          <w:p w14:paraId="666A79A0" w14:textId="3999151C" w:rsidR="0038682A" w:rsidRPr="0019710B" w:rsidRDefault="0038682A" w:rsidP="0038682A">
            <w:pPr>
              <w:pStyle w:val="Tabletext"/>
              <w:rPr>
                <w:lang w:val="es-ES_tradnl"/>
              </w:rPr>
            </w:pPr>
            <w:r w:rsidRPr="0019710B">
              <w:rPr>
                <w:rStyle w:val="eop"/>
                <w:lang w:val="es-ES_tradnl"/>
              </w:rPr>
              <w:t xml:space="preserve">44Rev1(§2.3 </w:t>
            </w:r>
            <w:r w:rsidR="00693A71">
              <w:rPr>
                <w:rStyle w:val="eop"/>
                <w:lang w:val="es-ES_tradnl"/>
              </w:rPr>
              <w:t>y</w:t>
            </w:r>
            <w:r w:rsidRPr="0019710B">
              <w:rPr>
                <w:rStyle w:val="eop"/>
                <w:lang w:val="es-ES_tradnl"/>
              </w:rPr>
              <w:t xml:space="preserve"> 6), INF/13 (C22/28)</w:t>
            </w:r>
          </w:p>
        </w:tc>
        <w:tc>
          <w:tcPr>
            <w:tcW w:w="3737" w:type="pct"/>
            <w:tcBorders>
              <w:top w:val="nil"/>
              <w:bottom w:val="nil"/>
            </w:tcBorders>
          </w:tcPr>
          <w:p w14:paraId="1DC8E9C9" w14:textId="5750A066" w:rsidR="0038682A" w:rsidRPr="0019710B" w:rsidRDefault="0038682A" w:rsidP="0038682A">
            <w:pPr>
              <w:pStyle w:val="Tabletext"/>
              <w:rPr>
                <w:rFonts w:eastAsia="Calibri"/>
                <w:color w:val="000000" w:themeColor="text1"/>
                <w:lang w:val="es-ES_tradnl"/>
              </w:rPr>
            </w:pPr>
            <w:r w:rsidRPr="0019710B">
              <w:rPr>
                <w:rFonts w:eastAsia="Calibri"/>
                <w:color w:val="000000" w:themeColor="text1"/>
                <w:lang w:val="es-ES_tradnl"/>
              </w:rPr>
              <w:t xml:space="preserve">El GAR recomendó al </w:t>
            </w:r>
            <w:proofErr w:type="gramStart"/>
            <w:r w:rsidRPr="0019710B">
              <w:rPr>
                <w:rFonts w:eastAsia="Calibri"/>
                <w:color w:val="000000" w:themeColor="text1"/>
                <w:lang w:val="es-ES_tradnl"/>
              </w:rPr>
              <w:t>Director</w:t>
            </w:r>
            <w:proofErr w:type="gramEnd"/>
            <w:r w:rsidRPr="0019710B">
              <w:rPr>
                <w:rFonts w:eastAsia="Calibri"/>
                <w:color w:val="000000" w:themeColor="text1"/>
                <w:lang w:val="es-ES_tradnl"/>
              </w:rPr>
              <w:t xml:space="preserve"> que, al hacer esta evaluación, tenga en cuenta los costes reales de todo el personal implicado en los distintos departamentos y divisiones de la Oficina de Radiocomunicaciones, así como otros costes (directos e indirectos) de otros departamentos de la UIT.</w:t>
            </w:r>
          </w:p>
        </w:tc>
      </w:tr>
      <w:tr w:rsidR="0038682A" w:rsidRPr="00C216C9" w14:paraId="65C39301" w14:textId="77777777" w:rsidTr="00606FE5">
        <w:trPr>
          <w:trHeight w:val="882"/>
          <w:jc w:val="center"/>
        </w:trPr>
        <w:tc>
          <w:tcPr>
            <w:tcW w:w="349" w:type="pct"/>
            <w:tcBorders>
              <w:top w:val="nil"/>
              <w:bottom w:val="nil"/>
            </w:tcBorders>
          </w:tcPr>
          <w:p w14:paraId="2D7F8A5B" w14:textId="77777777" w:rsidR="0038682A" w:rsidRPr="0019710B" w:rsidRDefault="0038682A" w:rsidP="00457B8D">
            <w:pPr>
              <w:pStyle w:val="Tabletext"/>
              <w:rPr>
                <w:lang w:val="es-ES_tradnl"/>
              </w:rPr>
            </w:pPr>
          </w:p>
        </w:tc>
        <w:tc>
          <w:tcPr>
            <w:tcW w:w="914" w:type="pct"/>
            <w:tcBorders>
              <w:top w:val="nil"/>
              <w:bottom w:val="nil"/>
            </w:tcBorders>
          </w:tcPr>
          <w:p w14:paraId="6737D318" w14:textId="77777777" w:rsidR="0038682A" w:rsidRPr="0019710B" w:rsidRDefault="0038682A" w:rsidP="0038682A">
            <w:pPr>
              <w:pStyle w:val="Tabletext"/>
              <w:rPr>
                <w:rFonts w:eastAsia="Arial Unicode MS"/>
                <w:lang w:val="es-ES_tradnl"/>
              </w:rPr>
            </w:pPr>
            <w:r w:rsidRPr="0019710B">
              <w:rPr>
                <w:rFonts w:eastAsia="Arial Unicode MS"/>
                <w:lang w:val="es-ES_tradnl"/>
              </w:rPr>
              <w:t xml:space="preserve">Plan Operacional de la UIT (sección BR) </w:t>
            </w:r>
          </w:p>
          <w:p w14:paraId="10EB99BB" w14:textId="5DFADF7E" w:rsidR="0038682A" w:rsidRPr="0019710B" w:rsidRDefault="0038682A" w:rsidP="0038682A">
            <w:pPr>
              <w:pStyle w:val="Tabletext"/>
              <w:rPr>
                <w:rStyle w:val="eop"/>
                <w:lang w:val="es-ES_tradnl"/>
              </w:rPr>
            </w:pPr>
            <w:r w:rsidRPr="0019710B">
              <w:rPr>
                <w:iCs/>
                <w:lang w:val="es-ES_tradnl"/>
              </w:rPr>
              <w:t xml:space="preserve">44Rev1(§2.3 </w:t>
            </w:r>
            <w:r w:rsidR="00693A71">
              <w:rPr>
                <w:iCs/>
                <w:lang w:val="es-ES_tradnl"/>
              </w:rPr>
              <w:t>y</w:t>
            </w:r>
            <w:r w:rsidRPr="0019710B">
              <w:rPr>
                <w:iCs/>
                <w:lang w:val="es-ES_tradnl"/>
              </w:rPr>
              <w:t xml:space="preserve"> 6),</w:t>
            </w:r>
            <w:r w:rsidR="00693A71">
              <w:rPr>
                <w:iCs/>
                <w:lang w:val="es-ES_tradnl"/>
              </w:rPr>
              <w:br/>
            </w:r>
            <w:r w:rsidRPr="0019710B">
              <w:rPr>
                <w:iCs/>
                <w:lang w:val="es-ES_tradnl"/>
              </w:rPr>
              <w:t>INF/13 (C22/28)</w:t>
            </w:r>
          </w:p>
        </w:tc>
        <w:tc>
          <w:tcPr>
            <w:tcW w:w="3737" w:type="pct"/>
            <w:tcBorders>
              <w:top w:val="nil"/>
              <w:bottom w:val="nil"/>
            </w:tcBorders>
          </w:tcPr>
          <w:p w14:paraId="39755827" w14:textId="24DE68FC" w:rsidR="0038682A" w:rsidRPr="0019710B" w:rsidRDefault="0038682A" w:rsidP="0038682A">
            <w:pPr>
              <w:pStyle w:val="Tabletext"/>
              <w:rPr>
                <w:rFonts w:eastAsia="Arial Unicode MS"/>
                <w:lang w:val="es-ES_tradnl"/>
              </w:rPr>
            </w:pPr>
            <w:r w:rsidRPr="0019710B">
              <w:rPr>
                <w:rFonts w:eastAsia="Arial Unicode MS"/>
                <w:lang w:val="es-ES_tradnl"/>
              </w:rPr>
              <w:t xml:space="preserve">Los asuntos presupuestarios son competencia del Consejo de la UIT. El GAR tomó nota de la información proporcionada sobre el presupuesto para el periodo 2022-2023. Asimismo, el GAR tomó nota del Plan </w:t>
            </w:r>
            <w:r w:rsidR="00693A71" w:rsidRPr="0019710B">
              <w:rPr>
                <w:rFonts w:eastAsia="Arial Unicode MS"/>
                <w:lang w:val="es-ES_tradnl"/>
              </w:rPr>
              <w:t xml:space="preserve">Operacional </w:t>
            </w:r>
            <w:r w:rsidRPr="0019710B">
              <w:rPr>
                <w:rFonts w:eastAsia="Arial Unicode MS"/>
                <w:lang w:val="es-ES_tradnl"/>
              </w:rPr>
              <w:t xml:space="preserve">del UIT-R para el periodo 2023, adoptado por el Consejo de 2022. El GAR también observó que el plan sólo se extiende hasta 2023 por cuanto el Plan </w:t>
            </w:r>
            <w:r w:rsidR="00693A71" w:rsidRPr="0019710B">
              <w:rPr>
                <w:rFonts w:eastAsia="Arial Unicode MS"/>
                <w:lang w:val="es-ES_tradnl"/>
              </w:rPr>
              <w:t xml:space="preserve">Operacional </w:t>
            </w:r>
            <w:r w:rsidRPr="0019710B">
              <w:rPr>
                <w:rFonts w:eastAsia="Arial Unicode MS"/>
                <w:lang w:val="es-ES_tradnl"/>
              </w:rPr>
              <w:t>para 2024 y años posteriores tendrá que armonizarse con el Plan Estratégico de la UIT para 2024-2027.</w:t>
            </w:r>
          </w:p>
        </w:tc>
      </w:tr>
      <w:tr w:rsidR="0038682A" w:rsidRPr="00C216C9" w14:paraId="09C01FAA" w14:textId="77777777" w:rsidTr="00606FE5">
        <w:trPr>
          <w:trHeight w:val="1365"/>
          <w:jc w:val="center"/>
        </w:trPr>
        <w:tc>
          <w:tcPr>
            <w:tcW w:w="349" w:type="pct"/>
            <w:tcBorders>
              <w:top w:val="nil"/>
              <w:bottom w:val="nil"/>
            </w:tcBorders>
          </w:tcPr>
          <w:p w14:paraId="54C2AB9B" w14:textId="77777777" w:rsidR="0038682A" w:rsidRPr="0019710B" w:rsidRDefault="0038682A" w:rsidP="00457B8D">
            <w:pPr>
              <w:pStyle w:val="Tabletext"/>
              <w:rPr>
                <w:lang w:val="es-ES_tradnl"/>
              </w:rPr>
            </w:pPr>
          </w:p>
        </w:tc>
        <w:tc>
          <w:tcPr>
            <w:tcW w:w="914" w:type="pct"/>
            <w:tcBorders>
              <w:top w:val="nil"/>
              <w:bottom w:val="nil"/>
            </w:tcBorders>
          </w:tcPr>
          <w:p w14:paraId="4B3E2C54" w14:textId="0CA1E35E" w:rsidR="0038682A" w:rsidRPr="0019710B" w:rsidRDefault="0038682A" w:rsidP="00620C2A">
            <w:pPr>
              <w:pStyle w:val="Tabletext"/>
              <w:rPr>
                <w:lang w:val="es-ES_tradnl"/>
              </w:rPr>
            </w:pPr>
            <w:r w:rsidRPr="0019710B">
              <w:rPr>
                <w:lang w:val="es-ES_tradnl"/>
              </w:rPr>
              <w:t>INF/18 (CWGSFP4/6),</w:t>
            </w:r>
            <w:r w:rsidR="00693A71">
              <w:rPr>
                <w:lang w:val="es-ES_tradnl"/>
              </w:rPr>
              <w:br/>
            </w:r>
            <w:r w:rsidRPr="0019710B">
              <w:rPr>
                <w:lang w:val="es-ES_tradnl"/>
              </w:rPr>
              <w:t>INF/15 (C22/27)</w:t>
            </w:r>
          </w:p>
        </w:tc>
        <w:tc>
          <w:tcPr>
            <w:tcW w:w="3737" w:type="pct"/>
            <w:tcBorders>
              <w:top w:val="nil"/>
              <w:bottom w:val="nil"/>
            </w:tcBorders>
          </w:tcPr>
          <w:p w14:paraId="2B37763F" w14:textId="40D70C6D" w:rsidR="0038682A" w:rsidRPr="0019710B" w:rsidRDefault="0038682A" w:rsidP="0038682A">
            <w:pPr>
              <w:pStyle w:val="Tabletext"/>
              <w:rPr>
                <w:rFonts w:eastAsia="Arial Unicode MS"/>
                <w:lang w:val="es-ES_tradnl"/>
              </w:rPr>
            </w:pPr>
            <w:r w:rsidRPr="0019710B">
              <w:rPr>
                <w:rFonts w:eastAsia="Arial Unicode MS"/>
                <w:lang w:val="es-ES_tradnl"/>
              </w:rPr>
              <w:t xml:space="preserve">El GAR señaló que los resultados de su 24ª reunión de febrero y del subsiguiente Grupo </w:t>
            </w:r>
            <w:r w:rsidR="00693A71" w:rsidRPr="00693A71">
              <w:rPr>
                <w:rFonts w:eastAsia="Arial Unicode MS"/>
                <w:i/>
                <w:iCs/>
                <w:lang w:val="es-ES_tradnl"/>
              </w:rPr>
              <w:t>a</w:t>
            </w:r>
            <w:r w:rsidRPr="00693A71">
              <w:rPr>
                <w:rFonts w:eastAsia="Arial Unicode MS"/>
                <w:i/>
                <w:iCs/>
                <w:lang w:val="es-ES_tradnl"/>
              </w:rPr>
              <w:t xml:space="preserve">d </w:t>
            </w:r>
            <w:r w:rsidR="00693A71" w:rsidRPr="00693A71">
              <w:rPr>
                <w:rFonts w:eastAsia="Arial Unicode MS"/>
                <w:i/>
                <w:iCs/>
                <w:lang w:val="es-ES_tradnl"/>
              </w:rPr>
              <w:t>h</w:t>
            </w:r>
            <w:r w:rsidRPr="00693A71">
              <w:rPr>
                <w:rFonts w:eastAsia="Arial Unicode MS"/>
                <w:i/>
                <w:iCs/>
                <w:lang w:val="es-ES_tradnl"/>
              </w:rPr>
              <w:t>oc</w:t>
            </w:r>
            <w:r w:rsidRPr="0019710B">
              <w:rPr>
                <w:rFonts w:eastAsia="Arial Unicode MS"/>
                <w:lang w:val="es-ES_tradnl"/>
              </w:rPr>
              <w:t xml:space="preserve"> del GAR sobre el </w:t>
            </w:r>
            <w:r w:rsidR="00693A71">
              <w:rPr>
                <w:rFonts w:eastAsia="Arial Unicode MS"/>
                <w:lang w:val="es-ES_tradnl"/>
              </w:rPr>
              <w:t>p</w:t>
            </w:r>
            <w:r w:rsidRPr="0019710B">
              <w:rPr>
                <w:rFonts w:eastAsia="Arial Unicode MS"/>
                <w:lang w:val="es-ES_tradnl"/>
              </w:rPr>
              <w:t xml:space="preserve">royecto de Plan Estratégico y </w:t>
            </w:r>
            <w:r w:rsidR="00693A71" w:rsidRPr="0019710B">
              <w:rPr>
                <w:rFonts w:eastAsia="Arial Unicode MS"/>
                <w:lang w:val="es-ES_tradnl"/>
              </w:rPr>
              <w:t xml:space="preserve">marco </w:t>
            </w:r>
            <w:r w:rsidRPr="0019710B">
              <w:rPr>
                <w:rFonts w:eastAsia="Arial Unicode MS"/>
                <w:lang w:val="es-ES_tradnl"/>
              </w:rPr>
              <w:t xml:space="preserve">de </w:t>
            </w:r>
            <w:r w:rsidR="00693A71" w:rsidRPr="0019710B">
              <w:rPr>
                <w:rFonts w:eastAsia="Arial Unicode MS"/>
                <w:lang w:val="es-ES_tradnl"/>
              </w:rPr>
              <w:t xml:space="preserve">resultados </w:t>
            </w:r>
            <w:r w:rsidRPr="0019710B">
              <w:rPr>
                <w:rFonts w:eastAsia="Arial Unicode MS"/>
                <w:lang w:val="es-ES_tradnl"/>
              </w:rPr>
              <w:t xml:space="preserve">del UIT-R se incluyeron en el </w:t>
            </w:r>
            <w:r w:rsidR="00693A71" w:rsidRPr="0019710B">
              <w:rPr>
                <w:rFonts w:eastAsia="Arial Unicode MS"/>
                <w:lang w:val="es-ES_tradnl"/>
              </w:rPr>
              <w:t xml:space="preserve">proyecto </w:t>
            </w:r>
            <w:r w:rsidRPr="0019710B">
              <w:rPr>
                <w:rFonts w:eastAsia="Arial Unicode MS"/>
                <w:lang w:val="es-ES_tradnl"/>
              </w:rPr>
              <w:t>de Plan Estratégico de la UIT que el Consejo refrendó y transmitió a la Conferencia de Plenipotenciarios de la UIT.</w:t>
            </w:r>
            <w:r w:rsidR="00CA596E" w:rsidRPr="0019710B">
              <w:rPr>
                <w:rFonts w:eastAsia="Arial Unicode MS"/>
                <w:lang w:val="es-ES_tradnl"/>
              </w:rPr>
              <w:t xml:space="preserve"> </w:t>
            </w:r>
            <w:r w:rsidRPr="0019710B">
              <w:rPr>
                <w:rFonts w:eastAsia="Arial Unicode MS"/>
                <w:lang w:val="es-ES_tradnl"/>
              </w:rPr>
              <w:t xml:space="preserve">El GAR también manifestó su agradecimiento a los participantes del Grupo </w:t>
            </w:r>
            <w:r w:rsidR="00693A71" w:rsidRPr="00693A71">
              <w:rPr>
                <w:rFonts w:eastAsia="Arial Unicode MS"/>
                <w:i/>
                <w:iCs/>
                <w:lang w:val="es-ES_tradnl"/>
              </w:rPr>
              <w:t>ad hoc</w:t>
            </w:r>
            <w:r w:rsidR="00693A71" w:rsidRPr="0019710B">
              <w:rPr>
                <w:rFonts w:eastAsia="Arial Unicode MS"/>
                <w:lang w:val="es-ES_tradnl"/>
              </w:rPr>
              <w:t xml:space="preserve"> </w:t>
            </w:r>
            <w:r w:rsidRPr="0019710B">
              <w:rPr>
                <w:rFonts w:eastAsia="Arial Unicode MS"/>
                <w:lang w:val="es-ES_tradnl"/>
              </w:rPr>
              <w:t xml:space="preserve">y a su </w:t>
            </w:r>
            <w:proofErr w:type="gramStart"/>
            <w:r w:rsidRPr="0019710B">
              <w:rPr>
                <w:rFonts w:eastAsia="Arial Unicode MS"/>
                <w:lang w:val="es-ES_tradnl"/>
              </w:rPr>
              <w:t>Presidente</w:t>
            </w:r>
            <w:proofErr w:type="gramEnd"/>
            <w:r w:rsidRPr="0019710B">
              <w:rPr>
                <w:rFonts w:eastAsia="Arial Unicode MS"/>
                <w:lang w:val="es-ES_tradnl"/>
              </w:rPr>
              <w:t>, Sr. Abdouramane, por su eficiente y eficaz trabajo y sus excelentes resultados. Asimismo, el GAR felicitó al Sr. Frederic Sauvage, Presidente del Grupo de Trabajo del Consejo sobre el Plan Estratégico y Financiero, por los buenos resultados obtenidos.</w:t>
            </w:r>
          </w:p>
        </w:tc>
      </w:tr>
      <w:tr w:rsidR="00620C2A" w:rsidRPr="00C216C9" w14:paraId="0C705A04" w14:textId="77777777" w:rsidTr="00606FE5">
        <w:trPr>
          <w:trHeight w:val="2047"/>
          <w:jc w:val="center"/>
        </w:trPr>
        <w:tc>
          <w:tcPr>
            <w:tcW w:w="349" w:type="pct"/>
            <w:tcBorders>
              <w:top w:val="nil"/>
              <w:bottom w:val="single" w:sz="4" w:space="0" w:color="auto"/>
            </w:tcBorders>
          </w:tcPr>
          <w:p w14:paraId="4B2253D9" w14:textId="77777777" w:rsidR="00620C2A" w:rsidRPr="0019710B" w:rsidRDefault="00620C2A" w:rsidP="00457B8D">
            <w:pPr>
              <w:pStyle w:val="Tabletext"/>
              <w:rPr>
                <w:lang w:val="es-ES_tradnl"/>
              </w:rPr>
            </w:pPr>
          </w:p>
        </w:tc>
        <w:tc>
          <w:tcPr>
            <w:tcW w:w="914" w:type="pct"/>
            <w:tcBorders>
              <w:top w:val="nil"/>
              <w:bottom w:val="single" w:sz="4" w:space="0" w:color="auto"/>
            </w:tcBorders>
          </w:tcPr>
          <w:p w14:paraId="7EF784EB" w14:textId="5F20F020" w:rsidR="00620C2A" w:rsidRPr="0019710B" w:rsidRDefault="00620C2A" w:rsidP="00620C2A">
            <w:pPr>
              <w:pStyle w:val="Tabletext"/>
              <w:rPr>
                <w:lang w:val="es-ES_tradnl"/>
              </w:rPr>
            </w:pPr>
            <w:r w:rsidRPr="0019710B">
              <w:rPr>
                <w:rFonts w:eastAsia="Arial Unicode MS"/>
                <w:lang w:val="es-ES_tradnl"/>
              </w:rPr>
              <w:t>44Rev1 (§9.1),</w:t>
            </w:r>
            <w:r w:rsidR="00693A71">
              <w:rPr>
                <w:rFonts w:eastAsia="Arial Unicode MS"/>
                <w:lang w:val="es-ES_tradnl"/>
              </w:rPr>
              <w:br/>
            </w:r>
            <w:r w:rsidRPr="0019710B">
              <w:rPr>
                <w:rFonts w:eastAsia="Arial Unicode MS"/>
                <w:lang w:val="es-ES_tradnl"/>
              </w:rPr>
              <w:t>INF/14 (C22/53)</w:t>
            </w:r>
          </w:p>
        </w:tc>
        <w:tc>
          <w:tcPr>
            <w:tcW w:w="3737" w:type="pct"/>
            <w:tcBorders>
              <w:top w:val="nil"/>
              <w:bottom w:val="single" w:sz="4" w:space="0" w:color="auto"/>
            </w:tcBorders>
          </w:tcPr>
          <w:p w14:paraId="78B32A72" w14:textId="1F4A3812" w:rsidR="00620C2A" w:rsidRPr="0019710B" w:rsidRDefault="00620C2A" w:rsidP="00620C2A">
            <w:pPr>
              <w:pStyle w:val="Tabletext"/>
              <w:rPr>
                <w:rFonts w:eastAsia="Arial Unicode MS"/>
                <w:lang w:val="es-ES_tradnl"/>
              </w:rPr>
            </w:pPr>
            <w:r w:rsidRPr="0019710B">
              <w:rPr>
                <w:rFonts w:eastAsia="Arial Unicode MS"/>
                <w:lang w:val="es-ES_tradnl"/>
              </w:rPr>
              <w:t>El GAR tomó nota de que en la reunión del Consejo de 2022 se refrendó, con algunas modificaciones, el proyecto de marco político sobre el plurilingüismo (C22/53), Documento RAG/INFO/14.</w:t>
            </w:r>
            <w:r w:rsidR="00CA596E" w:rsidRPr="0019710B">
              <w:rPr>
                <w:rFonts w:eastAsia="Arial Unicode MS"/>
                <w:lang w:val="es-ES_tradnl"/>
              </w:rPr>
              <w:t xml:space="preserve"> </w:t>
            </w:r>
            <w:r w:rsidRPr="0019710B">
              <w:rPr>
                <w:rFonts w:eastAsia="Arial Unicode MS"/>
                <w:lang w:val="es-ES_tradnl"/>
              </w:rPr>
              <w:t>El GAR también tomó nota de que el Consejo ha solicitado a la Secretaría que elabore las directrices administrativas y operativas para aplicar el marco normativo sobre plurilingüismo y las presente en la próxima reunión del Consejo de la UIT en 2023.</w:t>
            </w:r>
            <w:r w:rsidR="00CA596E" w:rsidRPr="0019710B">
              <w:rPr>
                <w:rFonts w:eastAsia="Arial Unicode MS"/>
                <w:lang w:val="es-ES_tradnl"/>
              </w:rPr>
              <w:t xml:space="preserve"> </w:t>
            </w:r>
            <w:r w:rsidRPr="0019710B">
              <w:rPr>
                <w:rFonts w:eastAsia="Arial Unicode MS"/>
                <w:lang w:val="es-ES_tradnl"/>
              </w:rPr>
              <w:t>El GAR instó a la UIT a remitir las secciones de las directrices operativas con referencias terminológicas al CCT para que éste formule sus comentarios, y añadió que la próxima reunión del CCT está prevista para el 3 de junio.</w:t>
            </w:r>
            <w:r w:rsidR="00CA596E" w:rsidRPr="0019710B">
              <w:rPr>
                <w:rFonts w:eastAsia="Arial Unicode MS"/>
                <w:lang w:val="es-ES_tradnl"/>
              </w:rPr>
              <w:t xml:space="preserve"> </w:t>
            </w:r>
            <w:r w:rsidRPr="0019710B">
              <w:rPr>
                <w:rFonts w:eastAsia="Arial Unicode MS"/>
                <w:lang w:val="es-ES_tradnl"/>
              </w:rPr>
              <w:t>El GAR observ</w:t>
            </w:r>
            <w:r w:rsidR="00693A71">
              <w:rPr>
                <w:rFonts w:eastAsia="Arial Unicode MS"/>
                <w:lang w:val="es-ES_tradnl"/>
              </w:rPr>
              <w:t>ó</w:t>
            </w:r>
            <w:r w:rsidRPr="0019710B">
              <w:rPr>
                <w:rFonts w:eastAsia="Arial Unicode MS"/>
                <w:lang w:val="es-ES_tradnl"/>
              </w:rPr>
              <w:t xml:space="preserve"> además que los debates en el Consejo de 2022 relativos a la utilización de idiomas adicionales se refirieron al posible uso de idiomas locales en las oficinas regionales o los sitios web y no en la ampliación de la lista de idiomas oficiales de la UIT.</w:t>
            </w:r>
          </w:p>
        </w:tc>
      </w:tr>
      <w:tr w:rsidR="00350F58" w:rsidRPr="00C216C9" w14:paraId="3C00A68E" w14:textId="77777777" w:rsidTr="00606FE5">
        <w:trPr>
          <w:trHeight w:val="443"/>
          <w:jc w:val="center"/>
        </w:trPr>
        <w:tc>
          <w:tcPr>
            <w:tcW w:w="349" w:type="pct"/>
            <w:tcBorders>
              <w:bottom w:val="nil"/>
            </w:tcBorders>
          </w:tcPr>
          <w:p w14:paraId="5D67DE95" w14:textId="77777777" w:rsidR="00350F58" w:rsidRPr="0019710B" w:rsidRDefault="00350F58" w:rsidP="00457B8D">
            <w:pPr>
              <w:pStyle w:val="Tabletext"/>
              <w:rPr>
                <w:rFonts w:eastAsia="Arial Unicode MS"/>
                <w:lang w:val="es-ES_tradnl"/>
              </w:rPr>
            </w:pPr>
            <w:r w:rsidRPr="0019710B">
              <w:rPr>
                <w:rFonts w:eastAsia="Arial Unicode MS"/>
                <w:lang w:val="es-ES_tradnl"/>
              </w:rPr>
              <w:t>5</w:t>
            </w:r>
          </w:p>
        </w:tc>
        <w:tc>
          <w:tcPr>
            <w:tcW w:w="914" w:type="pct"/>
            <w:tcBorders>
              <w:bottom w:val="nil"/>
            </w:tcBorders>
          </w:tcPr>
          <w:p w14:paraId="595F48A4" w14:textId="6B85CEAC" w:rsidR="00C454B9" w:rsidRPr="0019710B" w:rsidRDefault="00451B6C" w:rsidP="00103DFA">
            <w:pPr>
              <w:pStyle w:val="Tabletext"/>
              <w:rPr>
                <w:rFonts w:eastAsia="Arial Unicode MS"/>
                <w:lang w:val="es-ES_tradnl"/>
              </w:rPr>
            </w:pPr>
            <w:r w:rsidRPr="0019710B">
              <w:rPr>
                <w:rFonts w:eastAsia="Arial Unicode MS"/>
                <w:lang w:val="es-ES_tradnl"/>
              </w:rPr>
              <w:t>Aplicación</w:t>
            </w:r>
            <w:r w:rsidR="0026681C" w:rsidRPr="0019710B">
              <w:rPr>
                <w:rFonts w:eastAsia="Arial Unicode MS"/>
                <w:lang w:val="es-ES_tradnl"/>
              </w:rPr>
              <w:t xml:space="preserve"> de las decisiones de la CMR 19</w:t>
            </w:r>
          </w:p>
        </w:tc>
        <w:tc>
          <w:tcPr>
            <w:tcW w:w="3737" w:type="pct"/>
            <w:tcBorders>
              <w:bottom w:val="nil"/>
            </w:tcBorders>
          </w:tcPr>
          <w:p w14:paraId="6D038B37" w14:textId="2743B50F" w:rsidR="00350F58" w:rsidRPr="0019710B" w:rsidRDefault="00684020" w:rsidP="00103DFA">
            <w:pPr>
              <w:pStyle w:val="Tabletext"/>
              <w:rPr>
                <w:rFonts w:eastAsia="Arial Unicode MS"/>
                <w:lang w:val="es-ES_tradnl"/>
              </w:rPr>
            </w:pPr>
            <w:r w:rsidRPr="0019710B">
              <w:rPr>
                <w:rFonts w:eastAsia="Arial Unicode MS"/>
                <w:lang w:val="es-ES_tradnl"/>
              </w:rPr>
              <w:t>El GAR tomó nota con satisfacción de la información facilitada sobre la aplicación de las decisiones de la CMR-19 relativas a los servicios terrenales, los servicios espaciales y otras medidas para aplicar las decisiones de la CMR-19.</w:t>
            </w:r>
          </w:p>
        </w:tc>
      </w:tr>
      <w:tr w:rsidR="00620C2A" w:rsidRPr="0019710B" w14:paraId="114F02C9" w14:textId="77777777" w:rsidTr="00606FE5">
        <w:trPr>
          <w:trHeight w:val="57"/>
          <w:jc w:val="center"/>
        </w:trPr>
        <w:tc>
          <w:tcPr>
            <w:tcW w:w="349" w:type="pct"/>
            <w:tcBorders>
              <w:top w:val="nil"/>
              <w:bottom w:val="single" w:sz="4" w:space="0" w:color="auto"/>
            </w:tcBorders>
          </w:tcPr>
          <w:p w14:paraId="6AFC867C" w14:textId="77777777" w:rsidR="00620C2A" w:rsidRPr="0019710B" w:rsidRDefault="00620C2A" w:rsidP="00457B8D">
            <w:pPr>
              <w:pStyle w:val="Tabletext"/>
              <w:rPr>
                <w:rFonts w:eastAsia="Arial Unicode MS"/>
                <w:lang w:val="es-ES_tradnl"/>
              </w:rPr>
            </w:pPr>
          </w:p>
        </w:tc>
        <w:tc>
          <w:tcPr>
            <w:tcW w:w="914" w:type="pct"/>
            <w:tcBorders>
              <w:top w:val="nil"/>
              <w:bottom w:val="single" w:sz="4" w:space="0" w:color="auto"/>
            </w:tcBorders>
          </w:tcPr>
          <w:p w14:paraId="74C02068" w14:textId="77777777" w:rsidR="00620C2A" w:rsidRPr="0019710B" w:rsidRDefault="00620C2A" w:rsidP="00620C2A">
            <w:pPr>
              <w:pStyle w:val="Tabletext"/>
              <w:rPr>
                <w:rFonts w:eastAsia="Arial Unicode MS"/>
                <w:lang w:val="es-ES_tradnl"/>
              </w:rPr>
            </w:pPr>
            <w:r w:rsidRPr="0019710B">
              <w:rPr>
                <w:rFonts w:eastAsia="Arial Unicode MS"/>
                <w:lang w:val="es-ES_tradnl"/>
              </w:rPr>
              <w:t>44Rev1 (§3)</w:t>
            </w:r>
          </w:p>
        </w:tc>
        <w:tc>
          <w:tcPr>
            <w:tcW w:w="3737" w:type="pct"/>
            <w:tcBorders>
              <w:top w:val="nil"/>
              <w:bottom w:val="single" w:sz="4" w:space="0" w:color="auto"/>
            </w:tcBorders>
          </w:tcPr>
          <w:p w14:paraId="09A81C36" w14:textId="77777777" w:rsidR="00620C2A" w:rsidRPr="0019710B" w:rsidRDefault="00620C2A" w:rsidP="00620C2A">
            <w:pPr>
              <w:pStyle w:val="Tabletext"/>
              <w:rPr>
                <w:rFonts w:eastAsia="Arial Unicode MS"/>
                <w:lang w:val="es-ES_tradnl"/>
              </w:rPr>
            </w:pPr>
            <w:r w:rsidRPr="0019710B">
              <w:rPr>
                <w:rFonts w:eastAsia="Arial Unicode MS"/>
                <w:lang w:val="es-ES_tradnl"/>
              </w:rPr>
              <w:t>El GAR agradeció al Director las medidas adoptadas para aplicar las decisiones de la CMR-19.</w:t>
            </w:r>
          </w:p>
        </w:tc>
      </w:tr>
      <w:tr w:rsidR="00350F58" w:rsidRPr="00C216C9" w14:paraId="4AE0A243" w14:textId="77777777" w:rsidTr="00606FE5">
        <w:trPr>
          <w:trHeight w:val="356"/>
          <w:jc w:val="center"/>
        </w:trPr>
        <w:tc>
          <w:tcPr>
            <w:tcW w:w="349" w:type="pct"/>
            <w:tcBorders>
              <w:bottom w:val="nil"/>
            </w:tcBorders>
          </w:tcPr>
          <w:p w14:paraId="00026CE2" w14:textId="77777777" w:rsidR="00350F58" w:rsidRPr="0019710B" w:rsidRDefault="00350F58" w:rsidP="00457B8D">
            <w:pPr>
              <w:pStyle w:val="Tabletext"/>
              <w:rPr>
                <w:rFonts w:eastAsia="Arial Unicode MS"/>
                <w:lang w:val="es-ES_tradnl"/>
              </w:rPr>
            </w:pPr>
            <w:r w:rsidRPr="0019710B">
              <w:rPr>
                <w:rFonts w:eastAsia="Arial Unicode MS"/>
                <w:lang w:val="es-ES_tradnl"/>
              </w:rPr>
              <w:t>6</w:t>
            </w:r>
          </w:p>
        </w:tc>
        <w:tc>
          <w:tcPr>
            <w:tcW w:w="914" w:type="pct"/>
            <w:tcBorders>
              <w:bottom w:val="nil"/>
            </w:tcBorders>
          </w:tcPr>
          <w:p w14:paraId="41FA722D" w14:textId="7C388736" w:rsidR="00B85A30" w:rsidRPr="0019710B" w:rsidRDefault="00460C08" w:rsidP="00457B8D">
            <w:pPr>
              <w:pStyle w:val="Tabletext"/>
              <w:rPr>
                <w:rFonts w:eastAsia="Arial Unicode MS"/>
                <w:lang w:val="es-ES_tradnl"/>
              </w:rPr>
            </w:pPr>
            <w:r w:rsidRPr="0019710B">
              <w:rPr>
                <w:rFonts w:eastAsia="Arial Unicode MS"/>
                <w:lang w:val="es-ES_tradnl"/>
              </w:rPr>
              <w:t>Actividades de las Comisiones de Estudio</w:t>
            </w:r>
          </w:p>
        </w:tc>
        <w:tc>
          <w:tcPr>
            <w:tcW w:w="3737" w:type="pct"/>
            <w:tcBorders>
              <w:bottom w:val="nil"/>
            </w:tcBorders>
          </w:tcPr>
          <w:p w14:paraId="7B962A45" w14:textId="1FA8193B" w:rsidR="004B3027" w:rsidRPr="0019710B" w:rsidRDefault="00205812" w:rsidP="00457B8D">
            <w:pPr>
              <w:pStyle w:val="Tabletext"/>
              <w:rPr>
                <w:rFonts w:eastAsia="Arial Unicode MS"/>
                <w:lang w:val="es-ES_tradnl"/>
              </w:rPr>
            </w:pPr>
            <w:r w:rsidRPr="0019710B">
              <w:rPr>
                <w:rFonts w:eastAsia="Arial Unicode MS"/>
                <w:lang w:val="es-ES_tradnl"/>
              </w:rPr>
              <w:t xml:space="preserve">El GAR tomó nota del informe del Departamento de Comisiones de Estudio del UIT-R que figura en el </w:t>
            </w:r>
            <w:r w:rsidR="00294CBF" w:rsidRPr="0019710B">
              <w:rPr>
                <w:rFonts w:eastAsia="Arial Unicode MS"/>
                <w:lang w:val="es-ES_tradnl"/>
              </w:rPr>
              <w:t>D</w:t>
            </w:r>
            <w:r w:rsidRPr="0019710B">
              <w:rPr>
                <w:rFonts w:eastAsia="Arial Unicode MS"/>
                <w:lang w:val="es-ES_tradnl"/>
              </w:rPr>
              <w:t>ocumento RAG21/</w:t>
            </w:r>
            <w:r w:rsidR="00611A1B" w:rsidRPr="0019710B">
              <w:rPr>
                <w:rFonts w:eastAsia="Arial Unicode MS"/>
                <w:lang w:val="es-ES_tradnl"/>
              </w:rPr>
              <w:t>44Rev1</w:t>
            </w:r>
            <w:r w:rsidR="001B03B1" w:rsidRPr="0019710B">
              <w:rPr>
                <w:rFonts w:eastAsia="Arial Unicode MS"/>
                <w:lang w:val="es-ES_tradnl"/>
              </w:rPr>
              <w:t> </w:t>
            </w:r>
            <w:r w:rsidRPr="0019710B">
              <w:rPr>
                <w:rFonts w:eastAsia="Arial Unicode MS"/>
                <w:lang w:val="es-ES_tradnl"/>
              </w:rPr>
              <w:t>Add.1</w:t>
            </w:r>
            <w:r w:rsidR="00AC6EFB" w:rsidRPr="0019710B">
              <w:rPr>
                <w:rFonts w:eastAsia="Arial Unicode MS"/>
                <w:lang w:val="es-ES_tradnl"/>
              </w:rPr>
              <w:t>.</w:t>
            </w:r>
          </w:p>
        </w:tc>
      </w:tr>
      <w:tr w:rsidR="00620C2A" w:rsidRPr="00C216C9" w14:paraId="5FD43F60" w14:textId="77777777" w:rsidTr="00606FE5">
        <w:trPr>
          <w:trHeight w:val="2918"/>
          <w:jc w:val="center"/>
        </w:trPr>
        <w:tc>
          <w:tcPr>
            <w:tcW w:w="349" w:type="pct"/>
            <w:tcBorders>
              <w:top w:val="nil"/>
              <w:bottom w:val="single" w:sz="4" w:space="0" w:color="auto"/>
            </w:tcBorders>
          </w:tcPr>
          <w:p w14:paraId="0113A379" w14:textId="77777777" w:rsidR="00620C2A" w:rsidRPr="0019710B" w:rsidRDefault="00620C2A" w:rsidP="00457B8D">
            <w:pPr>
              <w:pStyle w:val="Tabletext"/>
              <w:rPr>
                <w:rFonts w:eastAsia="Arial Unicode MS"/>
                <w:lang w:val="es-ES_tradnl"/>
              </w:rPr>
            </w:pPr>
          </w:p>
        </w:tc>
        <w:tc>
          <w:tcPr>
            <w:tcW w:w="914" w:type="pct"/>
            <w:tcBorders>
              <w:top w:val="nil"/>
              <w:bottom w:val="single" w:sz="4" w:space="0" w:color="auto"/>
            </w:tcBorders>
          </w:tcPr>
          <w:p w14:paraId="697307B6" w14:textId="7591FA34" w:rsidR="00620C2A" w:rsidRPr="0019710B" w:rsidRDefault="00620C2A" w:rsidP="00457B8D">
            <w:pPr>
              <w:pStyle w:val="Tabletext"/>
              <w:rPr>
                <w:rFonts w:eastAsia="Arial Unicode MS"/>
                <w:lang w:val="es-ES_tradnl"/>
              </w:rPr>
            </w:pPr>
            <w:r w:rsidRPr="0019710B">
              <w:rPr>
                <w:rFonts w:eastAsia="Arial Unicode MS"/>
                <w:lang w:val="es-ES_tradnl"/>
              </w:rPr>
              <w:t xml:space="preserve">44-Rev1 (§4), </w:t>
            </w:r>
            <w:r w:rsidRPr="0019710B">
              <w:rPr>
                <w:rFonts w:eastAsia="Arial Unicode MS"/>
                <w:lang w:val="es-ES_tradnl"/>
              </w:rPr>
              <w:br/>
              <w:t>44Rev1 Add.1</w:t>
            </w:r>
          </w:p>
        </w:tc>
        <w:tc>
          <w:tcPr>
            <w:tcW w:w="3737" w:type="pct"/>
            <w:tcBorders>
              <w:top w:val="nil"/>
              <w:bottom w:val="single" w:sz="4" w:space="0" w:color="auto"/>
            </w:tcBorders>
          </w:tcPr>
          <w:p w14:paraId="0B2BECD5" w14:textId="565E1210" w:rsidR="00620C2A" w:rsidRPr="0019710B" w:rsidRDefault="00620C2A" w:rsidP="00620C2A">
            <w:pPr>
              <w:pStyle w:val="Tabletext"/>
              <w:rPr>
                <w:rFonts w:eastAsia="Arial Unicode MS"/>
                <w:lang w:val="es-ES_tradnl"/>
              </w:rPr>
            </w:pPr>
            <w:r w:rsidRPr="0019710B">
              <w:rPr>
                <w:rFonts w:eastAsia="Arial Unicode MS"/>
                <w:lang w:val="es-ES_tradnl"/>
              </w:rPr>
              <w:t>El GAR agradeció el excelente apoyo y la profesionalidad del Departamento de las Comisiones de Estudio de la BR, en particular a los consejeros de las Comisiones de Estudio, así como los esfuerzos de los Departamentos de Servicios Espaciales y Terrenales de la BR por sus contribuciones técnicas, que incluyen excelentes contribuciones en materia de estadísticas, en especial las relativas a los puntos del orden del día de la CMR-23 y a los trabajos conexos en las Comisiones de Estudio del UIT-R.</w:t>
            </w:r>
            <w:r w:rsidR="00CA596E" w:rsidRPr="0019710B">
              <w:rPr>
                <w:rFonts w:eastAsia="Arial Unicode MS"/>
                <w:lang w:val="es-ES_tradnl"/>
              </w:rPr>
              <w:t xml:space="preserve"> </w:t>
            </w:r>
          </w:p>
          <w:p w14:paraId="2F296D10" w14:textId="77777777" w:rsidR="00620C2A" w:rsidRPr="0019710B" w:rsidRDefault="00620C2A" w:rsidP="00620C2A">
            <w:pPr>
              <w:pStyle w:val="Tabletext"/>
              <w:rPr>
                <w:rFonts w:eastAsia="Arial Unicode MS"/>
                <w:lang w:val="es-ES_tradnl"/>
              </w:rPr>
            </w:pPr>
            <w:r w:rsidRPr="0019710B">
              <w:rPr>
                <w:rFonts w:eastAsia="Arial Unicode MS"/>
                <w:lang w:val="es-ES_tradnl"/>
              </w:rPr>
              <w:t>El GAR dio las gracias al Director y al Jefe del Departamento de Comisiones de Estudio por haber proseguido los trabajos durante la pandemia y reconoció las ventajas de seguir ofreciendo la participación a distancia en las reuniones del UIT-R.</w:t>
            </w:r>
          </w:p>
          <w:p w14:paraId="6349D5CD" w14:textId="77777777" w:rsidR="00620C2A" w:rsidRPr="0019710B" w:rsidRDefault="00620C2A" w:rsidP="00620C2A">
            <w:pPr>
              <w:pStyle w:val="Tabletext"/>
              <w:rPr>
                <w:rFonts w:eastAsia="Arial Unicode MS"/>
                <w:lang w:val="es-ES_tradnl"/>
              </w:rPr>
            </w:pPr>
            <w:r w:rsidRPr="0019710B">
              <w:rPr>
                <w:rFonts w:eastAsia="Arial Unicode MS"/>
                <w:lang w:val="es-ES_tradnl"/>
              </w:rPr>
              <w:t>El GAR tomó nota de la propuesta de instar a los Presidentes de los Grupos de Trabajo y de las Comisiones de Estudio del UIT-R a que, en la medida de lo posible, publiquen los órdenes del día y otros documentos administrativos en forma de ADM.</w:t>
            </w:r>
          </w:p>
          <w:p w14:paraId="229C1542" w14:textId="77777777" w:rsidR="00620C2A" w:rsidRPr="0019710B" w:rsidRDefault="00620C2A" w:rsidP="00620C2A">
            <w:pPr>
              <w:pStyle w:val="Tabletext"/>
              <w:rPr>
                <w:rFonts w:eastAsia="Arial Unicode MS"/>
                <w:lang w:val="es-ES_tradnl"/>
              </w:rPr>
            </w:pPr>
            <w:r w:rsidRPr="0019710B">
              <w:rPr>
                <w:rFonts w:eastAsia="Arial Unicode MS"/>
                <w:lang w:val="es-ES_tradnl"/>
              </w:rPr>
              <w:t>El GAR instó a los Presidentes de los Grupos de Trabajo a que estudien el asunto y decidan según corresponda.</w:t>
            </w:r>
          </w:p>
          <w:p w14:paraId="58E83B26" w14:textId="39EA1868" w:rsidR="00620C2A" w:rsidRPr="0019710B" w:rsidRDefault="00620C2A" w:rsidP="00620C2A">
            <w:pPr>
              <w:pStyle w:val="Tabletext"/>
              <w:rPr>
                <w:rFonts w:eastAsia="Calibri" w:cstheme="minorBidi"/>
                <w:sz w:val="32"/>
                <w:szCs w:val="40"/>
                <w:lang w:val="es-ES_tradnl"/>
              </w:rPr>
            </w:pPr>
            <w:r w:rsidRPr="0019710B">
              <w:rPr>
                <w:rFonts w:eastAsia="Arial Unicode MS"/>
                <w:lang w:val="es-ES_tradnl"/>
              </w:rPr>
              <w:t xml:space="preserve">El GAR tomó nota </w:t>
            </w:r>
            <w:r w:rsidR="00606FE5">
              <w:rPr>
                <w:rFonts w:eastAsia="Arial Unicode MS"/>
                <w:lang w:val="es-ES_tradnl"/>
              </w:rPr>
              <w:t xml:space="preserve">de </w:t>
            </w:r>
            <w:r w:rsidRPr="0019710B">
              <w:rPr>
                <w:rFonts w:eastAsia="Arial Unicode MS"/>
                <w:lang w:val="es-ES_tradnl"/>
              </w:rPr>
              <w:t>las deliberaciones sobre los estudios relativos a la aplicación del número 21.5 del RR.</w:t>
            </w:r>
          </w:p>
          <w:p w14:paraId="7CFBB824" w14:textId="77777777" w:rsidR="00620C2A" w:rsidRPr="0019710B" w:rsidRDefault="00620C2A" w:rsidP="00620C2A">
            <w:pPr>
              <w:pStyle w:val="Tabletext"/>
              <w:rPr>
                <w:rFonts w:eastAsia="Arial Unicode MS"/>
                <w:lang w:val="es-ES_tradnl"/>
              </w:rPr>
            </w:pPr>
            <w:r w:rsidRPr="0019710B">
              <w:rPr>
                <w:rFonts w:eastAsia="Calibri" w:cstheme="minorBidi"/>
                <w:szCs w:val="24"/>
                <w:lang w:val="es-ES_tradnl"/>
              </w:rPr>
              <w:t xml:space="preserve">El GAR alentó a los miembros del UIT-R a seguir participando activamente en los estudios en curso que se mencionan en el </w:t>
            </w:r>
            <w:hyperlink r:id="rId13" w:history="1">
              <w:r w:rsidRPr="0019710B">
                <w:rPr>
                  <w:rStyle w:val="Hyperlink"/>
                  <w:rFonts w:asciiTheme="minorHAnsi" w:eastAsia="Calibri" w:hAnsiTheme="minorHAnsi" w:cstheme="minorBidi"/>
                  <w:szCs w:val="24"/>
                  <w:lang w:val="es-ES_tradnl"/>
                </w:rPr>
                <w:t>Documento 550</w:t>
              </w:r>
            </w:hyperlink>
            <w:r w:rsidRPr="0019710B">
              <w:rPr>
                <w:rFonts w:eastAsia="Calibri" w:cstheme="minorBidi"/>
                <w:szCs w:val="24"/>
                <w:lang w:val="es-ES_tradnl"/>
              </w:rPr>
              <w:t xml:space="preserve"> de la CMR-19 con objeto de concluir puntualmente los resultados previstos para su aplicación por la Oficina.</w:t>
            </w:r>
          </w:p>
        </w:tc>
      </w:tr>
      <w:tr w:rsidR="00350F58" w:rsidRPr="00C216C9" w14:paraId="62ED91B1" w14:textId="77777777" w:rsidTr="00606FE5">
        <w:trPr>
          <w:trHeight w:val="841"/>
          <w:jc w:val="center"/>
        </w:trPr>
        <w:tc>
          <w:tcPr>
            <w:tcW w:w="349" w:type="pct"/>
            <w:tcBorders>
              <w:bottom w:val="nil"/>
            </w:tcBorders>
          </w:tcPr>
          <w:p w14:paraId="26BDAE4C" w14:textId="77777777" w:rsidR="00350F58" w:rsidRPr="0019710B" w:rsidRDefault="00350F58" w:rsidP="00457B8D">
            <w:pPr>
              <w:pStyle w:val="Tabletext"/>
              <w:rPr>
                <w:lang w:val="es-ES_tradnl"/>
              </w:rPr>
            </w:pPr>
            <w:r w:rsidRPr="0019710B">
              <w:rPr>
                <w:lang w:val="es-ES_tradnl"/>
              </w:rPr>
              <w:t>7</w:t>
            </w:r>
          </w:p>
        </w:tc>
        <w:tc>
          <w:tcPr>
            <w:tcW w:w="914" w:type="pct"/>
            <w:tcBorders>
              <w:bottom w:val="nil"/>
            </w:tcBorders>
          </w:tcPr>
          <w:p w14:paraId="4E39242B" w14:textId="16E49249" w:rsidR="00451B6C" w:rsidRPr="0019710B" w:rsidRDefault="00451B6C" w:rsidP="00457B8D">
            <w:pPr>
              <w:pStyle w:val="Tabletext"/>
              <w:rPr>
                <w:szCs w:val="24"/>
                <w:lang w:val="es-ES_tradnl"/>
              </w:rPr>
            </w:pPr>
            <w:r w:rsidRPr="0019710B">
              <w:rPr>
                <w:rFonts w:eastAsia="Arial Unicode MS"/>
                <w:lang w:val="es-ES_tradnl"/>
              </w:rPr>
              <w:t>Orden del día de la CMR-23, fechas y lugar de celebración, y preparativos conexos</w:t>
            </w:r>
          </w:p>
        </w:tc>
        <w:tc>
          <w:tcPr>
            <w:tcW w:w="3737" w:type="pct"/>
            <w:tcBorders>
              <w:bottom w:val="nil"/>
            </w:tcBorders>
          </w:tcPr>
          <w:p w14:paraId="2796E575" w14:textId="01E7A351" w:rsidR="007A1325" w:rsidRPr="0019710B" w:rsidRDefault="00606FE5" w:rsidP="00457B8D">
            <w:pPr>
              <w:pStyle w:val="Tabletext"/>
              <w:rPr>
                <w:rFonts w:eastAsia="Arial Unicode MS"/>
                <w:lang w:val="es-ES_tradnl"/>
              </w:rPr>
            </w:pPr>
            <w:r w:rsidRPr="0019710B">
              <w:rPr>
                <w:rFonts w:eastAsia="Arial Unicode MS"/>
                <w:lang w:val="es-ES_tradnl"/>
              </w:rPr>
              <w:t xml:space="preserve">El GAR tomó nota con satisfacción del informe sobre los preparativos de la CMR-23. </w:t>
            </w:r>
            <w:r w:rsidR="00451B6C" w:rsidRPr="0019710B">
              <w:rPr>
                <w:rFonts w:eastAsia="Arial Unicode MS"/>
                <w:lang w:val="es-ES_tradnl"/>
              </w:rPr>
              <w:t>El GAR tomó nota de que el Consejo adoptó el Acuerdo 623</w:t>
            </w:r>
            <w:r w:rsidR="0063524E">
              <w:rPr>
                <w:rFonts w:eastAsia="Arial Unicode MS"/>
                <w:lang w:val="es-ES_tradnl"/>
              </w:rPr>
              <w:t xml:space="preserve"> en su reunión de </w:t>
            </w:r>
            <w:r w:rsidR="0063524E" w:rsidRPr="0019710B">
              <w:rPr>
                <w:rFonts w:eastAsia="Arial Unicode MS"/>
                <w:lang w:val="es-ES_tradnl"/>
              </w:rPr>
              <w:t>2021</w:t>
            </w:r>
            <w:r w:rsidR="00451B6C" w:rsidRPr="0019710B">
              <w:rPr>
                <w:rFonts w:eastAsia="Arial Unicode MS"/>
                <w:lang w:val="es-ES_tradnl"/>
              </w:rPr>
              <w:t xml:space="preserve">, por medio del cual los Estados Miembros aprobaron que la próxima Conferencia Mundial de Radiocomunicaciones se celebre en Abu Dhabi o en Dubái, EAU, del 20 de noviembre al 15 de diciembre de 2023, precedida por la Asamblea de Radiocomunicaciones </w:t>
            </w:r>
            <w:r>
              <w:rPr>
                <w:rFonts w:eastAsia="Arial Unicode MS"/>
                <w:lang w:val="es-ES_tradnl"/>
              </w:rPr>
              <w:t xml:space="preserve">de </w:t>
            </w:r>
            <w:r w:rsidR="00451B6C" w:rsidRPr="0019710B">
              <w:rPr>
                <w:rFonts w:eastAsia="Arial Unicode MS"/>
                <w:lang w:val="es-ES_tradnl"/>
              </w:rPr>
              <w:t xml:space="preserve">2023 (AR-23) del 13 al 17 de noviembre de 2023. </w:t>
            </w:r>
          </w:p>
        </w:tc>
      </w:tr>
      <w:tr w:rsidR="00620C2A" w:rsidRPr="00C216C9" w14:paraId="53B820C7" w14:textId="77777777" w:rsidTr="00606FE5">
        <w:trPr>
          <w:trHeight w:val="1714"/>
          <w:jc w:val="center"/>
        </w:trPr>
        <w:tc>
          <w:tcPr>
            <w:tcW w:w="349" w:type="pct"/>
            <w:tcBorders>
              <w:top w:val="nil"/>
            </w:tcBorders>
          </w:tcPr>
          <w:p w14:paraId="44BBDB1D" w14:textId="77777777" w:rsidR="00620C2A" w:rsidRPr="0019710B" w:rsidRDefault="00620C2A" w:rsidP="00457B8D">
            <w:pPr>
              <w:pStyle w:val="Tabletext"/>
              <w:rPr>
                <w:lang w:val="es-ES_tradnl"/>
              </w:rPr>
            </w:pPr>
          </w:p>
        </w:tc>
        <w:tc>
          <w:tcPr>
            <w:tcW w:w="914" w:type="pct"/>
            <w:tcBorders>
              <w:top w:val="nil"/>
            </w:tcBorders>
          </w:tcPr>
          <w:p w14:paraId="75D1CCC3" w14:textId="77777777" w:rsidR="00620C2A" w:rsidRPr="0019710B" w:rsidRDefault="00620C2A" w:rsidP="00620C2A">
            <w:pPr>
              <w:pStyle w:val="Tabletext"/>
              <w:rPr>
                <w:rFonts w:eastAsia="Arial Unicode MS"/>
                <w:lang w:val="es-ES_tradnl"/>
              </w:rPr>
            </w:pPr>
            <w:r w:rsidRPr="0019710B">
              <w:rPr>
                <w:rFonts w:eastAsia="Arial Unicode MS"/>
                <w:lang w:val="es-ES_tradnl"/>
              </w:rPr>
              <w:t>44Rev1 (§5)</w:t>
            </w:r>
          </w:p>
        </w:tc>
        <w:tc>
          <w:tcPr>
            <w:tcW w:w="3737" w:type="pct"/>
            <w:tcBorders>
              <w:top w:val="nil"/>
            </w:tcBorders>
          </w:tcPr>
          <w:p w14:paraId="49D05361" w14:textId="77777777" w:rsidR="00620C2A" w:rsidRPr="0019710B" w:rsidRDefault="00620C2A" w:rsidP="00620C2A">
            <w:pPr>
              <w:pStyle w:val="Tabletext"/>
              <w:rPr>
                <w:rFonts w:eastAsia="Arial Unicode MS"/>
                <w:lang w:val="es-ES_tradnl"/>
              </w:rPr>
            </w:pPr>
            <w:r w:rsidRPr="0019710B">
              <w:rPr>
                <w:rFonts w:eastAsia="Arial Unicode MS"/>
                <w:lang w:val="es-ES_tradnl"/>
              </w:rPr>
              <w:t xml:space="preserve">El GAR manifestó su agradecimiento por los esfuerzos desplegados por la BR, el Director, el Director Adjunto, los Jefes de Departamento y todo el personal de la BR por su infatigable y valiosa labor, que transciende sus obligaciones. </w:t>
            </w:r>
          </w:p>
          <w:p w14:paraId="581B82BC" w14:textId="77777777" w:rsidR="00620C2A" w:rsidRPr="0019710B" w:rsidRDefault="00620C2A" w:rsidP="00620C2A">
            <w:pPr>
              <w:pStyle w:val="Tabletext"/>
              <w:rPr>
                <w:rFonts w:eastAsia="Arial Unicode MS"/>
                <w:lang w:val="es-ES_tradnl"/>
              </w:rPr>
            </w:pPr>
            <w:r w:rsidRPr="0019710B">
              <w:rPr>
                <w:rFonts w:eastAsia="Arial Unicode MS"/>
                <w:lang w:val="es-ES_tradnl"/>
              </w:rPr>
              <w:t>El GAR tomó nota de las dificultades que están teniendo algunos Grupos de Trabajo para finalizar su proyecto de texto de la RPC dentro del plazo previsto. El GAR reconoció lo siguiente:</w:t>
            </w:r>
          </w:p>
          <w:p w14:paraId="32733F9D" w14:textId="09ABDAF2" w:rsidR="00620C2A" w:rsidRPr="0019710B" w:rsidRDefault="00620C2A" w:rsidP="00620C2A">
            <w:pPr>
              <w:pStyle w:val="Tabletext"/>
              <w:tabs>
                <w:tab w:val="clear" w:pos="284"/>
                <w:tab w:val="clear" w:pos="567"/>
                <w:tab w:val="clear" w:pos="851"/>
                <w:tab w:val="left" w:pos="889"/>
              </w:tabs>
              <w:ind w:left="889" w:hanging="567"/>
              <w:rPr>
                <w:rFonts w:eastAsia="Arial Unicode MS"/>
                <w:lang w:val="es-ES_tradnl"/>
              </w:rPr>
            </w:pPr>
            <w:r w:rsidRPr="0019710B">
              <w:rPr>
                <w:rFonts w:eastAsia="Arial Unicode MS"/>
                <w:lang w:val="es-ES_tradnl"/>
              </w:rPr>
              <w:t>a)</w:t>
            </w:r>
            <w:r w:rsidRPr="0019710B">
              <w:rPr>
                <w:rFonts w:eastAsia="Arial Unicode MS"/>
                <w:lang w:val="es-ES_tradnl"/>
              </w:rPr>
              <w:tab/>
            </w:r>
            <w:r w:rsidR="00606FE5" w:rsidRPr="0019710B">
              <w:rPr>
                <w:rFonts w:eastAsia="Arial Unicode MS"/>
                <w:lang w:val="es-ES_tradnl"/>
              </w:rPr>
              <w:t xml:space="preserve">el </w:t>
            </w:r>
            <w:r w:rsidRPr="0019710B">
              <w:rPr>
                <w:rFonts w:eastAsia="Arial Unicode MS"/>
                <w:lang w:val="es-ES_tradnl"/>
              </w:rPr>
              <w:t>Grupo de Trabajo (GT) 5B se ocupa y es responsable de la elaboración de proyectos de textos de la RPC para 6 de los 19 puntos específicos del orden del día de la CMR-23;</w:t>
            </w:r>
          </w:p>
          <w:p w14:paraId="0A5C314C" w14:textId="7793E0AA" w:rsidR="00620C2A" w:rsidRPr="0019710B" w:rsidRDefault="00620C2A" w:rsidP="00620C2A">
            <w:pPr>
              <w:pStyle w:val="Tabletext"/>
              <w:tabs>
                <w:tab w:val="clear" w:pos="284"/>
                <w:tab w:val="clear" w:pos="567"/>
                <w:tab w:val="clear" w:pos="851"/>
                <w:tab w:val="left" w:pos="889"/>
                <w:tab w:val="left" w:pos="1456"/>
              </w:tabs>
              <w:ind w:left="889" w:hanging="567"/>
              <w:rPr>
                <w:rFonts w:eastAsia="Arial Unicode MS"/>
                <w:lang w:val="es-ES_tradnl"/>
              </w:rPr>
            </w:pPr>
            <w:r w:rsidRPr="0019710B">
              <w:rPr>
                <w:rFonts w:eastAsia="Arial Unicode MS"/>
                <w:lang w:val="es-ES_tradnl"/>
              </w:rPr>
              <w:t>b)</w:t>
            </w:r>
            <w:r w:rsidRPr="0019710B">
              <w:rPr>
                <w:rFonts w:eastAsia="Arial Unicode MS"/>
                <w:lang w:val="es-ES_tradnl"/>
              </w:rPr>
              <w:tab/>
            </w:r>
            <w:r w:rsidR="00606FE5" w:rsidRPr="0019710B">
              <w:rPr>
                <w:rFonts w:eastAsia="Arial Unicode MS"/>
                <w:lang w:val="es-ES_tradnl"/>
              </w:rPr>
              <w:t xml:space="preserve">el </w:t>
            </w:r>
            <w:r w:rsidRPr="0019710B">
              <w:rPr>
                <w:rFonts w:eastAsia="Arial Unicode MS"/>
                <w:lang w:val="es-ES_tradnl"/>
              </w:rPr>
              <w:t xml:space="preserve">GT 5B sólo tiene prevista una reunión más en julio de 2022 antes del 21 de octubre de 2022, plazo fijado por el </w:t>
            </w:r>
            <w:r w:rsidR="00606FE5" w:rsidRPr="0019710B">
              <w:rPr>
                <w:rFonts w:eastAsia="Arial Unicode MS"/>
                <w:lang w:val="es-ES_tradnl"/>
              </w:rPr>
              <w:t xml:space="preserve">equipo </w:t>
            </w:r>
            <w:r w:rsidRPr="0019710B">
              <w:rPr>
                <w:rFonts w:eastAsia="Arial Unicode MS"/>
                <w:lang w:val="es-ES_tradnl"/>
              </w:rPr>
              <w:t xml:space="preserve">de </w:t>
            </w:r>
            <w:r w:rsidR="00606FE5" w:rsidRPr="0019710B">
              <w:rPr>
                <w:rFonts w:eastAsia="Arial Unicode MS"/>
                <w:lang w:val="es-ES_tradnl"/>
              </w:rPr>
              <w:t xml:space="preserve">gestión </w:t>
            </w:r>
            <w:r w:rsidRPr="0019710B">
              <w:rPr>
                <w:rFonts w:eastAsia="Arial Unicode MS"/>
                <w:lang w:val="es-ES_tradnl"/>
              </w:rPr>
              <w:t xml:space="preserve">de la RPC-23, para finalizar los proyectos de textos de la RPC sobre esos 6 puntos del orden del día y presentarlos al </w:t>
            </w:r>
            <w:r w:rsidR="00606FE5" w:rsidRPr="0019710B">
              <w:rPr>
                <w:rFonts w:eastAsia="Arial Unicode MS"/>
                <w:lang w:val="es-ES_tradnl"/>
              </w:rPr>
              <w:t xml:space="preserve">equipo </w:t>
            </w:r>
            <w:r w:rsidRPr="0019710B">
              <w:rPr>
                <w:rFonts w:eastAsia="Arial Unicode MS"/>
                <w:lang w:val="es-ES_tradnl"/>
              </w:rPr>
              <w:t xml:space="preserve">de </w:t>
            </w:r>
            <w:r w:rsidR="00606FE5" w:rsidRPr="0019710B">
              <w:rPr>
                <w:rFonts w:eastAsia="Arial Unicode MS"/>
                <w:lang w:val="es-ES_tradnl"/>
              </w:rPr>
              <w:t xml:space="preserve">gestión </w:t>
            </w:r>
            <w:r w:rsidRPr="0019710B">
              <w:rPr>
                <w:rFonts w:eastAsia="Arial Unicode MS"/>
                <w:lang w:val="es-ES_tradnl"/>
              </w:rPr>
              <w:t>de la RPC;</w:t>
            </w:r>
          </w:p>
          <w:p w14:paraId="0DDBDA1F" w14:textId="7F1ED6CF" w:rsidR="00620C2A" w:rsidRPr="0019710B" w:rsidRDefault="00620C2A" w:rsidP="00620C2A">
            <w:pPr>
              <w:pStyle w:val="Tabletext"/>
              <w:tabs>
                <w:tab w:val="clear" w:pos="284"/>
                <w:tab w:val="clear" w:pos="567"/>
                <w:tab w:val="clear" w:pos="851"/>
                <w:tab w:val="left" w:pos="1031"/>
              </w:tabs>
              <w:ind w:left="889" w:hanging="567"/>
              <w:rPr>
                <w:rFonts w:eastAsia="Arial Unicode MS"/>
                <w:lang w:val="es-ES_tradnl"/>
              </w:rPr>
            </w:pPr>
            <w:r w:rsidRPr="0019710B">
              <w:rPr>
                <w:rFonts w:eastAsia="Arial Unicode MS"/>
                <w:lang w:val="es-ES_tradnl"/>
              </w:rPr>
              <w:t>c)</w:t>
            </w:r>
            <w:r w:rsidRPr="0019710B">
              <w:rPr>
                <w:rFonts w:eastAsia="Arial Unicode MS"/>
                <w:lang w:val="es-ES_tradnl"/>
              </w:rPr>
              <w:tab/>
            </w:r>
            <w:r w:rsidR="00606FE5" w:rsidRPr="0019710B">
              <w:rPr>
                <w:rFonts w:eastAsia="Arial Unicode MS"/>
                <w:lang w:val="es-ES_tradnl"/>
              </w:rPr>
              <w:t xml:space="preserve">la </w:t>
            </w:r>
            <w:r w:rsidRPr="0019710B">
              <w:rPr>
                <w:rFonts w:eastAsia="Arial Unicode MS"/>
                <w:lang w:val="es-ES_tradnl"/>
              </w:rPr>
              <w:t>coyuntura actual debida a la COVID-19 causó considerables dificultades al GT 5B para finalizar a tiempo varios de esos proyectos de textos de la RPC dentro del plazo mencionado, tal como figura en el Addéndum 1 de la Circular Administrativa CA/251.</w:t>
            </w:r>
          </w:p>
          <w:p w14:paraId="464BA2DD" w14:textId="77259F20" w:rsidR="00620C2A" w:rsidRPr="0019710B" w:rsidRDefault="00620C2A" w:rsidP="00620C2A">
            <w:pPr>
              <w:pStyle w:val="Tabletext"/>
              <w:rPr>
                <w:rFonts w:eastAsia="Arial Unicode MS"/>
                <w:lang w:val="es-ES_tradnl"/>
              </w:rPr>
            </w:pPr>
            <w:r w:rsidRPr="0019710B">
              <w:rPr>
                <w:rFonts w:eastAsia="Arial Unicode MS"/>
                <w:lang w:val="es-ES_tradnl"/>
              </w:rPr>
              <w:t>Habida cuenta de lo anterior y sin perjuicio del objetivo establecido en el párrafo A1.7 del Anexo 1 de la Resolución UIT</w:t>
            </w:r>
            <w:r w:rsidR="00606FE5">
              <w:rPr>
                <w:rFonts w:eastAsia="Arial Unicode MS"/>
                <w:lang w:val="es-ES_tradnl"/>
              </w:rPr>
              <w:t>-</w:t>
            </w:r>
            <w:r w:rsidRPr="0019710B">
              <w:rPr>
                <w:rFonts w:eastAsia="Arial Unicode MS"/>
                <w:lang w:val="es-ES_tradnl"/>
              </w:rPr>
              <w:t>R 2</w:t>
            </w:r>
            <w:r w:rsidR="00606FE5">
              <w:rPr>
                <w:rFonts w:eastAsia="Arial Unicode MS"/>
                <w:lang w:val="es-ES_tradnl"/>
              </w:rPr>
              <w:t>-</w:t>
            </w:r>
            <w:r w:rsidRPr="0019710B">
              <w:rPr>
                <w:rFonts w:eastAsia="Arial Unicode MS"/>
                <w:lang w:val="es-ES_tradnl"/>
              </w:rPr>
              <w:t>8, el GAR se mostró partidario de que la Comisión de Dirección de la RPC estudie la situación cuanto antes de cara a una posible modificación, previa solicitud, del plazo de presentación por los respectivos Relatores de capítulo de los proyectos de textos definitivos de la RPC</w:t>
            </w:r>
            <w:r w:rsidR="00CA596E" w:rsidRPr="0019710B">
              <w:rPr>
                <w:rFonts w:eastAsia="Arial Unicode MS"/>
                <w:lang w:val="es-ES_tradnl"/>
              </w:rPr>
              <w:t xml:space="preserve"> </w:t>
            </w:r>
            <w:r w:rsidRPr="0019710B">
              <w:rPr>
                <w:rFonts w:eastAsia="Arial Unicode MS"/>
                <w:lang w:val="es-ES_tradnl"/>
              </w:rPr>
              <w:t>elaborados por el GT 5B y de otros grupos de trabajo, y, de modificarse dicho plazo, que los resultados se consignen en un Addéndum a la Circular Administrativa CA/251.</w:t>
            </w:r>
          </w:p>
          <w:p w14:paraId="5EB3DCB0" w14:textId="273B6A03" w:rsidR="00620C2A" w:rsidRPr="0019710B" w:rsidRDefault="00620C2A" w:rsidP="00620C2A">
            <w:pPr>
              <w:pStyle w:val="Tabletext"/>
              <w:rPr>
                <w:rFonts w:eastAsia="Arial Unicode MS"/>
                <w:lang w:val="es-ES_tradnl"/>
              </w:rPr>
            </w:pPr>
            <w:r w:rsidRPr="0019710B">
              <w:rPr>
                <w:rFonts w:eastAsia="Arial Unicode MS"/>
                <w:lang w:val="es-ES_tradnl"/>
              </w:rPr>
              <w:lastRenderedPageBreak/>
              <w:t>En caso de que se prorrogue o amplíe el plazo del 21 de octubre de 2022, antes de proceder a la prórroga, debe consultar con el Departamento de Conferencias y Publicaciones de la UIT para determinar o verificar en qué medida habría dificultades importantes para cumplir la obligación de la sección A1.7 de la Resolución UIT</w:t>
            </w:r>
            <w:r w:rsidR="00606FE5">
              <w:rPr>
                <w:rFonts w:eastAsia="Arial Unicode MS"/>
                <w:lang w:val="es-ES_tradnl"/>
              </w:rPr>
              <w:t>-</w:t>
            </w:r>
            <w:r w:rsidRPr="0019710B">
              <w:rPr>
                <w:rFonts w:eastAsia="Arial Unicode MS"/>
                <w:lang w:val="es-ES_tradnl"/>
              </w:rPr>
              <w:t>R 2-8, como se indica a continuación, debido al volumen inusualmente elevado de documentos que deben traducirse en 2022.</w:t>
            </w:r>
          </w:p>
          <w:p w14:paraId="35263510" w14:textId="77777777" w:rsidR="00620C2A" w:rsidRPr="0019710B" w:rsidRDefault="00620C2A" w:rsidP="00620C2A">
            <w:pPr>
              <w:pStyle w:val="Tabletext"/>
              <w:rPr>
                <w:rFonts w:eastAsia="Arial Unicode MS"/>
                <w:lang w:val="es-ES_tradnl"/>
              </w:rPr>
            </w:pPr>
          </w:p>
          <w:p w14:paraId="15CE7A96" w14:textId="6896AF7B" w:rsidR="00620C2A" w:rsidRPr="0019710B" w:rsidRDefault="00CA596E" w:rsidP="009008D4">
            <w:pPr>
              <w:pStyle w:val="Tabletext"/>
              <w:ind w:left="464"/>
              <w:rPr>
                <w:rFonts w:eastAsia="Arial Unicode MS"/>
                <w:lang w:val="es-ES_tradnl"/>
              </w:rPr>
            </w:pPr>
            <w:r w:rsidRPr="0019710B">
              <w:rPr>
                <w:rFonts w:eastAsia="Arial Unicode MS"/>
                <w:lang w:val="es-ES_tradnl"/>
              </w:rPr>
              <w:t>«</w:t>
            </w:r>
            <w:r w:rsidR="00620C2A" w:rsidRPr="0019710B">
              <w:rPr>
                <w:rFonts w:eastAsia="Arial Unicode MS"/>
                <w:lang w:val="es-ES_tradnl"/>
              </w:rPr>
              <w:t>El proyecto de Informe refundido de la RPC se traducirá a los seis idiomas oficiales de la Unión y se pondrá a disposición en formato electrónico por lo menos dos meses antes de la fecha prevista para la segunda sesión de la RPC.</w:t>
            </w:r>
            <w:r w:rsidRPr="0019710B">
              <w:rPr>
                <w:rFonts w:eastAsia="Arial Unicode MS"/>
                <w:lang w:val="es-ES_tradnl"/>
              </w:rPr>
              <w:t>»</w:t>
            </w:r>
          </w:p>
          <w:p w14:paraId="2D4182D1" w14:textId="77777777" w:rsidR="00620C2A" w:rsidRPr="0019710B" w:rsidRDefault="00620C2A" w:rsidP="00620C2A">
            <w:pPr>
              <w:pStyle w:val="Tabletext"/>
              <w:rPr>
                <w:rFonts w:eastAsia="Arial Unicode MS"/>
                <w:lang w:val="es-ES_tradnl"/>
              </w:rPr>
            </w:pPr>
          </w:p>
          <w:p w14:paraId="0CA93DE5" w14:textId="77777777" w:rsidR="00620C2A" w:rsidRPr="0019710B" w:rsidRDefault="00620C2A" w:rsidP="00620C2A">
            <w:pPr>
              <w:pStyle w:val="Tabletext"/>
              <w:rPr>
                <w:rFonts w:eastAsia="Arial Unicode MS"/>
                <w:lang w:val="es-ES_tradnl"/>
              </w:rPr>
            </w:pPr>
            <w:r w:rsidRPr="0019710B">
              <w:rPr>
                <w:rFonts w:eastAsia="Arial Unicode MS"/>
                <w:lang w:val="es-ES_tradnl"/>
              </w:rPr>
              <w:t>Por consiguiente, se invita a la Comisión de Dirección de la RPC a informar al Director de la Oficina de Radiocomunicaciones sobre los resultados de sus conclusiones.</w:t>
            </w:r>
          </w:p>
        </w:tc>
      </w:tr>
      <w:tr w:rsidR="00894DFF" w:rsidRPr="00C216C9" w14:paraId="75AD6870" w14:textId="77777777" w:rsidTr="00606FE5">
        <w:trPr>
          <w:jc w:val="center"/>
        </w:trPr>
        <w:tc>
          <w:tcPr>
            <w:tcW w:w="349" w:type="pct"/>
            <w:tcBorders>
              <w:bottom w:val="single" w:sz="4" w:space="0" w:color="auto"/>
            </w:tcBorders>
          </w:tcPr>
          <w:p w14:paraId="4EFB2B7C" w14:textId="77777777" w:rsidR="00894DFF" w:rsidRPr="0019710B" w:rsidRDefault="00894DFF" w:rsidP="00457B8D">
            <w:pPr>
              <w:pStyle w:val="Tabletext"/>
              <w:rPr>
                <w:lang w:val="es-ES_tradnl"/>
              </w:rPr>
            </w:pPr>
            <w:r w:rsidRPr="0019710B">
              <w:rPr>
                <w:lang w:val="es-ES_tradnl"/>
              </w:rPr>
              <w:lastRenderedPageBreak/>
              <w:t>8</w:t>
            </w:r>
          </w:p>
        </w:tc>
        <w:tc>
          <w:tcPr>
            <w:tcW w:w="914" w:type="pct"/>
            <w:tcBorders>
              <w:bottom w:val="single" w:sz="4" w:space="0" w:color="auto"/>
            </w:tcBorders>
          </w:tcPr>
          <w:p w14:paraId="4A7A055A" w14:textId="0EECE6B7" w:rsidR="00894DFF" w:rsidRPr="0019710B" w:rsidRDefault="00894DFF" w:rsidP="00457B8D">
            <w:pPr>
              <w:pStyle w:val="Tabletext"/>
              <w:rPr>
                <w:rStyle w:val="normaltextrun"/>
                <w:rFonts w:asciiTheme="minorHAnsi" w:hAnsiTheme="minorHAnsi" w:cstheme="minorBidi"/>
                <w:color w:val="000000"/>
                <w:shd w:val="clear" w:color="auto" w:fill="FFFFFF"/>
                <w:lang w:val="es-ES_tradnl"/>
              </w:rPr>
            </w:pPr>
            <w:r w:rsidRPr="0019710B">
              <w:rPr>
                <w:rStyle w:val="normaltextrun"/>
                <w:rFonts w:asciiTheme="minorHAnsi" w:hAnsiTheme="minorHAnsi" w:cstheme="minorBidi"/>
                <w:color w:val="000000"/>
                <w:shd w:val="clear" w:color="auto" w:fill="FFFFFF"/>
                <w:lang w:val="es-ES_tradnl"/>
              </w:rPr>
              <w:t>S</w:t>
            </w:r>
            <w:r w:rsidRPr="0019710B">
              <w:rPr>
                <w:rStyle w:val="normaltextrun"/>
                <w:rFonts w:asciiTheme="minorHAnsi" w:hAnsiTheme="minorHAnsi" w:cstheme="minorBidi"/>
                <w:shd w:val="clear" w:color="auto" w:fill="FFFFFF"/>
                <w:lang w:val="es-ES_tradnl"/>
              </w:rPr>
              <w:t xml:space="preserve">istema de información de la </w:t>
            </w:r>
            <w:r w:rsidRPr="0019710B">
              <w:rPr>
                <w:rStyle w:val="normaltextrun"/>
                <w:rFonts w:asciiTheme="minorHAnsi" w:hAnsiTheme="minorHAnsi" w:cstheme="minorBidi"/>
                <w:color w:val="000000"/>
                <w:shd w:val="clear" w:color="auto" w:fill="FFFFFF"/>
                <w:lang w:val="es-ES_tradnl"/>
              </w:rPr>
              <w:t>BR</w:t>
            </w:r>
          </w:p>
          <w:p w14:paraId="14C01B60" w14:textId="37FA545F" w:rsidR="00894DFF" w:rsidRPr="0019710B" w:rsidRDefault="00894DFF" w:rsidP="00457B8D">
            <w:pPr>
              <w:pStyle w:val="Tabletext"/>
              <w:rPr>
                <w:rFonts w:asciiTheme="minorHAnsi" w:hAnsiTheme="minorHAnsi" w:cstheme="minorHAnsi"/>
                <w:iCs/>
                <w:color w:val="000000"/>
                <w:shd w:val="clear" w:color="auto" w:fill="FFFFFF"/>
                <w:lang w:val="es-ES_tradnl"/>
              </w:rPr>
            </w:pPr>
            <w:r w:rsidRPr="0019710B">
              <w:rPr>
                <w:rStyle w:val="normaltextrun"/>
                <w:rFonts w:asciiTheme="minorHAnsi" w:hAnsiTheme="minorHAnsi" w:cstheme="minorHAnsi"/>
                <w:iCs/>
                <w:color w:val="000000"/>
                <w:shd w:val="clear" w:color="auto" w:fill="FFFFFF"/>
                <w:lang w:val="es-ES_tradnl"/>
              </w:rPr>
              <w:t xml:space="preserve">44Rev1 (§7.1, 7.4), INF/19, </w:t>
            </w:r>
            <w:r w:rsidRPr="0019710B">
              <w:rPr>
                <w:rStyle w:val="normaltextrun"/>
                <w:rFonts w:asciiTheme="minorHAnsi" w:hAnsiTheme="minorHAnsi" w:cstheme="minorHAnsi"/>
                <w:color w:val="000000"/>
                <w:shd w:val="clear" w:color="auto" w:fill="FFFFFF"/>
                <w:lang w:val="es-ES_tradnl"/>
              </w:rPr>
              <w:t>50, 53</w:t>
            </w:r>
          </w:p>
        </w:tc>
        <w:tc>
          <w:tcPr>
            <w:tcW w:w="3737" w:type="pct"/>
            <w:tcBorders>
              <w:bottom w:val="single" w:sz="4" w:space="0" w:color="auto"/>
            </w:tcBorders>
          </w:tcPr>
          <w:p w14:paraId="3F3E77E2" w14:textId="4B834BA4" w:rsidR="002A3DAC" w:rsidRPr="0019710B" w:rsidRDefault="002A3DAC" w:rsidP="00457B8D">
            <w:pPr>
              <w:pStyle w:val="Tabletext"/>
              <w:rPr>
                <w:rFonts w:eastAsia="Calibri"/>
                <w:lang w:val="es-ES_tradnl"/>
              </w:rPr>
            </w:pPr>
            <w:r w:rsidRPr="0019710B">
              <w:rPr>
                <w:rFonts w:eastAsia="Calibri"/>
                <w:lang w:val="es-ES_tradnl"/>
              </w:rPr>
              <w:t>El GAR tomó nota con satisfacción de los progresos realizados en el desarrollo de los sistemas informáticos de la BR para la notificación de sistemas relativos a los servicios terrenales y espaciales.</w:t>
            </w:r>
          </w:p>
          <w:p w14:paraId="1DEBF336" w14:textId="133C7171" w:rsidR="00894DFF" w:rsidRPr="0019710B" w:rsidRDefault="002A3DAC" w:rsidP="00457B8D">
            <w:pPr>
              <w:pStyle w:val="Tabletext"/>
              <w:rPr>
                <w:rFonts w:eastAsia="Calibri"/>
                <w:lang w:val="es-ES_tradnl"/>
              </w:rPr>
            </w:pPr>
            <w:r w:rsidRPr="0019710B">
              <w:rPr>
                <w:rFonts w:eastAsia="Calibri"/>
                <w:lang w:val="es-ES_tradnl"/>
              </w:rPr>
              <w:t>El GAR señaló que la BR ha solicitado a las Administraciones que se ofrezcan como voluntarias para probar los programas informáticos relacionados con los servicios espaciales. Eslovaquia se ofreció rápidamente.</w:t>
            </w:r>
            <w:r w:rsidR="00CA596E" w:rsidRPr="0019710B">
              <w:rPr>
                <w:rFonts w:eastAsia="Calibri"/>
                <w:lang w:val="es-ES_tradnl"/>
              </w:rPr>
              <w:t xml:space="preserve"> </w:t>
            </w:r>
            <w:r w:rsidRPr="0019710B">
              <w:rPr>
                <w:rFonts w:eastAsia="Calibri"/>
                <w:lang w:val="es-ES_tradnl"/>
              </w:rPr>
              <w:t xml:space="preserve">También se sumaron Canadá, Francia, Rusia, Brasil, </w:t>
            </w:r>
            <w:proofErr w:type="spellStart"/>
            <w:r w:rsidRPr="0019710B">
              <w:rPr>
                <w:rFonts w:eastAsia="Calibri"/>
                <w:lang w:val="es-ES_tradnl"/>
              </w:rPr>
              <w:t>Ken</w:t>
            </w:r>
            <w:r w:rsidR="00606FE5">
              <w:rPr>
                <w:rFonts w:eastAsia="Calibri"/>
                <w:lang w:val="es-ES_tradnl"/>
              </w:rPr>
              <w:t>y</w:t>
            </w:r>
            <w:r w:rsidRPr="0019710B">
              <w:rPr>
                <w:rFonts w:eastAsia="Calibri"/>
                <w:lang w:val="es-ES_tradnl"/>
              </w:rPr>
              <w:t>a</w:t>
            </w:r>
            <w:proofErr w:type="spellEnd"/>
            <w:r w:rsidRPr="0019710B">
              <w:rPr>
                <w:rFonts w:eastAsia="Calibri"/>
                <w:lang w:val="es-ES_tradnl"/>
              </w:rPr>
              <w:t xml:space="preserve">, </w:t>
            </w:r>
            <w:proofErr w:type="spellStart"/>
            <w:r w:rsidR="00606FE5">
              <w:rPr>
                <w:rFonts w:eastAsia="Calibri"/>
                <w:lang w:val="es-ES_tradnl"/>
              </w:rPr>
              <w:t>Côte</w:t>
            </w:r>
            <w:proofErr w:type="spellEnd"/>
            <w:r w:rsidR="00606FE5">
              <w:rPr>
                <w:rFonts w:eastAsia="Calibri"/>
                <w:lang w:val="es-ES_tradnl"/>
              </w:rPr>
              <w:t xml:space="preserve"> </w:t>
            </w:r>
            <w:proofErr w:type="spellStart"/>
            <w:r w:rsidR="00606FE5">
              <w:rPr>
                <w:rFonts w:eastAsia="Calibri"/>
                <w:lang w:val="es-ES_tradnl"/>
              </w:rPr>
              <w:t>d'Ivoire</w:t>
            </w:r>
            <w:proofErr w:type="spellEnd"/>
            <w:r w:rsidR="00606FE5">
              <w:rPr>
                <w:rFonts w:eastAsia="Calibri"/>
                <w:lang w:val="es-ES_tradnl"/>
              </w:rPr>
              <w:t xml:space="preserve"> </w:t>
            </w:r>
            <w:r w:rsidRPr="0019710B">
              <w:rPr>
                <w:rFonts w:eastAsia="Calibri"/>
                <w:lang w:val="es-ES_tradnl"/>
              </w:rPr>
              <w:t>y Ghana. Otras Administraciones son bienvenidas a proponerse como voluntarias si así lo desean</w:t>
            </w:r>
            <w:r w:rsidR="00894DFF" w:rsidRPr="0019710B">
              <w:rPr>
                <w:rFonts w:eastAsia="Calibri"/>
                <w:lang w:val="es-ES_tradnl"/>
              </w:rPr>
              <w:t>.</w:t>
            </w:r>
          </w:p>
          <w:p w14:paraId="1D44AC10" w14:textId="0C374DCA" w:rsidR="002A3DAC" w:rsidRPr="0019710B" w:rsidRDefault="002A3DAC" w:rsidP="00457B8D">
            <w:pPr>
              <w:pStyle w:val="Tabletext"/>
              <w:rPr>
                <w:rFonts w:eastAsia="Calibri"/>
                <w:lang w:val="es-ES_tradnl"/>
              </w:rPr>
            </w:pPr>
            <w:r w:rsidRPr="0019710B">
              <w:rPr>
                <w:rFonts w:eastAsia="Calibri"/>
                <w:lang w:val="es-ES_tradnl"/>
              </w:rPr>
              <w:t xml:space="preserve">El GAR tomó nota y agradeció la presentación sobre los desarrollos de </w:t>
            </w:r>
            <w:r w:rsidRPr="00606FE5">
              <w:rPr>
                <w:rFonts w:eastAsia="Calibri"/>
                <w:i/>
                <w:iCs/>
                <w:lang w:val="es-ES_tradnl"/>
              </w:rPr>
              <w:t>software</w:t>
            </w:r>
            <w:r w:rsidRPr="0019710B">
              <w:rPr>
                <w:rFonts w:eastAsia="Calibri"/>
                <w:lang w:val="es-ES_tradnl"/>
              </w:rPr>
              <w:t xml:space="preserve"> pasados, actuales y futuros para aplicar las Res</w:t>
            </w:r>
            <w:r w:rsidR="001E7638" w:rsidRPr="0019710B">
              <w:rPr>
                <w:rFonts w:eastAsia="Calibri"/>
                <w:lang w:val="es-ES_tradnl"/>
              </w:rPr>
              <w:t>oluciones</w:t>
            </w:r>
            <w:r w:rsidRPr="0019710B">
              <w:rPr>
                <w:rFonts w:eastAsia="Calibri"/>
                <w:lang w:val="es-ES_tradnl"/>
              </w:rPr>
              <w:t xml:space="preserve"> 907 y 908. Asimismo, tomó nota de la información y las propuestas presentadas en los </w:t>
            </w:r>
            <w:r w:rsidR="00606FE5" w:rsidRPr="0019710B">
              <w:rPr>
                <w:rFonts w:eastAsia="Calibri"/>
                <w:lang w:val="es-ES_tradnl"/>
              </w:rPr>
              <w:t xml:space="preserve">Documentos </w:t>
            </w:r>
            <w:r w:rsidRPr="0019710B">
              <w:rPr>
                <w:rFonts w:eastAsia="Calibri"/>
                <w:lang w:val="es-ES_tradnl"/>
              </w:rPr>
              <w:t>RAG/50 y RAG/53 de Japón y Francia, respectivamente.</w:t>
            </w:r>
            <w:r w:rsidR="00CA596E" w:rsidRPr="0019710B">
              <w:rPr>
                <w:rFonts w:eastAsia="Calibri"/>
                <w:lang w:val="es-ES_tradnl"/>
              </w:rPr>
              <w:t xml:space="preserve"> </w:t>
            </w:r>
            <w:r w:rsidRPr="0019710B">
              <w:rPr>
                <w:rFonts w:eastAsia="Calibri"/>
                <w:lang w:val="es-ES_tradnl"/>
              </w:rPr>
              <w:t>El GAR expresó su agradecimiento y reconocimiento a Japón por su apoyo a la BR en la aplicación de las Res</w:t>
            </w:r>
            <w:r w:rsidR="001E7638" w:rsidRPr="0019710B">
              <w:rPr>
                <w:rFonts w:eastAsia="Calibri"/>
                <w:lang w:val="es-ES_tradnl"/>
              </w:rPr>
              <w:t>oluciones</w:t>
            </w:r>
            <w:r w:rsidRPr="0019710B">
              <w:rPr>
                <w:rFonts w:eastAsia="Calibri"/>
                <w:lang w:val="es-ES_tradnl"/>
              </w:rPr>
              <w:t xml:space="preserve"> 907 y 908. El GAR estima que las mejoras </w:t>
            </w:r>
            <w:r w:rsidR="001E7638" w:rsidRPr="0019710B">
              <w:rPr>
                <w:rFonts w:eastAsia="Calibri"/>
                <w:lang w:val="es-ES_tradnl"/>
              </w:rPr>
              <w:t xml:space="preserve">introducidas </w:t>
            </w:r>
            <w:r w:rsidRPr="0019710B">
              <w:rPr>
                <w:rFonts w:eastAsia="Calibri"/>
                <w:lang w:val="es-ES_tradnl"/>
              </w:rPr>
              <w:t xml:space="preserve">en las herramientas de la </w:t>
            </w:r>
            <w:r w:rsidR="00606FE5">
              <w:rPr>
                <w:rFonts w:eastAsia="Calibri"/>
                <w:lang w:val="es-ES_tradnl"/>
              </w:rPr>
              <w:t>B</w:t>
            </w:r>
            <w:r w:rsidR="00606FE5">
              <w:rPr>
                <w:rFonts w:eastAsia="Calibri"/>
              </w:rPr>
              <w:t>R</w:t>
            </w:r>
            <w:r w:rsidRPr="0019710B">
              <w:rPr>
                <w:rFonts w:eastAsia="Calibri"/>
                <w:lang w:val="es-ES_tradnl"/>
              </w:rPr>
              <w:t xml:space="preserve"> ayudan tanto a los países desarrollados como a los países en desarrollo, que ha sido precisamente el objetivo de la </w:t>
            </w:r>
            <w:r w:rsidR="00606FE5">
              <w:rPr>
                <w:rFonts w:eastAsia="Calibri"/>
                <w:lang w:val="es-ES_tradnl"/>
              </w:rPr>
              <w:t>B</w:t>
            </w:r>
            <w:r w:rsidR="00606FE5">
              <w:rPr>
                <w:rFonts w:eastAsia="Calibri"/>
              </w:rPr>
              <w:t>R</w:t>
            </w:r>
            <w:r w:rsidRPr="0019710B">
              <w:rPr>
                <w:rFonts w:eastAsia="Calibri"/>
                <w:lang w:val="es-ES_tradnl"/>
              </w:rPr>
              <w:t xml:space="preserve">. </w:t>
            </w:r>
          </w:p>
          <w:p w14:paraId="6E89A6AB" w14:textId="68DA3B46" w:rsidR="002A3DAC" w:rsidRPr="0019710B" w:rsidRDefault="002A3DAC" w:rsidP="00457B8D">
            <w:pPr>
              <w:pStyle w:val="Tabletext"/>
              <w:rPr>
                <w:rFonts w:eastAsia="Calibri"/>
                <w:lang w:val="es-ES_tradnl"/>
              </w:rPr>
            </w:pPr>
            <w:r w:rsidRPr="0019710B">
              <w:rPr>
                <w:rFonts w:eastAsia="Calibri"/>
                <w:lang w:val="es-ES_tradnl"/>
              </w:rPr>
              <w:t xml:space="preserve">El GAR se sumó a la invitación del </w:t>
            </w:r>
            <w:proofErr w:type="gramStart"/>
            <w:r w:rsidRPr="0019710B">
              <w:rPr>
                <w:rFonts w:eastAsia="Calibri"/>
                <w:lang w:val="es-ES_tradnl"/>
              </w:rPr>
              <w:t>Director</w:t>
            </w:r>
            <w:proofErr w:type="gramEnd"/>
            <w:r w:rsidRPr="0019710B">
              <w:rPr>
                <w:rFonts w:eastAsia="Calibri"/>
                <w:lang w:val="es-ES_tradnl"/>
              </w:rPr>
              <w:t xml:space="preserve"> para que se aporten contribuciones voluntarias </w:t>
            </w:r>
            <w:r w:rsidR="001E7638" w:rsidRPr="0019710B">
              <w:rPr>
                <w:rFonts w:eastAsia="Calibri"/>
                <w:lang w:val="es-ES_tradnl"/>
              </w:rPr>
              <w:t xml:space="preserve">a fin de </w:t>
            </w:r>
            <w:r w:rsidRPr="0019710B">
              <w:rPr>
                <w:rFonts w:eastAsia="Calibri"/>
                <w:lang w:val="es-ES_tradnl"/>
              </w:rPr>
              <w:t xml:space="preserve">seguir mejorando el </w:t>
            </w:r>
            <w:r w:rsidRPr="00606FE5">
              <w:rPr>
                <w:rFonts w:eastAsia="Calibri"/>
                <w:i/>
                <w:iCs/>
                <w:lang w:val="es-ES_tradnl"/>
              </w:rPr>
              <w:t>software</w:t>
            </w:r>
            <w:r w:rsidRPr="0019710B">
              <w:rPr>
                <w:rFonts w:eastAsia="Calibri"/>
                <w:lang w:val="es-ES_tradnl"/>
              </w:rPr>
              <w:t xml:space="preserve"> de la BR para las comunicaciones y presentaciones electrónicas en el marco de las Res</w:t>
            </w:r>
            <w:r w:rsidR="001E7638" w:rsidRPr="0019710B">
              <w:rPr>
                <w:rFonts w:eastAsia="Calibri"/>
                <w:lang w:val="es-ES_tradnl"/>
              </w:rPr>
              <w:t>oluciones</w:t>
            </w:r>
            <w:r w:rsidRPr="0019710B">
              <w:rPr>
                <w:rFonts w:eastAsia="Calibri"/>
                <w:lang w:val="es-ES_tradnl"/>
              </w:rPr>
              <w:t xml:space="preserve"> 907 y 908.</w:t>
            </w:r>
          </w:p>
          <w:p w14:paraId="625DAD4E" w14:textId="4A552E9A" w:rsidR="002A3DAC" w:rsidRPr="0019710B" w:rsidRDefault="002A3DAC" w:rsidP="00457B8D">
            <w:pPr>
              <w:pStyle w:val="Tabletext"/>
              <w:rPr>
                <w:rFonts w:eastAsia="Calibri"/>
                <w:lang w:val="es-ES_tradnl"/>
              </w:rPr>
            </w:pPr>
            <w:r w:rsidRPr="0019710B">
              <w:rPr>
                <w:rFonts w:eastAsia="Calibri"/>
                <w:lang w:val="es-ES_tradnl"/>
              </w:rPr>
              <w:t xml:space="preserve">El GAR invitó al </w:t>
            </w:r>
            <w:proofErr w:type="gramStart"/>
            <w:r w:rsidRPr="0019710B">
              <w:rPr>
                <w:rFonts w:eastAsia="Calibri"/>
                <w:lang w:val="es-ES_tradnl"/>
              </w:rPr>
              <w:t>Director</w:t>
            </w:r>
            <w:proofErr w:type="gramEnd"/>
            <w:r w:rsidRPr="0019710B">
              <w:rPr>
                <w:rFonts w:eastAsia="Calibri"/>
                <w:lang w:val="es-ES_tradnl"/>
              </w:rPr>
              <w:t xml:space="preserve"> a señalar a los Estados Miembros que </w:t>
            </w:r>
            <w:r w:rsidR="001E7638" w:rsidRPr="0019710B">
              <w:rPr>
                <w:rFonts w:eastAsia="Calibri"/>
                <w:lang w:val="es-ES_tradnl"/>
              </w:rPr>
              <w:t xml:space="preserve">utilicen </w:t>
            </w:r>
            <w:r w:rsidRPr="0019710B">
              <w:rPr>
                <w:rFonts w:eastAsia="Calibri"/>
                <w:lang w:val="es-ES_tradnl"/>
              </w:rPr>
              <w:t xml:space="preserve">sólo uno de los múltiples métodos de comunicación con la Oficina y con los demás Estados Miembros, </w:t>
            </w:r>
            <w:r w:rsidR="001E7638" w:rsidRPr="0019710B">
              <w:rPr>
                <w:rFonts w:eastAsia="Calibri"/>
                <w:lang w:val="es-ES_tradnl"/>
              </w:rPr>
              <w:t xml:space="preserve">preferiblemente </w:t>
            </w:r>
            <w:r w:rsidRPr="0019710B">
              <w:rPr>
                <w:rFonts w:eastAsia="Calibri"/>
                <w:lang w:val="es-ES_tradnl"/>
              </w:rPr>
              <w:t>las comunicaciones electrónicas (según la Res</w:t>
            </w:r>
            <w:r w:rsidR="00606FE5">
              <w:rPr>
                <w:rFonts w:eastAsia="Calibri"/>
                <w:lang w:val="es-ES_tradnl"/>
              </w:rPr>
              <w:t>o</w:t>
            </w:r>
            <w:r w:rsidR="00606FE5">
              <w:rPr>
                <w:rFonts w:eastAsia="Calibri"/>
              </w:rPr>
              <w:t>lución</w:t>
            </w:r>
            <w:r w:rsidRPr="0019710B">
              <w:rPr>
                <w:rFonts w:eastAsia="Calibri"/>
                <w:lang w:val="es-ES_tradnl"/>
              </w:rPr>
              <w:t xml:space="preserve"> 907) para los servicios espaciales y los correos electrónicos para los servicios </w:t>
            </w:r>
            <w:r w:rsidR="001E7638" w:rsidRPr="0019710B">
              <w:rPr>
                <w:rFonts w:eastAsia="Calibri"/>
                <w:lang w:val="es-ES_tradnl"/>
              </w:rPr>
              <w:t>terrenales</w:t>
            </w:r>
            <w:r w:rsidRPr="0019710B">
              <w:rPr>
                <w:rFonts w:eastAsia="Calibri"/>
                <w:lang w:val="es-ES_tradnl"/>
              </w:rPr>
              <w:t>.</w:t>
            </w:r>
          </w:p>
          <w:p w14:paraId="2411696A" w14:textId="7CB534FB" w:rsidR="00B254E3" w:rsidRPr="0019710B" w:rsidRDefault="00B254E3" w:rsidP="00457B8D">
            <w:pPr>
              <w:pStyle w:val="Tabletext"/>
              <w:rPr>
                <w:rFonts w:eastAsia="Calibri"/>
                <w:lang w:val="es-ES_tradnl"/>
              </w:rPr>
            </w:pPr>
            <w:r w:rsidRPr="0019710B">
              <w:rPr>
                <w:rFonts w:eastAsia="Calibri"/>
                <w:lang w:val="es-ES_tradnl"/>
              </w:rPr>
              <w:t xml:space="preserve">El GAR insta a las Administraciones a utilizar el </w:t>
            </w:r>
            <w:r w:rsidR="008A02BF" w:rsidRPr="0019710B">
              <w:rPr>
                <w:rFonts w:eastAsia="Calibri"/>
                <w:lang w:val="es-ES_tradnl"/>
              </w:rPr>
              <w:t>sistema de notificación y resolución de interferencias de satélites</w:t>
            </w:r>
            <w:r w:rsidRPr="0019710B">
              <w:rPr>
                <w:rFonts w:eastAsia="Calibri"/>
                <w:lang w:val="es-ES_tradnl"/>
              </w:rPr>
              <w:t xml:space="preserve"> (SIRRS). </w:t>
            </w:r>
          </w:p>
          <w:p w14:paraId="4B05DA74" w14:textId="40E9ABE0" w:rsidR="00B254E3" w:rsidRPr="0019710B" w:rsidRDefault="00B52316" w:rsidP="00457B8D">
            <w:pPr>
              <w:pStyle w:val="Tabletext"/>
              <w:rPr>
                <w:rFonts w:eastAsia="Calibri"/>
                <w:lang w:val="es-ES_tradnl"/>
              </w:rPr>
            </w:pPr>
            <w:r w:rsidRPr="0019710B">
              <w:rPr>
                <w:rFonts w:eastAsia="Calibri"/>
                <w:lang w:val="es-ES_tradnl"/>
              </w:rPr>
              <w:t>Tras</w:t>
            </w:r>
            <w:r w:rsidR="00B254E3" w:rsidRPr="0019710B">
              <w:rPr>
                <w:rFonts w:eastAsia="Calibri"/>
                <w:lang w:val="es-ES_tradnl"/>
              </w:rPr>
              <w:t xml:space="preserve"> examinar el informe del </w:t>
            </w:r>
            <w:proofErr w:type="gramStart"/>
            <w:r w:rsidR="00B254E3" w:rsidRPr="0019710B">
              <w:rPr>
                <w:rFonts w:eastAsia="Calibri"/>
                <w:lang w:val="es-ES_tradnl"/>
              </w:rPr>
              <w:t>Director</w:t>
            </w:r>
            <w:proofErr w:type="gramEnd"/>
            <w:r w:rsidR="00B254E3" w:rsidRPr="0019710B">
              <w:rPr>
                <w:rFonts w:eastAsia="Calibri"/>
                <w:lang w:val="es-ES_tradnl"/>
              </w:rPr>
              <w:t xml:space="preserve"> en relación con los desarrollos de </w:t>
            </w:r>
            <w:r w:rsidR="00B254E3" w:rsidRPr="00606FE5">
              <w:rPr>
                <w:rFonts w:eastAsia="Calibri"/>
                <w:i/>
                <w:iCs/>
                <w:lang w:val="es-ES_tradnl"/>
              </w:rPr>
              <w:t>software</w:t>
            </w:r>
            <w:r w:rsidR="00B254E3" w:rsidRPr="0019710B">
              <w:rPr>
                <w:rFonts w:eastAsia="Calibri"/>
                <w:lang w:val="es-ES_tradnl"/>
              </w:rPr>
              <w:t xml:space="preserve"> y las actividades conexas, el GAR concluyó que la Oficina debe seguir centrándose en las cuestiones técnicas, administrativas y no </w:t>
            </w:r>
            <w:r w:rsidRPr="0019710B">
              <w:rPr>
                <w:rFonts w:eastAsia="Calibri"/>
                <w:lang w:val="es-ES_tradnl"/>
              </w:rPr>
              <w:t xml:space="preserve">en las </w:t>
            </w:r>
            <w:r w:rsidR="00B254E3" w:rsidRPr="0019710B">
              <w:rPr>
                <w:rFonts w:eastAsia="Calibri"/>
                <w:lang w:val="es-ES_tradnl"/>
              </w:rPr>
              <w:t xml:space="preserve">legislativas, a menos que </w:t>
            </w:r>
            <w:r w:rsidRPr="0019710B">
              <w:rPr>
                <w:rFonts w:eastAsia="Calibri"/>
                <w:lang w:val="es-ES_tradnl"/>
              </w:rPr>
              <w:t xml:space="preserve">así lo decida </w:t>
            </w:r>
            <w:r w:rsidR="00B254E3" w:rsidRPr="0019710B">
              <w:rPr>
                <w:rFonts w:eastAsia="Calibri"/>
                <w:lang w:val="es-ES_tradnl"/>
              </w:rPr>
              <w:t>la CMR o la RRB.</w:t>
            </w:r>
          </w:p>
          <w:p w14:paraId="30883D88" w14:textId="6B7D7E43" w:rsidR="00894DFF" w:rsidRPr="0019710B" w:rsidRDefault="00B52316" w:rsidP="00457B8D">
            <w:pPr>
              <w:pStyle w:val="Tabletext"/>
              <w:rPr>
                <w:rFonts w:ascii="Times New Roman" w:eastAsia="Calibri" w:hAnsi="Times New Roman" w:cs="Times New Roman"/>
                <w:color w:val="000000" w:themeColor="text1"/>
                <w:szCs w:val="24"/>
                <w:lang w:val="es-ES_tradnl" w:eastAsia="zh-CN"/>
              </w:rPr>
            </w:pPr>
            <w:r w:rsidRPr="0019710B">
              <w:rPr>
                <w:rFonts w:eastAsia="Calibri"/>
                <w:lang w:val="es-ES_tradnl" w:eastAsia="en-GB"/>
              </w:rPr>
              <w:t>Además</w:t>
            </w:r>
            <w:r w:rsidR="00B254E3" w:rsidRPr="0019710B">
              <w:rPr>
                <w:rFonts w:eastAsia="Calibri"/>
                <w:lang w:val="es-ES_tradnl" w:eastAsia="en-GB"/>
              </w:rPr>
              <w:t xml:space="preserve">, llegó a la conclusión de que la Oficina no debería incluir en su </w:t>
            </w:r>
            <w:r w:rsidRPr="0019710B">
              <w:rPr>
                <w:rFonts w:eastAsia="Calibri"/>
                <w:lang w:val="es-ES_tradnl" w:eastAsia="en-GB"/>
              </w:rPr>
              <w:t xml:space="preserve">carta </w:t>
            </w:r>
            <w:r w:rsidR="00B254E3" w:rsidRPr="0019710B">
              <w:rPr>
                <w:rFonts w:eastAsia="Calibri"/>
                <w:lang w:val="es-ES_tradnl" w:eastAsia="en-GB"/>
              </w:rPr>
              <w:t>circular ninguna cuestión de carácter reglamentario que no haya sido adoptada por la CMR o la RRB.</w:t>
            </w:r>
          </w:p>
        </w:tc>
      </w:tr>
      <w:tr w:rsidR="00894DFF" w:rsidRPr="00C216C9" w14:paraId="0325B8A8" w14:textId="77777777" w:rsidTr="00606FE5">
        <w:trPr>
          <w:trHeight w:val="640"/>
          <w:jc w:val="center"/>
        </w:trPr>
        <w:tc>
          <w:tcPr>
            <w:tcW w:w="349" w:type="pct"/>
            <w:tcBorders>
              <w:bottom w:val="nil"/>
            </w:tcBorders>
          </w:tcPr>
          <w:p w14:paraId="188C8F52" w14:textId="77777777" w:rsidR="00894DFF" w:rsidRPr="0019710B" w:rsidRDefault="00894DFF" w:rsidP="00457B8D">
            <w:pPr>
              <w:pStyle w:val="Tabletext"/>
              <w:rPr>
                <w:lang w:val="es-ES_tradnl"/>
              </w:rPr>
            </w:pPr>
            <w:r w:rsidRPr="0019710B">
              <w:rPr>
                <w:lang w:val="es-ES_tradnl"/>
              </w:rPr>
              <w:lastRenderedPageBreak/>
              <w:br w:type="page"/>
              <w:t>9</w:t>
            </w:r>
          </w:p>
        </w:tc>
        <w:tc>
          <w:tcPr>
            <w:tcW w:w="914" w:type="pct"/>
            <w:tcBorders>
              <w:bottom w:val="nil"/>
            </w:tcBorders>
          </w:tcPr>
          <w:p w14:paraId="67E6E024" w14:textId="0375084B" w:rsidR="00B52316" w:rsidRPr="0019710B" w:rsidRDefault="00B52316" w:rsidP="00457B8D">
            <w:pPr>
              <w:pStyle w:val="Tabletext"/>
              <w:rPr>
                <w:rFonts w:eastAsia="Calibri"/>
                <w:lang w:val="es-ES_tradnl"/>
              </w:rPr>
            </w:pPr>
            <w:r w:rsidRPr="0019710B">
              <w:rPr>
                <w:rFonts w:eastAsia="Calibri"/>
                <w:lang w:val="es-ES_tradnl"/>
              </w:rPr>
              <w:t>Divulgación</w:t>
            </w:r>
          </w:p>
          <w:p w14:paraId="6585B3ED" w14:textId="64B21A20" w:rsidR="00894DFF" w:rsidRPr="0019710B" w:rsidRDefault="00894DFF" w:rsidP="00457B8D">
            <w:pPr>
              <w:pStyle w:val="Tabletext"/>
              <w:rPr>
                <w:rFonts w:eastAsia="Calibri"/>
                <w:lang w:val="es-ES_tradnl"/>
              </w:rPr>
            </w:pPr>
            <w:r w:rsidRPr="0019710B">
              <w:rPr>
                <w:rFonts w:eastAsia="Calibri"/>
                <w:lang w:val="es-ES_tradnl"/>
              </w:rPr>
              <w:t>44Rev1 (§8.3), INF/23, INF/24</w:t>
            </w:r>
          </w:p>
        </w:tc>
        <w:tc>
          <w:tcPr>
            <w:tcW w:w="3737" w:type="pct"/>
            <w:tcBorders>
              <w:bottom w:val="nil"/>
            </w:tcBorders>
          </w:tcPr>
          <w:p w14:paraId="7BB252F7" w14:textId="4483C0E1" w:rsidR="00894DFF" w:rsidRPr="0019710B" w:rsidRDefault="008A02BF" w:rsidP="00457B8D">
            <w:pPr>
              <w:pStyle w:val="Tabletext"/>
              <w:rPr>
                <w:rFonts w:eastAsia="Calibri"/>
                <w:lang w:val="es-ES_tradnl"/>
              </w:rPr>
            </w:pPr>
            <w:r w:rsidRPr="0019710B">
              <w:rPr>
                <w:rFonts w:eastAsia="Calibri"/>
                <w:lang w:val="es-ES_tradnl"/>
              </w:rPr>
              <w:t>El GAR reconoce la inestimable ayuda que la BR presta a los Estados Miembros, en particular a los países en desarrollo y a los PMA. El GAR tomó nota con gran satisfacción de los recientes logros alcanzados en África para ayudar a las Administraciones a ampliar la radiodifusión en MF a través de la optimización del GE84 y de la PRIDA (Iniciativa de Regulación para el África Digital)</w:t>
            </w:r>
            <w:r w:rsidR="00606FE5" w:rsidRPr="0019710B">
              <w:rPr>
                <w:rStyle w:val="FootnoteReference"/>
                <w:rFonts w:eastAsia="Calibri"/>
                <w:lang w:val="es-ES_tradnl"/>
              </w:rPr>
              <w:footnoteReference w:id="1"/>
            </w:r>
            <w:r w:rsidRPr="0019710B">
              <w:rPr>
                <w:rFonts w:eastAsia="Calibri"/>
                <w:lang w:val="es-ES_tradnl"/>
              </w:rPr>
              <w:t>.</w:t>
            </w:r>
          </w:p>
        </w:tc>
      </w:tr>
      <w:tr w:rsidR="009008D4" w:rsidRPr="00C216C9" w14:paraId="4B644341" w14:textId="77777777" w:rsidTr="00606FE5">
        <w:trPr>
          <w:trHeight w:val="506"/>
          <w:jc w:val="center"/>
        </w:trPr>
        <w:tc>
          <w:tcPr>
            <w:tcW w:w="349" w:type="pct"/>
            <w:tcBorders>
              <w:top w:val="nil"/>
              <w:bottom w:val="nil"/>
            </w:tcBorders>
          </w:tcPr>
          <w:p w14:paraId="29288A3B" w14:textId="77777777" w:rsidR="009008D4" w:rsidRPr="0019710B" w:rsidRDefault="009008D4" w:rsidP="00457B8D">
            <w:pPr>
              <w:pStyle w:val="Tabletext"/>
              <w:rPr>
                <w:lang w:val="es-ES_tradnl"/>
              </w:rPr>
            </w:pPr>
          </w:p>
        </w:tc>
        <w:tc>
          <w:tcPr>
            <w:tcW w:w="914" w:type="pct"/>
            <w:tcBorders>
              <w:top w:val="nil"/>
              <w:bottom w:val="nil"/>
            </w:tcBorders>
          </w:tcPr>
          <w:p w14:paraId="134BCD82" w14:textId="1FA137D6" w:rsidR="009008D4" w:rsidRPr="0019710B" w:rsidRDefault="009008D4" w:rsidP="00457B8D">
            <w:pPr>
              <w:pStyle w:val="Tabletext"/>
              <w:rPr>
                <w:rFonts w:eastAsia="Calibri"/>
                <w:lang w:val="es-ES_tradnl"/>
              </w:rPr>
            </w:pPr>
            <w:r w:rsidRPr="0019710B">
              <w:rPr>
                <w:rFonts w:eastAsia="Calibri"/>
                <w:lang w:val="es-ES_tradnl"/>
              </w:rPr>
              <w:t>44Rev1 (§8.1, 8.2, 8.5, 8.6), INF/12</w:t>
            </w:r>
          </w:p>
        </w:tc>
        <w:tc>
          <w:tcPr>
            <w:tcW w:w="3737" w:type="pct"/>
            <w:tcBorders>
              <w:top w:val="nil"/>
              <w:bottom w:val="nil"/>
            </w:tcBorders>
          </w:tcPr>
          <w:p w14:paraId="5E17A00F" w14:textId="70DD36E1" w:rsidR="009008D4" w:rsidRPr="0019710B" w:rsidRDefault="009008D4" w:rsidP="00457B8D">
            <w:pPr>
              <w:pStyle w:val="Tabletext"/>
              <w:rPr>
                <w:rFonts w:eastAsia="Calibri"/>
                <w:lang w:val="es-ES_tradnl"/>
              </w:rPr>
            </w:pPr>
            <w:r w:rsidRPr="0019710B">
              <w:rPr>
                <w:rFonts w:eastAsia="Calibri"/>
                <w:lang w:val="es-ES_tradnl"/>
              </w:rPr>
              <w:t xml:space="preserve">El GAR tomó nota del informe del </w:t>
            </w:r>
            <w:proofErr w:type="gramStart"/>
            <w:r w:rsidRPr="0019710B">
              <w:rPr>
                <w:rFonts w:eastAsia="Calibri"/>
                <w:lang w:val="es-ES_tradnl"/>
              </w:rPr>
              <w:t>Director</w:t>
            </w:r>
            <w:proofErr w:type="gramEnd"/>
            <w:r w:rsidRPr="0019710B">
              <w:rPr>
                <w:rFonts w:eastAsia="Calibri"/>
                <w:lang w:val="es-ES_tradnl"/>
              </w:rPr>
              <w:t xml:space="preserve">, junto con los </w:t>
            </w:r>
            <w:r w:rsidR="00606FE5" w:rsidRPr="0019710B">
              <w:rPr>
                <w:rFonts w:eastAsia="Calibri"/>
                <w:lang w:val="es-ES_tradnl"/>
              </w:rPr>
              <w:t xml:space="preserve">Documentos </w:t>
            </w:r>
            <w:r w:rsidRPr="0019710B">
              <w:rPr>
                <w:rFonts w:eastAsia="Calibri"/>
                <w:lang w:val="es-ES_tradnl"/>
              </w:rPr>
              <w:t>INF/12 e INF/16, acerca de las actividades de divulgación de la BR.</w:t>
            </w:r>
          </w:p>
        </w:tc>
      </w:tr>
      <w:tr w:rsidR="009008D4" w:rsidRPr="00C216C9" w14:paraId="19DD2900" w14:textId="77777777" w:rsidTr="00606FE5">
        <w:trPr>
          <w:trHeight w:val="571"/>
          <w:jc w:val="center"/>
        </w:trPr>
        <w:tc>
          <w:tcPr>
            <w:tcW w:w="349" w:type="pct"/>
            <w:tcBorders>
              <w:top w:val="nil"/>
              <w:bottom w:val="single" w:sz="4" w:space="0" w:color="auto"/>
            </w:tcBorders>
          </w:tcPr>
          <w:p w14:paraId="3A48F084" w14:textId="77777777" w:rsidR="009008D4" w:rsidRPr="0019710B" w:rsidRDefault="009008D4" w:rsidP="00457B8D">
            <w:pPr>
              <w:pStyle w:val="Tabletext"/>
              <w:rPr>
                <w:lang w:val="es-ES_tradnl"/>
              </w:rPr>
            </w:pPr>
          </w:p>
        </w:tc>
        <w:tc>
          <w:tcPr>
            <w:tcW w:w="914" w:type="pct"/>
            <w:tcBorders>
              <w:top w:val="nil"/>
              <w:bottom w:val="single" w:sz="4" w:space="0" w:color="auto"/>
            </w:tcBorders>
          </w:tcPr>
          <w:p w14:paraId="1B3FB89E" w14:textId="561B3298" w:rsidR="009008D4" w:rsidRPr="0019710B" w:rsidRDefault="009008D4" w:rsidP="00457B8D">
            <w:pPr>
              <w:pStyle w:val="Tabletext"/>
              <w:rPr>
                <w:rFonts w:eastAsia="Calibri"/>
                <w:lang w:val="es-ES_tradnl"/>
              </w:rPr>
            </w:pPr>
            <w:r w:rsidRPr="0019710B">
              <w:rPr>
                <w:rFonts w:eastAsia="Calibri"/>
                <w:lang w:val="es-ES_tradnl"/>
              </w:rPr>
              <w:t>INF/16</w:t>
            </w:r>
          </w:p>
        </w:tc>
        <w:tc>
          <w:tcPr>
            <w:tcW w:w="3737" w:type="pct"/>
            <w:tcBorders>
              <w:top w:val="nil"/>
              <w:bottom w:val="single" w:sz="4" w:space="0" w:color="auto"/>
            </w:tcBorders>
          </w:tcPr>
          <w:p w14:paraId="769A55DE" w14:textId="2C4C2061" w:rsidR="009008D4" w:rsidRPr="0019710B" w:rsidRDefault="009008D4" w:rsidP="00457B8D">
            <w:pPr>
              <w:pStyle w:val="Tabletext"/>
              <w:rPr>
                <w:rFonts w:eastAsia="Calibri"/>
                <w:lang w:val="es-ES_tradnl"/>
              </w:rPr>
            </w:pPr>
            <w:r w:rsidRPr="0019710B">
              <w:rPr>
                <w:rFonts w:eastAsia="Calibri"/>
                <w:lang w:val="es-ES_tradnl"/>
              </w:rPr>
              <w:t xml:space="preserve">El GAR manifestó su agradecimiento por la publicación por la BR de la herramienta de navegación del RR (edición </w:t>
            </w:r>
            <w:r w:rsidR="00606FE5">
              <w:rPr>
                <w:rFonts w:eastAsia="Calibri"/>
                <w:lang w:val="es-ES_tradnl"/>
              </w:rPr>
              <w:t>d</w:t>
            </w:r>
            <w:r w:rsidR="00606FE5">
              <w:rPr>
                <w:rFonts w:eastAsia="Calibri"/>
              </w:rPr>
              <w:t xml:space="preserve">e </w:t>
            </w:r>
            <w:r w:rsidRPr="0019710B">
              <w:rPr>
                <w:rFonts w:eastAsia="Calibri"/>
                <w:lang w:val="es-ES_tradnl"/>
              </w:rPr>
              <w:t>2021), así como del folleto de la CMR-23: orden del día y Resoluciones pertinentes.</w:t>
            </w:r>
          </w:p>
        </w:tc>
      </w:tr>
      <w:tr w:rsidR="00894DFF" w:rsidRPr="00C216C9" w14:paraId="54E699E0" w14:textId="77777777" w:rsidTr="00606FE5">
        <w:trPr>
          <w:trHeight w:val="625"/>
          <w:jc w:val="center"/>
        </w:trPr>
        <w:tc>
          <w:tcPr>
            <w:tcW w:w="349" w:type="pct"/>
            <w:tcBorders>
              <w:bottom w:val="nil"/>
            </w:tcBorders>
          </w:tcPr>
          <w:p w14:paraId="5929C04C" w14:textId="77777777" w:rsidR="00894DFF" w:rsidRPr="0019710B" w:rsidRDefault="00894DFF" w:rsidP="00457B8D">
            <w:pPr>
              <w:pStyle w:val="Tabletext"/>
              <w:rPr>
                <w:lang w:val="es-ES_tradnl"/>
              </w:rPr>
            </w:pPr>
            <w:r w:rsidRPr="0019710B">
              <w:rPr>
                <w:lang w:val="es-ES_tradnl"/>
              </w:rPr>
              <w:t>10</w:t>
            </w:r>
          </w:p>
        </w:tc>
        <w:tc>
          <w:tcPr>
            <w:tcW w:w="914" w:type="pct"/>
            <w:tcBorders>
              <w:bottom w:val="nil"/>
            </w:tcBorders>
          </w:tcPr>
          <w:p w14:paraId="31C31774" w14:textId="5392A392" w:rsidR="00894DFF" w:rsidRPr="0019710B" w:rsidRDefault="00E01993" w:rsidP="00457B8D">
            <w:pPr>
              <w:pStyle w:val="Tabletext"/>
              <w:rPr>
                <w:rFonts w:eastAsia="Calibri"/>
                <w:lang w:val="es-ES_tradnl"/>
              </w:rPr>
            </w:pPr>
            <w:r w:rsidRPr="0019710B">
              <w:rPr>
                <w:rFonts w:eastAsia="Calibri"/>
                <w:lang w:val="es-ES_tradnl"/>
              </w:rPr>
              <w:t>Implementación de la Declaración de Género de la CMR</w:t>
            </w:r>
            <w:r w:rsidR="00894DFF" w:rsidRPr="0019710B">
              <w:rPr>
                <w:rFonts w:eastAsia="Calibri"/>
                <w:lang w:val="es-ES_tradnl"/>
              </w:rPr>
              <w:t>-19 (</w:t>
            </w:r>
            <w:r w:rsidRPr="0019710B">
              <w:rPr>
                <w:rFonts w:eastAsia="Calibri"/>
                <w:lang w:val="es-ES_tradnl"/>
              </w:rPr>
              <w:t>igualdad de género</w:t>
            </w:r>
            <w:r w:rsidR="00894DFF" w:rsidRPr="0019710B">
              <w:rPr>
                <w:rFonts w:eastAsia="Calibri"/>
                <w:lang w:val="es-ES_tradnl"/>
              </w:rPr>
              <w:t>)</w:t>
            </w:r>
          </w:p>
        </w:tc>
        <w:tc>
          <w:tcPr>
            <w:tcW w:w="3737" w:type="pct"/>
            <w:tcBorders>
              <w:bottom w:val="nil"/>
            </w:tcBorders>
          </w:tcPr>
          <w:p w14:paraId="25A8B9A4" w14:textId="27E338F8" w:rsidR="00894DFF" w:rsidRPr="0019710B" w:rsidRDefault="00894DFF" w:rsidP="00457B8D">
            <w:pPr>
              <w:pStyle w:val="Tabletext"/>
              <w:rPr>
                <w:rFonts w:eastAsia="Calibri"/>
                <w:lang w:val="es-ES_tradnl" w:eastAsia="en-GB"/>
              </w:rPr>
            </w:pPr>
          </w:p>
        </w:tc>
      </w:tr>
      <w:tr w:rsidR="009008D4" w:rsidRPr="00C216C9" w14:paraId="59F6C1D6" w14:textId="77777777" w:rsidTr="00606FE5">
        <w:trPr>
          <w:trHeight w:val="519"/>
          <w:jc w:val="center"/>
        </w:trPr>
        <w:tc>
          <w:tcPr>
            <w:tcW w:w="349" w:type="pct"/>
            <w:tcBorders>
              <w:top w:val="nil"/>
              <w:bottom w:val="nil"/>
            </w:tcBorders>
          </w:tcPr>
          <w:p w14:paraId="20E568F5" w14:textId="77777777" w:rsidR="009008D4" w:rsidRPr="0019710B" w:rsidRDefault="009008D4" w:rsidP="00457B8D">
            <w:pPr>
              <w:pStyle w:val="Tabletext"/>
              <w:rPr>
                <w:lang w:val="es-ES_tradnl"/>
              </w:rPr>
            </w:pPr>
          </w:p>
        </w:tc>
        <w:tc>
          <w:tcPr>
            <w:tcW w:w="914" w:type="pct"/>
            <w:tcBorders>
              <w:top w:val="nil"/>
              <w:bottom w:val="nil"/>
            </w:tcBorders>
          </w:tcPr>
          <w:p w14:paraId="1BF8510E" w14:textId="22BFE7B7" w:rsidR="009008D4" w:rsidRPr="0019710B" w:rsidRDefault="009008D4" w:rsidP="00457B8D">
            <w:pPr>
              <w:pStyle w:val="Tabletext"/>
              <w:rPr>
                <w:rFonts w:eastAsia="Calibri"/>
                <w:lang w:val="es-ES_tradnl"/>
              </w:rPr>
            </w:pPr>
            <w:r w:rsidRPr="0019710B">
              <w:rPr>
                <w:rFonts w:eastAsia="Calibri"/>
                <w:lang w:val="es-ES_tradnl"/>
              </w:rPr>
              <w:t>INF/22</w:t>
            </w:r>
          </w:p>
        </w:tc>
        <w:tc>
          <w:tcPr>
            <w:tcW w:w="3737" w:type="pct"/>
            <w:tcBorders>
              <w:top w:val="nil"/>
              <w:bottom w:val="nil"/>
            </w:tcBorders>
          </w:tcPr>
          <w:p w14:paraId="204A3598" w14:textId="37291080" w:rsidR="009008D4" w:rsidRPr="0019710B" w:rsidRDefault="009008D4" w:rsidP="00457B8D">
            <w:pPr>
              <w:pStyle w:val="Tabletext"/>
              <w:rPr>
                <w:rFonts w:eastAsia="Calibri"/>
                <w:lang w:val="es-ES_tradnl"/>
              </w:rPr>
            </w:pPr>
            <w:r w:rsidRPr="0019710B">
              <w:rPr>
                <w:rFonts w:eastAsia="Calibri"/>
                <w:lang w:val="es-ES_tradnl"/>
              </w:rPr>
              <w:t>El GAR tomó nota de la presentación sobre las actividades de la Red de Mujeres para la CMR-23 (NOW4WRC23) y manifestó su agradecimiento por sus actividades para fomentar y garantizar la participación e implicación activas de las mujeres en los trabajos del UIT-R.</w:t>
            </w:r>
          </w:p>
        </w:tc>
      </w:tr>
      <w:tr w:rsidR="009008D4" w:rsidRPr="0019710B" w14:paraId="53FF65A3" w14:textId="77777777" w:rsidTr="00606FE5">
        <w:trPr>
          <w:trHeight w:val="408"/>
          <w:jc w:val="center"/>
        </w:trPr>
        <w:tc>
          <w:tcPr>
            <w:tcW w:w="349" w:type="pct"/>
            <w:tcBorders>
              <w:top w:val="nil"/>
            </w:tcBorders>
          </w:tcPr>
          <w:p w14:paraId="3BEAB5F6" w14:textId="77777777" w:rsidR="009008D4" w:rsidRPr="0019710B" w:rsidRDefault="009008D4" w:rsidP="00457B8D">
            <w:pPr>
              <w:pStyle w:val="Tabletext"/>
              <w:rPr>
                <w:lang w:val="es-ES_tradnl"/>
              </w:rPr>
            </w:pPr>
            <w:bookmarkStart w:id="4" w:name="_Hlk102560411"/>
          </w:p>
        </w:tc>
        <w:tc>
          <w:tcPr>
            <w:tcW w:w="914" w:type="pct"/>
            <w:tcBorders>
              <w:top w:val="nil"/>
            </w:tcBorders>
          </w:tcPr>
          <w:p w14:paraId="2B9FC79A" w14:textId="77777777" w:rsidR="009008D4" w:rsidRPr="0019710B" w:rsidRDefault="009008D4" w:rsidP="009008D4">
            <w:pPr>
              <w:pStyle w:val="Tabletext"/>
              <w:rPr>
                <w:rFonts w:eastAsia="Calibri"/>
                <w:lang w:val="es-ES_tradnl"/>
              </w:rPr>
            </w:pPr>
            <w:r w:rsidRPr="0019710B">
              <w:rPr>
                <w:rFonts w:eastAsia="Calibri"/>
                <w:lang w:val="es-ES_tradnl"/>
              </w:rPr>
              <w:t>44Rev1 (§8.7)</w:t>
            </w:r>
          </w:p>
          <w:p w14:paraId="36536BC5" w14:textId="3D6AE11B" w:rsidR="009008D4" w:rsidRPr="0019710B" w:rsidRDefault="009008D4" w:rsidP="00457B8D">
            <w:pPr>
              <w:pStyle w:val="Tabletext"/>
              <w:rPr>
                <w:rFonts w:eastAsia="Calibri"/>
                <w:lang w:val="es-ES_tradnl"/>
              </w:rPr>
            </w:pPr>
            <w:r w:rsidRPr="0019710B">
              <w:rPr>
                <w:rFonts w:eastAsia="Calibri"/>
                <w:lang w:val="es-ES_tradnl"/>
              </w:rPr>
              <w:t>46, 48, 52</w:t>
            </w:r>
          </w:p>
        </w:tc>
        <w:tc>
          <w:tcPr>
            <w:tcW w:w="3737" w:type="pct"/>
            <w:tcBorders>
              <w:top w:val="nil"/>
            </w:tcBorders>
          </w:tcPr>
          <w:p w14:paraId="395A3065" w14:textId="1FBD3BC5" w:rsidR="009008D4" w:rsidRPr="0019710B" w:rsidRDefault="009008D4" w:rsidP="00457B8D">
            <w:pPr>
              <w:pStyle w:val="Tabletext"/>
              <w:rPr>
                <w:lang w:val="es-ES_tradnl"/>
              </w:rPr>
            </w:pPr>
            <w:r w:rsidRPr="0019710B">
              <w:rPr>
                <w:rFonts w:eastAsia="Calibri"/>
                <w:lang w:val="es-ES_tradnl"/>
              </w:rPr>
              <w:t>El GAR tomó nota con satisfacción de los progresos realizados por el GC-1 y pidió al grupo que continuara su trabajo, de conformidad con su mandato, tomando en consideración las propuestas y los debates</w:t>
            </w:r>
            <w:r w:rsidR="0062238B">
              <w:rPr>
                <w:rFonts w:eastAsia="Calibri"/>
                <w:lang w:val="es-ES_tradnl"/>
              </w:rPr>
              <w:t xml:space="preserve"> </w:t>
            </w:r>
            <w:r w:rsidR="0062238B" w:rsidRPr="0062238B">
              <w:rPr>
                <w:rFonts w:eastAsia="Calibri"/>
                <w:lang w:val="es-ES_tradnl"/>
              </w:rPr>
              <w:t xml:space="preserve">en la 29ª reunión del GAR. El GAR insta a los </w:t>
            </w:r>
            <w:r w:rsidR="0062238B">
              <w:rPr>
                <w:rFonts w:eastAsia="Calibri"/>
                <w:lang w:val="es-ES_tradnl"/>
              </w:rPr>
              <w:t>m</w:t>
            </w:r>
            <w:r w:rsidR="0062238B" w:rsidRPr="0062238B">
              <w:rPr>
                <w:rFonts w:eastAsia="Calibri"/>
                <w:lang w:val="es-ES_tradnl"/>
              </w:rPr>
              <w:t>iembros del UIT-T a participar activamente en la labor del GC-1. Véase el Anexo 3.</w:t>
            </w:r>
          </w:p>
        </w:tc>
      </w:tr>
      <w:bookmarkEnd w:id="4"/>
      <w:tr w:rsidR="00894DFF" w:rsidRPr="00C216C9" w14:paraId="357B181A" w14:textId="77777777" w:rsidTr="00606FE5">
        <w:trPr>
          <w:trHeight w:val="1210"/>
          <w:jc w:val="center"/>
        </w:trPr>
        <w:tc>
          <w:tcPr>
            <w:tcW w:w="349" w:type="pct"/>
            <w:tcBorders>
              <w:bottom w:val="single" w:sz="4" w:space="0" w:color="auto"/>
            </w:tcBorders>
          </w:tcPr>
          <w:p w14:paraId="1A9AA754" w14:textId="339EA956" w:rsidR="00894DFF" w:rsidRPr="0019710B" w:rsidRDefault="00894DFF" w:rsidP="00457B8D">
            <w:pPr>
              <w:pStyle w:val="Tabletext"/>
              <w:rPr>
                <w:lang w:val="es-ES_tradnl"/>
              </w:rPr>
            </w:pPr>
            <w:r w:rsidRPr="0019710B">
              <w:rPr>
                <w:lang w:val="es-ES_tradnl" w:eastAsia="en-GB"/>
              </w:rPr>
              <w:br w:type="page"/>
              <w:t>11</w:t>
            </w:r>
          </w:p>
        </w:tc>
        <w:tc>
          <w:tcPr>
            <w:tcW w:w="914" w:type="pct"/>
            <w:tcBorders>
              <w:bottom w:val="single" w:sz="4" w:space="0" w:color="auto"/>
            </w:tcBorders>
          </w:tcPr>
          <w:p w14:paraId="68D30F7F" w14:textId="0903368D" w:rsidR="00894DFF" w:rsidRPr="0019710B" w:rsidRDefault="00894DFF" w:rsidP="00457B8D">
            <w:pPr>
              <w:pStyle w:val="Tabletext"/>
              <w:rPr>
                <w:rFonts w:eastAsia="Calibri"/>
                <w:lang w:val="es-ES_tradnl"/>
              </w:rPr>
            </w:pPr>
            <w:r w:rsidRPr="0019710B">
              <w:rPr>
                <w:rFonts w:eastAsia="Calibri"/>
                <w:lang w:val="es-ES_tradnl"/>
              </w:rPr>
              <w:t>Mandato del GC-2 del GAR sobre la eventual revisión de la Resolución UIT-R 1-8 y 15</w:t>
            </w:r>
            <w:r w:rsidR="00103DFA" w:rsidRPr="0019710B">
              <w:rPr>
                <w:rFonts w:eastAsia="Calibri"/>
                <w:lang w:val="es-ES_tradnl"/>
              </w:rPr>
              <w:noBreakHyphen/>
            </w:r>
            <w:r w:rsidRPr="0019710B">
              <w:rPr>
                <w:rFonts w:eastAsia="Calibri"/>
                <w:lang w:val="es-ES_tradnl"/>
              </w:rPr>
              <w:t>6</w:t>
            </w:r>
          </w:p>
          <w:p w14:paraId="3A1211EA" w14:textId="20C10415" w:rsidR="00894DFF" w:rsidRPr="0019710B" w:rsidRDefault="00894DFF" w:rsidP="00457B8D">
            <w:pPr>
              <w:pStyle w:val="Tabletext"/>
              <w:rPr>
                <w:rFonts w:eastAsia="Calibri"/>
                <w:lang w:val="es-ES_tradnl"/>
              </w:rPr>
            </w:pPr>
            <w:r w:rsidRPr="0019710B">
              <w:rPr>
                <w:rFonts w:eastAsia="Calibri"/>
                <w:lang w:val="es-ES_tradnl"/>
              </w:rPr>
              <w:t>40, 45, 47, 51, 54</w:t>
            </w:r>
          </w:p>
        </w:tc>
        <w:tc>
          <w:tcPr>
            <w:tcW w:w="3737" w:type="pct"/>
            <w:tcBorders>
              <w:bottom w:val="single" w:sz="4" w:space="0" w:color="auto"/>
            </w:tcBorders>
          </w:tcPr>
          <w:p w14:paraId="62461406" w14:textId="58971599" w:rsidR="00894DFF" w:rsidRPr="0019710B" w:rsidRDefault="00F20BAC" w:rsidP="00457B8D">
            <w:pPr>
              <w:pStyle w:val="Tabletext"/>
              <w:rPr>
                <w:rFonts w:eastAsia="Calibri"/>
                <w:lang w:val="es-ES_tradnl"/>
              </w:rPr>
            </w:pPr>
            <w:r w:rsidRPr="0019710B">
              <w:rPr>
                <w:rFonts w:eastAsia="Calibri"/>
                <w:lang w:val="es-ES_tradnl"/>
              </w:rPr>
              <w:t xml:space="preserve">El GAR tomó nota con satisfacción de los progresos realizados por el GC-2 </w:t>
            </w:r>
            <w:r w:rsidR="00195F6C" w:rsidRPr="0019710B">
              <w:rPr>
                <w:rFonts w:eastAsia="Calibri"/>
                <w:lang w:val="es-ES_tradnl"/>
              </w:rPr>
              <w:t>(Modificación</w:t>
            </w:r>
            <w:r w:rsidRPr="0019710B">
              <w:rPr>
                <w:rFonts w:eastAsia="Calibri"/>
                <w:lang w:val="es-ES_tradnl"/>
              </w:rPr>
              <w:t xml:space="preserve"> de la Res</w:t>
            </w:r>
            <w:r w:rsidR="00CE4568">
              <w:rPr>
                <w:rFonts w:eastAsia="Calibri"/>
                <w:lang w:val="es-ES_tradnl"/>
              </w:rPr>
              <w:t>o</w:t>
            </w:r>
            <w:r w:rsidR="00CE4568">
              <w:rPr>
                <w:rFonts w:eastAsia="Calibri"/>
              </w:rPr>
              <w:t>lución</w:t>
            </w:r>
            <w:r w:rsidRPr="0019710B">
              <w:rPr>
                <w:rFonts w:eastAsia="Calibri"/>
                <w:lang w:val="es-ES_tradnl"/>
              </w:rPr>
              <w:t xml:space="preserve"> 1-8) en el cumplimiento de su mandato.</w:t>
            </w:r>
            <w:r w:rsidR="00CA596E" w:rsidRPr="0019710B">
              <w:rPr>
                <w:rFonts w:eastAsia="Calibri"/>
                <w:lang w:val="es-ES_tradnl"/>
              </w:rPr>
              <w:t xml:space="preserve"> </w:t>
            </w:r>
            <w:r w:rsidRPr="0019710B">
              <w:rPr>
                <w:rFonts w:eastAsia="Calibri"/>
                <w:lang w:val="es-ES_tradnl"/>
              </w:rPr>
              <w:t xml:space="preserve">Habida cuenta de que aún quedan cuestiones pendientes en su proyecto de revisión de la </w:t>
            </w:r>
            <w:r w:rsidR="00CE4568" w:rsidRPr="0019710B">
              <w:rPr>
                <w:rFonts w:eastAsia="Calibri"/>
                <w:lang w:val="es-ES_tradnl"/>
              </w:rPr>
              <w:t>Res</w:t>
            </w:r>
            <w:r w:rsidR="00CE4568">
              <w:rPr>
                <w:rFonts w:eastAsia="Calibri"/>
                <w:lang w:val="es-ES_tradnl"/>
              </w:rPr>
              <w:t>o</w:t>
            </w:r>
            <w:r w:rsidR="00CE4568">
              <w:rPr>
                <w:rFonts w:eastAsia="Calibri"/>
              </w:rPr>
              <w:t>lución</w:t>
            </w:r>
            <w:r w:rsidRPr="0019710B">
              <w:rPr>
                <w:rFonts w:eastAsia="Calibri"/>
                <w:lang w:val="es-ES_tradnl"/>
              </w:rPr>
              <w:t xml:space="preserve"> 1-8 y de que su mandato actual expira al término de la presente reunión, el GAR aprobó el mandato revisado del CG-2 que figura en el Anexo 2.</w:t>
            </w:r>
          </w:p>
        </w:tc>
      </w:tr>
      <w:tr w:rsidR="00894DFF" w:rsidRPr="0019710B" w14:paraId="41DE9D6C" w14:textId="77777777" w:rsidTr="00606FE5">
        <w:trPr>
          <w:trHeight w:val="280"/>
          <w:jc w:val="center"/>
        </w:trPr>
        <w:tc>
          <w:tcPr>
            <w:tcW w:w="349" w:type="pct"/>
            <w:tcBorders>
              <w:bottom w:val="nil"/>
            </w:tcBorders>
          </w:tcPr>
          <w:p w14:paraId="79A81918" w14:textId="520F1DA6" w:rsidR="00894DFF" w:rsidRPr="0019710B" w:rsidRDefault="00894DFF" w:rsidP="00457B8D">
            <w:pPr>
              <w:pStyle w:val="Tabletext"/>
              <w:rPr>
                <w:lang w:val="es-ES_tradnl"/>
              </w:rPr>
            </w:pPr>
            <w:r w:rsidRPr="0019710B">
              <w:rPr>
                <w:lang w:val="es-ES_tradnl" w:eastAsia="en-GB"/>
              </w:rPr>
              <w:t>12</w:t>
            </w:r>
          </w:p>
        </w:tc>
        <w:tc>
          <w:tcPr>
            <w:tcW w:w="914" w:type="pct"/>
            <w:tcBorders>
              <w:bottom w:val="nil"/>
            </w:tcBorders>
          </w:tcPr>
          <w:p w14:paraId="40D7B484" w14:textId="5FFE29B0" w:rsidR="00894DFF" w:rsidRPr="0019710B" w:rsidRDefault="00F20BAC" w:rsidP="00457B8D">
            <w:pPr>
              <w:pStyle w:val="Tabletext"/>
              <w:rPr>
                <w:rFonts w:eastAsia="Calibri"/>
                <w:lang w:val="es-ES_tradnl"/>
              </w:rPr>
            </w:pPr>
            <w:r w:rsidRPr="0019710B">
              <w:rPr>
                <w:rFonts w:eastAsia="Calibri"/>
                <w:lang w:val="es-ES_tradnl"/>
              </w:rPr>
              <w:t>Actividades intersectoriales</w:t>
            </w:r>
          </w:p>
        </w:tc>
        <w:tc>
          <w:tcPr>
            <w:tcW w:w="3737" w:type="pct"/>
            <w:tcBorders>
              <w:bottom w:val="nil"/>
            </w:tcBorders>
          </w:tcPr>
          <w:p w14:paraId="2E34FD1A" w14:textId="54B5A8A2" w:rsidR="00894DFF" w:rsidRPr="0019710B" w:rsidRDefault="00894DFF" w:rsidP="00457B8D">
            <w:pPr>
              <w:pStyle w:val="Tabletext"/>
              <w:rPr>
                <w:rFonts w:eastAsia="Calibri"/>
                <w:lang w:val="es-ES_tradnl"/>
              </w:rPr>
            </w:pPr>
          </w:p>
        </w:tc>
      </w:tr>
      <w:tr w:rsidR="007A08B9" w:rsidRPr="00C216C9" w14:paraId="4FB70209" w14:textId="77777777" w:rsidTr="00606FE5">
        <w:trPr>
          <w:trHeight w:val="110"/>
          <w:jc w:val="center"/>
        </w:trPr>
        <w:tc>
          <w:tcPr>
            <w:tcW w:w="349" w:type="pct"/>
            <w:tcBorders>
              <w:top w:val="nil"/>
              <w:bottom w:val="nil"/>
            </w:tcBorders>
          </w:tcPr>
          <w:p w14:paraId="1AA964BB" w14:textId="77777777" w:rsidR="007A08B9" w:rsidRPr="0019710B" w:rsidRDefault="007A08B9" w:rsidP="00457B8D">
            <w:pPr>
              <w:pStyle w:val="Tabletext"/>
              <w:rPr>
                <w:lang w:val="es-ES_tradnl" w:eastAsia="en-GB"/>
              </w:rPr>
            </w:pPr>
          </w:p>
        </w:tc>
        <w:tc>
          <w:tcPr>
            <w:tcW w:w="914" w:type="pct"/>
            <w:tcBorders>
              <w:top w:val="nil"/>
              <w:bottom w:val="nil"/>
            </w:tcBorders>
          </w:tcPr>
          <w:p w14:paraId="6F8A0FA8" w14:textId="6920BE72" w:rsidR="007A08B9" w:rsidRPr="0019710B" w:rsidRDefault="007A08B9" w:rsidP="00457B8D">
            <w:pPr>
              <w:pStyle w:val="Tabletext"/>
              <w:rPr>
                <w:rFonts w:eastAsia="Calibri"/>
                <w:lang w:val="es-ES_tradnl"/>
              </w:rPr>
            </w:pPr>
            <w:r w:rsidRPr="0019710B">
              <w:rPr>
                <w:rFonts w:eastAsia="Calibri"/>
                <w:lang w:val="es-ES_tradnl"/>
              </w:rPr>
              <w:t>44Rev1 (§8.4)</w:t>
            </w:r>
          </w:p>
        </w:tc>
        <w:tc>
          <w:tcPr>
            <w:tcW w:w="3737" w:type="pct"/>
            <w:tcBorders>
              <w:top w:val="nil"/>
              <w:bottom w:val="nil"/>
            </w:tcBorders>
          </w:tcPr>
          <w:p w14:paraId="1E8782F0" w14:textId="2836F914" w:rsidR="007A08B9" w:rsidRPr="0019710B" w:rsidRDefault="007A08B9" w:rsidP="007A08B9">
            <w:pPr>
              <w:pStyle w:val="Tabletext"/>
              <w:rPr>
                <w:rFonts w:eastAsia="Calibri"/>
                <w:lang w:val="es-ES_tradnl"/>
              </w:rPr>
            </w:pPr>
            <w:r w:rsidRPr="0019710B">
              <w:rPr>
                <w:rFonts w:eastAsia="Calibri"/>
                <w:lang w:val="es-ES_tradnl"/>
              </w:rPr>
              <w:t xml:space="preserve">El GAR tomó nota del informe del Director sobre las actividades intersectoriales de la BR y solicitó que los futuros informes al GAR en este ámbito incluyeran las actividades intersectoriales sobre el vocabulario realizadas en el CCT de la UIT. </w:t>
            </w:r>
          </w:p>
        </w:tc>
      </w:tr>
      <w:tr w:rsidR="007A08B9" w:rsidRPr="00C216C9" w14:paraId="5C8E4DDD" w14:textId="77777777" w:rsidTr="00606FE5">
        <w:trPr>
          <w:trHeight w:val="945"/>
          <w:jc w:val="center"/>
        </w:trPr>
        <w:tc>
          <w:tcPr>
            <w:tcW w:w="349" w:type="pct"/>
            <w:tcBorders>
              <w:top w:val="nil"/>
              <w:bottom w:val="nil"/>
            </w:tcBorders>
          </w:tcPr>
          <w:p w14:paraId="728476AC" w14:textId="77777777" w:rsidR="007A08B9" w:rsidRPr="0019710B" w:rsidRDefault="007A08B9" w:rsidP="00457B8D">
            <w:pPr>
              <w:pStyle w:val="Tabletext"/>
              <w:rPr>
                <w:lang w:val="es-ES_tradnl" w:eastAsia="en-GB"/>
              </w:rPr>
            </w:pPr>
          </w:p>
        </w:tc>
        <w:tc>
          <w:tcPr>
            <w:tcW w:w="914" w:type="pct"/>
            <w:tcBorders>
              <w:top w:val="nil"/>
              <w:bottom w:val="nil"/>
            </w:tcBorders>
          </w:tcPr>
          <w:p w14:paraId="5EC99D31" w14:textId="67A1C835" w:rsidR="007A08B9" w:rsidRPr="0019710B" w:rsidRDefault="007A08B9" w:rsidP="00457B8D">
            <w:pPr>
              <w:pStyle w:val="Tabletext"/>
              <w:rPr>
                <w:rFonts w:eastAsia="Calibri"/>
                <w:lang w:val="es-ES_tradnl"/>
              </w:rPr>
            </w:pPr>
            <w:r w:rsidRPr="0019710B">
              <w:rPr>
                <w:rFonts w:eastAsia="Calibri"/>
                <w:lang w:val="es-ES_tradnl"/>
              </w:rPr>
              <w:t>37, 38 (UIT-T)</w:t>
            </w:r>
          </w:p>
        </w:tc>
        <w:tc>
          <w:tcPr>
            <w:tcW w:w="3737" w:type="pct"/>
            <w:tcBorders>
              <w:top w:val="nil"/>
              <w:bottom w:val="nil"/>
            </w:tcBorders>
          </w:tcPr>
          <w:p w14:paraId="77A0529D" w14:textId="49BAE4B6" w:rsidR="007A08B9" w:rsidRPr="0019710B" w:rsidRDefault="007A08B9" w:rsidP="007A08B9">
            <w:pPr>
              <w:pStyle w:val="Tabletext"/>
              <w:rPr>
                <w:rFonts w:eastAsia="Calibri"/>
                <w:lang w:val="es-ES_tradnl"/>
              </w:rPr>
            </w:pPr>
            <w:r w:rsidRPr="0019710B">
              <w:rPr>
                <w:rFonts w:eastAsia="Calibri"/>
                <w:lang w:val="es-ES_tradnl"/>
              </w:rPr>
              <w:t xml:space="preserve">El GAR tomó nota de las declaraciones de coordinación presentadas por la TSB y consideró que el </w:t>
            </w:r>
            <w:r w:rsidR="00CE4568" w:rsidRPr="0019710B">
              <w:rPr>
                <w:rFonts w:eastAsia="Calibri"/>
                <w:lang w:val="es-ES_tradnl"/>
              </w:rPr>
              <w:t xml:space="preserve">Grupo </w:t>
            </w:r>
            <w:r w:rsidRPr="00CE4568">
              <w:rPr>
                <w:rFonts w:eastAsia="Calibri"/>
                <w:i/>
                <w:iCs/>
                <w:lang w:val="es-ES_tradnl"/>
              </w:rPr>
              <w:t>ad hoc</w:t>
            </w:r>
            <w:r w:rsidRPr="0019710B">
              <w:rPr>
                <w:rFonts w:eastAsia="Calibri"/>
                <w:lang w:val="es-ES_tradnl"/>
              </w:rPr>
              <w:t xml:space="preserve"> sobre gobernanza y gestión de las reuniones electrónicas no puede proponer modificaciones al marco de gobernanza de la UIT que no sean propias del UIT-T.</w:t>
            </w:r>
          </w:p>
        </w:tc>
      </w:tr>
      <w:tr w:rsidR="007A08B9" w:rsidRPr="00C216C9" w14:paraId="21D90B45" w14:textId="77777777" w:rsidTr="00606FE5">
        <w:trPr>
          <w:trHeight w:val="2776"/>
          <w:jc w:val="center"/>
        </w:trPr>
        <w:tc>
          <w:tcPr>
            <w:tcW w:w="349" w:type="pct"/>
            <w:tcBorders>
              <w:top w:val="nil"/>
            </w:tcBorders>
          </w:tcPr>
          <w:p w14:paraId="39D0D4E2" w14:textId="77777777" w:rsidR="007A08B9" w:rsidRPr="0019710B" w:rsidRDefault="007A08B9" w:rsidP="00457B8D">
            <w:pPr>
              <w:pStyle w:val="Tabletext"/>
              <w:rPr>
                <w:lang w:val="es-ES_tradnl" w:eastAsia="en-GB"/>
              </w:rPr>
            </w:pPr>
          </w:p>
        </w:tc>
        <w:tc>
          <w:tcPr>
            <w:tcW w:w="914" w:type="pct"/>
            <w:tcBorders>
              <w:top w:val="nil"/>
            </w:tcBorders>
          </w:tcPr>
          <w:p w14:paraId="1B83B9C5" w14:textId="448A9795" w:rsidR="007A08B9" w:rsidRPr="0019710B" w:rsidRDefault="007A08B9" w:rsidP="00457B8D">
            <w:pPr>
              <w:pStyle w:val="Tabletext"/>
              <w:rPr>
                <w:rFonts w:eastAsia="Calibri"/>
                <w:lang w:val="es-ES_tradnl"/>
              </w:rPr>
            </w:pPr>
            <w:r w:rsidRPr="0019710B">
              <w:rPr>
                <w:rFonts w:eastAsia="Calibri"/>
                <w:lang w:val="es-ES_tradnl"/>
              </w:rPr>
              <w:t>49, 42, 43 (ISCG)</w:t>
            </w:r>
          </w:p>
        </w:tc>
        <w:tc>
          <w:tcPr>
            <w:tcW w:w="3737" w:type="pct"/>
            <w:tcBorders>
              <w:top w:val="nil"/>
            </w:tcBorders>
          </w:tcPr>
          <w:p w14:paraId="53776068" w14:textId="44656F1D" w:rsidR="007A08B9" w:rsidRPr="0019710B" w:rsidRDefault="007A08B9" w:rsidP="007A08B9">
            <w:pPr>
              <w:pStyle w:val="Tabletext"/>
              <w:rPr>
                <w:rFonts w:eastAsia="Calibri"/>
                <w:lang w:val="es-ES_tradnl"/>
              </w:rPr>
            </w:pPr>
            <w:r w:rsidRPr="0019710B">
              <w:rPr>
                <w:rFonts w:eastAsia="Calibri"/>
                <w:lang w:val="es-ES_tradnl"/>
              </w:rPr>
              <w:t xml:space="preserve">El GAR tomó nota de las declaraciones de coordinación presentadas en los </w:t>
            </w:r>
            <w:r w:rsidR="0063524E" w:rsidRPr="0019710B">
              <w:rPr>
                <w:rFonts w:eastAsia="Calibri"/>
                <w:lang w:val="es-ES_tradnl"/>
              </w:rPr>
              <w:t xml:space="preserve">Documentos </w:t>
            </w:r>
            <w:r w:rsidRPr="0019710B">
              <w:rPr>
                <w:rFonts w:eastAsia="Calibri"/>
                <w:lang w:val="es-ES_tradnl"/>
              </w:rPr>
              <w:t xml:space="preserve">RAG/42 y RAG/43 y del informe presentado en el </w:t>
            </w:r>
            <w:r w:rsidR="00CE4568" w:rsidRPr="0019710B">
              <w:rPr>
                <w:rFonts w:eastAsia="Calibri"/>
                <w:lang w:val="es-ES_tradnl"/>
              </w:rPr>
              <w:t xml:space="preserve">Documento </w:t>
            </w:r>
            <w:r w:rsidRPr="0019710B">
              <w:rPr>
                <w:rFonts w:eastAsia="Calibri"/>
                <w:lang w:val="es-ES_tradnl"/>
              </w:rPr>
              <w:t xml:space="preserve">RAG/49 por el Grupo de Coordinación Intersectorial. El GAR dio las gracias al Sr. Bigi por los trabajos en curso del GCIS. </w:t>
            </w:r>
          </w:p>
          <w:p w14:paraId="763D0790" w14:textId="6D0391D9" w:rsidR="007A08B9" w:rsidRPr="0019710B" w:rsidRDefault="007A08B9" w:rsidP="007A08B9">
            <w:pPr>
              <w:pStyle w:val="Tabletext"/>
              <w:rPr>
                <w:rFonts w:eastAsia="Calibri"/>
                <w:lang w:val="es-ES_tradnl"/>
              </w:rPr>
            </w:pPr>
            <w:r w:rsidRPr="0019710B">
              <w:rPr>
                <w:rFonts w:eastAsia="Calibri"/>
                <w:lang w:val="es-ES_tradnl"/>
              </w:rPr>
              <w:t xml:space="preserve">El GAR designó al Sr. Andy Quested como coordinador del GAR para los temas de </w:t>
            </w:r>
            <w:r w:rsidR="00CA596E" w:rsidRPr="0019710B">
              <w:rPr>
                <w:rFonts w:eastAsia="Calibri"/>
                <w:lang w:val="es-ES_tradnl"/>
              </w:rPr>
              <w:t>«</w:t>
            </w:r>
            <w:r w:rsidRPr="0019710B">
              <w:rPr>
                <w:rFonts w:eastAsia="Calibri"/>
                <w:lang w:val="es-ES_tradnl"/>
              </w:rPr>
              <w:t>accesibilidad</w:t>
            </w:r>
            <w:r w:rsidR="00CA596E" w:rsidRPr="0019710B">
              <w:rPr>
                <w:rFonts w:eastAsia="Calibri"/>
                <w:lang w:val="es-ES_tradnl"/>
              </w:rPr>
              <w:t>»</w:t>
            </w:r>
            <w:r w:rsidRPr="0019710B">
              <w:rPr>
                <w:rFonts w:eastAsia="Calibri"/>
                <w:lang w:val="es-ES_tradnl"/>
              </w:rPr>
              <w:t xml:space="preserve"> y </w:t>
            </w:r>
            <w:r w:rsidR="00CA596E" w:rsidRPr="0019710B">
              <w:rPr>
                <w:rFonts w:eastAsia="Calibri"/>
                <w:lang w:val="es-ES_tradnl"/>
              </w:rPr>
              <w:t>«</w:t>
            </w:r>
            <w:r w:rsidRPr="0019710B">
              <w:rPr>
                <w:rFonts w:eastAsia="Calibri"/>
                <w:lang w:val="es-ES_tradnl"/>
              </w:rPr>
              <w:t>cambio climático</w:t>
            </w:r>
            <w:r w:rsidR="00CA596E" w:rsidRPr="0019710B">
              <w:rPr>
                <w:rFonts w:eastAsia="Calibri"/>
                <w:lang w:val="es-ES_tradnl"/>
              </w:rPr>
              <w:t>»</w:t>
            </w:r>
            <w:r w:rsidRPr="0019710B">
              <w:rPr>
                <w:rFonts w:eastAsia="Calibri"/>
                <w:lang w:val="es-ES_tradnl"/>
              </w:rPr>
              <w:t>.</w:t>
            </w:r>
          </w:p>
          <w:p w14:paraId="1E580E82" w14:textId="77777777" w:rsidR="007A08B9" w:rsidRPr="0019710B" w:rsidRDefault="007A08B9" w:rsidP="007A08B9">
            <w:pPr>
              <w:pStyle w:val="Tabletext"/>
              <w:rPr>
                <w:rFonts w:eastAsia="Calibri"/>
                <w:lang w:val="es-ES_tradnl"/>
              </w:rPr>
            </w:pPr>
            <w:r w:rsidRPr="0019710B">
              <w:rPr>
                <w:rFonts w:eastAsia="Calibri"/>
                <w:lang w:val="es-ES_tradnl"/>
              </w:rPr>
              <w:t>El GAR tomó nota de las deliberaciones acerca de los progresos en la utilización de la traducción automática en otros Sectores y espera que la BR pueda utilizarla en el futuro cuando sus prestaciones se consideren adecuadas, teniendo en cuenta las peculiaridades del trabajo del UIT-R.</w:t>
            </w:r>
          </w:p>
          <w:p w14:paraId="333159FC" w14:textId="77777777" w:rsidR="007A08B9" w:rsidRPr="0019710B" w:rsidRDefault="007A08B9" w:rsidP="007A08B9">
            <w:pPr>
              <w:pStyle w:val="Tabletext"/>
              <w:rPr>
                <w:rFonts w:eastAsia="Calibri"/>
                <w:lang w:val="es-ES_tradnl"/>
              </w:rPr>
            </w:pPr>
            <w:r w:rsidRPr="0019710B">
              <w:rPr>
                <w:rFonts w:eastAsia="Calibri"/>
                <w:lang w:val="es-ES_tradnl"/>
              </w:rPr>
              <w:t>El GAR señala que el GCSI mantiene actualizados cuadros de correspondencia de las Resoluciones relacionadas de la PP y de los Sectores para evitar la duplicación de textos. El GCSI ha preparado además cuadros de asignación de estudios y actividades relacionadas de los tres Sectores y de la Secretaría General para garantizar la necesaria coordinación. El GAR refrenda estas acciones.</w:t>
            </w:r>
          </w:p>
          <w:p w14:paraId="277A81FA" w14:textId="77777777" w:rsidR="007A08B9" w:rsidRPr="0019710B" w:rsidRDefault="007A08B9" w:rsidP="007A08B9">
            <w:pPr>
              <w:pStyle w:val="Tabletext"/>
              <w:rPr>
                <w:rFonts w:eastAsia="Calibri"/>
                <w:lang w:val="es-ES_tradnl"/>
              </w:rPr>
            </w:pPr>
            <w:r w:rsidRPr="0019710B">
              <w:rPr>
                <w:rFonts w:eastAsia="Calibri"/>
                <w:lang w:val="es-ES_tradnl"/>
              </w:rPr>
              <w:t>El GAR recomendó a la BR que el sitio web del GCSI y los cuadros de correspondencia sean más fácilmente accesibles desde la página de inicio de la BR.</w:t>
            </w:r>
          </w:p>
        </w:tc>
      </w:tr>
      <w:tr w:rsidR="00894DFF" w:rsidRPr="0019710B" w14:paraId="53380D23" w14:textId="77777777" w:rsidTr="00606FE5">
        <w:trPr>
          <w:jc w:val="center"/>
        </w:trPr>
        <w:tc>
          <w:tcPr>
            <w:tcW w:w="349" w:type="pct"/>
          </w:tcPr>
          <w:p w14:paraId="2DAA034A" w14:textId="51D4D933" w:rsidR="00894DFF" w:rsidRPr="0019710B" w:rsidRDefault="00894DFF" w:rsidP="00457B8D">
            <w:pPr>
              <w:pStyle w:val="Tabletext"/>
              <w:rPr>
                <w:lang w:val="es-ES_tradnl"/>
              </w:rPr>
            </w:pPr>
            <w:r w:rsidRPr="0019710B">
              <w:rPr>
                <w:lang w:val="es-ES_tradnl"/>
              </w:rPr>
              <w:t>13</w:t>
            </w:r>
          </w:p>
        </w:tc>
        <w:tc>
          <w:tcPr>
            <w:tcW w:w="914" w:type="pct"/>
          </w:tcPr>
          <w:p w14:paraId="6E4CEA59" w14:textId="7C994866" w:rsidR="00894DFF" w:rsidRPr="0019710B" w:rsidRDefault="00894DFF" w:rsidP="00457B8D">
            <w:pPr>
              <w:pStyle w:val="Tabletext"/>
              <w:rPr>
                <w:rFonts w:eastAsia="Calibri"/>
                <w:lang w:val="es-ES_tradnl"/>
              </w:rPr>
            </w:pPr>
            <w:r w:rsidRPr="0019710B">
              <w:rPr>
                <w:rFonts w:eastAsia="Calibri"/>
                <w:lang w:val="es-ES_tradnl"/>
              </w:rPr>
              <w:t>Fecha de la próxima reunión</w:t>
            </w:r>
          </w:p>
        </w:tc>
        <w:tc>
          <w:tcPr>
            <w:tcW w:w="3737" w:type="pct"/>
          </w:tcPr>
          <w:p w14:paraId="17C74894" w14:textId="33759F1E" w:rsidR="00894DFF" w:rsidRPr="0019710B" w:rsidRDefault="000136B2" w:rsidP="00457B8D">
            <w:pPr>
              <w:pStyle w:val="Tabletext"/>
              <w:rPr>
                <w:rFonts w:eastAsia="Calibri"/>
                <w:lang w:val="es-ES_tradnl"/>
              </w:rPr>
            </w:pPr>
            <w:r w:rsidRPr="0019710B">
              <w:rPr>
                <w:rFonts w:eastAsia="Calibri"/>
                <w:lang w:val="es-ES_tradnl"/>
              </w:rPr>
              <w:t xml:space="preserve">Segundo </w:t>
            </w:r>
            <w:r w:rsidR="00DC2F6F" w:rsidRPr="0019710B">
              <w:rPr>
                <w:rFonts w:eastAsia="Calibri"/>
                <w:lang w:val="es-ES_tradnl"/>
              </w:rPr>
              <w:t>trimestre</w:t>
            </w:r>
            <w:r w:rsidRPr="0019710B">
              <w:rPr>
                <w:rFonts w:eastAsia="Calibri"/>
                <w:lang w:val="es-ES_tradnl"/>
              </w:rPr>
              <w:t xml:space="preserve"> de </w:t>
            </w:r>
            <w:r w:rsidR="00894DFF" w:rsidRPr="0019710B">
              <w:rPr>
                <w:rFonts w:eastAsia="Calibri"/>
                <w:lang w:val="es-ES_tradnl"/>
              </w:rPr>
              <w:t>2023.</w:t>
            </w:r>
          </w:p>
        </w:tc>
      </w:tr>
      <w:tr w:rsidR="00894DFF" w:rsidRPr="0019710B" w14:paraId="0C378B82" w14:textId="77777777" w:rsidTr="00606FE5">
        <w:trPr>
          <w:jc w:val="center"/>
        </w:trPr>
        <w:tc>
          <w:tcPr>
            <w:tcW w:w="349" w:type="pct"/>
          </w:tcPr>
          <w:p w14:paraId="285CDA79" w14:textId="4A62AE7D" w:rsidR="00894DFF" w:rsidRPr="0019710B" w:rsidRDefault="00894DFF" w:rsidP="00457B8D">
            <w:pPr>
              <w:pStyle w:val="Tabletext"/>
              <w:rPr>
                <w:rFonts w:eastAsia="Calibri"/>
                <w:lang w:val="es-ES_tradnl"/>
              </w:rPr>
            </w:pPr>
            <w:r w:rsidRPr="0019710B">
              <w:rPr>
                <w:rFonts w:eastAsia="Calibri"/>
                <w:lang w:val="es-ES_tradnl"/>
              </w:rPr>
              <w:t>14</w:t>
            </w:r>
          </w:p>
        </w:tc>
        <w:tc>
          <w:tcPr>
            <w:tcW w:w="914" w:type="pct"/>
          </w:tcPr>
          <w:p w14:paraId="0D3616DF" w14:textId="54B27EAE" w:rsidR="00894DFF" w:rsidRPr="0019710B" w:rsidRDefault="00894DFF" w:rsidP="00457B8D">
            <w:pPr>
              <w:pStyle w:val="Tabletext"/>
              <w:rPr>
                <w:rFonts w:eastAsia="Calibri"/>
                <w:lang w:val="es-ES_tradnl"/>
              </w:rPr>
            </w:pPr>
            <w:r w:rsidRPr="0019710B">
              <w:rPr>
                <w:rFonts w:eastAsia="Calibri"/>
                <w:lang w:val="es-ES_tradnl"/>
              </w:rPr>
              <w:t>Otros asuntos</w:t>
            </w:r>
          </w:p>
        </w:tc>
        <w:tc>
          <w:tcPr>
            <w:tcW w:w="3737" w:type="pct"/>
          </w:tcPr>
          <w:p w14:paraId="6F18245A" w14:textId="28DFF9A4" w:rsidR="00894DFF" w:rsidRPr="0019710B" w:rsidRDefault="00894DFF" w:rsidP="00457B8D">
            <w:pPr>
              <w:pStyle w:val="Tabletext"/>
              <w:rPr>
                <w:lang w:val="es-ES_tradnl"/>
              </w:rPr>
            </w:pPr>
          </w:p>
        </w:tc>
      </w:tr>
    </w:tbl>
    <w:p w14:paraId="093E3735" w14:textId="24872CCF" w:rsidR="00350F58" w:rsidRPr="0019710B" w:rsidRDefault="00350F58" w:rsidP="00A4246F">
      <w:pPr>
        <w:spacing w:before="1080" w:line="240" w:lineRule="auto"/>
        <w:rPr>
          <w:lang w:val="es-ES_tradnl"/>
        </w:rPr>
      </w:pPr>
      <w:r w:rsidRPr="0019710B">
        <w:rPr>
          <w:u w:val="single"/>
          <w:lang w:val="es-ES_tradnl"/>
        </w:rPr>
        <w:t>ANEX</w:t>
      </w:r>
      <w:r w:rsidR="00776BC8" w:rsidRPr="0019710B">
        <w:rPr>
          <w:u w:val="single"/>
          <w:lang w:val="es-ES_tradnl"/>
        </w:rPr>
        <w:t>O</w:t>
      </w:r>
      <w:r w:rsidRPr="0019710B">
        <w:rPr>
          <w:u w:val="single"/>
          <w:lang w:val="es-ES_tradnl"/>
        </w:rPr>
        <w:t>S</w:t>
      </w:r>
      <w:r w:rsidRPr="0019710B">
        <w:rPr>
          <w:lang w:val="es-ES_tradnl"/>
        </w:rPr>
        <w:t>:</w:t>
      </w:r>
    </w:p>
    <w:p w14:paraId="32D89B63" w14:textId="19C0CDD2" w:rsidR="00350F58" w:rsidRPr="0019710B" w:rsidRDefault="00350F58" w:rsidP="00A4246F">
      <w:pPr>
        <w:spacing w:line="240" w:lineRule="auto"/>
        <w:rPr>
          <w:lang w:val="es-ES_tradnl"/>
        </w:rPr>
      </w:pPr>
      <w:r w:rsidRPr="0019710B">
        <w:rPr>
          <w:lang w:val="es-ES_tradnl"/>
        </w:rPr>
        <w:t>ANEX</w:t>
      </w:r>
      <w:r w:rsidR="00776BC8" w:rsidRPr="0019710B">
        <w:rPr>
          <w:lang w:val="es-ES_tradnl"/>
        </w:rPr>
        <w:t>O</w:t>
      </w:r>
      <w:r w:rsidRPr="0019710B">
        <w:rPr>
          <w:lang w:val="es-ES_tradnl"/>
        </w:rPr>
        <w:t xml:space="preserve"> 1:</w:t>
      </w:r>
      <w:bookmarkStart w:id="5" w:name="_Hlk42682570"/>
      <w:r w:rsidR="006943AA" w:rsidRPr="0019710B">
        <w:rPr>
          <w:lang w:val="es-ES_tradnl"/>
        </w:rPr>
        <w:tab/>
      </w:r>
      <w:r w:rsidR="00F95590" w:rsidRPr="0019710B">
        <w:rPr>
          <w:lang w:val="es-ES_tradnl"/>
        </w:rPr>
        <w:t>Declaraciones de los Estados Miembros</w:t>
      </w:r>
    </w:p>
    <w:p w14:paraId="3ACDE21B" w14:textId="1776D4C1" w:rsidR="00350F58" w:rsidRPr="0019710B" w:rsidRDefault="00350F58" w:rsidP="00A4246F">
      <w:pPr>
        <w:spacing w:line="240" w:lineRule="auto"/>
        <w:rPr>
          <w:lang w:val="es-ES_tradnl"/>
        </w:rPr>
      </w:pPr>
      <w:r w:rsidRPr="0019710B">
        <w:rPr>
          <w:lang w:val="es-ES_tradnl"/>
        </w:rPr>
        <w:t>ANEX</w:t>
      </w:r>
      <w:r w:rsidR="00776BC8" w:rsidRPr="0019710B">
        <w:rPr>
          <w:lang w:val="es-ES_tradnl"/>
        </w:rPr>
        <w:t>O</w:t>
      </w:r>
      <w:r w:rsidRPr="0019710B">
        <w:rPr>
          <w:lang w:val="es-ES_tradnl"/>
        </w:rPr>
        <w:t xml:space="preserve"> 2:</w:t>
      </w:r>
      <w:r w:rsidR="006943AA" w:rsidRPr="0019710B">
        <w:rPr>
          <w:lang w:val="es-ES_tradnl"/>
        </w:rPr>
        <w:tab/>
      </w:r>
      <w:r w:rsidR="00776BC8" w:rsidRPr="0019710B">
        <w:rPr>
          <w:lang w:val="es-ES_tradnl"/>
        </w:rPr>
        <w:t xml:space="preserve">Proyecto de </w:t>
      </w:r>
      <w:r w:rsidR="00F53624" w:rsidRPr="0019710B">
        <w:rPr>
          <w:lang w:val="es-ES_tradnl"/>
        </w:rPr>
        <w:t>m</w:t>
      </w:r>
      <w:r w:rsidR="004151CE" w:rsidRPr="0019710B">
        <w:rPr>
          <w:lang w:val="es-ES_tradnl"/>
        </w:rPr>
        <w:t xml:space="preserve">andato del </w:t>
      </w:r>
      <w:r w:rsidR="002868EB" w:rsidRPr="0019710B">
        <w:rPr>
          <w:lang w:val="es-ES_tradnl"/>
        </w:rPr>
        <w:t>G</w:t>
      </w:r>
      <w:r w:rsidR="004151CE" w:rsidRPr="0019710B">
        <w:rPr>
          <w:lang w:val="es-ES_tradnl"/>
        </w:rPr>
        <w:t xml:space="preserve">rupo por </w:t>
      </w:r>
      <w:r w:rsidR="002868EB" w:rsidRPr="0019710B">
        <w:rPr>
          <w:lang w:val="es-ES_tradnl"/>
        </w:rPr>
        <w:t>C</w:t>
      </w:r>
      <w:r w:rsidR="004151CE" w:rsidRPr="0019710B">
        <w:rPr>
          <w:lang w:val="es-ES_tradnl"/>
        </w:rPr>
        <w:t xml:space="preserve">orrespondencia </w:t>
      </w:r>
      <w:r w:rsidR="00776BC8" w:rsidRPr="0019710B">
        <w:rPr>
          <w:lang w:val="es-ES_tradnl"/>
        </w:rPr>
        <w:t xml:space="preserve">2 </w:t>
      </w:r>
      <w:r w:rsidR="004151CE" w:rsidRPr="0019710B">
        <w:rPr>
          <w:lang w:val="es-ES_tradnl"/>
        </w:rPr>
        <w:t xml:space="preserve">del GAR sobre la </w:t>
      </w:r>
      <w:r w:rsidR="002750BE" w:rsidRPr="0019710B">
        <w:rPr>
          <w:lang w:val="es-ES_tradnl"/>
        </w:rPr>
        <w:t>eventual</w:t>
      </w:r>
      <w:r w:rsidR="004151CE" w:rsidRPr="0019710B">
        <w:rPr>
          <w:lang w:val="es-ES_tradnl"/>
        </w:rPr>
        <w:t xml:space="preserve"> revisión de la </w:t>
      </w:r>
      <w:r w:rsidR="002868EB" w:rsidRPr="0019710B">
        <w:rPr>
          <w:lang w:val="es-ES_tradnl"/>
        </w:rPr>
        <w:t>R</w:t>
      </w:r>
      <w:r w:rsidR="004151CE" w:rsidRPr="0019710B">
        <w:rPr>
          <w:lang w:val="es-ES_tradnl"/>
        </w:rPr>
        <w:t>esoluci</w:t>
      </w:r>
      <w:r w:rsidR="00850D17" w:rsidRPr="0019710B">
        <w:rPr>
          <w:lang w:val="es-ES_tradnl"/>
        </w:rPr>
        <w:t>ón</w:t>
      </w:r>
      <w:r w:rsidR="00776BC8" w:rsidRPr="0019710B">
        <w:rPr>
          <w:lang w:val="es-ES_tradnl"/>
        </w:rPr>
        <w:t xml:space="preserve"> UIT</w:t>
      </w:r>
      <w:r w:rsidR="00A97721" w:rsidRPr="0019710B">
        <w:rPr>
          <w:lang w:val="es-ES_tradnl"/>
        </w:rPr>
        <w:t>-R 1-8</w:t>
      </w:r>
      <w:r w:rsidR="00850D17" w:rsidRPr="0019710B">
        <w:rPr>
          <w:lang w:val="es-ES_tradnl"/>
        </w:rPr>
        <w:t xml:space="preserve"> (GC-2 </w:t>
      </w:r>
      <w:r w:rsidR="00DE255C" w:rsidRPr="0019710B">
        <w:rPr>
          <w:lang w:val="es-ES_tradnl"/>
        </w:rPr>
        <w:t xml:space="preserve">del </w:t>
      </w:r>
      <w:r w:rsidR="00850D17" w:rsidRPr="0019710B">
        <w:rPr>
          <w:lang w:val="es-ES_tradnl"/>
        </w:rPr>
        <w:t>GAR).</w:t>
      </w:r>
    </w:p>
    <w:p w14:paraId="44CCBE57" w14:textId="70AF59D3" w:rsidR="00530082" w:rsidRPr="0019710B" w:rsidRDefault="00530082" w:rsidP="00A4246F">
      <w:pPr>
        <w:spacing w:line="240" w:lineRule="auto"/>
        <w:rPr>
          <w:lang w:val="es-ES_tradnl"/>
        </w:rPr>
      </w:pPr>
      <w:r w:rsidRPr="0019710B">
        <w:rPr>
          <w:lang w:val="es-ES_tradnl"/>
        </w:rPr>
        <w:t>AN</w:t>
      </w:r>
      <w:r w:rsidR="007A08B9" w:rsidRPr="0019710B">
        <w:rPr>
          <w:lang w:val="es-ES_tradnl"/>
        </w:rPr>
        <w:t>E</w:t>
      </w:r>
      <w:r w:rsidRPr="0019710B">
        <w:rPr>
          <w:lang w:val="es-ES_tradnl"/>
        </w:rPr>
        <w:t>X</w:t>
      </w:r>
      <w:r w:rsidR="007A08B9" w:rsidRPr="0019710B">
        <w:rPr>
          <w:lang w:val="es-ES_tradnl"/>
        </w:rPr>
        <w:t>O</w:t>
      </w:r>
      <w:r w:rsidRPr="0019710B">
        <w:rPr>
          <w:lang w:val="es-ES_tradnl"/>
        </w:rPr>
        <w:t xml:space="preserve"> 3:</w:t>
      </w:r>
      <w:r w:rsidR="00E95888" w:rsidRPr="0019710B">
        <w:rPr>
          <w:lang w:val="es-ES_tradnl"/>
        </w:rPr>
        <w:tab/>
      </w:r>
      <w:r w:rsidR="00F95590" w:rsidRPr="0019710B">
        <w:rPr>
          <w:lang w:val="es-ES_tradnl"/>
        </w:rPr>
        <w:t>Actividades del Grupo por Correspondencia 1 del GAR</w:t>
      </w:r>
    </w:p>
    <w:p w14:paraId="3D09467E" w14:textId="77777777" w:rsidR="00350F58" w:rsidRPr="0019710B" w:rsidRDefault="00350F58" w:rsidP="00A4246F">
      <w:pPr>
        <w:spacing w:line="240" w:lineRule="auto"/>
        <w:rPr>
          <w:lang w:val="es-ES_tradnl"/>
        </w:rPr>
      </w:pPr>
    </w:p>
    <w:bookmarkEnd w:id="5"/>
    <w:p w14:paraId="27E227F7" w14:textId="77777777" w:rsidR="00350F58" w:rsidRPr="0019710B" w:rsidRDefault="00350F58" w:rsidP="00A4246F">
      <w:pPr>
        <w:spacing w:line="240" w:lineRule="auto"/>
        <w:jc w:val="center"/>
        <w:rPr>
          <w:rFonts w:asciiTheme="minorHAnsi" w:hAnsiTheme="minorHAnsi" w:cstheme="minorHAnsi"/>
          <w:szCs w:val="24"/>
          <w:lang w:val="es-ES_tradnl"/>
        </w:rPr>
        <w:sectPr w:rsidR="00350F58" w:rsidRPr="0019710B" w:rsidSect="009D1C10">
          <w:headerReference w:type="default" r:id="rId14"/>
          <w:footerReference w:type="default" r:id="rId15"/>
          <w:headerReference w:type="first" r:id="rId16"/>
          <w:footerReference w:type="first" r:id="rId17"/>
          <w:pgSz w:w="16834" w:h="11907" w:orient="landscape" w:code="9"/>
          <w:pgMar w:top="1134" w:right="1134" w:bottom="1134" w:left="1134" w:header="567" w:footer="454" w:gutter="0"/>
          <w:cols w:space="720"/>
          <w:titlePg/>
          <w:docGrid w:linePitch="326"/>
        </w:sectPr>
      </w:pPr>
    </w:p>
    <w:p w14:paraId="5703F0C1" w14:textId="6F1B7730" w:rsidR="00350F58" w:rsidRPr="0019710B" w:rsidRDefault="00350F58" w:rsidP="00A4246F">
      <w:pPr>
        <w:pStyle w:val="AnnexNotitle0"/>
        <w:spacing w:after="240"/>
        <w:rPr>
          <w:rFonts w:ascii="Calibri" w:hAnsi="Calibri" w:cs="Calibri"/>
          <w:lang w:val="es-ES_tradnl"/>
        </w:rPr>
      </w:pPr>
      <w:bookmarkStart w:id="6" w:name="_Hlk42605775"/>
      <w:r w:rsidRPr="0019710B">
        <w:rPr>
          <w:rFonts w:ascii="Calibri" w:hAnsi="Calibri" w:cs="Calibri"/>
          <w:lang w:val="es-ES_tradnl"/>
        </w:rPr>
        <w:lastRenderedPageBreak/>
        <w:t>ANEX</w:t>
      </w:r>
      <w:r w:rsidR="00776BC8" w:rsidRPr="0019710B">
        <w:rPr>
          <w:rFonts w:ascii="Calibri" w:hAnsi="Calibri" w:cs="Calibri"/>
          <w:lang w:val="es-ES_tradnl"/>
        </w:rPr>
        <w:t>O</w:t>
      </w:r>
      <w:r w:rsidRPr="0019710B">
        <w:rPr>
          <w:rFonts w:ascii="Calibri" w:hAnsi="Calibri" w:cs="Calibri"/>
          <w:lang w:val="es-ES_tradnl"/>
        </w:rPr>
        <w:t xml:space="preserve"> 1</w:t>
      </w:r>
      <w:bookmarkEnd w:id="6"/>
    </w:p>
    <w:p w14:paraId="50B18E26" w14:textId="20BB2E3F" w:rsidR="00400530" w:rsidRPr="0019710B" w:rsidRDefault="00F95590" w:rsidP="007A08B9">
      <w:pPr>
        <w:pStyle w:val="Annextitle"/>
      </w:pPr>
      <w:r w:rsidRPr="0019710B">
        <w:t>Declaraciones de los Estados Miembros</w:t>
      </w:r>
    </w:p>
    <w:p w14:paraId="379F4BC9" w14:textId="6B7DFCEE" w:rsidR="00400530" w:rsidRPr="0019710B" w:rsidRDefault="00F95590" w:rsidP="007A08B9">
      <w:pPr>
        <w:pStyle w:val="Headingb"/>
        <w:rPr>
          <w:lang w:val="es-ES_tradnl"/>
        </w:rPr>
      </w:pPr>
      <w:r w:rsidRPr="0019710B">
        <w:rPr>
          <w:lang w:val="es-ES_tradnl"/>
        </w:rPr>
        <w:t>Declaración de Francia en nombre de la Unión Europea</w:t>
      </w:r>
    </w:p>
    <w:p w14:paraId="2B79813D" w14:textId="6609D2AB" w:rsidR="00400530" w:rsidRPr="0019710B" w:rsidRDefault="0079436E" w:rsidP="005E21D3">
      <w:pPr>
        <w:rPr>
          <w:lang w:val="es-ES_tradnl"/>
        </w:rPr>
      </w:pPr>
      <w:r w:rsidRPr="0019710B">
        <w:rPr>
          <w:lang w:val="es-ES_tradnl"/>
        </w:rPr>
        <w:t xml:space="preserve">Para empezar, permítanme expresar la plena solidaridad de la Unión Europea y de sus Estados miembros con Ucrania y el pueblo ucraniano. La UE condena en los términos más enérgicos la agresión no provocada e injustificada de Rusia contra Ucrania, que infringe gravemente el derecho internacional y la Carta de las Naciones Unidas, y socava la seguridad y la estabilidad internacionales. La UE exige que Rusia cese inmediatamente sus acciones militares, retire todas sus tropas del territorio de Ucrania y respete plenamente la integridad territorial, la soberanía y la independencia de Ucrania dentro de sus fronteras internacionalmente reconocidas, y que acate la Resolución de la Asamblea General de las Naciones Unidas titulada </w:t>
      </w:r>
      <w:r w:rsidR="00CA596E" w:rsidRPr="0019710B">
        <w:rPr>
          <w:lang w:val="es-ES_tradnl"/>
        </w:rPr>
        <w:t>«</w:t>
      </w:r>
      <w:r w:rsidRPr="0019710B">
        <w:rPr>
          <w:lang w:val="es-ES_tradnl"/>
        </w:rPr>
        <w:t>Agresión contra Ucrania</w:t>
      </w:r>
      <w:r w:rsidR="00CA596E" w:rsidRPr="0019710B">
        <w:rPr>
          <w:lang w:val="es-ES_tradnl"/>
        </w:rPr>
        <w:t>»</w:t>
      </w:r>
      <w:r w:rsidRPr="0019710B">
        <w:rPr>
          <w:lang w:val="es-ES_tradnl"/>
        </w:rPr>
        <w:t xml:space="preserve">, refrendada por 141 Estados en el </w:t>
      </w:r>
      <w:r w:rsidR="00DA19E8">
        <w:rPr>
          <w:lang w:val="es-ES_tradnl"/>
        </w:rPr>
        <w:t>u</w:t>
      </w:r>
      <w:r w:rsidR="00917FE3" w:rsidRPr="0019710B">
        <w:rPr>
          <w:lang w:val="es-ES_tradnl"/>
        </w:rPr>
        <w:t>ndécimo</w:t>
      </w:r>
      <w:r w:rsidRPr="0019710B">
        <w:rPr>
          <w:lang w:val="es-ES_tradnl"/>
        </w:rPr>
        <w:t xml:space="preserve"> per</w:t>
      </w:r>
      <w:r w:rsidR="00DA19E8">
        <w:rPr>
          <w:lang w:val="es-ES_tradnl"/>
        </w:rPr>
        <w:t>i</w:t>
      </w:r>
      <w:r w:rsidRPr="0019710B">
        <w:rPr>
          <w:lang w:val="es-ES_tradnl"/>
        </w:rPr>
        <w:t>odo extraordinario de sesiones de emergencia. La UE apoya con determinación el derecho inherente de Ucrania a la autodefensa y los esfuerzos de las fuerzas armadas ucranianas por defender la integridad territorial y la población de Ucrania, de conformidad con el Artículo 51 de la Carta de las Naciones Unidas. La Federación de Rusia debe respetar en todo momento las obligaciones derivadas del derecho internacional, incluido el derecho internacional humanitario y los derechos humanos, en particular en lo que respecta a la protección de la población civil, las mujeres y los niños. Asimismo, Rusia debe poner fin a su campaña de desinformación y a sus ciberataques.</w:t>
      </w:r>
    </w:p>
    <w:p w14:paraId="6F5FD3A7" w14:textId="31D5AB07" w:rsidR="00400530" w:rsidRPr="0019710B" w:rsidRDefault="0079436E" w:rsidP="007A08B9">
      <w:pPr>
        <w:pStyle w:val="Headingb"/>
        <w:rPr>
          <w:lang w:val="es-ES_tradnl"/>
        </w:rPr>
      </w:pPr>
      <w:r w:rsidRPr="0019710B">
        <w:rPr>
          <w:lang w:val="es-ES_tradnl"/>
        </w:rPr>
        <w:t>Declaración del Reino Unido</w:t>
      </w:r>
    </w:p>
    <w:p w14:paraId="5E6C8EBF" w14:textId="51BB13D3" w:rsidR="00917FE3" w:rsidRPr="0019710B" w:rsidRDefault="00917FE3" w:rsidP="005E21D3">
      <w:pPr>
        <w:rPr>
          <w:lang w:val="es-ES_tradnl"/>
        </w:rPr>
      </w:pPr>
      <w:r w:rsidRPr="0019710B">
        <w:rPr>
          <w:lang w:val="es-ES_tradnl"/>
        </w:rPr>
        <w:t>El Reino Unido hace constar lo siguiente:</w:t>
      </w:r>
    </w:p>
    <w:p w14:paraId="05AD15AC" w14:textId="785AEBB7" w:rsidR="00917FE3" w:rsidRPr="0019710B" w:rsidRDefault="007A08B9" w:rsidP="007A08B9">
      <w:pPr>
        <w:pStyle w:val="enumlev1"/>
        <w:rPr>
          <w:lang w:val="es-ES_tradnl"/>
        </w:rPr>
      </w:pPr>
      <w:r w:rsidRPr="0019710B">
        <w:rPr>
          <w:lang w:val="es-ES_tradnl"/>
        </w:rPr>
        <w:t>–</w:t>
      </w:r>
      <w:r w:rsidRPr="0019710B">
        <w:rPr>
          <w:lang w:val="es-ES_tradnl"/>
        </w:rPr>
        <w:tab/>
      </w:r>
      <w:r w:rsidR="00917FE3" w:rsidRPr="0019710B">
        <w:rPr>
          <w:lang w:val="es-ES_tradnl"/>
        </w:rPr>
        <w:t xml:space="preserve">las observaciones del </w:t>
      </w:r>
      <w:proofErr w:type="gramStart"/>
      <w:r w:rsidR="00917FE3" w:rsidRPr="0019710B">
        <w:rPr>
          <w:lang w:val="es-ES_tradnl"/>
        </w:rPr>
        <w:t>Secretario General</w:t>
      </w:r>
      <w:proofErr w:type="gramEnd"/>
      <w:r w:rsidR="00917FE3" w:rsidRPr="0019710B">
        <w:rPr>
          <w:lang w:val="es-ES_tradnl"/>
        </w:rPr>
        <w:t xml:space="preserve"> de la UIT realizadas en la </w:t>
      </w:r>
      <w:r w:rsidR="00DA19E8">
        <w:rPr>
          <w:lang w:val="es-ES_tradnl"/>
        </w:rPr>
        <w:t>reunión de</w:t>
      </w:r>
      <w:r w:rsidR="00917FE3" w:rsidRPr="0019710B">
        <w:rPr>
          <w:lang w:val="es-ES_tradnl"/>
        </w:rPr>
        <w:t xml:space="preserve"> 2022 del Consejo, para que la guerra en Ucrania se detenga</w:t>
      </w:r>
      <w:r w:rsidR="00A92375" w:rsidRPr="0019710B">
        <w:rPr>
          <w:lang w:val="es-ES_tradnl"/>
        </w:rPr>
        <w:t>;</w:t>
      </w:r>
      <w:r w:rsidR="00917FE3" w:rsidRPr="0019710B">
        <w:rPr>
          <w:lang w:val="es-ES_tradnl"/>
        </w:rPr>
        <w:t xml:space="preserve"> y</w:t>
      </w:r>
    </w:p>
    <w:p w14:paraId="5C252A9E" w14:textId="38A6C6C0" w:rsidR="00917FE3" w:rsidRPr="0019710B" w:rsidRDefault="007A08B9" w:rsidP="007A08B9">
      <w:pPr>
        <w:pStyle w:val="enumlev1"/>
        <w:rPr>
          <w:szCs w:val="24"/>
          <w:lang w:val="es-ES_tradnl"/>
        </w:rPr>
      </w:pPr>
      <w:r w:rsidRPr="0019710B">
        <w:rPr>
          <w:szCs w:val="24"/>
          <w:lang w:val="es-ES_tradnl"/>
        </w:rPr>
        <w:t>–</w:t>
      </w:r>
      <w:r w:rsidRPr="0019710B">
        <w:rPr>
          <w:szCs w:val="24"/>
          <w:lang w:val="es-ES_tradnl"/>
        </w:rPr>
        <w:tab/>
      </w:r>
      <w:r w:rsidR="00917FE3" w:rsidRPr="0019710B">
        <w:rPr>
          <w:szCs w:val="24"/>
          <w:lang w:val="es-ES_tradnl"/>
        </w:rPr>
        <w:t xml:space="preserve">las declaraciones que el Reino Unido y otras partes formularon tanto en la AMNT como en el Consejo, condenando la </w:t>
      </w:r>
      <w:r w:rsidR="00A92375" w:rsidRPr="0019710B">
        <w:rPr>
          <w:szCs w:val="24"/>
          <w:lang w:val="es-ES_tradnl"/>
        </w:rPr>
        <w:t>persistente</w:t>
      </w:r>
      <w:r w:rsidR="00917FE3" w:rsidRPr="0019710B">
        <w:rPr>
          <w:szCs w:val="24"/>
          <w:lang w:val="es-ES_tradnl"/>
        </w:rPr>
        <w:t xml:space="preserve"> agresión militar de Rusia</w:t>
      </w:r>
      <w:r w:rsidR="00A92375" w:rsidRPr="0019710B">
        <w:rPr>
          <w:szCs w:val="24"/>
          <w:lang w:val="es-ES_tradnl"/>
        </w:rPr>
        <w:t xml:space="preserve"> y </w:t>
      </w:r>
      <w:r w:rsidR="00917FE3" w:rsidRPr="0019710B">
        <w:rPr>
          <w:szCs w:val="24"/>
          <w:lang w:val="es-ES_tradnl"/>
        </w:rPr>
        <w:t>la vulneración de los derechos humanos.</w:t>
      </w:r>
    </w:p>
    <w:p w14:paraId="5747753D" w14:textId="6DCB1E37" w:rsidR="00917FE3" w:rsidRPr="0019710B" w:rsidRDefault="007A08B9" w:rsidP="007A08B9">
      <w:pPr>
        <w:pStyle w:val="enumlev1"/>
        <w:rPr>
          <w:szCs w:val="24"/>
          <w:lang w:val="es-ES_tradnl"/>
        </w:rPr>
      </w:pPr>
      <w:r w:rsidRPr="0019710B">
        <w:rPr>
          <w:szCs w:val="24"/>
          <w:lang w:val="es-ES_tradnl"/>
        </w:rPr>
        <w:t>–</w:t>
      </w:r>
      <w:r w:rsidRPr="0019710B">
        <w:rPr>
          <w:szCs w:val="24"/>
          <w:lang w:val="es-ES_tradnl"/>
        </w:rPr>
        <w:tab/>
      </w:r>
      <w:r w:rsidR="00917FE3" w:rsidRPr="0019710B">
        <w:rPr>
          <w:szCs w:val="24"/>
          <w:lang w:val="es-ES_tradnl"/>
        </w:rPr>
        <w:t xml:space="preserve">Por último, acogemos con gran satisfacción la Resolución de la UIT </w:t>
      </w:r>
      <w:r w:rsidR="00DA19E8" w:rsidRPr="00DA19E8">
        <w:rPr>
          <w:szCs w:val="24"/>
          <w:lang w:val="es-ES_tradnl"/>
        </w:rPr>
        <w:t>–</w:t>
      </w:r>
      <w:r w:rsidR="00917FE3" w:rsidRPr="0019710B">
        <w:rPr>
          <w:szCs w:val="24"/>
          <w:lang w:val="es-ES_tradnl"/>
        </w:rPr>
        <w:t xml:space="preserve"> </w:t>
      </w:r>
      <w:r w:rsidR="00CA596E" w:rsidRPr="0019710B">
        <w:rPr>
          <w:szCs w:val="24"/>
          <w:lang w:val="es-ES_tradnl"/>
        </w:rPr>
        <w:t>«</w:t>
      </w:r>
      <w:r w:rsidR="00917FE3" w:rsidRPr="0019710B">
        <w:rPr>
          <w:szCs w:val="24"/>
          <w:lang w:val="es-ES_tradnl"/>
        </w:rPr>
        <w:t xml:space="preserve">Asistencia y </w:t>
      </w:r>
      <w:r w:rsidR="00486EE1" w:rsidRPr="0019710B">
        <w:rPr>
          <w:szCs w:val="24"/>
          <w:lang w:val="es-ES_tradnl"/>
        </w:rPr>
        <w:t>ayuda</w:t>
      </w:r>
      <w:r w:rsidR="00917FE3" w:rsidRPr="0019710B">
        <w:rPr>
          <w:szCs w:val="24"/>
          <w:lang w:val="es-ES_tradnl"/>
        </w:rPr>
        <w:t xml:space="preserve"> a Ucrania para la reconstrucción de su sector de telecomunicaciones</w:t>
      </w:r>
      <w:r w:rsidR="00CA596E" w:rsidRPr="0019710B">
        <w:rPr>
          <w:szCs w:val="24"/>
          <w:lang w:val="es-ES_tradnl"/>
        </w:rPr>
        <w:t>»</w:t>
      </w:r>
      <w:r w:rsidR="003A0509" w:rsidRPr="0019710B">
        <w:rPr>
          <w:szCs w:val="24"/>
          <w:lang w:val="es-ES_tradnl"/>
        </w:rPr>
        <w:t>,</w:t>
      </w:r>
      <w:r w:rsidR="00917FE3" w:rsidRPr="0019710B">
        <w:rPr>
          <w:szCs w:val="24"/>
          <w:lang w:val="es-ES_tradnl"/>
        </w:rPr>
        <w:t xml:space="preserve"> </w:t>
      </w:r>
      <w:r w:rsidR="00A92375" w:rsidRPr="0019710B">
        <w:rPr>
          <w:szCs w:val="24"/>
          <w:lang w:val="es-ES_tradnl"/>
        </w:rPr>
        <w:t xml:space="preserve">secundada por una </w:t>
      </w:r>
      <w:r w:rsidR="00917FE3" w:rsidRPr="0019710B">
        <w:rPr>
          <w:szCs w:val="24"/>
          <w:lang w:val="es-ES_tradnl"/>
        </w:rPr>
        <w:t>abrumador</w:t>
      </w:r>
      <w:r w:rsidR="00A92375" w:rsidRPr="0019710B">
        <w:rPr>
          <w:szCs w:val="24"/>
          <w:lang w:val="es-ES_tradnl"/>
        </w:rPr>
        <w:t>a</w:t>
      </w:r>
      <w:r w:rsidR="00917FE3" w:rsidRPr="0019710B">
        <w:rPr>
          <w:szCs w:val="24"/>
          <w:lang w:val="es-ES_tradnl"/>
        </w:rPr>
        <w:t xml:space="preserve"> </w:t>
      </w:r>
      <w:r w:rsidR="00A92375" w:rsidRPr="0019710B">
        <w:rPr>
          <w:szCs w:val="24"/>
          <w:lang w:val="es-ES_tradnl"/>
        </w:rPr>
        <w:t xml:space="preserve">mayoría </w:t>
      </w:r>
      <w:r w:rsidR="00917FE3" w:rsidRPr="0019710B">
        <w:rPr>
          <w:szCs w:val="24"/>
          <w:lang w:val="es-ES_tradnl"/>
        </w:rPr>
        <w:t>en el Consejo.</w:t>
      </w:r>
    </w:p>
    <w:p w14:paraId="329C6BC5" w14:textId="75E5DB9A" w:rsidR="00401146" w:rsidRPr="0019710B" w:rsidRDefault="003463E3" w:rsidP="005E21D3">
      <w:pPr>
        <w:pStyle w:val="Headingb"/>
        <w:rPr>
          <w:lang w:val="es-ES_tradnl"/>
        </w:rPr>
      </w:pPr>
      <w:r w:rsidRPr="0019710B">
        <w:rPr>
          <w:lang w:val="es-ES_tradnl"/>
        </w:rPr>
        <w:t xml:space="preserve">Declaración de Canadá y de Estados Unidos de América </w:t>
      </w:r>
    </w:p>
    <w:p w14:paraId="4DBDCC3B" w14:textId="237BB99A" w:rsidR="00401146" w:rsidRPr="0019710B" w:rsidRDefault="003463E3" w:rsidP="005E21D3">
      <w:pPr>
        <w:rPr>
          <w:color w:val="002060"/>
          <w:lang w:val="es-ES_tradnl"/>
        </w:rPr>
      </w:pPr>
      <w:r w:rsidRPr="0019710B">
        <w:rPr>
          <w:lang w:val="es-ES_tradnl"/>
        </w:rPr>
        <w:t>Canadá y Estados Unidos desean dejar constancia de su apoyo a las declaraciones realizadas por Francia en nombre de la UE y por el Reino Unido</w:t>
      </w:r>
      <w:r w:rsidR="00401146" w:rsidRPr="0019710B">
        <w:rPr>
          <w:lang w:val="es-ES_tradnl"/>
        </w:rPr>
        <w:t>.</w:t>
      </w:r>
    </w:p>
    <w:p w14:paraId="3CEFA03D" w14:textId="77777777" w:rsidR="00401146" w:rsidRPr="0019710B" w:rsidRDefault="00401146" w:rsidP="005E21D3">
      <w:pPr>
        <w:pStyle w:val="Headingb"/>
        <w:rPr>
          <w:lang w:val="es-ES_tradnl"/>
        </w:rPr>
      </w:pPr>
      <w:r w:rsidRPr="0019710B">
        <w:rPr>
          <w:lang w:val="es-ES_tradnl"/>
        </w:rPr>
        <w:t>Declaración de la Federación de Rusia</w:t>
      </w:r>
    </w:p>
    <w:p w14:paraId="4FE31FF2" w14:textId="2F437A39" w:rsidR="00401146" w:rsidRPr="0019710B" w:rsidRDefault="00401146" w:rsidP="005E21D3">
      <w:pPr>
        <w:rPr>
          <w:szCs w:val="24"/>
          <w:lang w:val="es-ES_tradnl"/>
        </w:rPr>
      </w:pPr>
      <w:r w:rsidRPr="0019710B">
        <w:rPr>
          <w:lang w:val="es-ES_tradnl"/>
        </w:rPr>
        <w:t xml:space="preserve">La Federación de Rusia considera que las declaraciones políticas formuladas por Canadá, Francia, Estados Unidos y Reino Unido son inaceptables y no pueden debatirse en el seno del </w:t>
      </w:r>
      <w:r w:rsidR="00E20E01" w:rsidRPr="0019710B">
        <w:rPr>
          <w:lang w:val="es-ES_tradnl"/>
        </w:rPr>
        <w:t>GAR</w:t>
      </w:r>
      <w:r w:rsidRPr="0019710B">
        <w:rPr>
          <w:lang w:val="es-ES_tradnl"/>
        </w:rPr>
        <w:t>, pues sobrepasan el mandato del Grupo. De conformidad con el Artículo 11A del Convenio de la UIT, el GAR estudiará únicamente las prioridades, los programas, las operaciones, las cuestiones financieras y las estrategias referentes a las Asambleas de Radiocomunicaciones, las Comisiones de Estudio y la</w:t>
      </w:r>
      <w:r w:rsidRPr="0019710B">
        <w:rPr>
          <w:szCs w:val="24"/>
          <w:lang w:val="es-ES_tradnl"/>
        </w:rPr>
        <w:t xml:space="preserve"> preparación de las Conferencias de Radiocomunicaciones.</w:t>
      </w:r>
    </w:p>
    <w:p w14:paraId="00EFFFAA" w14:textId="26FF7ABD" w:rsidR="00350F58" w:rsidRPr="0019710B" w:rsidRDefault="00350F58" w:rsidP="00A4246F">
      <w:pPr>
        <w:tabs>
          <w:tab w:val="center" w:pos="7088"/>
        </w:tabs>
        <w:spacing w:before="120" w:line="240" w:lineRule="auto"/>
        <w:rPr>
          <w:rFonts w:asciiTheme="minorHAnsi" w:hAnsiTheme="minorHAnsi" w:cstheme="minorHAnsi"/>
          <w:szCs w:val="24"/>
          <w:lang w:val="es-ES_tradnl"/>
        </w:rPr>
      </w:pPr>
      <w:r w:rsidRPr="0019710B">
        <w:rPr>
          <w:rFonts w:asciiTheme="minorHAnsi" w:hAnsiTheme="minorHAnsi" w:cstheme="minorHAnsi"/>
          <w:szCs w:val="24"/>
          <w:lang w:val="es-ES_tradnl"/>
        </w:rPr>
        <w:br w:type="page"/>
      </w:r>
    </w:p>
    <w:p w14:paraId="4E0F8E15" w14:textId="1E6949D9" w:rsidR="00350F58" w:rsidRPr="0019710B" w:rsidRDefault="00350F58" w:rsidP="00103DFA">
      <w:pPr>
        <w:pStyle w:val="AnnexNotitle0"/>
        <w:rPr>
          <w:rFonts w:ascii="Calibri" w:hAnsi="Calibri" w:cs="Calibri"/>
          <w:b w:val="0"/>
          <w:bCs/>
          <w:lang w:val="es-ES_tradnl"/>
        </w:rPr>
      </w:pPr>
      <w:r w:rsidRPr="0019710B">
        <w:rPr>
          <w:rFonts w:ascii="Calibri" w:hAnsi="Calibri" w:cs="Calibri"/>
          <w:b w:val="0"/>
          <w:bCs/>
          <w:lang w:val="es-ES_tradnl"/>
        </w:rPr>
        <w:lastRenderedPageBreak/>
        <w:t>ANEX</w:t>
      </w:r>
      <w:r w:rsidR="004E6EA3" w:rsidRPr="0019710B">
        <w:rPr>
          <w:rFonts w:ascii="Calibri" w:hAnsi="Calibri" w:cs="Calibri"/>
          <w:b w:val="0"/>
          <w:bCs/>
          <w:lang w:val="es-ES_tradnl"/>
        </w:rPr>
        <w:t>O</w:t>
      </w:r>
      <w:r w:rsidRPr="0019710B">
        <w:rPr>
          <w:rFonts w:ascii="Calibri" w:hAnsi="Calibri" w:cs="Calibri"/>
          <w:b w:val="0"/>
          <w:bCs/>
          <w:lang w:val="es-ES_tradnl"/>
        </w:rPr>
        <w:t xml:space="preserve"> 2</w:t>
      </w:r>
    </w:p>
    <w:p w14:paraId="2DDD7145" w14:textId="6B6291AB" w:rsidR="00350F58" w:rsidRPr="0019710B" w:rsidRDefault="00D039C3" w:rsidP="0019710B">
      <w:pPr>
        <w:pStyle w:val="Annextitle"/>
        <w:spacing w:before="200" w:after="120"/>
      </w:pPr>
      <w:r w:rsidRPr="0019710B">
        <w:t>M</w:t>
      </w:r>
      <w:r w:rsidR="004E2CC6" w:rsidRPr="0019710B">
        <w:t xml:space="preserve">andato </w:t>
      </w:r>
      <w:r w:rsidR="00E20E01" w:rsidRPr="0019710B">
        <w:t xml:space="preserve">revisado </w:t>
      </w:r>
      <w:r w:rsidR="004E2CC6" w:rsidRPr="0019710B">
        <w:t xml:space="preserve">del Grupo por </w:t>
      </w:r>
      <w:r w:rsidR="00293574" w:rsidRPr="0019710B">
        <w:t>C</w:t>
      </w:r>
      <w:r w:rsidR="004E2CC6" w:rsidRPr="0019710B">
        <w:t xml:space="preserve">orrespondencia 2 </w:t>
      </w:r>
      <w:r w:rsidR="00293574" w:rsidRPr="0019710B">
        <w:t xml:space="preserve">del GAR </w:t>
      </w:r>
      <w:r w:rsidR="00E20E01" w:rsidRPr="0019710B">
        <w:t>(GC-2 del GAR)</w:t>
      </w:r>
      <w:r w:rsidR="00103DFA" w:rsidRPr="0019710B">
        <w:br/>
      </w:r>
      <w:r w:rsidR="004E2CC6" w:rsidRPr="0019710B">
        <w:t>sobre la</w:t>
      </w:r>
      <w:r w:rsidR="00E20E01" w:rsidRPr="0019710B">
        <w:t xml:space="preserve"> </w:t>
      </w:r>
      <w:r w:rsidR="004E2CC6" w:rsidRPr="0019710B">
        <w:t xml:space="preserve">eventual revisión de la </w:t>
      </w:r>
      <w:r w:rsidR="004B35ED" w:rsidRPr="0019710B">
        <w:t>R</w:t>
      </w:r>
      <w:r w:rsidR="004E2CC6" w:rsidRPr="0019710B">
        <w:t>esoluci</w:t>
      </w:r>
      <w:r w:rsidR="00293574" w:rsidRPr="0019710B">
        <w:t>ón</w:t>
      </w:r>
      <w:r w:rsidR="004E2CC6" w:rsidRPr="0019710B">
        <w:t xml:space="preserve"> UIT-R 1-8 </w:t>
      </w:r>
    </w:p>
    <w:p w14:paraId="46680143" w14:textId="74CBB3A2" w:rsidR="00350F58" w:rsidRPr="0019710B" w:rsidRDefault="00350F58" w:rsidP="00103DFA">
      <w:pPr>
        <w:pStyle w:val="Headingb"/>
        <w:spacing w:before="120"/>
        <w:rPr>
          <w:lang w:val="es-ES_tradnl"/>
        </w:rPr>
      </w:pPr>
      <w:r w:rsidRPr="0019710B">
        <w:rPr>
          <w:lang w:val="es-ES_tradnl"/>
        </w:rPr>
        <w:t>Introduc</w:t>
      </w:r>
      <w:r w:rsidR="004E6EA3" w:rsidRPr="0019710B">
        <w:rPr>
          <w:lang w:val="es-ES_tradnl"/>
        </w:rPr>
        <w:t>ción</w:t>
      </w:r>
    </w:p>
    <w:p w14:paraId="250A5142" w14:textId="2B18C4A0" w:rsidR="00350F58" w:rsidRPr="0019710B" w:rsidRDefault="00376114" w:rsidP="0019710B">
      <w:pPr>
        <w:spacing w:before="120"/>
        <w:rPr>
          <w:spacing w:val="-2"/>
          <w:lang w:val="es-ES_tradnl"/>
        </w:rPr>
      </w:pPr>
      <w:r w:rsidRPr="0019710B">
        <w:rPr>
          <w:spacing w:val="-2"/>
          <w:lang w:val="es-ES_tradnl"/>
        </w:rPr>
        <w:t>De conformidad con los</w:t>
      </w:r>
      <w:r w:rsidR="00350F58" w:rsidRPr="0019710B">
        <w:rPr>
          <w:spacing w:val="-2"/>
          <w:lang w:val="es-ES_tradnl"/>
        </w:rPr>
        <w:t xml:space="preserve"> §§ A1.4.1 </w:t>
      </w:r>
      <w:r w:rsidRPr="0019710B">
        <w:rPr>
          <w:spacing w:val="-2"/>
          <w:lang w:val="es-ES_tradnl"/>
        </w:rPr>
        <w:t>a</w:t>
      </w:r>
      <w:r w:rsidR="00350F58" w:rsidRPr="0019710B">
        <w:rPr>
          <w:spacing w:val="-2"/>
          <w:lang w:val="es-ES_tradnl"/>
        </w:rPr>
        <w:t xml:space="preserve"> A1.4.4 </w:t>
      </w:r>
      <w:r w:rsidRPr="0019710B">
        <w:rPr>
          <w:spacing w:val="-2"/>
          <w:lang w:val="es-ES_tradnl"/>
        </w:rPr>
        <w:t>de la Resolución UIT</w:t>
      </w:r>
      <w:r w:rsidR="00350F58" w:rsidRPr="0019710B">
        <w:rPr>
          <w:spacing w:val="-2"/>
          <w:lang w:val="es-ES_tradnl"/>
        </w:rPr>
        <w:t xml:space="preserve">-R 1-8, </w:t>
      </w:r>
      <w:r w:rsidRPr="0019710B">
        <w:rPr>
          <w:spacing w:val="-2"/>
          <w:lang w:val="es-ES_tradnl"/>
        </w:rPr>
        <w:t xml:space="preserve">la Asamblea de Radiocomunicaciones de 2019, en el </w:t>
      </w:r>
      <w:r w:rsidR="005846D7" w:rsidRPr="0019710B">
        <w:rPr>
          <w:spacing w:val="-2"/>
          <w:lang w:val="es-ES_tradnl"/>
        </w:rPr>
        <w:t>D</w:t>
      </w:r>
      <w:r w:rsidRPr="0019710B">
        <w:rPr>
          <w:spacing w:val="-2"/>
          <w:lang w:val="es-ES_tradnl"/>
        </w:rPr>
        <w:t>ocumento</w:t>
      </w:r>
      <w:r w:rsidR="00350F58" w:rsidRPr="0019710B">
        <w:rPr>
          <w:spacing w:val="-2"/>
          <w:lang w:val="es-ES_tradnl"/>
        </w:rPr>
        <w:t xml:space="preserve"> </w:t>
      </w:r>
      <w:r w:rsidR="00C216C9">
        <w:fldChar w:fldCharType="begin"/>
      </w:r>
      <w:r w:rsidR="00C216C9" w:rsidRPr="00C216C9">
        <w:rPr>
          <w:lang w:val="fr-CH"/>
        </w:rPr>
        <w:instrText xml:space="preserve"> HYPERLINK "https://www.itu.int/md/R19-RA19-C-0084/es" </w:instrText>
      </w:r>
      <w:r w:rsidR="00C216C9">
        <w:fldChar w:fldCharType="separate"/>
      </w:r>
      <w:r w:rsidR="00293574" w:rsidRPr="0019710B">
        <w:rPr>
          <w:rStyle w:val="Hyperlink"/>
          <w:spacing w:val="-2"/>
          <w:lang w:val="es-ES_tradnl" w:eastAsia="en-GB"/>
        </w:rPr>
        <w:t>RA19/84</w:t>
      </w:r>
      <w:r w:rsidR="00C216C9">
        <w:rPr>
          <w:rStyle w:val="Hyperlink"/>
          <w:spacing w:val="-2"/>
          <w:lang w:val="es-ES_tradnl" w:eastAsia="en-GB"/>
        </w:rPr>
        <w:fldChar w:fldCharType="end"/>
      </w:r>
      <w:r w:rsidRPr="0019710B">
        <w:rPr>
          <w:spacing w:val="-2"/>
          <w:lang w:val="es-ES_tradnl"/>
        </w:rPr>
        <w:t>,</w:t>
      </w:r>
      <w:r w:rsidR="00350F58" w:rsidRPr="0019710B">
        <w:rPr>
          <w:spacing w:val="-2"/>
          <w:lang w:val="es-ES_tradnl"/>
        </w:rPr>
        <w:t xml:space="preserve"> </w:t>
      </w:r>
      <w:r w:rsidR="00D742F4" w:rsidRPr="0019710B">
        <w:rPr>
          <w:spacing w:val="-2"/>
          <w:lang w:val="es-ES_tradnl"/>
        </w:rPr>
        <w:t>«</w:t>
      </w:r>
      <w:r w:rsidR="00D742F4" w:rsidRPr="0019710B">
        <w:rPr>
          <w:spacing w:val="-2"/>
          <w:szCs w:val="20"/>
          <w:lang w:val="es-ES_tradnl"/>
        </w:rPr>
        <w:t xml:space="preserve">invitó al GAR a </w:t>
      </w:r>
      <w:bookmarkStart w:id="7" w:name="_Hlk41985794"/>
      <w:r w:rsidR="00D742F4" w:rsidRPr="0019710B">
        <w:rPr>
          <w:spacing w:val="-2"/>
          <w:szCs w:val="20"/>
          <w:lang w:val="es-ES_tradnl"/>
        </w:rPr>
        <w:t>identificar posibles modificaciones de la Resolución UIT-R 1 con respecto a los procedimientos de aprobación cuando un texto es pertinente para los temas de varias CE</w:t>
      </w:r>
      <w:bookmarkEnd w:id="7"/>
      <w:r w:rsidR="004B229A" w:rsidRPr="0019710B">
        <w:rPr>
          <w:spacing w:val="-2"/>
          <w:lang w:val="es-ES_tradnl"/>
        </w:rPr>
        <w:t>»</w:t>
      </w:r>
      <w:r w:rsidR="00350F58" w:rsidRPr="0019710B">
        <w:rPr>
          <w:spacing w:val="-2"/>
          <w:sz w:val="16"/>
          <w:szCs w:val="16"/>
          <w:lang w:val="es-ES_tradnl"/>
        </w:rPr>
        <w:t xml:space="preserve"> </w:t>
      </w:r>
      <w:r w:rsidRPr="0019710B">
        <w:rPr>
          <w:spacing w:val="-2"/>
          <w:lang w:val="es-ES_tradnl"/>
        </w:rPr>
        <w:t>y</w:t>
      </w:r>
      <w:r w:rsidR="00350F58" w:rsidRPr="0019710B">
        <w:rPr>
          <w:spacing w:val="-2"/>
          <w:lang w:val="es-ES_tradnl"/>
        </w:rPr>
        <w:t xml:space="preserve"> </w:t>
      </w:r>
      <w:r w:rsidR="00D742F4" w:rsidRPr="0019710B">
        <w:rPr>
          <w:spacing w:val="-2"/>
          <w:lang w:val="es-ES_tradnl"/>
        </w:rPr>
        <w:t>«</w:t>
      </w:r>
      <w:r w:rsidR="00B14E1F" w:rsidRPr="0019710B">
        <w:rPr>
          <w:spacing w:val="-2"/>
          <w:lang w:val="es-ES_tradnl"/>
        </w:rPr>
        <w:t>[a examinar</w:t>
      </w:r>
      <w:r w:rsidR="00B14E1F" w:rsidRPr="0019710B">
        <w:rPr>
          <w:spacing w:val="-2"/>
          <w:szCs w:val="20"/>
          <w:lang w:val="es-ES_tradnl"/>
        </w:rPr>
        <w:t>]</w:t>
      </w:r>
      <w:r w:rsidR="008469E3" w:rsidRPr="0019710B">
        <w:rPr>
          <w:spacing w:val="-2"/>
          <w:szCs w:val="20"/>
          <w:lang w:val="es-ES_tradnl"/>
        </w:rPr>
        <w:t xml:space="preserve"> el periodo máximo de mandato de los Presidentes de los Grupos de Trabajo de Radiocomunicaciones</w:t>
      </w:r>
      <w:r w:rsidR="008469E3" w:rsidRPr="0019710B">
        <w:rPr>
          <w:spacing w:val="-2"/>
          <w:lang w:val="es-ES_tradnl"/>
        </w:rPr>
        <w:t>»</w:t>
      </w:r>
      <w:r w:rsidR="00B14E1F" w:rsidRPr="0019710B">
        <w:rPr>
          <w:spacing w:val="-2"/>
          <w:lang w:val="es-ES_tradnl"/>
        </w:rPr>
        <w:t>.</w:t>
      </w:r>
      <w:r w:rsidR="00350F58" w:rsidRPr="0019710B">
        <w:rPr>
          <w:spacing w:val="-2"/>
          <w:lang w:val="es-ES_tradnl"/>
        </w:rPr>
        <w:t xml:space="preserve"> </w:t>
      </w:r>
      <w:r w:rsidR="00B14E1F" w:rsidRPr="0019710B">
        <w:rPr>
          <w:spacing w:val="-2"/>
          <w:lang w:val="es-ES_tradnl"/>
        </w:rPr>
        <w:t>A partir de</w:t>
      </w:r>
      <w:r w:rsidR="00350F58" w:rsidRPr="0019710B">
        <w:rPr>
          <w:spacing w:val="-2"/>
          <w:lang w:val="es-ES_tradnl"/>
        </w:rPr>
        <w:t xml:space="preserve"> </w:t>
      </w:r>
      <w:r w:rsidR="00B14E1F" w:rsidRPr="0019710B">
        <w:rPr>
          <w:spacing w:val="-2"/>
          <w:lang w:val="es-ES_tradnl"/>
        </w:rPr>
        <w:t>las propuestas de los Estados Miembros y los Miembros de Sector, y en consulta con los Presidentes de las Comisiones de Estudio</w:t>
      </w:r>
      <w:r w:rsidR="00350F58" w:rsidRPr="0019710B">
        <w:rPr>
          <w:spacing w:val="-2"/>
          <w:lang w:val="es-ES_tradnl"/>
        </w:rPr>
        <w:t xml:space="preserve">, </w:t>
      </w:r>
      <w:r w:rsidR="00B14E1F" w:rsidRPr="0019710B">
        <w:rPr>
          <w:spacing w:val="-2"/>
          <w:lang w:val="es-ES_tradnl"/>
        </w:rPr>
        <w:t>se invita al Grupo por Correspondencia 2 del GAR (GC-2 del GAR</w:t>
      </w:r>
      <w:r w:rsidR="00350F58" w:rsidRPr="0019710B">
        <w:rPr>
          <w:spacing w:val="-2"/>
          <w:lang w:val="es-ES_tradnl"/>
        </w:rPr>
        <w:t xml:space="preserve">) </w:t>
      </w:r>
      <w:r w:rsidR="00B14E1F" w:rsidRPr="0019710B">
        <w:rPr>
          <w:spacing w:val="-2"/>
          <w:lang w:val="es-ES_tradnl"/>
        </w:rPr>
        <w:t>a preparar posibles revisiones de la Resolución UIT</w:t>
      </w:r>
      <w:r w:rsidR="00350F58" w:rsidRPr="0019710B">
        <w:rPr>
          <w:spacing w:val="-2"/>
          <w:lang w:val="es-ES_tradnl"/>
        </w:rPr>
        <w:t xml:space="preserve">-R 1-8 </w:t>
      </w:r>
      <w:r w:rsidR="00B14E1F" w:rsidRPr="0019710B">
        <w:rPr>
          <w:spacing w:val="-2"/>
          <w:lang w:val="es-ES_tradnl"/>
        </w:rPr>
        <w:t>y la Resolución UIT</w:t>
      </w:r>
      <w:r w:rsidR="004B229A" w:rsidRPr="0019710B">
        <w:rPr>
          <w:spacing w:val="-2"/>
          <w:lang w:val="es-ES_tradnl"/>
        </w:rPr>
        <w:noBreakHyphen/>
      </w:r>
      <w:r w:rsidR="00350F58" w:rsidRPr="0019710B">
        <w:rPr>
          <w:spacing w:val="-2"/>
          <w:lang w:val="es-ES_tradnl"/>
        </w:rPr>
        <w:t>R</w:t>
      </w:r>
      <w:r w:rsidR="004B229A" w:rsidRPr="0019710B">
        <w:rPr>
          <w:spacing w:val="-2"/>
          <w:lang w:val="es-ES_tradnl"/>
        </w:rPr>
        <w:t> </w:t>
      </w:r>
      <w:r w:rsidR="00350F58" w:rsidRPr="0019710B">
        <w:rPr>
          <w:spacing w:val="-2"/>
          <w:lang w:val="es-ES_tradnl"/>
        </w:rPr>
        <w:t xml:space="preserve">15-6 </w:t>
      </w:r>
      <w:r w:rsidR="00B14E1F" w:rsidRPr="0019710B">
        <w:rPr>
          <w:spacing w:val="-2"/>
          <w:lang w:val="es-ES_tradnl"/>
        </w:rPr>
        <w:t>ateniéndose al siguiente mandato</w:t>
      </w:r>
      <w:r w:rsidR="00350F58" w:rsidRPr="0019710B">
        <w:rPr>
          <w:spacing w:val="-2"/>
          <w:lang w:val="es-ES_tradnl"/>
        </w:rPr>
        <w:t>:</w:t>
      </w:r>
    </w:p>
    <w:p w14:paraId="17DC2340" w14:textId="3F1674D5" w:rsidR="00350F58" w:rsidRPr="0019710B" w:rsidRDefault="00350F58" w:rsidP="00103DFA">
      <w:pPr>
        <w:pStyle w:val="enumlev1"/>
        <w:rPr>
          <w:lang w:val="es-ES_tradnl"/>
        </w:rPr>
      </w:pPr>
      <w:r w:rsidRPr="0019710B">
        <w:rPr>
          <w:lang w:val="es-ES_tradnl"/>
        </w:rPr>
        <w:t>1</w:t>
      </w:r>
      <w:r w:rsidRPr="0019710B">
        <w:rPr>
          <w:lang w:val="es-ES_tradnl"/>
        </w:rPr>
        <w:tab/>
        <w:t>Posible revisi</w:t>
      </w:r>
      <w:r w:rsidR="00B14E1F" w:rsidRPr="0019710B">
        <w:rPr>
          <w:lang w:val="es-ES_tradnl"/>
        </w:rPr>
        <w:t>ó</w:t>
      </w:r>
      <w:r w:rsidRPr="0019710B">
        <w:rPr>
          <w:lang w:val="es-ES_tradnl"/>
        </w:rPr>
        <w:t xml:space="preserve">n </w:t>
      </w:r>
      <w:r w:rsidR="00B14E1F" w:rsidRPr="0019710B">
        <w:rPr>
          <w:lang w:val="es-ES_tradnl"/>
        </w:rPr>
        <w:t>de la Resolución UIT</w:t>
      </w:r>
      <w:r w:rsidRPr="0019710B">
        <w:rPr>
          <w:lang w:val="es-ES_tradnl"/>
        </w:rPr>
        <w:t xml:space="preserve">-R 1-8 </w:t>
      </w:r>
      <w:r w:rsidR="00B14E1F" w:rsidRPr="0019710B">
        <w:rPr>
          <w:lang w:val="es-ES_tradnl"/>
        </w:rPr>
        <w:t>en relación con la cláusula</w:t>
      </w:r>
      <w:r w:rsidRPr="0019710B">
        <w:rPr>
          <w:lang w:val="es-ES_tradnl"/>
        </w:rPr>
        <w:t xml:space="preserve"> A2.6.2.1.3:</w:t>
      </w:r>
    </w:p>
    <w:p w14:paraId="734112A8" w14:textId="60794790" w:rsidR="00350F58" w:rsidRPr="0019710B" w:rsidRDefault="005917DF" w:rsidP="00103DFA">
      <w:pPr>
        <w:pStyle w:val="enumlev2"/>
        <w:rPr>
          <w:lang w:val="es-ES_tradnl"/>
        </w:rPr>
      </w:pPr>
      <w:r w:rsidRPr="0019710B">
        <w:rPr>
          <w:lang w:val="es-ES_tradnl"/>
        </w:rPr>
        <w:t>1</w:t>
      </w:r>
      <w:r w:rsidR="006366A2" w:rsidRPr="0019710B">
        <w:rPr>
          <w:lang w:val="es-ES_tradnl"/>
        </w:rPr>
        <w:t>)</w:t>
      </w:r>
      <w:r w:rsidRPr="0019710B">
        <w:rPr>
          <w:lang w:val="es-ES_tradnl"/>
        </w:rPr>
        <w:tab/>
      </w:r>
      <w:r w:rsidR="00B74EA4" w:rsidRPr="0019710B">
        <w:rPr>
          <w:lang w:val="es-ES_tradnl"/>
        </w:rPr>
        <w:t>C</w:t>
      </w:r>
      <w:r w:rsidRPr="0019710B">
        <w:rPr>
          <w:lang w:val="es-ES_tradnl"/>
        </w:rPr>
        <w:t>on respecto a los procedimientos de</w:t>
      </w:r>
      <w:r w:rsidR="008469E3" w:rsidRPr="0019710B">
        <w:rPr>
          <w:lang w:val="es-ES_tradnl"/>
        </w:rPr>
        <w:t xml:space="preserve"> adop</w:t>
      </w:r>
      <w:r w:rsidR="00B14E1F" w:rsidRPr="0019710B">
        <w:rPr>
          <w:lang w:val="es-ES_tradnl"/>
        </w:rPr>
        <w:t>ción y</w:t>
      </w:r>
      <w:r w:rsidR="008469E3" w:rsidRPr="0019710B">
        <w:rPr>
          <w:lang w:val="es-ES_tradnl"/>
        </w:rPr>
        <w:t xml:space="preserve"> </w:t>
      </w:r>
      <w:r w:rsidRPr="0019710B">
        <w:rPr>
          <w:lang w:val="es-ES_tradnl"/>
        </w:rPr>
        <w:t>aprobación, cuando un texto era pertinente para los temas de varias Comisiones de Estudio, y a la distribución de las objeciones recibidas durante el proceso de aprobación</w:t>
      </w:r>
      <w:r w:rsidR="00B74EA4" w:rsidRPr="0019710B">
        <w:rPr>
          <w:lang w:val="es-ES_tradnl"/>
        </w:rPr>
        <w:t>.</w:t>
      </w:r>
    </w:p>
    <w:p w14:paraId="2275B104" w14:textId="43F333A2" w:rsidR="00350F58" w:rsidRPr="0019710B" w:rsidRDefault="00D742F4" w:rsidP="00103DFA">
      <w:pPr>
        <w:pStyle w:val="enumlev2"/>
        <w:rPr>
          <w:szCs w:val="24"/>
          <w:lang w:val="es-ES_tradnl"/>
        </w:rPr>
      </w:pPr>
      <w:r w:rsidRPr="0019710B">
        <w:rPr>
          <w:szCs w:val="24"/>
          <w:lang w:val="es-ES_tradnl"/>
        </w:rPr>
        <w:t>2</w:t>
      </w:r>
      <w:r w:rsidR="006366A2" w:rsidRPr="0019710B">
        <w:rPr>
          <w:szCs w:val="24"/>
          <w:lang w:val="es-ES_tradnl"/>
        </w:rPr>
        <w:t>)</w:t>
      </w:r>
      <w:r w:rsidRPr="0019710B">
        <w:rPr>
          <w:szCs w:val="24"/>
          <w:lang w:val="es-ES_tradnl"/>
        </w:rPr>
        <w:tab/>
      </w:r>
      <w:r w:rsidR="00B74EA4" w:rsidRPr="0019710B">
        <w:rPr>
          <w:szCs w:val="24"/>
          <w:lang w:val="es-ES_tradnl"/>
        </w:rPr>
        <w:t>L</w:t>
      </w:r>
      <w:r w:rsidR="00B14E1F" w:rsidRPr="0019710B">
        <w:rPr>
          <w:szCs w:val="24"/>
          <w:lang w:val="es-ES_tradnl"/>
        </w:rPr>
        <w:t>a necesidad, de haberla, de revisar los métodos de trabajo del UIT-R en cuanto a la</w:t>
      </w:r>
      <w:r w:rsidR="00350F58" w:rsidRPr="0019710B">
        <w:rPr>
          <w:szCs w:val="24"/>
          <w:lang w:val="es-ES_tradnl"/>
        </w:rPr>
        <w:t xml:space="preserve"> adop</w:t>
      </w:r>
      <w:r w:rsidR="00B14E1F" w:rsidRPr="0019710B">
        <w:rPr>
          <w:szCs w:val="24"/>
          <w:lang w:val="es-ES_tradnl"/>
        </w:rPr>
        <w:t>ción y</w:t>
      </w:r>
      <w:r w:rsidR="00350F58" w:rsidRPr="0019710B">
        <w:rPr>
          <w:szCs w:val="24"/>
          <w:lang w:val="es-ES_tradnl"/>
        </w:rPr>
        <w:t xml:space="preserve"> ap</w:t>
      </w:r>
      <w:r w:rsidR="00B14E1F" w:rsidRPr="0019710B">
        <w:rPr>
          <w:szCs w:val="24"/>
          <w:lang w:val="es-ES_tradnl"/>
        </w:rPr>
        <w:t xml:space="preserve">robación de </w:t>
      </w:r>
      <w:r w:rsidR="004B35ED" w:rsidRPr="0019710B">
        <w:rPr>
          <w:szCs w:val="24"/>
          <w:lang w:val="es-ES_tradnl"/>
        </w:rPr>
        <w:t>r</w:t>
      </w:r>
      <w:r w:rsidR="00B14E1F" w:rsidRPr="0019710B">
        <w:rPr>
          <w:szCs w:val="24"/>
          <w:lang w:val="es-ES_tradnl"/>
        </w:rPr>
        <w:t>ecomendaciones de interés para múltiples Comisiones de Estudio del UIT-R</w:t>
      </w:r>
      <w:r w:rsidR="00350F58" w:rsidRPr="0019710B">
        <w:rPr>
          <w:szCs w:val="24"/>
          <w:lang w:val="es-ES_tradnl"/>
        </w:rPr>
        <w:t>.</w:t>
      </w:r>
    </w:p>
    <w:p w14:paraId="1814B535" w14:textId="130D38B0" w:rsidR="00350F58" w:rsidRPr="0019710B" w:rsidRDefault="00D742F4" w:rsidP="00103DFA">
      <w:pPr>
        <w:pStyle w:val="enumlev2"/>
        <w:rPr>
          <w:szCs w:val="24"/>
          <w:lang w:val="es-ES_tradnl"/>
        </w:rPr>
      </w:pPr>
      <w:r w:rsidRPr="0019710B">
        <w:rPr>
          <w:szCs w:val="24"/>
          <w:lang w:val="es-ES_tradnl"/>
        </w:rPr>
        <w:t>3</w:t>
      </w:r>
      <w:r w:rsidR="006366A2" w:rsidRPr="0019710B">
        <w:rPr>
          <w:szCs w:val="24"/>
          <w:lang w:val="es-ES_tradnl"/>
        </w:rPr>
        <w:t>)</w:t>
      </w:r>
      <w:r w:rsidRPr="0019710B">
        <w:rPr>
          <w:szCs w:val="24"/>
          <w:lang w:val="es-ES_tradnl"/>
        </w:rPr>
        <w:tab/>
      </w:r>
      <w:r w:rsidR="00B74EA4" w:rsidRPr="0019710B">
        <w:rPr>
          <w:lang w:val="es-ES_tradnl"/>
        </w:rPr>
        <w:t>L</w:t>
      </w:r>
      <w:r w:rsidR="00B14E1F" w:rsidRPr="0019710B">
        <w:rPr>
          <w:lang w:val="es-ES_tradnl"/>
        </w:rPr>
        <w:t>a</w:t>
      </w:r>
      <w:r w:rsidR="00B14E1F" w:rsidRPr="0019710B">
        <w:rPr>
          <w:szCs w:val="24"/>
          <w:lang w:val="es-ES_tradnl"/>
        </w:rPr>
        <w:t xml:space="preserve"> necesidad de subsanar toda omisión y/o contradicción en los textos existentes, de haberlas</w:t>
      </w:r>
      <w:r w:rsidR="004B35ED" w:rsidRPr="0019710B">
        <w:rPr>
          <w:szCs w:val="24"/>
          <w:lang w:val="es-ES_tradnl"/>
        </w:rPr>
        <w:t>.</w:t>
      </w:r>
    </w:p>
    <w:p w14:paraId="68C351C7" w14:textId="2453241C" w:rsidR="00293574" w:rsidRPr="0019710B" w:rsidRDefault="00293574" w:rsidP="00103DFA">
      <w:pPr>
        <w:pStyle w:val="enumlev1"/>
        <w:rPr>
          <w:lang w:val="es-ES_tradnl"/>
        </w:rPr>
      </w:pPr>
      <w:r w:rsidRPr="0019710B">
        <w:rPr>
          <w:lang w:val="es-ES_tradnl"/>
        </w:rPr>
        <w:t>2</w:t>
      </w:r>
      <w:r w:rsidRPr="0019710B">
        <w:rPr>
          <w:lang w:val="es-ES_tradnl"/>
        </w:rPr>
        <w:tab/>
      </w:r>
      <w:proofErr w:type="gramStart"/>
      <w:r w:rsidRPr="0019710B">
        <w:rPr>
          <w:lang w:val="es-ES_tradnl"/>
        </w:rPr>
        <w:t>Asimismo</w:t>
      </w:r>
      <w:proofErr w:type="gramEnd"/>
      <w:r w:rsidRPr="0019710B">
        <w:rPr>
          <w:lang w:val="es-ES_tradnl"/>
        </w:rPr>
        <w:t>, se invita al Grupo por Correspondencia a considerar la posibilidad de transferir la parte pertinente de la Resolución UIT-R 15-6 a la Resolución UIT-R 1-8, la conveniencia de establecer la duración máxima del mandato de los Presidentes de los Grupos de Trabajo del UIT-R, y la supresión de la Resolución UIT-R 15-6</w:t>
      </w:r>
      <w:r w:rsidR="00E3148B" w:rsidRPr="0019710B">
        <w:rPr>
          <w:lang w:val="es-ES_tradnl"/>
        </w:rPr>
        <w:t xml:space="preserve">, e </w:t>
      </w:r>
      <w:r w:rsidRPr="0019710B">
        <w:rPr>
          <w:lang w:val="es-ES_tradnl"/>
        </w:rPr>
        <w:t>informa</w:t>
      </w:r>
      <w:r w:rsidR="00E3148B" w:rsidRPr="0019710B">
        <w:rPr>
          <w:lang w:val="es-ES_tradnl"/>
        </w:rPr>
        <w:t>r</w:t>
      </w:r>
      <w:r w:rsidRPr="0019710B">
        <w:rPr>
          <w:lang w:val="es-ES_tradnl"/>
        </w:rPr>
        <w:t xml:space="preserve"> a la próxima reunión del GAR para que decida sobre este asunto</w:t>
      </w:r>
      <w:r w:rsidR="00E3148B" w:rsidRPr="0019710B">
        <w:rPr>
          <w:lang w:val="es-ES_tradnl"/>
        </w:rPr>
        <w:t>,</w:t>
      </w:r>
      <w:r w:rsidRPr="0019710B">
        <w:rPr>
          <w:lang w:val="es-ES_tradnl"/>
        </w:rPr>
        <w:t xml:space="preserve"> </w:t>
      </w:r>
      <w:r w:rsidR="00E3148B" w:rsidRPr="0019710B">
        <w:rPr>
          <w:lang w:val="es-ES_tradnl"/>
        </w:rPr>
        <w:t>t</w:t>
      </w:r>
      <w:r w:rsidRPr="0019710B">
        <w:rPr>
          <w:lang w:val="es-ES_tradnl"/>
        </w:rPr>
        <w:t>eniendo en cuenta los debates mantenidos en la</w:t>
      </w:r>
      <w:r w:rsidR="00103DFA" w:rsidRPr="0019710B">
        <w:rPr>
          <w:lang w:val="es-ES_tradnl"/>
        </w:rPr>
        <w:t>s reuniones</w:t>
      </w:r>
      <w:r w:rsidRPr="0019710B">
        <w:rPr>
          <w:lang w:val="es-ES_tradnl"/>
        </w:rPr>
        <w:t xml:space="preserve"> 28ª </w:t>
      </w:r>
      <w:r w:rsidR="00103DFA" w:rsidRPr="0019710B">
        <w:rPr>
          <w:lang w:val="es-ES_tradnl"/>
        </w:rPr>
        <w:t xml:space="preserve">y 29ª </w:t>
      </w:r>
      <w:r w:rsidRPr="0019710B">
        <w:rPr>
          <w:lang w:val="es-ES_tradnl"/>
        </w:rPr>
        <w:t>del GAR</w:t>
      </w:r>
      <w:r w:rsidR="00103DFA" w:rsidRPr="0019710B">
        <w:rPr>
          <w:lang w:val="es-ES_tradnl"/>
        </w:rPr>
        <w:t>.</w:t>
      </w:r>
    </w:p>
    <w:p w14:paraId="1C7374E1" w14:textId="03EFA5D7" w:rsidR="00530082" w:rsidRPr="0019710B" w:rsidRDefault="00530082" w:rsidP="00103DFA">
      <w:pPr>
        <w:pStyle w:val="enumlev1"/>
        <w:rPr>
          <w:lang w:val="es-ES_tradnl"/>
        </w:rPr>
      </w:pPr>
      <w:r w:rsidRPr="0019710B">
        <w:rPr>
          <w:lang w:val="es-ES_tradnl"/>
        </w:rPr>
        <w:t>3</w:t>
      </w:r>
      <w:r w:rsidRPr="0019710B">
        <w:rPr>
          <w:lang w:val="es-ES_tradnl"/>
        </w:rPr>
        <w:tab/>
      </w:r>
      <w:bookmarkStart w:id="8" w:name="lt_pId239"/>
      <w:r w:rsidR="003A0509" w:rsidRPr="0019710B">
        <w:rPr>
          <w:lang w:val="es-ES_tradnl"/>
        </w:rPr>
        <w:t>Establecer el procedimiento que deben seguir los Grupos de Trabajo para llegar a un acuerdo sobre el proyecto de nuevo Informe o el proyecto de Informe revisado antes de presentarlo a las Comisiones de Estudio</w:t>
      </w:r>
      <w:r w:rsidR="00F87B20" w:rsidRPr="0019710B">
        <w:rPr>
          <w:lang w:val="es-ES_tradnl"/>
        </w:rPr>
        <w:t>.</w:t>
      </w:r>
      <w:bookmarkEnd w:id="8"/>
    </w:p>
    <w:p w14:paraId="0489D631" w14:textId="4710EEB4" w:rsidR="00350F58" w:rsidRPr="0019710B" w:rsidRDefault="00E3148B" w:rsidP="0019710B">
      <w:pPr>
        <w:spacing w:before="120"/>
        <w:rPr>
          <w:szCs w:val="24"/>
          <w:lang w:val="es-ES_tradnl"/>
        </w:rPr>
      </w:pPr>
      <w:r w:rsidRPr="0019710B">
        <w:rPr>
          <w:szCs w:val="24"/>
          <w:lang w:val="es-ES_tradnl"/>
        </w:rPr>
        <w:t>El GC-2 del GAR iniciará sus trabajos en la GAR-21 y presentará los resultados de su trabajo a la consideración de la reunión GAR-</w:t>
      </w:r>
      <w:r w:rsidR="00F87B20" w:rsidRPr="0019710B">
        <w:rPr>
          <w:szCs w:val="24"/>
          <w:lang w:val="es-ES_tradnl"/>
        </w:rPr>
        <w:t>23</w:t>
      </w:r>
      <w:r w:rsidRPr="0019710B">
        <w:rPr>
          <w:szCs w:val="24"/>
          <w:lang w:val="es-ES_tradnl"/>
        </w:rPr>
        <w:t>, habida cuenta de la información presentada en la sección</w:t>
      </w:r>
      <w:r w:rsidR="006366A2" w:rsidRPr="0019710B">
        <w:rPr>
          <w:szCs w:val="24"/>
          <w:lang w:val="es-ES_tradnl"/>
        </w:rPr>
        <w:t> </w:t>
      </w:r>
      <w:r w:rsidRPr="0019710B">
        <w:rPr>
          <w:szCs w:val="24"/>
          <w:lang w:val="es-ES_tradnl"/>
        </w:rPr>
        <w:t xml:space="preserve">3.1.1 del </w:t>
      </w:r>
      <w:hyperlink r:id="rId18" w:history="1">
        <w:r w:rsidRPr="0019710B">
          <w:rPr>
            <w:rStyle w:val="Hyperlink"/>
            <w:lang w:val="es-ES_tradnl" w:eastAsia="en-GB"/>
          </w:rPr>
          <w:t>Documento RAG20/1(Rev.1)</w:t>
        </w:r>
        <w:r w:rsidRPr="0019710B">
          <w:rPr>
            <w:rStyle w:val="Hyperlink"/>
            <w:u w:val="none"/>
            <w:lang w:val="es-ES_tradnl" w:eastAsia="en-GB"/>
          </w:rPr>
          <w:t xml:space="preserve"> </w:t>
        </w:r>
        <w:r w:rsidRPr="0019710B">
          <w:rPr>
            <w:lang w:val="es-ES_tradnl"/>
          </w:rPr>
          <w:t>(Informe a la vigésima séptima reunión del Grupo Asesor de Radiocomunicaciones – Revisión 1 – Director de la Oficina de Radiocomunicaciones)</w:t>
        </w:r>
      </w:hyperlink>
      <w:r w:rsidRPr="0019710B">
        <w:rPr>
          <w:szCs w:val="24"/>
          <w:lang w:val="es-ES_tradnl"/>
        </w:rPr>
        <w:t xml:space="preserve"> y de toda otra propuesta pertinente que se presente al Grupo por Correspondencia 2 del GAR en virtud del mandato anterior</w:t>
      </w:r>
      <w:r w:rsidR="00350F58" w:rsidRPr="0019710B">
        <w:rPr>
          <w:szCs w:val="24"/>
          <w:lang w:val="es-ES_tradnl"/>
        </w:rPr>
        <w:t>.</w:t>
      </w:r>
    </w:p>
    <w:p w14:paraId="36EACA2D" w14:textId="095FA9EE" w:rsidR="00350F58" w:rsidRPr="0019710B" w:rsidRDefault="00B14E1F" w:rsidP="0019710B">
      <w:pPr>
        <w:spacing w:before="120"/>
        <w:rPr>
          <w:lang w:val="es-ES_tradnl"/>
        </w:rPr>
      </w:pPr>
      <w:r w:rsidRPr="0019710B">
        <w:rPr>
          <w:lang w:val="es-ES_tradnl"/>
        </w:rPr>
        <w:t>Los trabajos del GC-2 del GAR se llevarán a cabo, en la medida de lo posible, por correspondencia, de conformidad con el</w:t>
      </w:r>
      <w:r w:rsidR="00350F58" w:rsidRPr="0019710B">
        <w:rPr>
          <w:lang w:val="es-ES_tradnl"/>
        </w:rPr>
        <w:t xml:space="preserve"> § A1.3.2.7 </w:t>
      </w:r>
      <w:r w:rsidRPr="0019710B">
        <w:rPr>
          <w:lang w:val="es-ES_tradnl"/>
        </w:rPr>
        <w:t>de la Resolución UIT</w:t>
      </w:r>
      <w:r w:rsidR="00350F58" w:rsidRPr="0019710B">
        <w:rPr>
          <w:lang w:val="es-ES_tradnl"/>
        </w:rPr>
        <w:t>-R 1-8.</w:t>
      </w:r>
    </w:p>
    <w:p w14:paraId="6FEC3C5E" w14:textId="6E0C0693" w:rsidR="00E3148B" w:rsidRPr="0019710B" w:rsidRDefault="00E3148B" w:rsidP="0019710B">
      <w:pPr>
        <w:spacing w:before="120"/>
        <w:rPr>
          <w:lang w:val="es-ES_tradnl" w:eastAsia="en-GB"/>
        </w:rPr>
      </w:pPr>
      <w:bookmarkStart w:id="9" w:name="_Hlk69206164"/>
      <w:r w:rsidRPr="0019710B">
        <w:rPr>
          <w:lang w:val="es-ES_tradnl" w:eastAsia="en-GB"/>
        </w:rPr>
        <w:t>El Presidente del Grupo por correspondencia 2 del GAR sobre la eventual revisión de la Resolución</w:t>
      </w:r>
      <w:r w:rsidR="006366A2" w:rsidRPr="0019710B">
        <w:rPr>
          <w:lang w:val="es-ES_tradnl" w:eastAsia="en-GB"/>
        </w:rPr>
        <w:t> </w:t>
      </w:r>
      <w:r w:rsidRPr="0019710B">
        <w:rPr>
          <w:lang w:val="es-ES_tradnl" w:eastAsia="en-GB"/>
        </w:rPr>
        <w:t xml:space="preserve">UIT-R 1-8 (GC-2 del GAR) es </w:t>
      </w:r>
      <w:bookmarkEnd w:id="9"/>
      <w:r w:rsidRPr="0019710B">
        <w:rPr>
          <w:lang w:val="es-ES_tradnl" w:eastAsia="en-GB"/>
        </w:rPr>
        <w:t xml:space="preserve">Amy Sanders (correo-e: </w:t>
      </w:r>
      <w:hyperlink r:id="rId19" w:history="1">
        <w:r w:rsidR="006366A2" w:rsidRPr="0019710B">
          <w:rPr>
            <w:rStyle w:val="Hyperlink"/>
            <w:rFonts w:asciiTheme="minorHAnsi" w:hAnsiTheme="minorHAnsi" w:cstheme="minorHAnsi"/>
            <w:szCs w:val="24"/>
            <w:lang w:val="es-ES_tradnl" w:eastAsia="en-GB"/>
          </w:rPr>
          <w:t>asanders@ntia.gov</w:t>
        </w:r>
      </w:hyperlink>
      <w:r w:rsidRPr="0019710B">
        <w:rPr>
          <w:lang w:val="es-ES_tradnl" w:eastAsia="en-GB"/>
        </w:rPr>
        <w:t>).</w:t>
      </w:r>
    </w:p>
    <w:p w14:paraId="54D4E785" w14:textId="29F842C6" w:rsidR="00E3148B" w:rsidRPr="0019710B" w:rsidRDefault="00E3148B" w:rsidP="0019710B">
      <w:pPr>
        <w:spacing w:before="120"/>
        <w:rPr>
          <w:spacing w:val="-2"/>
          <w:lang w:val="es-ES_tradnl" w:eastAsia="en-GB"/>
        </w:rPr>
      </w:pPr>
      <w:r w:rsidRPr="0019710B">
        <w:rPr>
          <w:spacing w:val="-2"/>
          <w:lang w:val="es-ES_tradnl" w:eastAsia="en-GB"/>
        </w:rPr>
        <w:t xml:space="preserve">El Vicepresidente del Grupo por </w:t>
      </w:r>
      <w:r w:rsidR="00E3348C" w:rsidRPr="0019710B">
        <w:rPr>
          <w:spacing w:val="-2"/>
          <w:lang w:val="es-ES_tradnl" w:eastAsia="en-GB"/>
        </w:rPr>
        <w:t>C</w:t>
      </w:r>
      <w:r w:rsidRPr="0019710B">
        <w:rPr>
          <w:spacing w:val="-2"/>
          <w:lang w:val="es-ES_tradnl" w:eastAsia="en-GB"/>
        </w:rPr>
        <w:t>orrespondencia 2 del GAR sobre la eventual revisión de la Resolución UIT-R 1-8 (GC-2 del GAR) es Alexandre Vassiliev (correo-</w:t>
      </w:r>
      <w:r w:rsidR="00E3348C" w:rsidRPr="0019710B">
        <w:rPr>
          <w:spacing w:val="-2"/>
          <w:lang w:val="es-ES_tradnl" w:eastAsia="en-GB"/>
        </w:rPr>
        <w:t>e</w:t>
      </w:r>
      <w:r w:rsidRPr="0019710B">
        <w:rPr>
          <w:spacing w:val="-2"/>
          <w:lang w:val="es-ES_tradnl" w:eastAsia="en-GB"/>
        </w:rPr>
        <w:t xml:space="preserve">: </w:t>
      </w:r>
      <w:hyperlink r:id="rId20" w:history="1">
        <w:r w:rsidR="006366A2" w:rsidRPr="0019710B">
          <w:rPr>
            <w:rStyle w:val="Hyperlink"/>
            <w:rFonts w:cstheme="minorHAnsi"/>
            <w:spacing w:val="-2"/>
            <w:szCs w:val="24"/>
            <w:lang w:val="es-ES_tradnl" w:eastAsia="en-GB"/>
          </w:rPr>
          <w:t>alexandre.vassiliev@mail.ru</w:t>
        </w:r>
      </w:hyperlink>
      <w:r w:rsidRPr="0019710B">
        <w:rPr>
          <w:spacing w:val="-2"/>
          <w:lang w:val="es-ES_tradnl" w:eastAsia="en-GB"/>
        </w:rPr>
        <w:t>).</w:t>
      </w:r>
    </w:p>
    <w:p w14:paraId="25DAFA94" w14:textId="6FA2560A" w:rsidR="00E3148B" w:rsidRPr="0019710B" w:rsidRDefault="00E3148B" w:rsidP="0019710B">
      <w:pPr>
        <w:spacing w:before="120"/>
        <w:rPr>
          <w:lang w:val="es-ES_tradnl"/>
        </w:rPr>
      </w:pPr>
      <w:r w:rsidRPr="0019710B">
        <w:rPr>
          <w:lang w:val="es-ES_tradnl"/>
        </w:rPr>
        <w:t xml:space="preserve">El Grupo por Correspondencia tendrá que presentar su informe 45 días antes de la siguiente reunión del GAR en </w:t>
      </w:r>
      <w:r w:rsidR="00F87B20" w:rsidRPr="0019710B">
        <w:rPr>
          <w:lang w:val="es-ES_tradnl"/>
        </w:rPr>
        <w:t>2023</w:t>
      </w:r>
      <w:r w:rsidRPr="0019710B">
        <w:rPr>
          <w:lang w:val="es-ES_tradnl"/>
        </w:rPr>
        <w:t>.</w:t>
      </w:r>
    </w:p>
    <w:p w14:paraId="77FEEC5C" w14:textId="7101A59B" w:rsidR="00103DFA" w:rsidRPr="0019710B" w:rsidRDefault="00761D39" w:rsidP="0019710B">
      <w:pPr>
        <w:spacing w:before="120"/>
        <w:rPr>
          <w:rFonts w:cs="Times New Roman"/>
          <w:caps/>
          <w:sz w:val="28"/>
          <w:szCs w:val="20"/>
          <w:lang w:val="es-ES_tradnl"/>
        </w:rPr>
      </w:pPr>
      <w:r w:rsidRPr="0019710B">
        <w:rPr>
          <w:lang w:val="es-ES_tradnl"/>
        </w:rPr>
        <w:t>Toda información pertinente para los trabajos del Grupo por Correspondencia (por ejemplo, dirección de correo electrónico) se facilitará en la página web del GAR</w:t>
      </w:r>
      <w:r w:rsidR="00D742F4" w:rsidRPr="0019710B">
        <w:rPr>
          <w:lang w:val="es-ES_tradnl"/>
        </w:rPr>
        <w:t>.</w:t>
      </w:r>
      <w:r w:rsidR="00103DFA" w:rsidRPr="0019710B">
        <w:rPr>
          <w:lang w:val="es-ES_tradnl"/>
        </w:rPr>
        <w:br w:type="page"/>
      </w:r>
    </w:p>
    <w:p w14:paraId="547B5FCA" w14:textId="3F7B4B27" w:rsidR="001D1F69" w:rsidRPr="0019710B" w:rsidRDefault="001D1F69" w:rsidP="005E21D3">
      <w:pPr>
        <w:pStyle w:val="AnnexNo"/>
        <w:rPr>
          <w:lang w:val="es-ES_tradnl"/>
        </w:rPr>
      </w:pPr>
      <w:r w:rsidRPr="0019710B">
        <w:rPr>
          <w:lang w:val="es-ES_tradnl"/>
        </w:rPr>
        <w:lastRenderedPageBreak/>
        <w:t>ANEX</w:t>
      </w:r>
      <w:r w:rsidR="001B4B6D" w:rsidRPr="0019710B">
        <w:rPr>
          <w:lang w:val="es-ES_tradnl"/>
        </w:rPr>
        <w:t>O</w:t>
      </w:r>
      <w:r w:rsidRPr="0019710B">
        <w:rPr>
          <w:lang w:val="es-ES_tradnl"/>
        </w:rPr>
        <w:t xml:space="preserve"> 3</w:t>
      </w:r>
    </w:p>
    <w:p w14:paraId="4F1E63DC" w14:textId="0B67FCFA" w:rsidR="001D1F69" w:rsidRPr="0019710B" w:rsidRDefault="00DB5BEA" w:rsidP="005E21D3">
      <w:pPr>
        <w:pStyle w:val="Annextitle"/>
        <w:rPr>
          <w:color w:val="800000"/>
          <w:sz w:val="22"/>
        </w:rPr>
      </w:pPr>
      <w:r w:rsidRPr="0019710B">
        <w:t>Actividades del Grupo por Correspondencia 1 del GAR</w:t>
      </w:r>
    </w:p>
    <w:p w14:paraId="5BE9C444" w14:textId="5602D6D2" w:rsidR="001D1F69" w:rsidRPr="0019710B" w:rsidRDefault="00DB5BEA" w:rsidP="005E21D3">
      <w:pPr>
        <w:rPr>
          <w:lang w:val="es-ES_tradnl"/>
        </w:rPr>
      </w:pPr>
      <w:r w:rsidRPr="0019710B">
        <w:rPr>
          <w:lang w:val="es-ES_tradnl"/>
        </w:rPr>
        <w:t xml:space="preserve">No existen disposiciones en el Artículo 11A del Convenio de la UIT que permitan/autoricen al GAR a presentar un proyecto de Resolución sobre la igualdad </w:t>
      </w:r>
      <w:r w:rsidR="00F40D13" w:rsidRPr="0019710B">
        <w:rPr>
          <w:lang w:val="es-ES_tradnl"/>
        </w:rPr>
        <w:t xml:space="preserve">o el equilibrio </w:t>
      </w:r>
      <w:r w:rsidRPr="0019710B">
        <w:rPr>
          <w:lang w:val="es-ES_tradnl"/>
        </w:rPr>
        <w:t>de género en las actividades del UIT-R.</w:t>
      </w:r>
      <w:r w:rsidR="00CA596E" w:rsidRPr="0019710B">
        <w:rPr>
          <w:lang w:val="es-ES_tradnl"/>
        </w:rPr>
        <w:t xml:space="preserve"> </w:t>
      </w:r>
      <w:r w:rsidRPr="0019710B">
        <w:rPr>
          <w:lang w:val="es-ES_tradnl"/>
        </w:rPr>
        <w:t>Sin embargo, el actual documento de trabajo relativo a</w:t>
      </w:r>
      <w:r w:rsidR="001B4B6D" w:rsidRPr="0019710B">
        <w:rPr>
          <w:lang w:val="es-ES_tradnl"/>
        </w:rPr>
        <w:t>l</w:t>
      </w:r>
      <w:r w:rsidRPr="0019710B">
        <w:rPr>
          <w:lang w:val="es-ES_tradnl"/>
        </w:rPr>
        <w:t xml:space="preserve"> anteproyecto de nueva Resolución sobre el tema mencionado puede </w:t>
      </w:r>
      <w:r w:rsidR="001B4B6D" w:rsidRPr="0019710B">
        <w:rPr>
          <w:lang w:val="es-ES_tradnl"/>
        </w:rPr>
        <w:t xml:space="preserve">prepararse </w:t>
      </w:r>
      <w:r w:rsidRPr="0019710B">
        <w:rPr>
          <w:lang w:val="es-ES_tradnl"/>
        </w:rPr>
        <w:t>del siguiente modo</w:t>
      </w:r>
      <w:r w:rsidR="001D1F69" w:rsidRPr="0019710B">
        <w:rPr>
          <w:lang w:val="es-ES_tradnl"/>
        </w:rPr>
        <w:t>:</w:t>
      </w:r>
    </w:p>
    <w:p w14:paraId="5EE0D519" w14:textId="4040CD71" w:rsidR="00DB5BEA" w:rsidRPr="0019710B" w:rsidRDefault="00CE13BB" w:rsidP="00DB5BEA">
      <w:pPr>
        <w:pStyle w:val="enumlev1"/>
        <w:spacing w:line="240" w:lineRule="auto"/>
        <w:rPr>
          <w:color w:val="000000"/>
          <w:szCs w:val="24"/>
          <w:lang w:val="es-ES_tradnl" w:eastAsia="en-GB"/>
        </w:rPr>
      </w:pPr>
      <w:r w:rsidRPr="0019710B">
        <w:rPr>
          <w:lang w:val="es-ES_tradnl" w:eastAsia="fr-CH"/>
        </w:rPr>
        <w:t>1</w:t>
      </w:r>
      <w:r w:rsidRPr="0019710B">
        <w:rPr>
          <w:lang w:val="es-ES_tradnl" w:eastAsia="fr-CH"/>
        </w:rPr>
        <w:tab/>
      </w:r>
      <w:r w:rsidR="001B4B6D" w:rsidRPr="0019710B">
        <w:rPr>
          <w:color w:val="000000"/>
          <w:szCs w:val="24"/>
          <w:lang w:val="es-ES_tradnl" w:eastAsia="en-GB"/>
        </w:rPr>
        <w:t xml:space="preserve">preparar </w:t>
      </w:r>
      <w:r w:rsidR="00DB5BEA" w:rsidRPr="0019710B">
        <w:rPr>
          <w:color w:val="000000"/>
          <w:szCs w:val="24"/>
          <w:lang w:val="es-ES_tradnl" w:eastAsia="en-GB"/>
        </w:rPr>
        <w:t>un documento que recopile las partes pertinentes de la correspondiente Resolución de la AMNT-20 y de la CMDT-17/CMDT-21;</w:t>
      </w:r>
    </w:p>
    <w:p w14:paraId="725C15CB" w14:textId="31B40E55" w:rsidR="00DB5BEA" w:rsidRPr="0019710B" w:rsidRDefault="00DB5BEA" w:rsidP="00DB5BEA">
      <w:pPr>
        <w:pStyle w:val="enumlev1"/>
        <w:spacing w:line="240" w:lineRule="auto"/>
        <w:rPr>
          <w:color w:val="000000"/>
          <w:szCs w:val="24"/>
          <w:lang w:val="es-ES_tradnl" w:eastAsia="en-GB"/>
        </w:rPr>
      </w:pPr>
      <w:r w:rsidRPr="0019710B">
        <w:rPr>
          <w:color w:val="000000"/>
          <w:szCs w:val="24"/>
          <w:lang w:val="es-ES_tradnl" w:eastAsia="en-GB"/>
        </w:rPr>
        <w:t>2</w:t>
      </w:r>
      <w:r w:rsidRPr="0019710B">
        <w:rPr>
          <w:color w:val="000000"/>
          <w:szCs w:val="24"/>
          <w:lang w:val="es-ES_tradnl" w:eastAsia="en-GB"/>
        </w:rPr>
        <w:tab/>
      </w:r>
      <w:r w:rsidR="001B4B6D" w:rsidRPr="0019710B">
        <w:rPr>
          <w:color w:val="000000"/>
          <w:szCs w:val="24"/>
          <w:lang w:val="es-ES_tradnl" w:eastAsia="en-GB"/>
        </w:rPr>
        <w:t xml:space="preserve">incluir </w:t>
      </w:r>
      <w:r w:rsidRPr="0019710B">
        <w:rPr>
          <w:color w:val="000000"/>
          <w:szCs w:val="24"/>
          <w:lang w:val="es-ES_tradnl" w:eastAsia="en-GB"/>
        </w:rPr>
        <w:t>las partes pertinentes de las contribuciones presentadas por Suecia y Canadá a la actual reunión del GAR;</w:t>
      </w:r>
    </w:p>
    <w:p w14:paraId="51BCF44C" w14:textId="58F45D81" w:rsidR="00DB5BEA" w:rsidRPr="0019710B" w:rsidRDefault="00DB5BEA" w:rsidP="00DB5BEA">
      <w:pPr>
        <w:pStyle w:val="enumlev1"/>
        <w:spacing w:line="240" w:lineRule="auto"/>
        <w:rPr>
          <w:color w:val="000000"/>
          <w:szCs w:val="24"/>
          <w:lang w:val="es-ES_tradnl" w:eastAsia="en-GB"/>
        </w:rPr>
      </w:pPr>
      <w:r w:rsidRPr="0019710B">
        <w:rPr>
          <w:color w:val="000000"/>
          <w:szCs w:val="24"/>
          <w:lang w:val="es-ES_tradnl" w:eastAsia="en-GB"/>
        </w:rPr>
        <w:t>3</w:t>
      </w:r>
      <w:r w:rsidRPr="0019710B">
        <w:rPr>
          <w:color w:val="000000"/>
          <w:szCs w:val="24"/>
          <w:lang w:val="es-ES_tradnl" w:eastAsia="en-GB"/>
        </w:rPr>
        <w:tab/>
      </w:r>
      <w:r w:rsidR="001B4B6D" w:rsidRPr="0019710B">
        <w:rPr>
          <w:color w:val="000000"/>
          <w:szCs w:val="24"/>
          <w:lang w:val="es-ES_tradnl" w:eastAsia="en-GB"/>
        </w:rPr>
        <w:t xml:space="preserve">actualizar </w:t>
      </w:r>
      <w:r w:rsidRPr="0019710B">
        <w:rPr>
          <w:color w:val="000000"/>
          <w:szCs w:val="24"/>
          <w:lang w:val="es-ES_tradnl" w:eastAsia="en-GB"/>
        </w:rPr>
        <w:t xml:space="preserve">el actual documento de trabajo con miras a </w:t>
      </w:r>
      <w:r w:rsidR="001B4B6D" w:rsidRPr="0019710B">
        <w:rPr>
          <w:color w:val="000000"/>
          <w:szCs w:val="24"/>
          <w:lang w:val="es-ES_tradnl" w:eastAsia="en-GB"/>
        </w:rPr>
        <w:t>ultimar el</w:t>
      </w:r>
      <w:r w:rsidRPr="0019710B">
        <w:rPr>
          <w:color w:val="000000"/>
          <w:szCs w:val="24"/>
          <w:lang w:val="es-ES_tradnl" w:eastAsia="en-GB"/>
        </w:rPr>
        <w:t xml:space="preserve"> anteproyecto de nueva Resolución relativa al equilibrio</w:t>
      </w:r>
      <w:r w:rsidR="001B4B6D" w:rsidRPr="0019710B">
        <w:rPr>
          <w:color w:val="000000"/>
          <w:szCs w:val="24"/>
          <w:lang w:val="es-ES_tradnl" w:eastAsia="en-GB"/>
        </w:rPr>
        <w:t>/igualdad</w:t>
      </w:r>
      <w:r w:rsidRPr="0019710B">
        <w:rPr>
          <w:color w:val="000000"/>
          <w:szCs w:val="24"/>
          <w:lang w:val="es-ES_tradnl" w:eastAsia="en-GB"/>
        </w:rPr>
        <w:t xml:space="preserve"> de género; y </w:t>
      </w:r>
    </w:p>
    <w:p w14:paraId="23CC5726" w14:textId="65FA935E" w:rsidR="001D1F69" w:rsidRPr="0019710B" w:rsidRDefault="00DB5BEA" w:rsidP="00DB5BEA">
      <w:pPr>
        <w:pStyle w:val="enumlev1"/>
        <w:spacing w:line="240" w:lineRule="auto"/>
        <w:rPr>
          <w:color w:val="000000"/>
          <w:szCs w:val="24"/>
          <w:lang w:val="es-ES_tradnl" w:eastAsia="en-GB"/>
        </w:rPr>
      </w:pPr>
      <w:r w:rsidRPr="0019710B">
        <w:rPr>
          <w:color w:val="000000"/>
          <w:szCs w:val="24"/>
          <w:lang w:val="es-ES_tradnl" w:eastAsia="en-GB"/>
        </w:rPr>
        <w:t>4</w:t>
      </w:r>
      <w:r w:rsidRPr="0019710B">
        <w:rPr>
          <w:color w:val="000000"/>
          <w:szCs w:val="24"/>
          <w:lang w:val="es-ES_tradnl" w:eastAsia="en-GB"/>
        </w:rPr>
        <w:tab/>
      </w:r>
      <w:r w:rsidR="001B4B6D" w:rsidRPr="0019710B">
        <w:rPr>
          <w:color w:val="000000"/>
          <w:szCs w:val="24"/>
          <w:lang w:val="es-ES_tradnl" w:eastAsia="en-GB"/>
        </w:rPr>
        <w:t xml:space="preserve">proseguir </w:t>
      </w:r>
      <w:r w:rsidRPr="0019710B">
        <w:rPr>
          <w:color w:val="000000"/>
          <w:szCs w:val="24"/>
          <w:lang w:val="es-ES_tradnl" w:eastAsia="en-GB"/>
        </w:rPr>
        <w:t>las actividades del Grupo por Correspondencia del GAR para presentarlo en la reunión del GAR de 2023.</w:t>
      </w:r>
    </w:p>
    <w:p w14:paraId="4521022A" w14:textId="77777777" w:rsidR="00CE13BB" w:rsidRPr="0019710B" w:rsidRDefault="00CE13BB" w:rsidP="00A4246F">
      <w:pPr>
        <w:pStyle w:val="Reasons"/>
      </w:pPr>
    </w:p>
    <w:p w14:paraId="1E5CDE5A" w14:textId="77777777" w:rsidR="00CE13BB" w:rsidRPr="0019710B" w:rsidRDefault="00CE13BB" w:rsidP="00A4246F">
      <w:pPr>
        <w:spacing w:line="240" w:lineRule="auto"/>
        <w:jc w:val="center"/>
        <w:rPr>
          <w:lang w:val="es-ES_tradnl"/>
        </w:rPr>
      </w:pPr>
      <w:r w:rsidRPr="0019710B">
        <w:rPr>
          <w:lang w:val="es-ES_tradnl"/>
        </w:rPr>
        <w:t>______________</w:t>
      </w:r>
      <w:bookmarkEnd w:id="0"/>
    </w:p>
    <w:sectPr w:rsidR="00CE13BB" w:rsidRPr="0019710B" w:rsidSect="00A97721">
      <w:footerReference w:type="default" r:id="rId21"/>
      <w:pgSz w:w="11907" w:h="16834" w:code="9"/>
      <w:pgMar w:top="1134" w:right="1134" w:bottom="993" w:left="1134" w:header="567"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48FA4" w14:textId="77777777" w:rsidR="00CF2253" w:rsidRDefault="00CF2253">
      <w:r>
        <w:separator/>
      </w:r>
    </w:p>
  </w:endnote>
  <w:endnote w:type="continuationSeparator" w:id="0">
    <w:p w14:paraId="5CCA8061" w14:textId="77777777" w:rsidR="00CF2253" w:rsidRDefault="00CF2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A22EF" w14:textId="5A9DE91E" w:rsidR="006366A2" w:rsidRPr="0019710B" w:rsidRDefault="006366A2" w:rsidP="00622D6F">
    <w:pPr>
      <w:pStyle w:val="Footer"/>
      <w:rPr>
        <w:noProof/>
        <w:sz w:val="16"/>
        <w:szCs w:val="16"/>
        <w:lang w:val="es-ES"/>
      </w:rPr>
    </w:pPr>
    <w:r w:rsidRPr="00352192">
      <w:rPr>
        <w:noProof/>
        <w:sz w:val="16"/>
        <w:szCs w:val="16"/>
      </w:rPr>
      <w:fldChar w:fldCharType="begin"/>
    </w:r>
    <w:r w:rsidRPr="0019710B">
      <w:rPr>
        <w:noProof/>
        <w:sz w:val="16"/>
        <w:szCs w:val="16"/>
        <w:lang w:val="es-ES"/>
      </w:rPr>
      <w:instrText xml:space="preserve"> FILENAME \p \* MERGEFORMAT </w:instrText>
    </w:r>
    <w:r w:rsidRPr="00352192">
      <w:rPr>
        <w:noProof/>
        <w:sz w:val="16"/>
        <w:szCs w:val="16"/>
      </w:rPr>
      <w:fldChar w:fldCharType="separate"/>
    </w:r>
    <w:r w:rsidR="0019710B">
      <w:rPr>
        <w:noProof/>
        <w:sz w:val="16"/>
        <w:szCs w:val="16"/>
        <w:lang w:val="es-ES"/>
      </w:rPr>
      <w:t>P:\ESP\ITU-R\BR\DIR\CA\200\260S.docx</w:t>
    </w:r>
    <w:r w:rsidRPr="00352192">
      <w:rPr>
        <w:noProof/>
        <w:sz w:val="16"/>
        <w:szCs w:val="16"/>
      </w:rPr>
      <w:fldChar w:fldCharType="end"/>
    </w:r>
    <w:r w:rsidRPr="0019710B">
      <w:rPr>
        <w:noProof/>
        <w:sz w:val="16"/>
        <w:szCs w:val="16"/>
        <w:lang w:val="es-ES"/>
      </w:rPr>
      <w:t xml:space="preserve"> (453793)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2DFFD" w14:textId="0D13600B" w:rsidR="006366A2" w:rsidRPr="005615BD" w:rsidRDefault="006366A2" w:rsidP="005370F0">
    <w:pPr>
      <w:pStyle w:val="FirstFooter"/>
      <w:spacing w:line="240" w:lineRule="auto"/>
      <w:ind w:left="-397" w:right="-397"/>
      <w:jc w:val="center"/>
      <w:rPr>
        <w:sz w:val="18"/>
        <w:szCs w:val="18"/>
        <w:lang w:val="es-ES_tradnl"/>
      </w:rPr>
    </w:pPr>
    <w:r w:rsidRPr="005615BD">
      <w:rPr>
        <w:rFonts w:asciiTheme="minorHAnsi" w:hAnsiTheme="minorHAnsi"/>
        <w:color w:val="4F81BD" w:themeColor="accent1"/>
        <w:sz w:val="18"/>
        <w:szCs w:val="18"/>
        <w:lang w:val="es-ES_tradnl"/>
      </w:rPr>
      <w:t>Unión Internacional de Telecomunicaciones • Place des Nations • CH</w:t>
    </w:r>
    <w:r w:rsidRPr="005615BD">
      <w:rPr>
        <w:rFonts w:asciiTheme="minorHAnsi" w:hAnsiTheme="minorHAnsi"/>
        <w:color w:val="4F81BD" w:themeColor="accent1"/>
        <w:sz w:val="18"/>
        <w:szCs w:val="18"/>
        <w:lang w:val="es-ES_tradnl"/>
      </w:rPr>
      <w:noBreakHyphen/>
      <w:t>1211 Ginebra 20 • Suiza</w:t>
    </w:r>
    <w:r w:rsidRPr="005615BD">
      <w:rPr>
        <w:rFonts w:asciiTheme="minorHAnsi" w:hAnsiTheme="minorHAnsi"/>
        <w:color w:val="4F81BD" w:themeColor="accent1"/>
        <w:sz w:val="18"/>
        <w:szCs w:val="18"/>
        <w:lang w:val="es-ES_tradnl"/>
      </w:rPr>
      <w:br/>
      <w:t>Tel.: +41 22 730 5111 • Fax: +41 22 733 7256 • Correo-e:</w:t>
    </w:r>
    <w:r w:rsidRPr="005615BD">
      <w:rPr>
        <w:sz w:val="18"/>
        <w:szCs w:val="18"/>
        <w:lang w:val="es-ES_tradnl"/>
      </w:rPr>
      <w:t xml:space="preserve"> </w:t>
    </w:r>
    <w:hyperlink r:id="rId1" w:history="1">
      <w:r w:rsidRPr="005615BD">
        <w:rPr>
          <w:rStyle w:val="Hyperlink"/>
          <w:sz w:val="18"/>
          <w:szCs w:val="18"/>
          <w:lang w:val="es-ES_tradnl"/>
        </w:rPr>
        <w:t>itumail@itu.int</w:t>
      </w:r>
    </w:hyperlink>
    <w:r w:rsidRPr="005615BD">
      <w:rPr>
        <w:sz w:val="18"/>
        <w:szCs w:val="18"/>
        <w:lang w:val="es-ES_tradnl"/>
      </w:rPr>
      <w:t xml:space="preserve"> • </w:t>
    </w:r>
    <w:hyperlink r:id="rId2" w:history="1">
      <w:r w:rsidRPr="005615BD">
        <w:rPr>
          <w:rStyle w:val="Hyperlink"/>
          <w:sz w:val="18"/>
          <w:szCs w:val="18"/>
          <w:lang w:val="es-ES_tradnl"/>
        </w:rPr>
        <w:t>www.itu.int</w:t>
      </w:r>
    </w:hyperlink>
    <w:r w:rsidRPr="005615BD">
      <w:rPr>
        <w:sz w:val="18"/>
        <w:szCs w:val="18"/>
        <w:lang w:val="es-ES_tradn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39CFC" w14:textId="07F848B6" w:rsidR="005615BD" w:rsidRPr="00C216C9" w:rsidRDefault="005615BD" w:rsidP="00C216C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F73FF" w14:textId="72718495" w:rsidR="005615BD" w:rsidRPr="00C216C9" w:rsidRDefault="005615BD" w:rsidP="00C216C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BD80B" w14:textId="2CF72A11" w:rsidR="005615BD" w:rsidRPr="00C216C9" w:rsidRDefault="005615BD" w:rsidP="00C216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7E256" w14:textId="77777777" w:rsidR="00CF2253" w:rsidRDefault="00CF2253">
      <w:r>
        <w:t>____________________</w:t>
      </w:r>
    </w:p>
  </w:footnote>
  <w:footnote w:type="continuationSeparator" w:id="0">
    <w:p w14:paraId="4B3E3FD3" w14:textId="77777777" w:rsidR="00CF2253" w:rsidRDefault="00CF2253">
      <w:r>
        <w:continuationSeparator/>
      </w:r>
    </w:p>
  </w:footnote>
  <w:footnote w:id="1">
    <w:p w14:paraId="59BD477A" w14:textId="39AABD06" w:rsidR="00606FE5" w:rsidRPr="00DD1396" w:rsidRDefault="00606FE5" w:rsidP="00606FE5">
      <w:pPr>
        <w:pStyle w:val="FootnoteText"/>
        <w:rPr>
          <w:lang w:val="es-ES"/>
        </w:rPr>
      </w:pPr>
      <w:r w:rsidRPr="00D60E2C">
        <w:rPr>
          <w:rStyle w:val="FootnoteReference"/>
        </w:rPr>
        <w:footnoteRef/>
      </w:r>
      <w:r>
        <w:rPr>
          <w:lang w:val="es-ES"/>
        </w:rPr>
        <w:tab/>
      </w:r>
      <w:r w:rsidRPr="00DD1396">
        <w:rPr>
          <w:lang w:val="es-ES"/>
        </w:rPr>
        <w:t xml:space="preserve">Las directrices y los informes de </w:t>
      </w:r>
      <w:r w:rsidRPr="00DD1396">
        <w:rPr>
          <w:noProof/>
          <w:lang w:val="es-ES" w:eastAsia="en-GB"/>
        </w:rPr>
        <w:t xml:space="preserve">PRIDA están disponibles en: </w:t>
      </w:r>
      <w:hyperlink r:id="rId1" w:history="1">
        <w:r>
          <w:rPr>
            <w:rStyle w:val="Hyperlink"/>
            <w:noProof/>
            <w:lang w:val="es-ES" w:eastAsia="en-GB"/>
          </w:rPr>
          <w:t>https://www.itu.int/es/ITU-D/Projects/ITU-EC-ACP/PRIDA/Pages/default.aspx</w:t>
        </w:r>
      </w:hyperlink>
      <w:r w:rsidR="0062238B" w:rsidRPr="0062238B">
        <w:rPr>
          <w:rStyle w:val="Hyperlink"/>
          <w:noProof/>
          <w:u w:val="none"/>
          <w:lang w:val="es-ES" w:eastAsia="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D97C4" w14:textId="0053A3F8" w:rsidR="006366A2" w:rsidRPr="00D239B4" w:rsidRDefault="006366A2" w:rsidP="00622D6F">
    <w:pPr>
      <w:pStyle w:val="Header"/>
      <w:jc w:val="center"/>
      <w:rPr>
        <w:sz w:val="18"/>
        <w:szCs w:val="16"/>
      </w:rPr>
    </w:pPr>
    <w:r>
      <w:rPr>
        <w:rStyle w:val="PageNumber"/>
        <w:sz w:val="18"/>
        <w:szCs w:val="16"/>
      </w:rPr>
      <w:t xml:space="preserve">- </w:t>
    </w:r>
    <w:r w:rsidRPr="00D239B4">
      <w:rPr>
        <w:rStyle w:val="PageNumber"/>
        <w:sz w:val="18"/>
        <w:szCs w:val="16"/>
      </w:rPr>
      <w:fldChar w:fldCharType="begin"/>
    </w:r>
    <w:r w:rsidRPr="00D239B4">
      <w:rPr>
        <w:rStyle w:val="PageNumber"/>
        <w:sz w:val="18"/>
        <w:szCs w:val="16"/>
      </w:rPr>
      <w:instrText xml:space="preserve"> PAGE </w:instrText>
    </w:r>
    <w:r w:rsidRPr="00D239B4">
      <w:rPr>
        <w:rStyle w:val="PageNumber"/>
        <w:sz w:val="18"/>
        <w:szCs w:val="16"/>
      </w:rPr>
      <w:fldChar w:fldCharType="separate"/>
    </w:r>
    <w:r>
      <w:rPr>
        <w:rStyle w:val="PageNumber"/>
        <w:noProof/>
        <w:sz w:val="18"/>
        <w:szCs w:val="16"/>
      </w:rPr>
      <w:t>2</w:t>
    </w:r>
    <w:r w:rsidRPr="00D239B4">
      <w:rPr>
        <w:rStyle w:val="PageNumber"/>
        <w:sz w:val="18"/>
        <w:szCs w:val="16"/>
      </w:rPr>
      <w:fldChar w:fldCharType="end"/>
    </w:r>
    <w:r>
      <w:rPr>
        <w:rStyle w:val="PageNumber"/>
        <w:sz w:val="18"/>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EC0D8" w14:textId="77777777" w:rsidR="006366A2" w:rsidRPr="007B38A2" w:rsidRDefault="006366A2">
    <w:pPr>
      <w:pStyle w:val="Header"/>
      <w:rPr>
        <w:rStyle w:val="PageNumber"/>
        <w:sz w:val="18"/>
        <w:szCs w:val="18"/>
      </w:rPr>
    </w:pPr>
    <w:r>
      <w:tab/>
    </w:r>
    <w:r>
      <w:tab/>
      <w:t xml:space="preserve">- </w:t>
    </w:r>
    <w:r w:rsidRPr="007B38A2">
      <w:rPr>
        <w:rStyle w:val="PageNumber"/>
        <w:sz w:val="18"/>
        <w:szCs w:val="18"/>
      </w:rPr>
      <w:fldChar w:fldCharType="begin"/>
    </w:r>
    <w:r w:rsidRPr="007B38A2">
      <w:rPr>
        <w:rStyle w:val="PageNumber"/>
        <w:sz w:val="18"/>
        <w:szCs w:val="18"/>
      </w:rPr>
      <w:instrText xml:space="preserve"> PAGE  \* MERGEFORMAT </w:instrText>
    </w:r>
    <w:r w:rsidRPr="007B38A2">
      <w:rPr>
        <w:rStyle w:val="PageNumber"/>
        <w:sz w:val="18"/>
        <w:szCs w:val="18"/>
      </w:rPr>
      <w:fldChar w:fldCharType="separate"/>
    </w:r>
    <w:r>
      <w:rPr>
        <w:rStyle w:val="PageNumber"/>
        <w:noProof/>
        <w:sz w:val="18"/>
        <w:szCs w:val="18"/>
      </w:rPr>
      <w:t>3</w:t>
    </w:r>
    <w:r w:rsidRPr="007B38A2">
      <w:rPr>
        <w:rStyle w:val="PageNumber"/>
        <w:sz w:val="18"/>
        <w:szCs w:val="18"/>
      </w:rPr>
      <w:fldChar w:fldCharType="end"/>
    </w:r>
    <w:r>
      <w:rPr>
        <w:rStyle w:val="PageNumber"/>
        <w:sz w:val="18"/>
        <w:szCs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5"/>
      <w:gridCol w:w="288"/>
    </w:tblGrid>
    <w:tr w:rsidR="006366A2" w14:paraId="0AF3B309" w14:textId="77777777" w:rsidTr="00A337B5">
      <w:tc>
        <w:tcPr>
          <w:tcW w:w="9635" w:type="dxa"/>
          <w:tcMar>
            <w:left w:w="0" w:type="dxa"/>
          </w:tcMar>
        </w:tcPr>
        <w:p w14:paraId="57923262" w14:textId="51A337C6" w:rsidR="006366A2" w:rsidRPr="00546107" w:rsidRDefault="006366A2" w:rsidP="00A337B5">
          <w:pPr>
            <w:pStyle w:val="Header"/>
            <w:spacing w:before="120" w:line="360" w:lineRule="auto"/>
            <w:jc w:val="center"/>
            <w:rPr>
              <w:sz w:val="28"/>
              <w:szCs w:val="28"/>
            </w:rPr>
          </w:pPr>
          <w:r>
            <w:rPr>
              <w:noProof/>
            </w:rPr>
            <w:drawing>
              <wp:inline distT="0" distB="0" distL="0" distR="0" wp14:anchorId="5AB9D043" wp14:editId="25776F76">
                <wp:extent cx="765175" cy="7651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c>
        <w:tcPr>
          <w:tcW w:w="288" w:type="dxa"/>
          <w:tcBorders>
            <w:left w:val="nil"/>
          </w:tcBorders>
        </w:tcPr>
        <w:p w14:paraId="1EA3BF6E" w14:textId="2176478A" w:rsidR="006366A2" w:rsidRDefault="006366A2" w:rsidP="00C57165">
          <w:pPr>
            <w:pStyle w:val="Header"/>
            <w:spacing w:before="240" w:line="360" w:lineRule="auto"/>
            <w:jc w:val="right"/>
          </w:pPr>
        </w:p>
      </w:tc>
    </w:tr>
  </w:tbl>
  <w:p w14:paraId="42280C1A" w14:textId="4BE27398" w:rsidR="006366A2" w:rsidRPr="000D3F3B" w:rsidRDefault="006366A2" w:rsidP="000D3F3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E6A08" w14:textId="77777777" w:rsidR="006366A2" w:rsidRPr="00924655" w:rsidRDefault="006366A2" w:rsidP="00FE2104">
    <w:pPr>
      <w:pStyle w:val="Header"/>
      <w:jc w:val="center"/>
      <w:rPr>
        <w:sz w:val="18"/>
        <w:szCs w:val="16"/>
      </w:rPr>
    </w:pPr>
    <w:r>
      <w:rPr>
        <w:sz w:val="18"/>
        <w:szCs w:val="16"/>
      </w:rPr>
      <w:t xml:space="preserve">- </w:t>
    </w:r>
    <w:r w:rsidRPr="00FC6F6B">
      <w:rPr>
        <w:rStyle w:val="PageNumber"/>
        <w:sz w:val="18"/>
        <w:szCs w:val="16"/>
      </w:rPr>
      <w:fldChar w:fldCharType="begin"/>
    </w:r>
    <w:r w:rsidRPr="00FC6F6B">
      <w:rPr>
        <w:rStyle w:val="PageNumber"/>
        <w:sz w:val="18"/>
        <w:szCs w:val="16"/>
      </w:rPr>
      <w:instrText xml:space="preserve"> PAGE </w:instrText>
    </w:r>
    <w:r w:rsidRPr="00FC6F6B">
      <w:rPr>
        <w:rStyle w:val="PageNumber"/>
        <w:sz w:val="18"/>
        <w:szCs w:val="16"/>
      </w:rPr>
      <w:fldChar w:fldCharType="separate"/>
    </w:r>
    <w:r>
      <w:rPr>
        <w:rStyle w:val="PageNumber"/>
        <w:noProof/>
        <w:sz w:val="18"/>
        <w:szCs w:val="16"/>
      </w:rPr>
      <w:t>21</w:t>
    </w:r>
    <w:r w:rsidRPr="00FC6F6B">
      <w:rPr>
        <w:rStyle w:val="PageNumber"/>
        <w:sz w:val="18"/>
        <w:szCs w:val="16"/>
      </w:rPr>
      <w:fldChar w:fldCharType="end"/>
    </w:r>
    <w:r>
      <w:rPr>
        <w:rStyle w:val="PageNumber"/>
        <w:sz w:val="18"/>
        <w:szCs w:val="16"/>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B5F5C" w14:textId="77777777" w:rsidR="006366A2" w:rsidRDefault="006366A2" w:rsidP="00FE2104">
    <w:pPr>
      <w:pStyle w:val="Header"/>
      <w:jc w:val="center"/>
    </w:pPr>
    <w:r w:rsidRPr="00161334">
      <w:rPr>
        <w:sz w:val="20"/>
        <w:szCs w:val="20"/>
      </w:rPr>
      <w:t xml:space="preserve">- </w:t>
    </w:r>
    <w:r w:rsidRPr="00161334">
      <w:rPr>
        <w:sz w:val="20"/>
        <w:szCs w:val="20"/>
      </w:rPr>
      <w:fldChar w:fldCharType="begin"/>
    </w:r>
    <w:r w:rsidRPr="00161334">
      <w:rPr>
        <w:sz w:val="20"/>
        <w:szCs w:val="20"/>
      </w:rPr>
      <w:instrText xml:space="preserve"> PAGE   \* MERGEFORMAT </w:instrText>
    </w:r>
    <w:r w:rsidRPr="00161334">
      <w:rPr>
        <w:sz w:val="20"/>
        <w:szCs w:val="20"/>
      </w:rPr>
      <w:fldChar w:fldCharType="separate"/>
    </w:r>
    <w:r>
      <w:rPr>
        <w:sz w:val="20"/>
        <w:szCs w:val="20"/>
      </w:rPr>
      <w:t>2</w:t>
    </w:r>
    <w:r w:rsidRPr="00161334">
      <w:rPr>
        <w:noProof/>
        <w:sz w:val="20"/>
        <w:szCs w:val="20"/>
      </w:rPr>
      <w:fldChar w:fldCharType="end"/>
    </w:r>
    <w:r w:rsidRPr="00161334">
      <w:rPr>
        <w:noProof/>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812B48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B8A37B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5DC00E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A446AE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4F021A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C3A521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7E4AD0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CE6E8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A6E42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8453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1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02E6628C"/>
    <w:multiLevelType w:val="hybridMultilevel"/>
    <w:tmpl w:val="C2582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4F58D6"/>
    <w:multiLevelType w:val="hybridMultilevel"/>
    <w:tmpl w:val="A2CABDEC"/>
    <w:lvl w:ilvl="0" w:tplc="878C8E90">
      <w:start w:val="1"/>
      <w:numFmt w:val="decimal"/>
      <w:lvlText w:val="%1."/>
      <w:lvlJc w:val="left"/>
      <w:pPr>
        <w:ind w:left="720" w:hanging="360"/>
      </w:pPr>
    </w:lvl>
    <w:lvl w:ilvl="1" w:tplc="A84025C6">
      <w:start w:val="1"/>
      <w:numFmt w:val="decimal"/>
      <w:lvlText w:val="%2."/>
      <w:lvlJc w:val="left"/>
      <w:pPr>
        <w:ind w:left="1440" w:hanging="360"/>
      </w:pPr>
    </w:lvl>
    <w:lvl w:ilvl="2" w:tplc="9834A53A">
      <w:start w:val="1"/>
      <w:numFmt w:val="lowerRoman"/>
      <w:lvlText w:val="%3."/>
      <w:lvlJc w:val="right"/>
      <w:pPr>
        <w:ind w:left="2160" w:hanging="180"/>
      </w:pPr>
    </w:lvl>
    <w:lvl w:ilvl="3" w:tplc="52305272">
      <w:start w:val="1"/>
      <w:numFmt w:val="decimal"/>
      <w:lvlText w:val="%4."/>
      <w:lvlJc w:val="left"/>
      <w:pPr>
        <w:ind w:left="2880" w:hanging="360"/>
      </w:pPr>
    </w:lvl>
    <w:lvl w:ilvl="4" w:tplc="346A11BE">
      <w:start w:val="1"/>
      <w:numFmt w:val="lowerLetter"/>
      <w:lvlText w:val="%5."/>
      <w:lvlJc w:val="left"/>
      <w:pPr>
        <w:ind w:left="3600" w:hanging="360"/>
      </w:pPr>
    </w:lvl>
    <w:lvl w:ilvl="5" w:tplc="11E6079A">
      <w:start w:val="1"/>
      <w:numFmt w:val="lowerRoman"/>
      <w:lvlText w:val="%6."/>
      <w:lvlJc w:val="right"/>
      <w:pPr>
        <w:ind w:left="4320" w:hanging="180"/>
      </w:pPr>
    </w:lvl>
    <w:lvl w:ilvl="6" w:tplc="E47621B0">
      <w:start w:val="1"/>
      <w:numFmt w:val="decimal"/>
      <w:lvlText w:val="%7."/>
      <w:lvlJc w:val="left"/>
      <w:pPr>
        <w:ind w:left="5040" w:hanging="360"/>
      </w:pPr>
    </w:lvl>
    <w:lvl w:ilvl="7" w:tplc="A5B48FE2">
      <w:start w:val="1"/>
      <w:numFmt w:val="lowerLetter"/>
      <w:lvlText w:val="%8."/>
      <w:lvlJc w:val="left"/>
      <w:pPr>
        <w:ind w:left="5760" w:hanging="360"/>
      </w:pPr>
    </w:lvl>
    <w:lvl w:ilvl="8" w:tplc="3D3A4C1C">
      <w:start w:val="1"/>
      <w:numFmt w:val="lowerRoman"/>
      <w:lvlText w:val="%9."/>
      <w:lvlJc w:val="right"/>
      <w:pPr>
        <w:ind w:left="6480" w:hanging="180"/>
      </w:pPr>
    </w:lvl>
  </w:abstractNum>
  <w:abstractNum w:abstractNumId="16"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17" w15:restartNumberingAfterBreak="0">
    <w:nsid w:val="46846BA0"/>
    <w:multiLevelType w:val="hybridMultilevel"/>
    <w:tmpl w:val="24E0FD4C"/>
    <w:lvl w:ilvl="0" w:tplc="C656444A">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8" w15:restartNumberingAfterBreak="0">
    <w:nsid w:val="46EB57C2"/>
    <w:multiLevelType w:val="hybridMultilevel"/>
    <w:tmpl w:val="0A78D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0" w15:restartNumberingAfterBreak="0">
    <w:nsid w:val="4C7A32E1"/>
    <w:multiLevelType w:val="hybridMultilevel"/>
    <w:tmpl w:val="43603B0A"/>
    <w:lvl w:ilvl="0" w:tplc="61EAB3F0">
      <w:start w:val="1"/>
      <w:numFmt w:val="decimal"/>
      <w:lvlText w:val="%1."/>
      <w:lvlJc w:val="left"/>
      <w:pPr>
        <w:ind w:left="720" w:hanging="360"/>
      </w:pPr>
    </w:lvl>
    <w:lvl w:ilvl="1" w:tplc="B24C7C16">
      <w:start w:val="1"/>
      <w:numFmt w:val="decimal"/>
      <w:lvlText w:val="%2."/>
      <w:lvlJc w:val="left"/>
      <w:pPr>
        <w:ind w:left="1440" w:hanging="360"/>
      </w:pPr>
    </w:lvl>
    <w:lvl w:ilvl="2" w:tplc="D274589A">
      <w:start w:val="1"/>
      <w:numFmt w:val="lowerRoman"/>
      <w:lvlText w:val="%3."/>
      <w:lvlJc w:val="right"/>
      <w:pPr>
        <w:ind w:left="2160" w:hanging="180"/>
      </w:pPr>
    </w:lvl>
    <w:lvl w:ilvl="3" w:tplc="5E24198A">
      <w:start w:val="1"/>
      <w:numFmt w:val="decimal"/>
      <w:lvlText w:val="%4."/>
      <w:lvlJc w:val="left"/>
      <w:pPr>
        <w:ind w:left="2880" w:hanging="360"/>
      </w:pPr>
    </w:lvl>
    <w:lvl w:ilvl="4" w:tplc="250A4326">
      <w:start w:val="1"/>
      <w:numFmt w:val="lowerLetter"/>
      <w:lvlText w:val="%5."/>
      <w:lvlJc w:val="left"/>
      <w:pPr>
        <w:ind w:left="3600" w:hanging="360"/>
      </w:pPr>
    </w:lvl>
    <w:lvl w:ilvl="5" w:tplc="7410E420">
      <w:start w:val="1"/>
      <w:numFmt w:val="lowerRoman"/>
      <w:lvlText w:val="%6."/>
      <w:lvlJc w:val="right"/>
      <w:pPr>
        <w:ind w:left="4320" w:hanging="180"/>
      </w:pPr>
    </w:lvl>
    <w:lvl w:ilvl="6" w:tplc="35B4A760">
      <w:start w:val="1"/>
      <w:numFmt w:val="decimal"/>
      <w:lvlText w:val="%7."/>
      <w:lvlJc w:val="left"/>
      <w:pPr>
        <w:ind w:left="5040" w:hanging="360"/>
      </w:pPr>
    </w:lvl>
    <w:lvl w:ilvl="7" w:tplc="AF6E97CC">
      <w:start w:val="1"/>
      <w:numFmt w:val="lowerLetter"/>
      <w:lvlText w:val="%8."/>
      <w:lvlJc w:val="left"/>
      <w:pPr>
        <w:ind w:left="5760" w:hanging="360"/>
      </w:pPr>
    </w:lvl>
    <w:lvl w:ilvl="8" w:tplc="F2C4E1B6">
      <w:start w:val="1"/>
      <w:numFmt w:val="lowerRoman"/>
      <w:lvlText w:val="%9."/>
      <w:lvlJc w:val="right"/>
      <w:pPr>
        <w:ind w:left="6480" w:hanging="180"/>
      </w:pPr>
    </w:lvl>
  </w:abstractNum>
  <w:abstractNum w:abstractNumId="21" w15:restartNumberingAfterBreak="0">
    <w:nsid w:val="568B4DBE"/>
    <w:multiLevelType w:val="hybridMultilevel"/>
    <w:tmpl w:val="6162759A"/>
    <w:lvl w:ilvl="0" w:tplc="37728FD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16433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3033735">
    <w:abstractNumId w:val="19"/>
  </w:num>
  <w:num w:numId="3" w16cid:durableId="625743006">
    <w:abstractNumId w:val="9"/>
  </w:num>
  <w:num w:numId="4" w16cid:durableId="1161698595">
    <w:abstractNumId w:val="7"/>
  </w:num>
  <w:num w:numId="5" w16cid:durableId="581254934">
    <w:abstractNumId w:val="6"/>
  </w:num>
  <w:num w:numId="6" w16cid:durableId="968507807">
    <w:abstractNumId w:val="5"/>
  </w:num>
  <w:num w:numId="7" w16cid:durableId="1131677096">
    <w:abstractNumId w:val="4"/>
  </w:num>
  <w:num w:numId="8" w16cid:durableId="912621443">
    <w:abstractNumId w:val="8"/>
  </w:num>
  <w:num w:numId="9" w16cid:durableId="1792355961">
    <w:abstractNumId w:val="3"/>
  </w:num>
  <w:num w:numId="10" w16cid:durableId="1985506830">
    <w:abstractNumId w:val="2"/>
  </w:num>
  <w:num w:numId="11" w16cid:durableId="140586895">
    <w:abstractNumId w:val="1"/>
  </w:num>
  <w:num w:numId="12" w16cid:durableId="1657301457">
    <w:abstractNumId w:val="0"/>
  </w:num>
  <w:num w:numId="13" w16cid:durableId="653878211">
    <w:abstractNumId w:val="18"/>
  </w:num>
  <w:num w:numId="14" w16cid:durableId="1940487681">
    <w:abstractNumId w:val="14"/>
  </w:num>
  <w:num w:numId="15" w16cid:durableId="535585183">
    <w:abstractNumId w:val="20"/>
  </w:num>
  <w:num w:numId="16" w16cid:durableId="619142076">
    <w:abstractNumId w:val="15"/>
  </w:num>
  <w:num w:numId="17" w16cid:durableId="800001846">
    <w:abstractNumId w:val="17"/>
  </w:num>
  <w:num w:numId="18" w16cid:durableId="16799170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DD1B08"/>
    <w:rsid w:val="00006A31"/>
    <w:rsid w:val="00006C82"/>
    <w:rsid w:val="00010E30"/>
    <w:rsid w:val="000136B2"/>
    <w:rsid w:val="00015C76"/>
    <w:rsid w:val="00025B7E"/>
    <w:rsid w:val="00026CF8"/>
    <w:rsid w:val="00030BD7"/>
    <w:rsid w:val="00031E64"/>
    <w:rsid w:val="00034340"/>
    <w:rsid w:val="00035AEA"/>
    <w:rsid w:val="00035CB3"/>
    <w:rsid w:val="00041DC9"/>
    <w:rsid w:val="0004249C"/>
    <w:rsid w:val="00045A8D"/>
    <w:rsid w:val="00047E04"/>
    <w:rsid w:val="0005167A"/>
    <w:rsid w:val="000523C2"/>
    <w:rsid w:val="00054E5D"/>
    <w:rsid w:val="00070258"/>
    <w:rsid w:val="0007323C"/>
    <w:rsid w:val="00075E7C"/>
    <w:rsid w:val="000768E0"/>
    <w:rsid w:val="00085A7B"/>
    <w:rsid w:val="00086D03"/>
    <w:rsid w:val="0008742A"/>
    <w:rsid w:val="00090293"/>
    <w:rsid w:val="000A096A"/>
    <w:rsid w:val="000A14B0"/>
    <w:rsid w:val="000A1B7C"/>
    <w:rsid w:val="000A2DE6"/>
    <w:rsid w:val="000A375E"/>
    <w:rsid w:val="000A5851"/>
    <w:rsid w:val="000A7051"/>
    <w:rsid w:val="000B0AF6"/>
    <w:rsid w:val="000B0E9B"/>
    <w:rsid w:val="000B1A4F"/>
    <w:rsid w:val="000B2CAE"/>
    <w:rsid w:val="000B54E6"/>
    <w:rsid w:val="000C01DF"/>
    <w:rsid w:val="000C03C7"/>
    <w:rsid w:val="000C2AD0"/>
    <w:rsid w:val="000D02E1"/>
    <w:rsid w:val="000D03A0"/>
    <w:rsid w:val="000D3F3B"/>
    <w:rsid w:val="000D41AF"/>
    <w:rsid w:val="000E3DEE"/>
    <w:rsid w:val="000E4BCD"/>
    <w:rsid w:val="000F3B35"/>
    <w:rsid w:val="000F72A0"/>
    <w:rsid w:val="00100B72"/>
    <w:rsid w:val="00101F7D"/>
    <w:rsid w:val="00103C76"/>
    <w:rsid w:val="00103DFA"/>
    <w:rsid w:val="0011265F"/>
    <w:rsid w:val="00117282"/>
    <w:rsid w:val="00117389"/>
    <w:rsid w:val="00121C2D"/>
    <w:rsid w:val="00125F70"/>
    <w:rsid w:val="00127177"/>
    <w:rsid w:val="00127EA7"/>
    <w:rsid w:val="00132F53"/>
    <w:rsid w:val="00134404"/>
    <w:rsid w:val="00141E97"/>
    <w:rsid w:val="00144DFB"/>
    <w:rsid w:val="001454A3"/>
    <w:rsid w:val="00150E53"/>
    <w:rsid w:val="001514E8"/>
    <w:rsid w:val="00156F20"/>
    <w:rsid w:val="00160B85"/>
    <w:rsid w:val="001643F3"/>
    <w:rsid w:val="00180173"/>
    <w:rsid w:val="00185A0E"/>
    <w:rsid w:val="00187CA3"/>
    <w:rsid w:val="00190DB0"/>
    <w:rsid w:val="001915DD"/>
    <w:rsid w:val="00191A05"/>
    <w:rsid w:val="0019372A"/>
    <w:rsid w:val="00195EB7"/>
    <w:rsid w:val="00195F6C"/>
    <w:rsid w:val="00196710"/>
    <w:rsid w:val="00196770"/>
    <w:rsid w:val="0019710B"/>
    <w:rsid w:val="00197324"/>
    <w:rsid w:val="001A17D4"/>
    <w:rsid w:val="001A7600"/>
    <w:rsid w:val="001B035E"/>
    <w:rsid w:val="001B03B1"/>
    <w:rsid w:val="001B351B"/>
    <w:rsid w:val="001B3D4D"/>
    <w:rsid w:val="001B42C9"/>
    <w:rsid w:val="001B4B6D"/>
    <w:rsid w:val="001C06DB"/>
    <w:rsid w:val="001C28F8"/>
    <w:rsid w:val="001C3E0A"/>
    <w:rsid w:val="001C6971"/>
    <w:rsid w:val="001D0A1C"/>
    <w:rsid w:val="001D1F69"/>
    <w:rsid w:val="001D2785"/>
    <w:rsid w:val="001D51AB"/>
    <w:rsid w:val="001D7070"/>
    <w:rsid w:val="001E2AF8"/>
    <w:rsid w:val="001E3E63"/>
    <w:rsid w:val="001E6EAB"/>
    <w:rsid w:val="001E7638"/>
    <w:rsid w:val="001F1DAA"/>
    <w:rsid w:val="001F2170"/>
    <w:rsid w:val="001F227D"/>
    <w:rsid w:val="001F3948"/>
    <w:rsid w:val="001F5A49"/>
    <w:rsid w:val="00201097"/>
    <w:rsid w:val="00201B6E"/>
    <w:rsid w:val="00205812"/>
    <w:rsid w:val="00216B33"/>
    <w:rsid w:val="002207B9"/>
    <w:rsid w:val="00220CDA"/>
    <w:rsid w:val="00222967"/>
    <w:rsid w:val="002302B3"/>
    <w:rsid w:val="00230C66"/>
    <w:rsid w:val="00231045"/>
    <w:rsid w:val="00235700"/>
    <w:rsid w:val="00235A29"/>
    <w:rsid w:val="00241526"/>
    <w:rsid w:val="002443A2"/>
    <w:rsid w:val="00247193"/>
    <w:rsid w:val="00254A80"/>
    <w:rsid w:val="00257BE7"/>
    <w:rsid w:val="00262591"/>
    <w:rsid w:val="00262F10"/>
    <w:rsid w:val="00265D5B"/>
    <w:rsid w:val="00265E38"/>
    <w:rsid w:val="0026681C"/>
    <w:rsid w:val="00266D65"/>
    <w:rsid w:val="00266E74"/>
    <w:rsid w:val="00273814"/>
    <w:rsid w:val="002740DF"/>
    <w:rsid w:val="00274A80"/>
    <w:rsid w:val="002750BE"/>
    <w:rsid w:val="00277993"/>
    <w:rsid w:val="00277DBE"/>
    <w:rsid w:val="00280828"/>
    <w:rsid w:val="00283C3B"/>
    <w:rsid w:val="00284775"/>
    <w:rsid w:val="002861E6"/>
    <w:rsid w:val="002868EB"/>
    <w:rsid w:val="00287D18"/>
    <w:rsid w:val="002924F8"/>
    <w:rsid w:val="00293574"/>
    <w:rsid w:val="00294CBF"/>
    <w:rsid w:val="0029753E"/>
    <w:rsid w:val="002A2618"/>
    <w:rsid w:val="002A2949"/>
    <w:rsid w:val="002A3DAC"/>
    <w:rsid w:val="002A5924"/>
    <w:rsid w:val="002A5DD7"/>
    <w:rsid w:val="002B0CAC"/>
    <w:rsid w:val="002C3683"/>
    <w:rsid w:val="002D21F7"/>
    <w:rsid w:val="002D3E25"/>
    <w:rsid w:val="002D5A15"/>
    <w:rsid w:val="002D5BDD"/>
    <w:rsid w:val="002E3D27"/>
    <w:rsid w:val="002E6F33"/>
    <w:rsid w:val="002F0890"/>
    <w:rsid w:val="002F2210"/>
    <w:rsid w:val="002F2531"/>
    <w:rsid w:val="002F4967"/>
    <w:rsid w:val="002F5846"/>
    <w:rsid w:val="003036F6"/>
    <w:rsid w:val="0030586C"/>
    <w:rsid w:val="00306452"/>
    <w:rsid w:val="00311970"/>
    <w:rsid w:val="00316935"/>
    <w:rsid w:val="00324029"/>
    <w:rsid w:val="003266ED"/>
    <w:rsid w:val="00326C68"/>
    <w:rsid w:val="003270B9"/>
    <w:rsid w:val="0033029C"/>
    <w:rsid w:val="003370B8"/>
    <w:rsid w:val="00341E1E"/>
    <w:rsid w:val="00345D38"/>
    <w:rsid w:val="003463E3"/>
    <w:rsid w:val="00350F58"/>
    <w:rsid w:val="00352097"/>
    <w:rsid w:val="00352192"/>
    <w:rsid w:val="00353F69"/>
    <w:rsid w:val="00356B80"/>
    <w:rsid w:val="003613B8"/>
    <w:rsid w:val="003666FF"/>
    <w:rsid w:val="00367AE9"/>
    <w:rsid w:val="0037309C"/>
    <w:rsid w:val="00373B6B"/>
    <w:rsid w:val="003746E7"/>
    <w:rsid w:val="00376114"/>
    <w:rsid w:val="00380A6E"/>
    <w:rsid w:val="003836D4"/>
    <w:rsid w:val="0038682A"/>
    <w:rsid w:val="003870F0"/>
    <w:rsid w:val="0038718F"/>
    <w:rsid w:val="00394ED9"/>
    <w:rsid w:val="003974CD"/>
    <w:rsid w:val="003A0509"/>
    <w:rsid w:val="003A14CE"/>
    <w:rsid w:val="003A1D67"/>
    <w:rsid w:val="003A1F49"/>
    <w:rsid w:val="003A55ED"/>
    <w:rsid w:val="003A5D52"/>
    <w:rsid w:val="003B2BDA"/>
    <w:rsid w:val="003B55EC"/>
    <w:rsid w:val="003B5A70"/>
    <w:rsid w:val="003B719B"/>
    <w:rsid w:val="003B78D6"/>
    <w:rsid w:val="003C18A5"/>
    <w:rsid w:val="003C2EA7"/>
    <w:rsid w:val="003C4471"/>
    <w:rsid w:val="003C7A2D"/>
    <w:rsid w:val="003C7D41"/>
    <w:rsid w:val="003D4A69"/>
    <w:rsid w:val="003D65C1"/>
    <w:rsid w:val="003D6F18"/>
    <w:rsid w:val="003D76DB"/>
    <w:rsid w:val="003E504F"/>
    <w:rsid w:val="003E5FC1"/>
    <w:rsid w:val="003E78D6"/>
    <w:rsid w:val="003E7CB7"/>
    <w:rsid w:val="003F05A2"/>
    <w:rsid w:val="003F0E9F"/>
    <w:rsid w:val="00400530"/>
    <w:rsid w:val="00400573"/>
    <w:rsid w:val="004007A3"/>
    <w:rsid w:val="00401146"/>
    <w:rsid w:val="00401DCC"/>
    <w:rsid w:val="00402767"/>
    <w:rsid w:val="00406D71"/>
    <w:rsid w:val="00411CEF"/>
    <w:rsid w:val="004151CE"/>
    <w:rsid w:val="004308AF"/>
    <w:rsid w:val="004316B7"/>
    <w:rsid w:val="004326DB"/>
    <w:rsid w:val="00435ABD"/>
    <w:rsid w:val="0043682E"/>
    <w:rsid w:val="00436BC6"/>
    <w:rsid w:val="004412CD"/>
    <w:rsid w:val="004447FF"/>
    <w:rsid w:val="00447ECB"/>
    <w:rsid w:val="00451B6C"/>
    <w:rsid w:val="004555A1"/>
    <w:rsid w:val="00456B67"/>
    <w:rsid w:val="00457B8D"/>
    <w:rsid w:val="00460C08"/>
    <w:rsid w:val="004610A7"/>
    <w:rsid w:val="004623F7"/>
    <w:rsid w:val="00464A67"/>
    <w:rsid w:val="0046666E"/>
    <w:rsid w:val="00476859"/>
    <w:rsid w:val="004805DF"/>
    <w:rsid w:val="00480F51"/>
    <w:rsid w:val="00481124"/>
    <w:rsid w:val="004815EB"/>
    <w:rsid w:val="00486EE1"/>
    <w:rsid w:val="00487569"/>
    <w:rsid w:val="00492415"/>
    <w:rsid w:val="004947A0"/>
    <w:rsid w:val="00496864"/>
    <w:rsid w:val="00496920"/>
    <w:rsid w:val="00497F4D"/>
    <w:rsid w:val="004A1D8C"/>
    <w:rsid w:val="004A2156"/>
    <w:rsid w:val="004A4496"/>
    <w:rsid w:val="004A4951"/>
    <w:rsid w:val="004A5F47"/>
    <w:rsid w:val="004A6D92"/>
    <w:rsid w:val="004B11AB"/>
    <w:rsid w:val="004B229A"/>
    <w:rsid w:val="004B3027"/>
    <w:rsid w:val="004B35ED"/>
    <w:rsid w:val="004B7C9A"/>
    <w:rsid w:val="004C6779"/>
    <w:rsid w:val="004D4045"/>
    <w:rsid w:val="004D54FE"/>
    <w:rsid w:val="004D733B"/>
    <w:rsid w:val="004E0DC4"/>
    <w:rsid w:val="004E0FB5"/>
    <w:rsid w:val="004E116E"/>
    <w:rsid w:val="004E1E7D"/>
    <w:rsid w:val="004E2CC6"/>
    <w:rsid w:val="004E43BB"/>
    <w:rsid w:val="004E460D"/>
    <w:rsid w:val="004E6EA3"/>
    <w:rsid w:val="004F178E"/>
    <w:rsid w:val="004F4543"/>
    <w:rsid w:val="004F57BB"/>
    <w:rsid w:val="00500841"/>
    <w:rsid w:val="00505309"/>
    <w:rsid w:val="0050789B"/>
    <w:rsid w:val="00513A0E"/>
    <w:rsid w:val="00514C31"/>
    <w:rsid w:val="005224A1"/>
    <w:rsid w:val="00525DE0"/>
    <w:rsid w:val="00530082"/>
    <w:rsid w:val="00530812"/>
    <w:rsid w:val="00530E0C"/>
    <w:rsid w:val="00534372"/>
    <w:rsid w:val="00535FEF"/>
    <w:rsid w:val="00536F29"/>
    <w:rsid w:val="005370F0"/>
    <w:rsid w:val="00537C4C"/>
    <w:rsid w:val="00543DF8"/>
    <w:rsid w:val="0054555E"/>
    <w:rsid w:val="00546101"/>
    <w:rsid w:val="00546107"/>
    <w:rsid w:val="00553DD7"/>
    <w:rsid w:val="005541F6"/>
    <w:rsid w:val="00560D4E"/>
    <w:rsid w:val="005615BD"/>
    <w:rsid w:val="005638CF"/>
    <w:rsid w:val="0056741E"/>
    <w:rsid w:val="005705D7"/>
    <w:rsid w:val="0057325A"/>
    <w:rsid w:val="0057469A"/>
    <w:rsid w:val="00575BE6"/>
    <w:rsid w:val="00580814"/>
    <w:rsid w:val="00583A0B"/>
    <w:rsid w:val="005846D7"/>
    <w:rsid w:val="005917DF"/>
    <w:rsid w:val="00591F32"/>
    <w:rsid w:val="005955C8"/>
    <w:rsid w:val="005A03A3"/>
    <w:rsid w:val="005A268E"/>
    <w:rsid w:val="005A2B92"/>
    <w:rsid w:val="005A3F66"/>
    <w:rsid w:val="005A79E9"/>
    <w:rsid w:val="005B214C"/>
    <w:rsid w:val="005B2C16"/>
    <w:rsid w:val="005B4062"/>
    <w:rsid w:val="005B4CDA"/>
    <w:rsid w:val="005B69C9"/>
    <w:rsid w:val="005C14D3"/>
    <w:rsid w:val="005C6309"/>
    <w:rsid w:val="005C6F19"/>
    <w:rsid w:val="005D3669"/>
    <w:rsid w:val="005E21D3"/>
    <w:rsid w:val="005E49EE"/>
    <w:rsid w:val="005E5EB3"/>
    <w:rsid w:val="005E7772"/>
    <w:rsid w:val="005F1418"/>
    <w:rsid w:val="005F3C3C"/>
    <w:rsid w:val="005F3CB6"/>
    <w:rsid w:val="005F657C"/>
    <w:rsid w:val="00602C84"/>
    <w:rsid w:val="00602D53"/>
    <w:rsid w:val="00602ED2"/>
    <w:rsid w:val="006047E5"/>
    <w:rsid w:val="00606FE5"/>
    <w:rsid w:val="0061049B"/>
    <w:rsid w:val="00611A1B"/>
    <w:rsid w:val="006171DC"/>
    <w:rsid w:val="00620661"/>
    <w:rsid w:val="00620C2A"/>
    <w:rsid w:val="0062238B"/>
    <w:rsid w:val="00622D6F"/>
    <w:rsid w:val="00626F1D"/>
    <w:rsid w:val="00632E37"/>
    <w:rsid w:val="0063524E"/>
    <w:rsid w:val="006366A2"/>
    <w:rsid w:val="006373F8"/>
    <w:rsid w:val="0064371D"/>
    <w:rsid w:val="00644688"/>
    <w:rsid w:val="00650543"/>
    <w:rsid w:val="00650B2A"/>
    <w:rsid w:val="00651043"/>
    <w:rsid w:val="00651777"/>
    <w:rsid w:val="006550F8"/>
    <w:rsid w:val="00660AC1"/>
    <w:rsid w:val="00662900"/>
    <w:rsid w:val="00667ED0"/>
    <w:rsid w:val="00675B25"/>
    <w:rsid w:val="00680682"/>
    <w:rsid w:val="006812DF"/>
    <w:rsid w:val="006829F3"/>
    <w:rsid w:val="00684020"/>
    <w:rsid w:val="00693A71"/>
    <w:rsid w:val="006943AA"/>
    <w:rsid w:val="006A2C20"/>
    <w:rsid w:val="006A518B"/>
    <w:rsid w:val="006B0590"/>
    <w:rsid w:val="006B49DA"/>
    <w:rsid w:val="006C0D60"/>
    <w:rsid w:val="006C53F8"/>
    <w:rsid w:val="006C7CDE"/>
    <w:rsid w:val="006D4F00"/>
    <w:rsid w:val="006E63E9"/>
    <w:rsid w:val="006E63F4"/>
    <w:rsid w:val="006E79A6"/>
    <w:rsid w:val="006F5FA7"/>
    <w:rsid w:val="00700412"/>
    <w:rsid w:val="007163C2"/>
    <w:rsid w:val="00720235"/>
    <w:rsid w:val="007234B1"/>
    <w:rsid w:val="00723D08"/>
    <w:rsid w:val="00724368"/>
    <w:rsid w:val="00725FDA"/>
    <w:rsid w:val="00727816"/>
    <w:rsid w:val="00730B9A"/>
    <w:rsid w:val="00741F78"/>
    <w:rsid w:val="00746937"/>
    <w:rsid w:val="00750CFA"/>
    <w:rsid w:val="007540DC"/>
    <w:rsid w:val="007553DA"/>
    <w:rsid w:val="0075565D"/>
    <w:rsid w:val="00757F3D"/>
    <w:rsid w:val="00761D39"/>
    <w:rsid w:val="00766FD8"/>
    <w:rsid w:val="007708BA"/>
    <w:rsid w:val="00775DB8"/>
    <w:rsid w:val="00776BC8"/>
    <w:rsid w:val="00776E08"/>
    <w:rsid w:val="00780CB5"/>
    <w:rsid w:val="00782354"/>
    <w:rsid w:val="0079007A"/>
    <w:rsid w:val="00790744"/>
    <w:rsid w:val="00790AC3"/>
    <w:rsid w:val="007921A7"/>
    <w:rsid w:val="00792636"/>
    <w:rsid w:val="00792FAF"/>
    <w:rsid w:val="0079405D"/>
    <w:rsid w:val="0079436E"/>
    <w:rsid w:val="007A0883"/>
    <w:rsid w:val="007A08B9"/>
    <w:rsid w:val="007A1325"/>
    <w:rsid w:val="007B38A2"/>
    <w:rsid w:val="007B3DB1"/>
    <w:rsid w:val="007C69F5"/>
    <w:rsid w:val="007D183E"/>
    <w:rsid w:val="007D1988"/>
    <w:rsid w:val="007D43D0"/>
    <w:rsid w:val="007D56BA"/>
    <w:rsid w:val="007E1833"/>
    <w:rsid w:val="007E33AA"/>
    <w:rsid w:val="007E3F13"/>
    <w:rsid w:val="007F5CA1"/>
    <w:rsid w:val="007F751A"/>
    <w:rsid w:val="007F7F3F"/>
    <w:rsid w:val="00800012"/>
    <w:rsid w:val="008001D9"/>
    <w:rsid w:val="0080261F"/>
    <w:rsid w:val="008052FA"/>
    <w:rsid w:val="00805A02"/>
    <w:rsid w:val="00806160"/>
    <w:rsid w:val="00806EA6"/>
    <w:rsid w:val="008143A4"/>
    <w:rsid w:val="0081513E"/>
    <w:rsid w:val="00822190"/>
    <w:rsid w:val="00832E4B"/>
    <w:rsid w:val="00842319"/>
    <w:rsid w:val="00843CA9"/>
    <w:rsid w:val="008469E3"/>
    <w:rsid w:val="00846C89"/>
    <w:rsid w:val="00850D17"/>
    <w:rsid w:val="00852C74"/>
    <w:rsid w:val="00854131"/>
    <w:rsid w:val="0085652D"/>
    <w:rsid w:val="008625A4"/>
    <w:rsid w:val="0087694B"/>
    <w:rsid w:val="00880F4D"/>
    <w:rsid w:val="00881762"/>
    <w:rsid w:val="00883478"/>
    <w:rsid w:val="008930FD"/>
    <w:rsid w:val="00894DFF"/>
    <w:rsid w:val="00896AD2"/>
    <w:rsid w:val="008A02BF"/>
    <w:rsid w:val="008A6B3E"/>
    <w:rsid w:val="008A6EA1"/>
    <w:rsid w:val="008A7CCE"/>
    <w:rsid w:val="008B35A3"/>
    <w:rsid w:val="008B37E1"/>
    <w:rsid w:val="008B45F8"/>
    <w:rsid w:val="008B7850"/>
    <w:rsid w:val="008C2E74"/>
    <w:rsid w:val="008C301E"/>
    <w:rsid w:val="008C546D"/>
    <w:rsid w:val="008C7E67"/>
    <w:rsid w:val="008D5409"/>
    <w:rsid w:val="008D6955"/>
    <w:rsid w:val="008E006D"/>
    <w:rsid w:val="008E38B4"/>
    <w:rsid w:val="008F4F21"/>
    <w:rsid w:val="008F5A18"/>
    <w:rsid w:val="009008D4"/>
    <w:rsid w:val="00901A07"/>
    <w:rsid w:val="00902A20"/>
    <w:rsid w:val="00904D4A"/>
    <w:rsid w:val="009076D7"/>
    <w:rsid w:val="009100B9"/>
    <w:rsid w:val="00911B3B"/>
    <w:rsid w:val="00912DAB"/>
    <w:rsid w:val="00914717"/>
    <w:rsid w:val="009151BA"/>
    <w:rsid w:val="00917FE3"/>
    <w:rsid w:val="00925023"/>
    <w:rsid w:val="009277BC"/>
    <w:rsid w:val="00927A80"/>
    <w:rsid w:val="00927D57"/>
    <w:rsid w:val="00931A51"/>
    <w:rsid w:val="009350DF"/>
    <w:rsid w:val="0094109E"/>
    <w:rsid w:val="00943E59"/>
    <w:rsid w:val="00947185"/>
    <w:rsid w:val="00950101"/>
    <w:rsid w:val="009518B3"/>
    <w:rsid w:val="00953D7A"/>
    <w:rsid w:val="00962EA7"/>
    <w:rsid w:val="0096325B"/>
    <w:rsid w:val="00963D9D"/>
    <w:rsid w:val="00965AD3"/>
    <w:rsid w:val="00966C06"/>
    <w:rsid w:val="00966FCA"/>
    <w:rsid w:val="009732D2"/>
    <w:rsid w:val="009735DD"/>
    <w:rsid w:val="009741B7"/>
    <w:rsid w:val="0097512B"/>
    <w:rsid w:val="00975C74"/>
    <w:rsid w:val="0098013E"/>
    <w:rsid w:val="00981B54"/>
    <w:rsid w:val="009842C3"/>
    <w:rsid w:val="00985F47"/>
    <w:rsid w:val="00990E4E"/>
    <w:rsid w:val="00993E5C"/>
    <w:rsid w:val="009A009A"/>
    <w:rsid w:val="009A485F"/>
    <w:rsid w:val="009A6BB6"/>
    <w:rsid w:val="009B3F43"/>
    <w:rsid w:val="009B5CFA"/>
    <w:rsid w:val="009C161F"/>
    <w:rsid w:val="009C56B4"/>
    <w:rsid w:val="009D1C10"/>
    <w:rsid w:val="009D51A2"/>
    <w:rsid w:val="009E04A8"/>
    <w:rsid w:val="009E17C5"/>
    <w:rsid w:val="009E4595"/>
    <w:rsid w:val="009E4AEC"/>
    <w:rsid w:val="009E5BD8"/>
    <w:rsid w:val="009E5DC7"/>
    <w:rsid w:val="009E681E"/>
    <w:rsid w:val="009F0114"/>
    <w:rsid w:val="009F53C0"/>
    <w:rsid w:val="00A04DE3"/>
    <w:rsid w:val="00A119E6"/>
    <w:rsid w:val="00A14B25"/>
    <w:rsid w:val="00A20FBC"/>
    <w:rsid w:val="00A23A6E"/>
    <w:rsid w:val="00A27B9D"/>
    <w:rsid w:val="00A27D6D"/>
    <w:rsid w:val="00A31205"/>
    <w:rsid w:val="00A31370"/>
    <w:rsid w:val="00A31BB6"/>
    <w:rsid w:val="00A337B5"/>
    <w:rsid w:val="00A34D6F"/>
    <w:rsid w:val="00A35E75"/>
    <w:rsid w:val="00A37AE0"/>
    <w:rsid w:val="00A41F91"/>
    <w:rsid w:val="00A4246F"/>
    <w:rsid w:val="00A63355"/>
    <w:rsid w:val="00A6392A"/>
    <w:rsid w:val="00A6580E"/>
    <w:rsid w:val="00A74937"/>
    <w:rsid w:val="00A74B90"/>
    <w:rsid w:val="00A7596D"/>
    <w:rsid w:val="00A7676B"/>
    <w:rsid w:val="00A80EFE"/>
    <w:rsid w:val="00A92375"/>
    <w:rsid w:val="00A963DF"/>
    <w:rsid w:val="00A96D3A"/>
    <w:rsid w:val="00A97721"/>
    <w:rsid w:val="00A979E1"/>
    <w:rsid w:val="00AC0C22"/>
    <w:rsid w:val="00AC3896"/>
    <w:rsid w:val="00AC55FF"/>
    <w:rsid w:val="00AC6EFB"/>
    <w:rsid w:val="00AD041B"/>
    <w:rsid w:val="00AD2CF2"/>
    <w:rsid w:val="00AE14C9"/>
    <w:rsid w:val="00AE29F0"/>
    <w:rsid w:val="00AE2D88"/>
    <w:rsid w:val="00AE6F6F"/>
    <w:rsid w:val="00AF27BC"/>
    <w:rsid w:val="00AF3325"/>
    <w:rsid w:val="00AF34D9"/>
    <w:rsid w:val="00AF5B37"/>
    <w:rsid w:val="00AF682C"/>
    <w:rsid w:val="00AF70DA"/>
    <w:rsid w:val="00AF73CD"/>
    <w:rsid w:val="00B0028E"/>
    <w:rsid w:val="00B019D3"/>
    <w:rsid w:val="00B048F1"/>
    <w:rsid w:val="00B04E0B"/>
    <w:rsid w:val="00B10CF0"/>
    <w:rsid w:val="00B14E1F"/>
    <w:rsid w:val="00B24A70"/>
    <w:rsid w:val="00B254E3"/>
    <w:rsid w:val="00B269E4"/>
    <w:rsid w:val="00B34CF9"/>
    <w:rsid w:val="00B37559"/>
    <w:rsid w:val="00B3784C"/>
    <w:rsid w:val="00B4054B"/>
    <w:rsid w:val="00B50A07"/>
    <w:rsid w:val="00B52316"/>
    <w:rsid w:val="00B53D5E"/>
    <w:rsid w:val="00B55897"/>
    <w:rsid w:val="00B5615D"/>
    <w:rsid w:val="00B579B0"/>
    <w:rsid w:val="00B57D11"/>
    <w:rsid w:val="00B649D7"/>
    <w:rsid w:val="00B73FB2"/>
    <w:rsid w:val="00B74EA4"/>
    <w:rsid w:val="00B758B9"/>
    <w:rsid w:val="00B76B4E"/>
    <w:rsid w:val="00B77DFC"/>
    <w:rsid w:val="00B81C2F"/>
    <w:rsid w:val="00B84F48"/>
    <w:rsid w:val="00B85A30"/>
    <w:rsid w:val="00B90743"/>
    <w:rsid w:val="00B90C45"/>
    <w:rsid w:val="00B933BE"/>
    <w:rsid w:val="00B93EA8"/>
    <w:rsid w:val="00B94CD0"/>
    <w:rsid w:val="00BB2352"/>
    <w:rsid w:val="00BB2444"/>
    <w:rsid w:val="00BC2414"/>
    <w:rsid w:val="00BC5E5F"/>
    <w:rsid w:val="00BC67AA"/>
    <w:rsid w:val="00BD0291"/>
    <w:rsid w:val="00BD10C6"/>
    <w:rsid w:val="00BD26D2"/>
    <w:rsid w:val="00BD6738"/>
    <w:rsid w:val="00BD7E5E"/>
    <w:rsid w:val="00BE12B9"/>
    <w:rsid w:val="00BE63DB"/>
    <w:rsid w:val="00BE6574"/>
    <w:rsid w:val="00BE6848"/>
    <w:rsid w:val="00BE6D10"/>
    <w:rsid w:val="00BF28DB"/>
    <w:rsid w:val="00BF565E"/>
    <w:rsid w:val="00C03BCC"/>
    <w:rsid w:val="00C07319"/>
    <w:rsid w:val="00C1145E"/>
    <w:rsid w:val="00C12FBC"/>
    <w:rsid w:val="00C15AE5"/>
    <w:rsid w:val="00C16FD2"/>
    <w:rsid w:val="00C216C9"/>
    <w:rsid w:val="00C2310E"/>
    <w:rsid w:val="00C317B8"/>
    <w:rsid w:val="00C326BF"/>
    <w:rsid w:val="00C340F0"/>
    <w:rsid w:val="00C3427B"/>
    <w:rsid w:val="00C34E82"/>
    <w:rsid w:val="00C4395E"/>
    <w:rsid w:val="00C454B9"/>
    <w:rsid w:val="00C47FFD"/>
    <w:rsid w:val="00C51037"/>
    <w:rsid w:val="00C51E92"/>
    <w:rsid w:val="00C57165"/>
    <w:rsid w:val="00C57E2C"/>
    <w:rsid w:val="00C608B7"/>
    <w:rsid w:val="00C66B48"/>
    <w:rsid w:val="00C66F24"/>
    <w:rsid w:val="00C747AE"/>
    <w:rsid w:val="00C76D7F"/>
    <w:rsid w:val="00C80267"/>
    <w:rsid w:val="00C813AA"/>
    <w:rsid w:val="00C90F72"/>
    <w:rsid w:val="00C9291E"/>
    <w:rsid w:val="00CA1C52"/>
    <w:rsid w:val="00CA2812"/>
    <w:rsid w:val="00CA3F44"/>
    <w:rsid w:val="00CA4E58"/>
    <w:rsid w:val="00CA596E"/>
    <w:rsid w:val="00CA70FE"/>
    <w:rsid w:val="00CA7DB2"/>
    <w:rsid w:val="00CB3771"/>
    <w:rsid w:val="00CB44BF"/>
    <w:rsid w:val="00CB5153"/>
    <w:rsid w:val="00CC3E71"/>
    <w:rsid w:val="00CC400A"/>
    <w:rsid w:val="00CC7AA7"/>
    <w:rsid w:val="00CD1094"/>
    <w:rsid w:val="00CD3C59"/>
    <w:rsid w:val="00CD441D"/>
    <w:rsid w:val="00CD755C"/>
    <w:rsid w:val="00CE076A"/>
    <w:rsid w:val="00CE0DCA"/>
    <w:rsid w:val="00CE13BB"/>
    <w:rsid w:val="00CE4568"/>
    <w:rsid w:val="00CE463D"/>
    <w:rsid w:val="00CE4C12"/>
    <w:rsid w:val="00CE55A9"/>
    <w:rsid w:val="00CF1003"/>
    <w:rsid w:val="00CF2253"/>
    <w:rsid w:val="00CF4FC9"/>
    <w:rsid w:val="00CF7EB6"/>
    <w:rsid w:val="00D039C3"/>
    <w:rsid w:val="00D06B5A"/>
    <w:rsid w:val="00D10BA0"/>
    <w:rsid w:val="00D2110E"/>
    <w:rsid w:val="00D21694"/>
    <w:rsid w:val="00D22A8A"/>
    <w:rsid w:val="00D239B4"/>
    <w:rsid w:val="00D24EB5"/>
    <w:rsid w:val="00D2690D"/>
    <w:rsid w:val="00D3274A"/>
    <w:rsid w:val="00D34400"/>
    <w:rsid w:val="00D35AB9"/>
    <w:rsid w:val="00D41571"/>
    <w:rsid w:val="00D416A0"/>
    <w:rsid w:val="00D44291"/>
    <w:rsid w:val="00D4743E"/>
    <w:rsid w:val="00D47440"/>
    <w:rsid w:val="00D47672"/>
    <w:rsid w:val="00D50AD7"/>
    <w:rsid w:val="00D50DFB"/>
    <w:rsid w:val="00D5123C"/>
    <w:rsid w:val="00D5548E"/>
    <w:rsid w:val="00D55560"/>
    <w:rsid w:val="00D55726"/>
    <w:rsid w:val="00D61C5A"/>
    <w:rsid w:val="00D63BFF"/>
    <w:rsid w:val="00D6790C"/>
    <w:rsid w:val="00D71650"/>
    <w:rsid w:val="00D72B3C"/>
    <w:rsid w:val="00D73277"/>
    <w:rsid w:val="00D742F4"/>
    <w:rsid w:val="00D76586"/>
    <w:rsid w:val="00D82657"/>
    <w:rsid w:val="00D84F5E"/>
    <w:rsid w:val="00D873AC"/>
    <w:rsid w:val="00D8776F"/>
    <w:rsid w:val="00D87E20"/>
    <w:rsid w:val="00D942DE"/>
    <w:rsid w:val="00D97EF5"/>
    <w:rsid w:val="00DA19E8"/>
    <w:rsid w:val="00DA4037"/>
    <w:rsid w:val="00DA5B7F"/>
    <w:rsid w:val="00DB2279"/>
    <w:rsid w:val="00DB4407"/>
    <w:rsid w:val="00DB4CD5"/>
    <w:rsid w:val="00DB5BEA"/>
    <w:rsid w:val="00DB5DAC"/>
    <w:rsid w:val="00DC1822"/>
    <w:rsid w:val="00DC2F6F"/>
    <w:rsid w:val="00DD1396"/>
    <w:rsid w:val="00DD1B08"/>
    <w:rsid w:val="00DE255C"/>
    <w:rsid w:val="00DE66A5"/>
    <w:rsid w:val="00DE7778"/>
    <w:rsid w:val="00DF2B50"/>
    <w:rsid w:val="00DF5EF1"/>
    <w:rsid w:val="00E00EF2"/>
    <w:rsid w:val="00E01059"/>
    <w:rsid w:val="00E01993"/>
    <w:rsid w:val="00E04C86"/>
    <w:rsid w:val="00E07360"/>
    <w:rsid w:val="00E1043E"/>
    <w:rsid w:val="00E17344"/>
    <w:rsid w:val="00E20E01"/>
    <w:rsid w:val="00E20F30"/>
    <w:rsid w:val="00E211EC"/>
    <w:rsid w:val="00E2189C"/>
    <w:rsid w:val="00E25BB1"/>
    <w:rsid w:val="00E27BBA"/>
    <w:rsid w:val="00E30E3F"/>
    <w:rsid w:val="00E311B0"/>
    <w:rsid w:val="00E3148B"/>
    <w:rsid w:val="00E3348C"/>
    <w:rsid w:val="00E34FE5"/>
    <w:rsid w:val="00E35E8F"/>
    <w:rsid w:val="00E371E1"/>
    <w:rsid w:val="00E40FA1"/>
    <w:rsid w:val="00E428AB"/>
    <w:rsid w:val="00E4309B"/>
    <w:rsid w:val="00E438E8"/>
    <w:rsid w:val="00E453A3"/>
    <w:rsid w:val="00E45487"/>
    <w:rsid w:val="00E520E2"/>
    <w:rsid w:val="00E530C4"/>
    <w:rsid w:val="00E53DCE"/>
    <w:rsid w:val="00E55996"/>
    <w:rsid w:val="00E56195"/>
    <w:rsid w:val="00E56410"/>
    <w:rsid w:val="00E5666D"/>
    <w:rsid w:val="00E6369C"/>
    <w:rsid w:val="00E64254"/>
    <w:rsid w:val="00E67928"/>
    <w:rsid w:val="00E70FB5"/>
    <w:rsid w:val="00E73F80"/>
    <w:rsid w:val="00E85BE6"/>
    <w:rsid w:val="00E915AF"/>
    <w:rsid w:val="00E93D7C"/>
    <w:rsid w:val="00E95888"/>
    <w:rsid w:val="00E96415"/>
    <w:rsid w:val="00E97E7B"/>
    <w:rsid w:val="00EA15B3"/>
    <w:rsid w:val="00EA20DE"/>
    <w:rsid w:val="00EA253A"/>
    <w:rsid w:val="00EA43CD"/>
    <w:rsid w:val="00EA6F5E"/>
    <w:rsid w:val="00EA7A3D"/>
    <w:rsid w:val="00EB1319"/>
    <w:rsid w:val="00EB2358"/>
    <w:rsid w:val="00EB3EB8"/>
    <w:rsid w:val="00EC00EF"/>
    <w:rsid w:val="00EC02FE"/>
    <w:rsid w:val="00EC4A96"/>
    <w:rsid w:val="00EC4CE8"/>
    <w:rsid w:val="00EC6BB3"/>
    <w:rsid w:val="00ED441C"/>
    <w:rsid w:val="00ED72CA"/>
    <w:rsid w:val="00EE03A0"/>
    <w:rsid w:val="00EE1098"/>
    <w:rsid w:val="00EE1766"/>
    <w:rsid w:val="00EE3732"/>
    <w:rsid w:val="00EE64C2"/>
    <w:rsid w:val="00F03A6A"/>
    <w:rsid w:val="00F05664"/>
    <w:rsid w:val="00F116D7"/>
    <w:rsid w:val="00F13298"/>
    <w:rsid w:val="00F14149"/>
    <w:rsid w:val="00F16791"/>
    <w:rsid w:val="00F17F69"/>
    <w:rsid w:val="00F20BAC"/>
    <w:rsid w:val="00F23ACF"/>
    <w:rsid w:val="00F31A9C"/>
    <w:rsid w:val="00F40D13"/>
    <w:rsid w:val="00F424BF"/>
    <w:rsid w:val="00F44FC3"/>
    <w:rsid w:val="00F46107"/>
    <w:rsid w:val="00F468C5"/>
    <w:rsid w:val="00F47F6B"/>
    <w:rsid w:val="00F51C0B"/>
    <w:rsid w:val="00F525BE"/>
    <w:rsid w:val="00F52E4B"/>
    <w:rsid w:val="00F52F39"/>
    <w:rsid w:val="00F53624"/>
    <w:rsid w:val="00F60C03"/>
    <w:rsid w:val="00F6184F"/>
    <w:rsid w:val="00F66EE7"/>
    <w:rsid w:val="00F8310E"/>
    <w:rsid w:val="00F86B9D"/>
    <w:rsid w:val="00F87B20"/>
    <w:rsid w:val="00F90F58"/>
    <w:rsid w:val="00F914DD"/>
    <w:rsid w:val="00F929F6"/>
    <w:rsid w:val="00F95590"/>
    <w:rsid w:val="00F96B46"/>
    <w:rsid w:val="00FA2231"/>
    <w:rsid w:val="00FA2358"/>
    <w:rsid w:val="00FB21DB"/>
    <w:rsid w:val="00FB2288"/>
    <w:rsid w:val="00FB22A1"/>
    <w:rsid w:val="00FB2592"/>
    <w:rsid w:val="00FB2810"/>
    <w:rsid w:val="00FB7A2C"/>
    <w:rsid w:val="00FB7DD0"/>
    <w:rsid w:val="00FB7F61"/>
    <w:rsid w:val="00FC2947"/>
    <w:rsid w:val="00FC7C47"/>
    <w:rsid w:val="00FD5309"/>
    <w:rsid w:val="00FD799C"/>
    <w:rsid w:val="00FE0818"/>
    <w:rsid w:val="00FE2104"/>
    <w:rsid w:val="00FE37E7"/>
    <w:rsid w:val="00FE4822"/>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CFBB96"/>
  <w15:docId w15:val="{4B67AC6E-9D68-4CC7-9A68-97073C3E7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7CCE"/>
    <w:pPr>
      <w:tabs>
        <w:tab w:val="left" w:pos="794"/>
        <w:tab w:val="left" w:pos="1191"/>
        <w:tab w:val="left" w:pos="1588"/>
        <w:tab w:val="left" w:pos="1985"/>
      </w:tabs>
      <w:overflowPunct w:val="0"/>
      <w:autoSpaceDE w:val="0"/>
      <w:autoSpaceDN w:val="0"/>
      <w:adjustRightInd w:val="0"/>
      <w:spacing w:before="160" w:line="280" w:lineRule="exact"/>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link w:val="FooterChar"/>
    <w:uiPriority w:val="99"/>
    <w:rsid w:val="004326DB"/>
    <w:pPr>
      <w:tabs>
        <w:tab w:val="clear" w:pos="794"/>
        <w:tab w:val="clear" w:pos="1191"/>
        <w:tab w:val="clear" w:pos="1588"/>
        <w:tab w:val="clear" w:pos="1985"/>
        <w:tab w:val="center" w:pos="4320"/>
        <w:tab w:val="right" w:pos="8640"/>
      </w:tabs>
    </w:pPr>
  </w:style>
  <w:style w:type="paragraph" w:styleId="Header">
    <w:name w:val="header"/>
    <w:aliases w:val="encabezado,he"/>
    <w:basedOn w:val="Normal"/>
    <w:link w:val="HeaderChar"/>
    <w:rsid w:val="00235A29"/>
    <w:pPr>
      <w:tabs>
        <w:tab w:val="clear" w:pos="1191"/>
        <w:tab w:val="clear" w:pos="1588"/>
        <w:tab w:val="clear" w:pos="1985"/>
        <w:tab w:val="center" w:pos="4820"/>
        <w:tab w:val="center" w:pos="9639"/>
      </w:tabs>
      <w:spacing w:before="0"/>
    </w:pPr>
  </w:style>
  <w:style w:type="character" w:styleId="FootnoteReference">
    <w:name w:val="footnote reference"/>
    <w:aliases w:val="Footnote,Style 12,(NECG) Footnote Reference,FR,Style 13,Appel note de bas de p,Style 124,o,fr,Style 3,Footnote symbol,Voetnootverwijzing,Times 10 Point,Exposant 3 Point,footnote ref,Fuكnotenzeichen diss neu,Odwołanie przypisu,Ref"/>
    <w:basedOn w:val="DefaultParagraphFont"/>
    <w:uiPriority w:val="99"/>
    <w:rsid w:val="004326DB"/>
    <w:rPr>
      <w:position w:val="6"/>
      <w:sz w:val="18"/>
    </w:rPr>
  </w:style>
  <w:style w:type="paragraph" w:styleId="FootnoteText">
    <w:name w:val="footnote text"/>
    <w:aliases w:val="ALTS FOOTNOTE,Schriftart: 9 pt,Schriftart: 10 pt,Schriftart: 8 pt,WB-Fuكnotentext,Footnote text,Footnote Text Char Char Char Char,Footnote Text Char Char,Footnote Text Char Char Char Char Char,Char,WB-Fußnotentext,MTFootnote,fn,Fußn,DNV-"/>
    <w:basedOn w:val="Note"/>
    <w:link w:val="FootnoteTextChar"/>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link w:val="enumlev1Char"/>
    <w:uiPriority w:val="99"/>
    <w:qFormat/>
    <w:rsid w:val="00A6392A"/>
    <w:pPr>
      <w:spacing w:before="80"/>
      <w:ind w:left="794" w:hanging="794"/>
    </w:pPr>
    <w:rPr>
      <w:lang w:val="es-ES"/>
    </w:rPr>
  </w:style>
  <w:style w:type="paragraph" w:customStyle="1" w:styleId="enumlev2">
    <w:name w:val="enumlev2"/>
    <w:basedOn w:val="enumlev1"/>
    <w:rsid w:val="00A6392A"/>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link w:val="NormalaftertitleChar"/>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pPr>
  </w:style>
  <w:style w:type="paragraph" w:styleId="Index1">
    <w:name w:val="index 1"/>
    <w:basedOn w:val="Normal"/>
    <w:next w:val="Normal"/>
    <w:semiHidden/>
    <w:rsid w:val="004326DB"/>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pPr>
    <w:rPr>
      <w:b/>
    </w:rPr>
  </w:style>
  <w:style w:type="paragraph" w:customStyle="1" w:styleId="Headingb">
    <w:name w:val="Heading_b"/>
    <w:basedOn w:val="Normal"/>
    <w:next w:val="Normal"/>
    <w:link w:val="HeadingbChar"/>
    <w:qFormat/>
    <w:rsid w:val="004326DB"/>
    <w:pPr>
      <w:keepNext/>
      <w:spacing w:before="240"/>
      <w:ind w:left="794" w:hanging="794"/>
    </w:pPr>
    <w:rPr>
      <w:b/>
    </w:rPr>
  </w:style>
  <w:style w:type="paragraph" w:customStyle="1" w:styleId="Headingi">
    <w:name w:val="Heading_i"/>
    <w:basedOn w:val="Normal"/>
    <w:next w:val="Normal"/>
    <w:rsid w:val="004326DB"/>
    <w:pPr>
      <w:keepNext/>
      <w:spacing w:before="240"/>
    </w:pPr>
    <w:rPr>
      <w:i/>
    </w:rPr>
  </w:style>
  <w:style w:type="paragraph" w:styleId="Index2">
    <w:name w:val="index 2"/>
    <w:basedOn w:val="Normal"/>
    <w:next w:val="Normal"/>
    <w:semiHidden/>
    <w:rsid w:val="004326DB"/>
    <w:pPr>
      <w:ind w:left="284"/>
    </w:pPr>
  </w:style>
  <w:style w:type="paragraph" w:styleId="Index3">
    <w:name w:val="index 3"/>
    <w:basedOn w:val="Normal"/>
    <w:next w:val="Normal"/>
    <w:semiHidden/>
    <w:rsid w:val="004326DB"/>
    <w:pPr>
      <w:ind w:left="567"/>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qFormat/>
    <w:rsid w:val="0035219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pPr>
    <w:rPr>
      <w:sz w:val="20"/>
      <w:lang w:val="es-ES"/>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aliases w:val="CEO_Hyperlink,超级链接"/>
    <w:basedOn w:val="DefaultParagraphFont"/>
    <w:qForma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link w:val="CommentTextChar"/>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pPr>
  </w:style>
  <w:style w:type="paragraph" w:customStyle="1" w:styleId="Origin">
    <w:name w:val="Origin"/>
    <w:basedOn w:val="Normal"/>
    <w:rsid w:val="00EA15B3"/>
    <w:pPr>
      <w:spacing w:before="600" w:line="312" w:lineRule="auto"/>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paragraph" w:customStyle="1" w:styleId="FigureLegend0">
    <w:name w:val="Figure_Legend"/>
    <w:basedOn w:val="Normal"/>
    <w:rsid w:val="00A96D3A"/>
    <w:pPr>
      <w:keepNext/>
      <w:keepLines/>
      <w:tabs>
        <w:tab w:val="clear" w:pos="794"/>
        <w:tab w:val="clear" w:pos="1191"/>
        <w:tab w:val="clear" w:pos="1588"/>
        <w:tab w:val="clear" w:pos="1985"/>
      </w:tabs>
      <w:spacing w:before="20" w:after="20" w:line="240" w:lineRule="auto"/>
    </w:pPr>
    <w:rPr>
      <w:rFonts w:ascii="Times New Roman" w:hAnsi="Times New Roman" w:cs="Times New Roman"/>
      <w:sz w:val="18"/>
      <w:szCs w:val="20"/>
      <w:lang w:val="es-ES_tradnl"/>
    </w:rPr>
  </w:style>
  <w:style w:type="table" w:styleId="TableGrid">
    <w:name w:val="Table Grid"/>
    <w:basedOn w:val="TableNormal"/>
    <w:rsid w:val="009E4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70F0"/>
    <w:pPr>
      <w:tabs>
        <w:tab w:val="clear" w:pos="794"/>
        <w:tab w:val="clear" w:pos="1191"/>
        <w:tab w:val="clear" w:pos="1588"/>
        <w:tab w:val="clear" w:pos="1985"/>
      </w:tabs>
      <w:overflowPunct/>
      <w:autoSpaceDE/>
      <w:autoSpaceDN/>
      <w:adjustRightInd/>
      <w:spacing w:before="0" w:line="240" w:lineRule="auto"/>
      <w:ind w:left="720"/>
      <w:contextualSpacing/>
      <w:textAlignment w:val="auto"/>
    </w:pPr>
    <w:rPr>
      <w:rFonts w:eastAsia="SimSun" w:cs="Times New Roman"/>
      <w:sz w:val="22"/>
      <w:lang w:eastAsia="zh-CN"/>
    </w:rPr>
  </w:style>
  <w:style w:type="character" w:customStyle="1" w:styleId="HeaderChar">
    <w:name w:val="Header Char"/>
    <w:aliases w:val="encabezado Char,he Char"/>
    <w:basedOn w:val="DefaultParagraphFont"/>
    <w:link w:val="Header"/>
    <w:rsid w:val="001B3D4D"/>
    <w:rPr>
      <w:sz w:val="24"/>
      <w:szCs w:val="22"/>
      <w:lang w:val="en-US" w:eastAsia="en-US"/>
    </w:rPr>
  </w:style>
  <w:style w:type="character" w:customStyle="1" w:styleId="NormalaftertitleChar">
    <w:name w:val="Normal_after_title Char"/>
    <w:basedOn w:val="DefaultParagraphFont"/>
    <w:link w:val="Normalaftertitle"/>
    <w:locked/>
    <w:rsid w:val="007B38A2"/>
    <w:rPr>
      <w:sz w:val="24"/>
      <w:szCs w:val="22"/>
      <w:lang w:val="en-US" w:eastAsia="en-US"/>
    </w:rPr>
  </w:style>
  <w:style w:type="paragraph" w:customStyle="1" w:styleId="Annextitle">
    <w:name w:val="Annex_title"/>
    <w:basedOn w:val="Normal"/>
    <w:next w:val="Normal"/>
    <w:link w:val="AnnextitleChar1"/>
    <w:rsid w:val="007B38A2"/>
    <w:pPr>
      <w:tabs>
        <w:tab w:val="clear" w:pos="794"/>
        <w:tab w:val="clear" w:pos="1191"/>
        <w:tab w:val="clear" w:pos="1588"/>
        <w:tab w:val="clear" w:pos="1985"/>
        <w:tab w:val="left" w:pos="567"/>
        <w:tab w:val="left" w:pos="1134"/>
        <w:tab w:val="left" w:pos="1701"/>
        <w:tab w:val="left" w:pos="2268"/>
        <w:tab w:val="left" w:pos="2835"/>
      </w:tabs>
      <w:spacing w:before="240" w:after="240" w:line="240" w:lineRule="auto"/>
      <w:jc w:val="center"/>
    </w:pPr>
    <w:rPr>
      <w:rFonts w:cs="Times New Roman"/>
      <w:b/>
      <w:sz w:val="28"/>
      <w:szCs w:val="20"/>
      <w:lang w:val="es-ES_tradnl"/>
    </w:rPr>
  </w:style>
  <w:style w:type="character" w:customStyle="1" w:styleId="FooterChar">
    <w:name w:val="Footer Char"/>
    <w:basedOn w:val="DefaultParagraphFont"/>
    <w:link w:val="Footer"/>
    <w:uiPriority w:val="99"/>
    <w:rsid w:val="007B38A2"/>
    <w:rPr>
      <w:sz w:val="24"/>
      <w:szCs w:val="22"/>
      <w:lang w:val="en-US" w:eastAsia="en-US"/>
    </w:rPr>
  </w:style>
  <w:style w:type="character" w:customStyle="1" w:styleId="enumlev1Char">
    <w:name w:val="enumlev1 Char"/>
    <w:basedOn w:val="DefaultParagraphFont"/>
    <w:link w:val="enumlev1"/>
    <w:uiPriority w:val="99"/>
    <w:rsid w:val="00A6392A"/>
    <w:rPr>
      <w:sz w:val="24"/>
      <w:szCs w:val="22"/>
      <w:lang w:val="es-ES" w:eastAsia="en-US"/>
    </w:rPr>
  </w:style>
  <w:style w:type="character" w:customStyle="1" w:styleId="TabletextChar">
    <w:name w:val="Table_text Char"/>
    <w:basedOn w:val="DefaultParagraphFont"/>
    <w:link w:val="Tabletext"/>
    <w:locked/>
    <w:rsid w:val="00352192"/>
    <w:rPr>
      <w:szCs w:val="22"/>
      <w:lang w:val="es-ES" w:eastAsia="en-US"/>
    </w:rPr>
  </w:style>
  <w:style w:type="character" w:customStyle="1" w:styleId="HeadingbChar">
    <w:name w:val="Heading_b Char"/>
    <w:link w:val="Headingb"/>
    <w:locked/>
    <w:rsid w:val="000C01DF"/>
    <w:rPr>
      <w:b/>
      <w:sz w:val="24"/>
      <w:szCs w:val="22"/>
      <w:lang w:val="en-US" w:eastAsia="en-US"/>
    </w:rPr>
  </w:style>
  <w:style w:type="character" w:customStyle="1" w:styleId="FootnoteTextChar">
    <w:name w:val="Footnote Text Char"/>
    <w:aliases w:val="ALTS FOOTNOTE Char,Schriftart: 9 pt Char,Schriftart: 10 pt Char,Schriftart: 8 pt Char,WB-Fuكnotentext Char,Footnote text Char,Footnote Text Char Char Char Char Char1,Footnote Text Char Char Char,Char Char,WB-Fußnotentext Char,fn Char"/>
    <w:basedOn w:val="DefaultParagraphFont"/>
    <w:link w:val="FootnoteText"/>
    <w:rsid w:val="000C01DF"/>
    <w:rPr>
      <w:szCs w:val="22"/>
      <w:lang w:val="en-US" w:eastAsia="en-US"/>
    </w:rPr>
  </w:style>
  <w:style w:type="paragraph" w:customStyle="1" w:styleId="Reasons">
    <w:name w:val="Reasons"/>
    <w:basedOn w:val="Normal"/>
    <w:qFormat/>
    <w:rsid w:val="000C01DF"/>
    <w:pPr>
      <w:tabs>
        <w:tab w:val="clear" w:pos="794"/>
        <w:tab w:val="clear" w:pos="1191"/>
        <w:tab w:val="clear" w:pos="1588"/>
        <w:tab w:val="clear" w:pos="1985"/>
        <w:tab w:val="left" w:pos="567"/>
        <w:tab w:val="left" w:pos="1134"/>
        <w:tab w:val="left" w:pos="1701"/>
        <w:tab w:val="left" w:pos="2268"/>
        <w:tab w:val="left" w:pos="2835"/>
      </w:tabs>
      <w:spacing w:before="120" w:line="240" w:lineRule="auto"/>
    </w:pPr>
    <w:rPr>
      <w:rFonts w:cs="Times New Roman"/>
      <w:szCs w:val="20"/>
      <w:lang w:val="es-ES_tradnl"/>
    </w:rPr>
  </w:style>
  <w:style w:type="table" w:customStyle="1" w:styleId="GridTable4-Accent11">
    <w:name w:val="Grid Table 4 - Accent 11"/>
    <w:basedOn w:val="TableNormal"/>
    <w:uiPriority w:val="49"/>
    <w:rsid w:val="000C01DF"/>
    <w:rPr>
      <w:rFonts w:asciiTheme="minorHAnsi" w:eastAsiaTheme="minorHAnsi" w:hAnsiTheme="minorHAnsi" w:cstheme="minorBidi"/>
      <w:sz w:val="22"/>
      <w:szCs w:val="22"/>
      <w:lang w:val="en-US"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AnnexNo">
    <w:name w:val="Annex_No"/>
    <w:basedOn w:val="Normal"/>
    <w:next w:val="Normal"/>
    <w:link w:val="AnnexNoChar"/>
    <w:rsid w:val="004A4951"/>
    <w:pPr>
      <w:keepNext/>
      <w:keepLines/>
      <w:tabs>
        <w:tab w:val="clear" w:pos="794"/>
        <w:tab w:val="clear" w:pos="1191"/>
        <w:tab w:val="clear" w:pos="1588"/>
        <w:tab w:val="clear" w:pos="1985"/>
        <w:tab w:val="left" w:pos="1134"/>
        <w:tab w:val="left" w:pos="1871"/>
        <w:tab w:val="left" w:pos="2268"/>
      </w:tabs>
      <w:spacing w:before="480" w:after="80" w:line="240" w:lineRule="auto"/>
      <w:jc w:val="center"/>
    </w:pPr>
    <w:rPr>
      <w:rFonts w:cs="Times New Roman"/>
      <w:caps/>
      <w:sz w:val="28"/>
      <w:szCs w:val="20"/>
      <w:lang w:val="ru-RU"/>
    </w:rPr>
  </w:style>
  <w:style w:type="character" w:customStyle="1" w:styleId="AnnexNoChar">
    <w:name w:val="Annex_No Char"/>
    <w:link w:val="AnnexNo"/>
    <w:locked/>
    <w:rsid w:val="004A4951"/>
    <w:rPr>
      <w:rFonts w:cs="Times New Roman"/>
      <w:caps/>
      <w:sz w:val="28"/>
      <w:lang w:val="ru-RU" w:eastAsia="en-US"/>
    </w:rPr>
  </w:style>
  <w:style w:type="character" w:customStyle="1" w:styleId="AnnextitleChar1">
    <w:name w:val="Annex_title Char1"/>
    <w:link w:val="Annextitle"/>
    <w:locked/>
    <w:rsid w:val="00622D6F"/>
    <w:rPr>
      <w:rFonts w:cs="Times New Roman"/>
      <w:b/>
      <w:sz w:val="28"/>
      <w:lang w:val="es-ES_tradnl" w:eastAsia="en-US"/>
    </w:rPr>
  </w:style>
  <w:style w:type="paragraph" w:customStyle="1" w:styleId="AnnexNotitle0">
    <w:name w:val="Annex_No &amp; title"/>
    <w:basedOn w:val="Normal"/>
    <w:next w:val="Normal"/>
    <w:rsid w:val="00622D6F"/>
    <w:pPr>
      <w:keepNext/>
      <w:keepLines/>
      <w:spacing w:before="480" w:line="240" w:lineRule="auto"/>
      <w:jc w:val="center"/>
    </w:pPr>
    <w:rPr>
      <w:rFonts w:ascii="Times New Roman" w:hAnsi="Times New Roman" w:cs="Times New Roman"/>
      <w:b/>
      <w:sz w:val="28"/>
      <w:szCs w:val="20"/>
      <w:lang w:val="en-GB"/>
    </w:rPr>
  </w:style>
  <w:style w:type="character" w:customStyle="1" w:styleId="CommentTextChar">
    <w:name w:val="Comment Text Char"/>
    <w:basedOn w:val="DefaultParagraphFont"/>
    <w:link w:val="CommentText"/>
    <w:semiHidden/>
    <w:rsid w:val="00513A0E"/>
    <w:rPr>
      <w:szCs w:val="22"/>
      <w:lang w:val="en-US" w:eastAsia="en-US"/>
    </w:rPr>
  </w:style>
  <w:style w:type="paragraph" w:styleId="Revision">
    <w:name w:val="Revision"/>
    <w:hidden/>
    <w:uiPriority w:val="99"/>
    <w:semiHidden/>
    <w:rsid w:val="00025B7E"/>
    <w:rPr>
      <w:sz w:val="24"/>
      <w:szCs w:val="22"/>
      <w:lang w:val="en-US" w:eastAsia="en-US"/>
    </w:rPr>
  </w:style>
  <w:style w:type="paragraph" w:styleId="NormalWeb">
    <w:name w:val="Normal (Web)"/>
    <w:basedOn w:val="Normal"/>
    <w:uiPriority w:val="99"/>
    <w:unhideWhenUsed/>
    <w:rsid w:val="00220CDA"/>
    <w:pPr>
      <w:tabs>
        <w:tab w:val="clear" w:pos="794"/>
        <w:tab w:val="clear" w:pos="1191"/>
        <w:tab w:val="clear" w:pos="1588"/>
        <w:tab w:val="clear" w:pos="1985"/>
      </w:tabs>
      <w:overflowPunct/>
      <w:autoSpaceDE/>
      <w:autoSpaceDN/>
      <w:adjustRightInd/>
      <w:spacing w:before="100" w:beforeAutospacing="1" w:after="100" w:afterAutospacing="1" w:line="240" w:lineRule="auto"/>
      <w:textAlignment w:val="auto"/>
    </w:pPr>
    <w:rPr>
      <w:rFonts w:ascii="Times New Roman" w:eastAsiaTheme="minorEastAsia" w:hAnsi="Times New Roman" w:cs="Times New Roman"/>
      <w:szCs w:val="24"/>
      <w:lang w:eastAsia="zh-CN"/>
    </w:rPr>
  </w:style>
  <w:style w:type="character" w:styleId="UnresolvedMention">
    <w:name w:val="Unresolved Mention"/>
    <w:basedOn w:val="DefaultParagraphFont"/>
    <w:uiPriority w:val="99"/>
    <w:semiHidden/>
    <w:unhideWhenUsed/>
    <w:rsid w:val="00546107"/>
    <w:rPr>
      <w:color w:val="605E5C"/>
      <w:shd w:val="clear" w:color="auto" w:fill="E1DFDD"/>
    </w:rPr>
  </w:style>
  <w:style w:type="character" w:styleId="FollowedHyperlink">
    <w:name w:val="FollowedHyperlink"/>
    <w:basedOn w:val="DefaultParagraphFont"/>
    <w:semiHidden/>
    <w:unhideWhenUsed/>
    <w:rsid w:val="00350F58"/>
    <w:rPr>
      <w:color w:val="800080" w:themeColor="followedHyperlink"/>
      <w:u w:val="single"/>
    </w:rPr>
  </w:style>
  <w:style w:type="character" w:customStyle="1" w:styleId="TableheadChar">
    <w:name w:val="Table_head Char"/>
    <w:basedOn w:val="DefaultParagraphFont"/>
    <w:link w:val="Tablehead"/>
    <w:rsid w:val="00E6369C"/>
    <w:rPr>
      <w:b/>
      <w:szCs w:val="22"/>
      <w:lang w:val="en-US" w:eastAsia="en-US"/>
    </w:rPr>
  </w:style>
  <w:style w:type="character" w:customStyle="1" w:styleId="eop">
    <w:name w:val="eop"/>
    <w:basedOn w:val="DefaultParagraphFont"/>
    <w:rsid w:val="007163C2"/>
  </w:style>
  <w:style w:type="character" w:customStyle="1" w:styleId="normaltextrun">
    <w:name w:val="normaltextrun"/>
    <w:basedOn w:val="DefaultParagraphFont"/>
    <w:rsid w:val="00611A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itu.int/md/R16-WRC19-C-0550/es" TargetMode="External"/><Relationship Id="rId18" Type="http://schemas.openxmlformats.org/officeDocument/2006/relationships/hyperlink" Target="https://www.itu.int/md/R20-RAG-C-0001/es"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mailto:alexandre.vassiliev@mail.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mailto:asanders@ntia.gov"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itu.int/es/pages/default.aspx" TargetMode="External"/><Relationship Id="rId1" Type="http://schemas.openxmlformats.org/officeDocument/2006/relationships/hyperlink" Target="mailto:itumail@itu.in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tu.int/es/ITU-D/Projects/ITU-EC-ACP/PRIDA/Pages/default.asp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76F3F-B44C-4228-8306-5D419FB9A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10</Pages>
  <Words>4295</Words>
  <Characters>22166</Characters>
  <Application>Microsoft Office Word</Application>
  <DocSecurity>0</DocSecurity>
  <Lines>184</Lines>
  <Paragraphs>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26409</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Santiago, Genoveva</dc:creator>
  <cp:lastModifiedBy>BR</cp:lastModifiedBy>
  <cp:revision>8</cp:revision>
  <cp:lastPrinted>2022-05-04T07:54:00Z</cp:lastPrinted>
  <dcterms:created xsi:type="dcterms:W3CDTF">2022-05-02T13:38:00Z</dcterms:created>
  <dcterms:modified xsi:type="dcterms:W3CDTF">2022-05-09T09:28:00Z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