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6F6C1DB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32FDA5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5396014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527E7DC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6A5013FD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377CDB7" w14:textId="1452DBC5" w:rsidR="00E53DCE" w:rsidRPr="001B3D4D" w:rsidRDefault="0076517A" w:rsidP="006160CB">
            <w:pPr>
              <w:spacing w:before="0"/>
              <w:jc w:val="left"/>
              <w:rPr>
                <w:szCs w:val="24"/>
                <w:lang w:val="es-ES"/>
              </w:rPr>
            </w:pPr>
            <w:proofErr w:type="spellStart"/>
            <w:r w:rsidRPr="0076517A">
              <w:rPr>
                <w:szCs w:val="24"/>
                <w:lang w:val="es-ES"/>
              </w:rPr>
              <w:t>Corrigéndum</w:t>
            </w:r>
            <w:proofErr w:type="spellEnd"/>
            <w:r w:rsidRPr="0076517A">
              <w:rPr>
                <w:szCs w:val="24"/>
                <w:lang w:val="es-ES"/>
              </w:rPr>
              <w:t xml:space="preserve"> 1 a la</w:t>
            </w:r>
            <w:r>
              <w:rPr>
                <w:szCs w:val="24"/>
                <w:lang w:val="es-ES"/>
              </w:rPr>
              <w:br/>
            </w:r>
            <w:r w:rsidR="00A96D3A" w:rsidRPr="001B3D4D">
              <w:rPr>
                <w:szCs w:val="24"/>
                <w:lang w:val="es-ES"/>
              </w:rPr>
              <w:t>Circular Administrativa</w:t>
            </w:r>
          </w:p>
          <w:p w14:paraId="361BD98C" w14:textId="7506182A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CA/</w:t>
            </w:r>
            <w:r w:rsidR="0076517A">
              <w:rPr>
                <w:b/>
                <w:bCs/>
                <w:szCs w:val="24"/>
                <w:lang w:val="es-ES"/>
              </w:rPr>
              <w:t>251</w:t>
            </w:r>
          </w:p>
        </w:tc>
        <w:tc>
          <w:tcPr>
            <w:tcW w:w="2835" w:type="dxa"/>
            <w:shd w:val="clear" w:color="auto" w:fill="auto"/>
          </w:tcPr>
          <w:p w14:paraId="65759132" w14:textId="797DB230" w:rsidR="00E53DCE" w:rsidRPr="002B7EE0" w:rsidRDefault="0076517A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bCs/>
                <w:szCs w:val="24"/>
                <w:lang w:val="fr-FR"/>
              </w:rPr>
              <w:t>28</w:t>
            </w:r>
            <w:r w:rsidR="00A96D3A" w:rsidRPr="002B7EE0">
              <w:rPr>
                <w:bCs/>
                <w:szCs w:val="24"/>
                <w:lang w:val="fr-FR"/>
              </w:rPr>
              <w:t xml:space="preserve"> de </w:t>
            </w:r>
            <w:proofErr w:type="spellStart"/>
            <w:r w:rsidR="00A96D3A" w:rsidRPr="002B7EE0">
              <w:rPr>
                <w:bCs/>
                <w:szCs w:val="24"/>
                <w:lang w:val="fr-FR"/>
              </w:rPr>
              <w:t>enero</w:t>
            </w:r>
            <w:proofErr w:type="spellEnd"/>
            <w:r w:rsidR="00A96D3A" w:rsidRPr="002B7EE0">
              <w:rPr>
                <w:bCs/>
                <w:szCs w:val="24"/>
                <w:lang w:val="fr-FR"/>
              </w:rPr>
              <w:t xml:space="preserve"> de 20</w:t>
            </w:r>
            <w:r w:rsidR="002B7EE0" w:rsidRPr="002B7EE0">
              <w:rPr>
                <w:bCs/>
                <w:szCs w:val="24"/>
                <w:lang w:val="fr-FR"/>
              </w:rPr>
              <w:t>20</w:t>
            </w:r>
          </w:p>
        </w:tc>
      </w:tr>
      <w:tr w:rsidR="00E53DCE" w:rsidRPr="0033029C" w14:paraId="4A1BF1CB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D1BAF2C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03F40D51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D17C52D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682544" w14:paraId="11CAFE1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F6F743D" w14:textId="6451301E" w:rsidR="00E53DCE" w:rsidRPr="0033029C" w:rsidRDefault="0076517A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76517A">
              <w:rPr>
                <w:b/>
                <w:szCs w:val="24"/>
                <w:lang w:val="es-ES"/>
              </w:rPr>
              <w:t>A las Administraciones de los Estados Miembros de la UIT, y a los Miembros de Sector de Radiocomunicaciones</w:t>
            </w:r>
          </w:p>
        </w:tc>
      </w:tr>
      <w:tr w:rsidR="00E53DCE" w:rsidRPr="00682544" w14:paraId="4EAC1D3F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383499F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682544" w14:paraId="3AE616F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BEAD47A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682544" w14:paraId="0CC3693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280B3ED2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Asunto</w:t>
            </w:r>
            <w:proofErr w:type="spellEnd"/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275D043" w14:textId="621F45E8" w:rsidR="00E53DCE" w:rsidRPr="0076517A" w:rsidRDefault="0076517A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  <w:r w:rsidRPr="0076517A">
              <w:rPr>
                <w:b/>
                <w:bCs/>
                <w:szCs w:val="24"/>
                <w:lang w:val="es-ES"/>
              </w:rPr>
              <w:t>Resultados de la primera sesión de la Reunión Preparatoria de la Conferencia para la CMR-23 (RPC23-1)</w:t>
            </w:r>
          </w:p>
        </w:tc>
      </w:tr>
      <w:tr w:rsidR="00E53DCE" w:rsidRPr="00682544" w14:paraId="5126B2E5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FA92D44" w14:textId="77777777" w:rsidR="00E53DCE" w:rsidRPr="0076517A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83A56F4" w14:textId="77777777" w:rsidR="00E53DCE" w:rsidRPr="0076517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682544" w14:paraId="0B5F2A31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54A9D661" w14:textId="77777777" w:rsidR="00E53DCE" w:rsidRPr="0076517A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2922341" w14:textId="77777777" w:rsidR="00E53DCE" w:rsidRPr="0076517A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3A7DF28A" w14:textId="77777777" w:rsidR="0076517A" w:rsidRPr="0076517A" w:rsidRDefault="0076517A" w:rsidP="00192CF7">
      <w:pPr>
        <w:pStyle w:val="Normalaftertitle"/>
        <w:rPr>
          <w:lang w:val="es-ES"/>
        </w:rPr>
      </w:pPr>
      <w:r w:rsidRPr="0076517A">
        <w:rPr>
          <w:lang w:val="es-ES"/>
        </w:rPr>
        <w:t>Sírvase reemplazar el Cuadro 1 del Anexo 4 a la Circular Administrativa CA/251, de fecha 19 de diciembre de 2019, por el siguiente:</w:t>
      </w:r>
    </w:p>
    <w:p w14:paraId="0CCE605E" w14:textId="77777777" w:rsidR="0076517A" w:rsidRPr="00192CF7" w:rsidRDefault="0076517A" w:rsidP="00192CF7">
      <w:pPr>
        <w:pStyle w:val="TableNo"/>
      </w:pPr>
      <w:r w:rsidRPr="00192CF7">
        <w:t>CUADRO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268"/>
        <w:gridCol w:w="2268"/>
        <w:gridCol w:w="3175"/>
      </w:tblGrid>
      <w:tr w:rsidR="0076517A" w:rsidRPr="00682544" w14:paraId="0E8FC976" w14:textId="77777777" w:rsidTr="00B61188">
        <w:trPr>
          <w:jc w:val="center"/>
        </w:trPr>
        <w:tc>
          <w:tcPr>
            <w:tcW w:w="1928" w:type="dxa"/>
          </w:tcPr>
          <w:p w14:paraId="6453AD85" w14:textId="77777777" w:rsidR="0076517A" w:rsidRPr="0076517A" w:rsidRDefault="0076517A" w:rsidP="00192CF7">
            <w:pPr>
              <w:pStyle w:val="Tablehead"/>
            </w:pPr>
            <w:r w:rsidRPr="0076517A">
              <w:t>1.2 (IMT)</w:t>
            </w:r>
            <w:r w:rsidRPr="0076517A">
              <w:br/>
              <w:t>GT 5D</w:t>
            </w:r>
          </w:p>
        </w:tc>
        <w:tc>
          <w:tcPr>
            <w:tcW w:w="2268" w:type="dxa"/>
          </w:tcPr>
          <w:p w14:paraId="7934AA12" w14:textId="77777777" w:rsidR="0076517A" w:rsidRPr="0076517A" w:rsidRDefault="0076517A" w:rsidP="00192CF7">
            <w:pPr>
              <w:pStyle w:val="Tablehead"/>
            </w:pPr>
            <w:r w:rsidRPr="0076517A">
              <w:t>1.16 (ETEM no-OSG)</w:t>
            </w:r>
            <w:r w:rsidRPr="0076517A">
              <w:br/>
              <w:t>GT 4A</w:t>
            </w:r>
          </w:p>
        </w:tc>
        <w:tc>
          <w:tcPr>
            <w:tcW w:w="2268" w:type="dxa"/>
          </w:tcPr>
          <w:p w14:paraId="746D5DCF" w14:textId="77777777" w:rsidR="0076517A" w:rsidRPr="0076517A" w:rsidRDefault="0076517A" w:rsidP="00192CF7">
            <w:pPr>
              <w:pStyle w:val="Tablehead"/>
            </w:pPr>
            <w:r w:rsidRPr="0076517A">
              <w:t>1.17 (EES)</w:t>
            </w:r>
            <w:r w:rsidRPr="0076517A">
              <w:br/>
              <w:t>GT 4A</w:t>
            </w:r>
          </w:p>
        </w:tc>
        <w:tc>
          <w:tcPr>
            <w:tcW w:w="3175" w:type="dxa"/>
          </w:tcPr>
          <w:p w14:paraId="22B4D659" w14:textId="77777777" w:rsidR="0076517A" w:rsidRPr="00447204" w:rsidRDefault="0076517A" w:rsidP="00192CF7">
            <w:pPr>
              <w:pStyle w:val="Tablehead"/>
              <w:rPr>
                <w:lang w:val="es-ES"/>
              </w:rPr>
            </w:pPr>
            <w:r w:rsidRPr="00447204">
              <w:rPr>
                <w:lang w:val="es-ES"/>
              </w:rPr>
              <w:t>1.18 (SMS en banda estrecha)</w:t>
            </w:r>
            <w:r w:rsidRPr="00447204">
              <w:rPr>
                <w:lang w:val="es-ES"/>
              </w:rPr>
              <w:br/>
              <w:t>GT 4C</w:t>
            </w:r>
          </w:p>
        </w:tc>
      </w:tr>
      <w:tr w:rsidR="0076517A" w:rsidRPr="0076517A" w14:paraId="05AFB396" w14:textId="77777777" w:rsidTr="00B61188">
        <w:trPr>
          <w:jc w:val="center"/>
        </w:trPr>
        <w:tc>
          <w:tcPr>
            <w:tcW w:w="1928" w:type="dxa"/>
          </w:tcPr>
          <w:p w14:paraId="3D305F07" w14:textId="77777777" w:rsidR="0076517A" w:rsidRPr="0076517A" w:rsidRDefault="0076517A" w:rsidP="00192CF7">
            <w:pPr>
              <w:pStyle w:val="Tabletext"/>
              <w:jc w:val="center"/>
              <w:rPr>
                <w:lang w:val="es-ES"/>
              </w:rPr>
            </w:pPr>
            <w:r w:rsidRPr="0076517A">
              <w:rPr>
                <w:lang w:val="es-ES"/>
              </w:rPr>
              <w:t>3 300-3 400 MHz (Regiones 1 y 2)</w:t>
            </w:r>
          </w:p>
        </w:tc>
        <w:tc>
          <w:tcPr>
            <w:tcW w:w="2268" w:type="dxa"/>
          </w:tcPr>
          <w:p w14:paraId="03BA5B00" w14:textId="77777777" w:rsidR="0076517A" w:rsidRPr="0076517A" w:rsidRDefault="0076517A" w:rsidP="00192CF7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268" w:type="dxa"/>
          </w:tcPr>
          <w:p w14:paraId="1F41BF1B" w14:textId="77777777" w:rsidR="0076517A" w:rsidRPr="0076517A" w:rsidRDefault="0076517A" w:rsidP="00192CF7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3175" w:type="dxa"/>
          </w:tcPr>
          <w:p w14:paraId="384D39D0" w14:textId="77777777" w:rsidR="0076517A" w:rsidRPr="0076517A" w:rsidRDefault="0076517A" w:rsidP="00192CF7">
            <w:pPr>
              <w:pStyle w:val="Tabletext"/>
              <w:jc w:val="center"/>
              <w:rPr>
                <w:lang w:val="es-ES"/>
              </w:rPr>
            </w:pPr>
            <w:r w:rsidRPr="0076517A">
              <w:rPr>
                <w:lang w:val="es-ES"/>
              </w:rPr>
              <w:t>3 300-3 400 MHz</w:t>
            </w:r>
            <w:r w:rsidRPr="0076517A">
              <w:rPr>
                <w:lang w:val="es-ES"/>
              </w:rPr>
              <w:br/>
              <w:t>(Región 2)</w:t>
            </w:r>
          </w:p>
        </w:tc>
      </w:tr>
      <w:tr w:rsidR="0076517A" w:rsidRPr="0076517A" w14:paraId="1AD90824" w14:textId="77777777" w:rsidTr="00B61188">
        <w:trPr>
          <w:jc w:val="center"/>
        </w:trPr>
        <w:tc>
          <w:tcPr>
            <w:tcW w:w="1928" w:type="dxa"/>
          </w:tcPr>
          <w:p w14:paraId="40893EDC" w14:textId="77777777" w:rsidR="0076517A" w:rsidRPr="0076517A" w:rsidRDefault="0076517A" w:rsidP="00192CF7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2268" w:type="dxa"/>
          </w:tcPr>
          <w:p w14:paraId="0700D52A" w14:textId="42E3BC80" w:rsidR="0076517A" w:rsidRPr="0076517A" w:rsidRDefault="0076517A" w:rsidP="00192CF7">
            <w:pPr>
              <w:pStyle w:val="Tabletext"/>
              <w:jc w:val="center"/>
              <w:rPr>
                <w:lang w:val="fr-FR"/>
              </w:rPr>
            </w:pPr>
            <w:r w:rsidRPr="0076517A">
              <w:rPr>
                <w:lang w:val="fr-FR"/>
              </w:rPr>
              <w:t>27,5-29,1 GHz (T-e)</w:t>
            </w:r>
            <w:r w:rsidR="00192CF7">
              <w:rPr>
                <w:lang w:val="fr-FR"/>
              </w:rPr>
              <w:br/>
            </w:r>
            <w:r w:rsidRPr="0076517A">
              <w:rPr>
                <w:lang w:val="fr-FR"/>
              </w:rPr>
              <w:t>29,5-30 GHz (T</w:t>
            </w:r>
            <w:r w:rsidRPr="0076517A">
              <w:rPr>
                <w:lang w:val="fr-FR"/>
              </w:rPr>
              <w:noBreakHyphen/>
              <w:t>e)</w:t>
            </w:r>
          </w:p>
        </w:tc>
        <w:tc>
          <w:tcPr>
            <w:tcW w:w="2268" w:type="dxa"/>
          </w:tcPr>
          <w:p w14:paraId="45FE5F49" w14:textId="292A95CB" w:rsidR="0076517A" w:rsidRPr="0076517A" w:rsidRDefault="0076517A" w:rsidP="00192CF7">
            <w:pPr>
              <w:pStyle w:val="Tabletext"/>
              <w:jc w:val="center"/>
              <w:rPr>
                <w:lang w:val="es-ES"/>
              </w:rPr>
            </w:pPr>
            <w:r w:rsidRPr="0076517A">
              <w:rPr>
                <w:lang w:val="es-ES"/>
              </w:rPr>
              <w:t>27,5-30 GHz (e</w:t>
            </w:r>
            <w:r w:rsidRPr="0076517A">
              <w:rPr>
                <w:lang w:val="es-ES"/>
              </w:rPr>
              <w:noBreakHyphen/>
              <w:t>e)</w:t>
            </w:r>
          </w:p>
        </w:tc>
        <w:tc>
          <w:tcPr>
            <w:tcW w:w="3175" w:type="dxa"/>
          </w:tcPr>
          <w:p w14:paraId="4A9A41BF" w14:textId="77777777" w:rsidR="0076517A" w:rsidRPr="0076517A" w:rsidRDefault="0076517A" w:rsidP="00192CF7">
            <w:pPr>
              <w:pStyle w:val="Tabletext"/>
              <w:jc w:val="center"/>
              <w:rPr>
                <w:lang w:val="es-ES"/>
              </w:rPr>
            </w:pPr>
          </w:p>
        </w:tc>
      </w:tr>
    </w:tbl>
    <w:p w14:paraId="6B400EF7" w14:textId="0B8D3448" w:rsidR="0076517A" w:rsidRPr="0076517A" w:rsidRDefault="0076517A" w:rsidP="00192CF7">
      <w:pPr>
        <w:pStyle w:val="Normalaftertitle"/>
        <w:rPr>
          <w:lang w:val="es-ES"/>
        </w:rPr>
      </w:pPr>
      <w:r w:rsidRPr="0076517A">
        <w:rPr>
          <w:lang w:val="es-ES"/>
        </w:rPr>
        <w:t>Rogamos tenga presente también que, como resultado de la revisión de las Actas Finales de la CMR</w:t>
      </w:r>
      <w:r w:rsidR="00192CF7">
        <w:rPr>
          <w:lang w:val="es-ES"/>
        </w:rPr>
        <w:noBreakHyphen/>
      </w:r>
      <w:r w:rsidRPr="0076517A">
        <w:rPr>
          <w:lang w:val="es-ES"/>
        </w:rPr>
        <w:t>19 basada en las actas de la décimo segunda sesión plenaria de la CMR-19, se han introducido asimismo las siguientes modificaciones en las partes correspondientes de los Anexos 2, 7, 8 y 10 de la CA/251:</w:t>
      </w:r>
    </w:p>
    <w:p w14:paraId="138B149E" w14:textId="5B837501" w:rsidR="0076517A" w:rsidRPr="0076517A" w:rsidRDefault="00192CF7" w:rsidP="00192CF7">
      <w:pPr>
        <w:pStyle w:val="enumlev1"/>
        <w:rPr>
          <w:lang w:val="es-ES"/>
        </w:rPr>
      </w:pPr>
      <w:r w:rsidRPr="00192CF7">
        <w:rPr>
          <w:lang w:val="es-ES"/>
        </w:rPr>
        <w:t>–</w:t>
      </w:r>
      <w:r>
        <w:rPr>
          <w:lang w:val="es-ES"/>
        </w:rPr>
        <w:tab/>
      </w:r>
      <w:r w:rsidR="0076517A" w:rsidRPr="0076517A">
        <w:rPr>
          <w:lang w:val="es-ES"/>
        </w:rPr>
        <w:t xml:space="preserve">En la Resolución 812 (CMR-19), el texto del </w:t>
      </w:r>
      <w:bookmarkStart w:id="0" w:name="_Hlk30500689"/>
      <w:r w:rsidR="0076517A" w:rsidRPr="0076517A">
        <w:rPr>
          <w:i/>
          <w:iCs/>
          <w:lang w:val="es-ES"/>
        </w:rPr>
        <w:t>resuelve manifestar la siguiente opinión</w:t>
      </w:r>
      <w:r w:rsidR="0076517A" w:rsidRPr="0076517A">
        <w:rPr>
          <w:lang w:val="es-ES"/>
        </w:rPr>
        <w:t xml:space="preserve"> </w:t>
      </w:r>
      <w:bookmarkEnd w:id="0"/>
      <w:r w:rsidR="0076517A" w:rsidRPr="0076517A">
        <w:rPr>
          <w:lang w:val="es-ES"/>
        </w:rPr>
        <w:t xml:space="preserve">2.13 debe incluir corchetes en torno a la gama de frecuencias 1,5-5 GHz (véanse las correcciones correspondientes a los Anexos 2, 8 y 10 de la CA/251 que se indican en el Anexo 1 al presente </w:t>
      </w:r>
      <w:proofErr w:type="spellStart"/>
      <w:r w:rsidR="0076517A" w:rsidRPr="0076517A">
        <w:rPr>
          <w:lang w:val="es-ES"/>
        </w:rPr>
        <w:t>Corrigéndum</w:t>
      </w:r>
      <w:proofErr w:type="spellEnd"/>
      <w:r w:rsidR="0076517A" w:rsidRPr="0076517A">
        <w:rPr>
          <w:lang w:val="es-ES"/>
        </w:rPr>
        <w:t xml:space="preserve"> 1);</w:t>
      </w:r>
    </w:p>
    <w:p w14:paraId="61F57488" w14:textId="77777777" w:rsidR="00192CF7" w:rsidRDefault="00192CF7" w:rsidP="00192CF7">
      <w:pPr>
        <w:rPr>
          <w:lang w:val="es-ES"/>
        </w:rPr>
      </w:pPr>
      <w:r>
        <w:rPr>
          <w:lang w:val="es-ES"/>
        </w:rPr>
        <w:br w:type="page"/>
      </w:r>
    </w:p>
    <w:p w14:paraId="59A2A0AD" w14:textId="0D776A47" w:rsidR="0076517A" w:rsidRPr="0076517A" w:rsidRDefault="00192CF7" w:rsidP="00192CF7">
      <w:pPr>
        <w:pStyle w:val="enumlev1"/>
        <w:rPr>
          <w:lang w:val="es-ES"/>
        </w:rPr>
      </w:pPr>
      <w:r w:rsidRPr="00192CF7">
        <w:rPr>
          <w:lang w:val="es-ES"/>
        </w:rPr>
        <w:lastRenderedPageBreak/>
        <w:t>–</w:t>
      </w:r>
      <w:r>
        <w:rPr>
          <w:lang w:val="es-ES"/>
        </w:rPr>
        <w:tab/>
      </w:r>
      <w:r w:rsidR="0076517A" w:rsidRPr="0076517A">
        <w:rPr>
          <w:lang w:val="es-ES"/>
        </w:rPr>
        <w:t xml:space="preserve">El texto del </w:t>
      </w:r>
      <w:r w:rsidR="0076517A" w:rsidRPr="0076517A">
        <w:rPr>
          <w:i/>
          <w:iCs/>
          <w:lang w:val="es-ES"/>
        </w:rPr>
        <w:t>resuelve invitar al UIT-R</w:t>
      </w:r>
      <w:r w:rsidR="0076517A" w:rsidRPr="0076517A">
        <w:rPr>
          <w:lang w:val="es-ES"/>
        </w:rPr>
        <w:t xml:space="preserve"> 8 de la Resolución 172 (CMR-19) y del </w:t>
      </w:r>
      <w:r w:rsidR="0076517A" w:rsidRPr="0076517A">
        <w:rPr>
          <w:i/>
          <w:iCs/>
          <w:lang w:val="es-ES"/>
        </w:rPr>
        <w:t>resuelve invitar al UIT-R</w:t>
      </w:r>
      <w:r>
        <w:rPr>
          <w:lang w:val="es-ES"/>
        </w:rPr>
        <w:t> </w:t>
      </w:r>
      <w:r w:rsidR="0076517A" w:rsidRPr="0076517A">
        <w:rPr>
          <w:lang w:val="es-ES"/>
        </w:rPr>
        <w:t xml:space="preserve">5 de la Resolución 173 (CMR-19) deben reemplazarse entre sí (véanse las correcciones correspondientes al Anexo 7 de la CA/251 que se indican en el Anexo 2 al presente </w:t>
      </w:r>
      <w:proofErr w:type="spellStart"/>
      <w:r w:rsidR="0076517A" w:rsidRPr="0076517A">
        <w:rPr>
          <w:lang w:val="es-ES"/>
        </w:rPr>
        <w:t>Corrigéndum</w:t>
      </w:r>
      <w:proofErr w:type="spellEnd"/>
      <w:r w:rsidR="0076517A" w:rsidRPr="0076517A">
        <w:rPr>
          <w:lang w:val="es-ES"/>
        </w:rPr>
        <w:t xml:space="preserve"> 1).</w:t>
      </w:r>
    </w:p>
    <w:p w14:paraId="4EFAFE4A" w14:textId="77777777" w:rsidR="0076517A" w:rsidRPr="0076517A" w:rsidRDefault="0076517A" w:rsidP="00192CF7">
      <w:pPr>
        <w:spacing w:before="1920"/>
        <w:jc w:val="left"/>
        <w:rPr>
          <w:lang w:val="es-ES"/>
        </w:rPr>
      </w:pPr>
      <w:r w:rsidRPr="0076517A">
        <w:rPr>
          <w:lang w:val="es-ES"/>
        </w:rPr>
        <w:t xml:space="preserve">Mario </w:t>
      </w:r>
      <w:proofErr w:type="spellStart"/>
      <w:r w:rsidRPr="0076517A">
        <w:rPr>
          <w:lang w:val="es-ES"/>
        </w:rPr>
        <w:t>Maniewicz</w:t>
      </w:r>
      <w:proofErr w:type="spellEnd"/>
      <w:r w:rsidRPr="0076517A">
        <w:rPr>
          <w:lang w:val="es-ES"/>
        </w:rPr>
        <w:br/>
        <w:t>Director</w:t>
      </w:r>
    </w:p>
    <w:p w14:paraId="49F91B6D" w14:textId="01BE7BD0" w:rsidR="0076517A" w:rsidRPr="0076517A" w:rsidRDefault="0076517A" w:rsidP="0076517A">
      <w:pPr>
        <w:rPr>
          <w:sz w:val="18"/>
          <w:szCs w:val="18"/>
          <w:lang w:val="es-ES"/>
        </w:rPr>
      </w:pPr>
      <w:bookmarkStart w:id="1" w:name="ddistribution"/>
      <w:bookmarkEnd w:id="1"/>
      <w:r w:rsidRPr="0076517A">
        <w:rPr>
          <w:sz w:val="18"/>
          <w:szCs w:val="18"/>
          <w:lang w:val="es-ES"/>
        </w:rPr>
        <w:br w:type="page"/>
      </w:r>
    </w:p>
    <w:p w14:paraId="749E125D" w14:textId="77777777" w:rsidR="0076517A" w:rsidRPr="00447204" w:rsidRDefault="0076517A" w:rsidP="00192CF7">
      <w:pPr>
        <w:pStyle w:val="AnnexNo"/>
        <w:rPr>
          <w:lang w:val="es-ES"/>
        </w:rPr>
      </w:pPr>
      <w:r w:rsidRPr="00447204">
        <w:rPr>
          <w:lang w:val="es-ES"/>
        </w:rPr>
        <w:lastRenderedPageBreak/>
        <w:t>ANEXO 1</w:t>
      </w:r>
    </w:p>
    <w:p w14:paraId="6F337DF5" w14:textId="77777777" w:rsidR="0076517A" w:rsidRPr="00447204" w:rsidRDefault="0076517A" w:rsidP="00192CF7">
      <w:pPr>
        <w:pStyle w:val="Annextitle"/>
        <w:rPr>
          <w:lang w:val="es-ES"/>
        </w:rPr>
      </w:pPr>
      <w:r w:rsidRPr="00447204">
        <w:rPr>
          <w:lang w:val="es-ES"/>
        </w:rPr>
        <w:t>Correcciones a los Anexos 2, 8 y 10 de la Circular Administrativa CA/251</w:t>
      </w:r>
    </w:p>
    <w:p w14:paraId="257409BB" w14:textId="398F624F" w:rsidR="0076517A" w:rsidRPr="0076517A" w:rsidRDefault="0076517A" w:rsidP="003C3F6F">
      <w:pPr>
        <w:pStyle w:val="Normalaftertitle"/>
        <w:rPr>
          <w:lang w:val="es-ES"/>
        </w:rPr>
      </w:pPr>
      <w:r w:rsidRPr="0076517A">
        <w:rPr>
          <w:lang w:val="es-ES"/>
        </w:rPr>
        <w:t>1</w:t>
      </w:r>
      <w:r w:rsidRPr="0076517A">
        <w:rPr>
          <w:lang w:val="es-ES"/>
        </w:rPr>
        <w:tab/>
        <w:t>En el Anexo 2 de la CA/251, sírvase reemplazar el texto del</w:t>
      </w:r>
      <w:r w:rsidRPr="0076517A">
        <w:rPr>
          <w:i/>
          <w:iCs/>
          <w:lang w:val="es-ES"/>
        </w:rPr>
        <w:t xml:space="preserve"> resuelve manifestar la siguiente opinión </w:t>
      </w:r>
      <w:r w:rsidRPr="0076517A">
        <w:rPr>
          <w:lang w:val="es-ES"/>
        </w:rPr>
        <w:t>2.13 de la Resolución 812 (CMR-19) con el siguiente texto:</w:t>
      </w:r>
    </w:p>
    <w:p w14:paraId="6FA609CC" w14:textId="499EF0DE" w:rsidR="0076517A" w:rsidRPr="0076517A" w:rsidRDefault="003C3F6F" w:rsidP="0076517A">
      <w:pPr>
        <w:rPr>
          <w:lang w:val="es-ES"/>
        </w:rPr>
      </w:pPr>
      <w:r>
        <w:rPr>
          <w:lang w:val="es-ES"/>
        </w:rPr>
        <w:t>«</w:t>
      </w:r>
      <w:r w:rsidR="0076517A" w:rsidRPr="0076517A">
        <w:rPr>
          <w:lang w:val="es-ES"/>
        </w:rPr>
        <w:t>2.13</w:t>
      </w:r>
      <w:r w:rsidR="0076517A" w:rsidRPr="0076517A">
        <w:rPr>
          <w:lang w:val="es-ES"/>
        </w:rPr>
        <w:tab/>
        <w:t>considerar la posibilidad de efectuar una atribución mundial al servicio móvil por satélite para el desarrollo futuro de los sistemas móviles por satélite de banda estrecha en la gama [1,5</w:t>
      </w:r>
      <w:r w:rsidR="0076517A" w:rsidRPr="0076517A">
        <w:rPr>
          <w:lang w:val="es-ES"/>
        </w:rPr>
        <w:noBreakHyphen/>
        <w:t xml:space="preserve">5 GHz], de conformidad con la Resolución </w:t>
      </w:r>
      <w:r w:rsidR="0076517A" w:rsidRPr="0076517A">
        <w:rPr>
          <w:b/>
          <w:bCs/>
          <w:lang w:val="es-ES"/>
        </w:rPr>
        <w:t>248 (CMR-19)</w:t>
      </w:r>
      <w:r>
        <w:rPr>
          <w:lang w:val="es-ES"/>
        </w:rPr>
        <w:t>»</w:t>
      </w:r>
      <w:r w:rsidR="007F5323">
        <w:rPr>
          <w:lang w:val="es-ES"/>
        </w:rPr>
        <w:t>.</w:t>
      </w:r>
    </w:p>
    <w:p w14:paraId="6322B1D8" w14:textId="30DF7985" w:rsidR="0076517A" w:rsidRPr="0076517A" w:rsidRDefault="0076517A" w:rsidP="003C3F6F">
      <w:pPr>
        <w:spacing w:after="120"/>
        <w:rPr>
          <w:lang w:val="es-ES"/>
        </w:rPr>
      </w:pPr>
      <w:r w:rsidRPr="0076517A">
        <w:rPr>
          <w:lang w:val="es-ES"/>
        </w:rPr>
        <w:t>2</w:t>
      </w:r>
      <w:r w:rsidRPr="0076517A">
        <w:rPr>
          <w:lang w:val="es-ES"/>
        </w:rPr>
        <w:tab/>
        <w:t xml:space="preserve">En el </w:t>
      </w:r>
      <w:r w:rsidR="007F5323">
        <w:rPr>
          <w:lang w:val="es-ES"/>
        </w:rPr>
        <w:t>c</w:t>
      </w:r>
      <w:r w:rsidRPr="0076517A">
        <w:rPr>
          <w:lang w:val="es-ES"/>
        </w:rPr>
        <w:t xml:space="preserve">uadro del Anexo 8 de la CA/251 sobre la </w:t>
      </w:r>
      <w:r w:rsidR="003C3F6F">
        <w:rPr>
          <w:lang w:val="es-ES"/>
        </w:rPr>
        <w:t>«</w:t>
      </w:r>
      <w:r w:rsidRPr="0076517A">
        <w:rPr>
          <w:lang w:val="es-ES"/>
        </w:rPr>
        <w:t>Atribución de los trabajos preparatorios del UIT-R para la CMR-2</w:t>
      </w:r>
      <w:r w:rsidR="00682544">
        <w:rPr>
          <w:lang w:val="es-ES"/>
        </w:rPr>
        <w:t>7</w:t>
      </w:r>
      <w:r w:rsidR="003C3F6F">
        <w:rPr>
          <w:lang w:val="es-ES"/>
        </w:rPr>
        <w:t>»</w:t>
      </w:r>
      <w:r w:rsidRPr="0076517A">
        <w:rPr>
          <w:lang w:val="es-ES"/>
        </w:rPr>
        <w:t xml:space="preserve">, sírvase reemplazar el texto del punto 2.13 del </w:t>
      </w:r>
      <w:r w:rsidR="007F5323">
        <w:rPr>
          <w:lang w:val="es-ES"/>
        </w:rPr>
        <w:t>c</w:t>
      </w:r>
      <w:r w:rsidRPr="0076517A">
        <w:rPr>
          <w:lang w:val="es-ES"/>
        </w:rPr>
        <w:t>uadro por el siguiente: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6517A" w:rsidRPr="00682544" w14:paraId="35E1F54A" w14:textId="77777777" w:rsidTr="007F5323">
        <w:tc>
          <w:tcPr>
            <w:tcW w:w="9629" w:type="dxa"/>
          </w:tcPr>
          <w:p w14:paraId="450D9A36" w14:textId="35C35996" w:rsidR="0076517A" w:rsidRPr="0076517A" w:rsidRDefault="0076517A" w:rsidP="007F5323">
            <w:pPr>
              <w:spacing w:after="120"/>
              <w:rPr>
                <w:lang w:val="es-ES"/>
              </w:rPr>
            </w:pPr>
            <w:r w:rsidRPr="0076517A">
              <w:rPr>
                <w:lang w:val="es-ES"/>
              </w:rPr>
              <w:t>2.13</w:t>
            </w:r>
            <w:r w:rsidRPr="0076517A">
              <w:rPr>
                <w:lang w:val="es-ES"/>
              </w:rPr>
              <w:tab/>
              <w:t>considerar la posibilidad de efectuar una atribución mundial al servicio móvil por satélite para el desarrollo futuro de los sistemas móviles por satélite de banda estrecha en la gama [1,5</w:t>
            </w:r>
            <w:r w:rsidR="00192CF7">
              <w:rPr>
                <w:lang w:val="es-ES"/>
              </w:rPr>
              <w:noBreakHyphen/>
            </w:r>
            <w:r w:rsidRPr="0076517A">
              <w:rPr>
                <w:lang w:val="es-ES"/>
              </w:rPr>
              <w:t>5</w:t>
            </w:r>
            <w:r w:rsidR="00192CF7">
              <w:rPr>
                <w:lang w:val="es-ES"/>
              </w:rPr>
              <w:t> </w:t>
            </w:r>
            <w:r w:rsidRPr="0076517A">
              <w:rPr>
                <w:lang w:val="es-ES"/>
              </w:rPr>
              <w:t xml:space="preserve">GHz], de conformidad con la </w:t>
            </w:r>
            <w:r w:rsidRPr="00682544">
              <w:rPr>
                <w:bCs/>
                <w:lang w:val="es-ES"/>
              </w:rPr>
              <w:t>Resolución</w:t>
            </w:r>
            <w:r w:rsidRPr="0076517A">
              <w:rPr>
                <w:b/>
                <w:bCs/>
                <w:lang w:val="es-ES"/>
              </w:rPr>
              <w:t xml:space="preserve"> 248 (CMR-19)</w:t>
            </w:r>
            <w:r w:rsidRPr="0076517A">
              <w:rPr>
                <w:lang w:val="es-ES"/>
              </w:rPr>
              <w:t>,</w:t>
            </w:r>
          </w:p>
        </w:tc>
      </w:tr>
    </w:tbl>
    <w:p w14:paraId="388BF266" w14:textId="1D92025E" w:rsidR="0076517A" w:rsidRPr="0076517A" w:rsidRDefault="0076517A" w:rsidP="00637F3E">
      <w:pPr>
        <w:spacing w:after="120"/>
        <w:rPr>
          <w:lang w:val="es-ES"/>
        </w:rPr>
      </w:pPr>
      <w:r w:rsidRPr="0076517A">
        <w:rPr>
          <w:lang w:val="es-ES"/>
        </w:rPr>
        <w:t>3</w:t>
      </w:r>
      <w:r w:rsidRPr="0076517A">
        <w:rPr>
          <w:lang w:val="es-ES"/>
        </w:rPr>
        <w:tab/>
        <w:t xml:space="preserve">En el </w:t>
      </w:r>
      <w:r w:rsidR="007F5323">
        <w:rPr>
          <w:lang w:val="es-ES"/>
        </w:rPr>
        <w:t>c</w:t>
      </w:r>
      <w:r w:rsidRPr="0076517A">
        <w:rPr>
          <w:lang w:val="es-ES"/>
        </w:rPr>
        <w:t xml:space="preserve">uadro del Anexo 10 a la CA/251 sobre el </w:t>
      </w:r>
      <w:r w:rsidR="00192CF7">
        <w:rPr>
          <w:lang w:val="es-ES"/>
        </w:rPr>
        <w:t>«</w:t>
      </w:r>
      <w:r w:rsidRPr="0076517A">
        <w:rPr>
          <w:lang w:val="es-ES"/>
        </w:rPr>
        <w:t>Esquema del proyecto de Informe de la</w:t>
      </w:r>
      <w:r w:rsidR="00192CF7">
        <w:rPr>
          <w:lang w:val="es-ES"/>
        </w:rPr>
        <w:t> </w:t>
      </w:r>
      <w:r w:rsidRPr="0076517A">
        <w:rPr>
          <w:lang w:val="es-ES"/>
        </w:rPr>
        <w:t>RPC a la CMR-23</w:t>
      </w:r>
      <w:r w:rsidR="00192CF7">
        <w:rPr>
          <w:lang w:val="es-ES"/>
        </w:rPr>
        <w:t>»</w:t>
      </w:r>
      <w:r w:rsidRPr="0076517A">
        <w:rPr>
          <w:lang w:val="es-ES"/>
        </w:rPr>
        <w:t xml:space="preserve">, sírvase reemplazar el texto del punto 2.13 del </w:t>
      </w:r>
      <w:r w:rsidR="007F5323">
        <w:rPr>
          <w:lang w:val="es-ES"/>
        </w:rPr>
        <w:t>c</w:t>
      </w:r>
      <w:r w:rsidRPr="0076517A">
        <w:rPr>
          <w:lang w:val="es-ES"/>
        </w:rPr>
        <w:t>uadro por el siguiente:</w:t>
      </w: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67"/>
        <w:gridCol w:w="4539"/>
        <w:gridCol w:w="1965"/>
        <w:gridCol w:w="1631"/>
      </w:tblGrid>
      <w:tr w:rsidR="0076517A" w:rsidRPr="0076517A" w14:paraId="5B51DBA0" w14:textId="77777777" w:rsidTr="00324AA3">
        <w:tc>
          <w:tcPr>
            <w:tcW w:w="1271" w:type="dxa"/>
          </w:tcPr>
          <w:p w14:paraId="63ABA524" w14:textId="77777777" w:rsidR="0076517A" w:rsidRPr="0076517A" w:rsidRDefault="0076517A" w:rsidP="003C3F6F">
            <w:pPr>
              <w:pStyle w:val="Tabletext"/>
              <w:jc w:val="center"/>
              <w:rPr>
                <w:lang w:val="es-ES"/>
              </w:rPr>
            </w:pPr>
            <w:r w:rsidRPr="0076517A">
              <w:rPr>
                <w:lang w:val="es-ES"/>
              </w:rPr>
              <w:t>10</w:t>
            </w:r>
          </w:p>
        </w:tc>
        <w:tc>
          <w:tcPr>
            <w:tcW w:w="867" w:type="dxa"/>
          </w:tcPr>
          <w:p w14:paraId="4AEB4E30" w14:textId="77777777" w:rsidR="0076517A" w:rsidRPr="0076517A" w:rsidRDefault="0076517A" w:rsidP="003C3F6F">
            <w:pPr>
              <w:pStyle w:val="Tabletext"/>
              <w:rPr>
                <w:lang w:val="es-ES"/>
              </w:rPr>
            </w:pPr>
            <w:r w:rsidRPr="0076517A">
              <w:rPr>
                <w:lang w:val="es-ES"/>
              </w:rPr>
              <w:t>A1/2.13</w:t>
            </w:r>
          </w:p>
        </w:tc>
        <w:tc>
          <w:tcPr>
            <w:tcW w:w="4539" w:type="dxa"/>
          </w:tcPr>
          <w:p w14:paraId="402367CC" w14:textId="77777777" w:rsidR="0076517A" w:rsidRPr="0076517A" w:rsidRDefault="0076517A" w:rsidP="00682544">
            <w:pPr>
              <w:pStyle w:val="Tabletext"/>
              <w:jc w:val="both"/>
              <w:rPr>
                <w:lang w:val="es-ES"/>
              </w:rPr>
            </w:pPr>
            <w:r w:rsidRPr="0076517A">
              <w:rPr>
                <w:lang w:val="es-ES"/>
              </w:rPr>
              <w:t xml:space="preserve">considerar la posibilidad de efectuar una atribución mundial al servicio móvil por satélite para el desarrollo futuro de los sistemas móviles por satélite de banda estrecha en la gama [1,5-5 GHz], de conformidad con la Resolución </w:t>
            </w:r>
            <w:r w:rsidRPr="0076517A">
              <w:rPr>
                <w:b/>
                <w:bCs/>
                <w:lang w:val="es-ES"/>
              </w:rPr>
              <w:t>248 (CMR-19)</w:t>
            </w:r>
            <w:r w:rsidRPr="0076517A">
              <w:rPr>
                <w:lang w:val="es-ES"/>
              </w:rPr>
              <w:t>;</w:t>
            </w:r>
          </w:p>
        </w:tc>
        <w:tc>
          <w:tcPr>
            <w:tcW w:w="1965" w:type="dxa"/>
          </w:tcPr>
          <w:p w14:paraId="2951C737" w14:textId="77777777" w:rsidR="0076517A" w:rsidRPr="0076517A" w:rsidRDefault="0076517A" w:rsidP="003C3F6F">
            <w:pPr>
              <w:pStyle w:val="Tabletext"/>
              <w:jc w:val="center"/>
              <w:rPr>
                <w:lang w:val="es-ES"/>
              </w:rPr>
            </w:pPr>
            <w:r w:rsidRPr="0076517A">
              <w:rPr>
                <w:lang w:val="es-ES"/>
              </w:rPr>
              <w:t>Resolución </w:t>
            </w:r>
            <w:r w:rsidRPr="0076517A">
              <w:rPr>
                <w:b/>
                <w:lang w:val="es-ES"/>
              </w:rPr>
              <w:t>248 (CMR</w:t>
            </w:r>
            <w:r w:rsidRPr="0076517A">
              <w:rPr>
                <w:b/>
                <w:lang w:val="es-ES"/>
              </w:rPr>
              <w:noBreakHyphen/>
              <w:t>19)</w:t>
            </w:r>
          </w:p>
        </w:tc>
        <w:tc>
          <w:tcPr>
            <w:tcW w:w="1631" w:type="dxa"/>
          </w:tcPr>
          <w:p w14:paraId="4154551C" w14:textId="77777777" w:rsidR="0076517A" w:rsidRPr="0076517A" w:rsidRDefault="0076517A" w:rsidP="003C3F6F">
            <w:pPr>
              <w:pStyle w:val="Tabletext"/>
              <w:jc w:val="center"/>
              <w:rPr>
                <w:b/>
                <w:lang w:val="es-ES"/>
              </w:rPr>
            </w:pPr>
            <w:r w:rsidRPr="0076517A">
              <w:rPr>
                <w:b/>
                <w:lang w:val="es-ES"/>
              </w:rPr>
              <w:t>CE 4</w:t>
            </w:r>
          </w:p>
        </w:tc>
      </w:tr>
    </w:tbl>
    <w:p w14:paraId="6E637BC3" w14:textId="704B78F5" w:rsidR="0076517A" w:rsidRPr="0076517A" w:rsidRDefault="0076517A" w:rsidP="0076517A">
      <w:pPr>
        <w:rPr>
          <w:lang w:val="es-ES"/>
        </w:rPr>
      </w:pPr>
    </w:p>
    <w:p w14:paraId="798FE498" w14:textId="77777777" w:rsidR="0076517A" w:rsidRPr="0076517A" w:rsidRDefault="0076517A" w:rsidP="0076517A">
      <w:pPr>
        <w:rPr>
          <w:lang w:val="es-ES"/>
        </w:rPr>
        <w:sectPr w:rsidR="0076517A" w:rsidRPr="0076517A" w:rsidSect="00031E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4" w:code="9"/>
          <w:pgMar w:top="1134" w:right="1134" w:bottom="993" w:left="1134" w:header="567" w:footer="397" w:gutter="0"/>
          <w:cols w:space="720"/>
          <w:titlePg/>
        </w:sectPr>
      </w:pPr>
    </w:p>
    <w:p w14:paraId="204185B2" w14:textId="77777777" w:rsidR="0076517A" w:rsidRPr="00192CF7" w:rsidRDefault="0076517A" w:rsidP="00192CF7">
      <w:pPr>
        <w:pStyle w:val="AnnexNo"/>
        <w:rPr>
          <w:lang w:val="en-US"/>
        </w:rPr>
      </w:pPr>
      <w:r w:rsidRPr="00192CF7">
        <w:rPr>
          <w:lang w:val="en-US"/>
        </w:rPr>
        <w:lastRenderedPageBreak/>
        <w:t>Anexo 2</w:t>
      </w:r>
    </w:p>
    <w:p w14:paraId="0CB2B57D" w14:textId="77777777" w:rsidR="0076517A" w:rsidRPr="00447204" w:rsidRDefault="0076517A" w:rsidP="00192CF7">
      <w:pPr>
        <w:pStyle w:val="Annextitle"/>
        <w:rPr>
          <w:lang w:val="es-ES"/>
        </w:rPr>
      </w:pPr>
      <w:r w:rsidRPr="00447204">
        <w:rPr>
          <w:lang w:val="es-ES"/>
        </w:rPr>
        <w:t>Correcciones al Anexo 7 de la Circular Administrativa CA/251</w:t>
      </w:r>
    </w:p>
    <w:p w14:paraId="3EE93C40" w14:textId="507C3279" w:rsidR="0076517A" w:rsidRDefault="0076517A" w:rsidP="00637F3E">
      <w:pPr>
        <w:spacing w:after="240"/>
        <w:rPr>
          <w:b/>
          <w:lang w:val="es-ES"/>
        </w:rPr>
      </w:pPr>
      <w:r w:rsidRPr="0076517A">
        <w:rPr>
          <w:lang w:val="es-ES"/>
        </w:rPr>
        <w:t xml:space="preserve">En el </w:t>
      </w:r>
      <w:r w:rsidR="00637F3E">
        <w:rPr>
          <w:lang w:val="es-ES"/>
        </w:rPr>
        <w:t>c</w:t>
      </w:r>
      <w:r w:rsidRPr="0076517A">
        <w:rPr>
          <w:lang w:val="es-ES"/>
        </w:rPr>
        <w:t xml:space="preserve">uadro del Anexo 7 a la CA/251 sobre la </w:t>
      </w:r>
      <w:r w:rsidR="00192CF7">
        <w:rPr>
          <w:lang w:val="es-ES"/>
        </w:rPr>
        <w:t>«</w:t>
      </w:r>
      <w:r w:rsidRPr="0076517A">
        <w:rPr>
          <w:lang w:val="es-ES"/>
        </w:rPr>
        <w:t>Atribución de los trabajos preparatorios del UIT-R para la CMR-23</w:t>
      </w:r>
      <w:r w:rsidR="00192CF7">
        <w:rPr>
          <w:lang w:val="es-ES"/>
        </w:rPr>
        <w:t>»</w:t>
      </w:r>
      <w:r w:rsidRPr="0076517A">
        <w:rPr>
          <w:lang w:val="es-ES"/>
        </w:rPr>
        <w:t>, sírvase reemplazar el texto de los puntos de los cuadros para las Resoluciones 172 (CMR-19) y 173 (CMR-19) por el siguiente:</w:t>
      </w:r>
      <w:r w:rsidRPr="0076517A">
        <w:rPr>
          <w:b/>
          <w:lang w:val="es-ES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1638"/>
        <w:gridCol w:w="8006"/>
        <w:gridCol w:w="1485"/>
        <w:gridCol w:w="12"/>
      </w:tblGrid>
      <w:tr w:rsidR="00CA4E9B" w:rsidRPr="00C55177" w14:paraId="1DBD211D" w14:textId="77777777" w:rsidTr="002E6186">
        <w:trPr>
          <w:gridAfter w:val="1"/>
          <w:wAfter w:w="4" w:type="pct"/>
          <w:cantSplit/>
          <w:tblHeader/>
          <w:jc w:val="center"/>
        </w:trPr>
        <w:tc>
          <w:tcPr>
            <w:tcW w:w="4996" w:type="pct"/>
            <w:gridSpan w:val="4"/>
            <w:tcBorders>
              <w:top w:val="nil"/>
              <w:left w:val="nil"/>
              <w:right w:val="nil"/>
            </w:tcBorders>
          </w:tcPr>
          <w:p w14:paraId="1862B4C1" w14:textId="77777777" w:rsidR="00CA4E9B" w:rsidRPr="00C55177" w:rsidRDefault="00CA4E9B" w:rsidP="002E6186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C55177">
              <w:rPr>
                <w:rFonts w:asciiTheme="minorHAnsi" w:hAnsiTheme="minorHAnsi" w:cstheme="minorHAnsi"/>
                <w:b/>
                <w:sz w:val="20"/>
                <w:lang w:val="es-ES"/>
              </w:rPr>
              <w:t>Atribución de los trabajos preparatorios del UIT-R para la CMR-23</w:t>
            </w:r>
          </w:p>
        </w:tc>
      </w:tr>
      <w:tr w:rsidR="00CA4E9B" w:rsidRPr="00C55177" w14:paraId="57468ED3" w14:textId="77777777" w:rsidTr="002E6186">
        <w:trPr>
          <w:gridAfter w:val="1"/>
          <w:wAfter w:w="4" w:type="pct"/>
          <w:cantSplit/>
          <w:tblHeader/>
          <w:jc w:val="center"/>
        </w:trPr>
        <w:tc>
          <w:tcPr>
            <w:tcW w:w="1212" w:type="pct"/>
            <w:vAlign w:val="center"/>
          </w:tcPr>
          <w:p w14:paraId="7BAC1692" w14:textId="77777777" w:rsidR="00CA4E9B" w:rsidRPr="00C55177" w:rsidRDefault="00CA4E9B" w:rsidP="002E6186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55177">
              <w:rPr>
                <w:rFonts w:asciiTheme="minorHAnsi" w:hAnsiTheme="minorHAnsi" w:cstheme="minorHAnsi"/>
                <w:b/>
                <w:sz w:val="20"/>
              </w:rPr>
              <w:t>Tema</w:t>
            </w:r>
            <w:proofErr w:type="spellEnd"/>
          </w:p>
        </w:tc>
        <w:tc>
          <w:tcPr>
            <w:tcW w:w="557" w:type="pct"/>
            <w:vAlign w:val="center"/>
          </w:tcPr>
          <w:p w14:paraId="13EAD25B" w14:textId="77777777" w:rsidR="00CA4E9B" w:rsidRPr="00C55177" w:rsidRDefault="00CA4E9B" w:rsidP="002E6186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55177">
              <w:rPr>
                <w:rFonts w:asciiTheme="minorHAnsi" w:hAnsiTheme="minorHAnsi" w:cstheme="minorHAnsi"/>
                <w:b/>
                <w:sz w:val="20"/>
              </w:rPr>
              <w:t>Grupo</w:t>
            </w:r>
            <w:proofErr w:type="spellEnd"/>
            <w:r w:rsidRPr="00C5517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55177">
              <w:rPr>
                <w:rFonts w:asciiTheme="minorHAnsi" w:hAnsiTheme="minorHAnsi" w:cstheme="minorHAnsi"/>
                <w:b/>
                <w:sz w:val="20"/>
              </w:rPr>
              <w:t>responsable</w:t>
            </w:r>
            <w:proofErr w:type="spellEnd"/>
          </w:p>
        </w:tc>
        <w:tc>
          <w:tcPr>
            <w:tcW w:w="2722" w:type="pct"/>
            <w:vAlign w:val="center"/>
          </w:tcPr>
          <w:p w14:paraId="3294B584" w14:textId="77777777" w:rsidR="00CA4E9B" w:rsidRPr="00C55177" w:rsidRDefault="00CA4E9B" w:rsidP="002E6186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55177">
              <w:rPr>
                <w:rFonts w:asciiTheme="minorHAnsi" w:hAnsiTheme="minorHAnsi" w:cstheme="minorHAnsi"/>
                <w:b/>
                <w:sz w:val="20"/>
              </w:rPr>
              <w:t>Cometido</w:t>
            </w:r>
            <w:proofErr w:type="spellEnd"/>
            <w:r w:rsidRPr="00C55177">
              <w:rPr>
                <w:rFonts w:asciiTheme="minorHAnsi" w:hAnsiTheme="minorHAnsi" w:cstheme="minorHAnsi"/>
                <w:b/>
                <w:sz w:val="20"/>
              </w:rPr>
              <w:t xml:space="preserve"> del </w:t>
            </w:r>
            <w:proofErr w:type="spellStart"/>
            <w:r w:rsidRPr="00C55177">
              <w:rPr>
                <w:rFonts w:asciiTheme="minorHAnsi" w:hAnsiTheme="minorHAnsi" w:cstheme="minorHAnsi"/>
                <w:b/>
                <w:sz w:val="20"/>
              </w:rPr>
              <w:t>Grupo</w:t>
            </w:r>
            <w:proofErr w:type="spellEnd"/>
          </w:p>
        </w:tc>
        <w:tc>
          <w:tcPr>
            <w:tcW w:w="505" w:type="pct"/>
            <w:vAlign w:val="center"/>
          </w:tcPr>
          <w:p w14:paraId="0E04553C" w14:textId="77777777" w:rsidR="00CA4E9B" w:rsidRPr="00C55177" w:rsidRDefault="00CA4E9B" w:rsidP="002E6186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C55177">
              <w:rPr>
                <w:rFonts w:asciiTheme="minorHAnsi" w:hAnsiTheme="minorHAnsi" w:cstheme="minorHAnsi"/>
                <w:b/>
                <w:sz w:val="20"/>
              </w:rPr>
              <w:t>Grupo</w:t>
            </w:r>
            <w:proofErr w:type="spellEnd"/>
            <w:r w:rsidRPr="00C5517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C55177">
              <w:rPr>
                <w:rFonts w:asciiTheme="minorHAnsi" w:hAnsiTheme="minorHAnsi" w:cstheme="minorHAnsi"/>
                <w:b/>
                <w:sz w:val="20"/>
              </w:rPr>
              <w:t>contribuyente</w:t>
            </w:r>
            <w:proofErr w:type="spellEnd"/>
          </w:p>
        </w:tc>
      </w:tr>
      <w:tr w:rsidR="00CA4E9B" w:rsidRPr="00C55177" w14:paraId="25CE0CDE" w14:textId="77777777" w:rsidTr="002E6186">
        <w:trPr>
          <w:gridAfter w:val="1"/>
          <w:wAfter w:w="4" w:type="pct"/>
          <w:cantSplit/>
          <w:jc w:val="center"/>
        </w:trPr>
        <w:tc>
          <w:tcPr>
            <w:tcW w:w="4996" w:type="pct"/>
            <w:gridSpan w:val="4"/>
            <w:vAlign w:val="center"/>
          </w:tcPr>
          <w:p w14:paraId="48E21F0D" w14:textId="77777777" w:rsidR="00CA4E9B" w:rsidRPr="00C55177" w:rsidRDefault="00CA4E9B" w:rsidP="002E6186">
            <w:pPr>
              <w:pStyle w:val="Tabletext"/>
              <w:rPr>
                <w:rFonts w:asciiTheme="minorHAnsi" w:hAnsiTheme="minorHAnsi" w:cstheme="minorHAnsi"/>
                <w:lang w:val="es-ES"/>
              </w:rPr>
            </w:pPr>
            <w:r w:rsidRPr="00C55177">
              <w:rPr>
                <w:rFonts w:asciiTheme="minorHAnsi" w:hAnsiTheme="minorHAnsi" w:cstheme="minorHAnsi"/>
                <w:lang w:val="es-ES"/>
              </w:rPr>
              <w:t>…</w:t>
            </w:r>
          </w:p>
        </w:tc>
      </w:tr>
      <w:tr w:rsidR="00CA4E9B" w:rsidRPr="00C55177" w14:paraId="10A530E0" w14:textId="77777777" w:rsidTr="002E6186">
        <w:trPr>
          <w:jc w:val="center"/>
        </w:trPr>
        <w:tc>
          <w:tcPr>
            <w:tcW w:w="5000" w:type="pct"/>
            <w:gridSpan w:val="5"/>
          </w:tcPr>
          <w:p w14:paraId="6CD05DA3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left" w:pos="880"/>
              </w:tabs>
              <w:jc w:val="both"/>
              <w:rPr>
                <w:rFonts w:asciiTheme="minorHAnsi" w:hAnsiTheme="minorHAnsi" w:cstheme="minorHAnsi"/>
                <w:lang w:val="es-ES"/>
              </w:rPr>
            </w:pPr>
            <w:bookmarkStart w:id="3" w:name="_Hlk30425239"/>
            <w:r w:rsidRPr="00C55177">
              <w:rPr>
                <w:rFonts w:asciiTheme="minorHAnsi" w:hAnsiTheme="minorHAnsi" w:cstheme="minorHAnsi"/>
                <w:lang w:val="es-ES"/>
              </w:rPr>
              <w:t>1.15</w:t>
            </w:r>
            <w:r w:rsidRPr="00C55177">
              <w:rPr>
                <w:rFonts w:asciiTheme="minorHAnsi" w:hAnsiTheme="minorHAnsi" w:cstheme="minorHAnsi"/>
                <w:lang w:val="es-ES"/>
              </w:rPr>
              <w:tab/>
              <w:t xml:space="preserve">armonizar a escala mundial la utilización de la banda de frecuencias 12,75-13,25 GHz (Tierra-espacio) por las estaciones terrenas a bordo de aeronaves y barcos que se comunican con estaciones espaciales geoestacionarias del servicio fijo por satélite, de conformidad con la Resolución </w:t>
            </w:r>
            <w:r w:rsidRPr="00C55177">
              <w:rPr>
                <w:rFonts w:asciiTheme="minorHAnsi" w:hAnsiTheme="minorHAnsi" w:cstheme="minorHAnsi"/>
                <w:b/>
                <w:bCs/>
                <w:lang w:val="es-ES"/>
              </w:rPr>
              <w:t>172 (CMR-19)</w:t>
            </w:r>
            <w:r w:rsidRPr="00C55177">
              <w:rPr>
                <w:rFonts w:asciiTheme="minorHAnsi" w:hAnsiTheme="minorHAnsi" w:cstheme="minorHAnsi"/>
                <w:lang w:val="es-ES"/>
              </w:rPr>
              <w:t>;</w:t>
            </w:r>
          </w:p>
        </w:tc>
      </w:tr>
      <w:tr w:rsidR="00CA4E9B" w:rsidRPr="00C55177" w14:paraId="649BBB9B" w14:textId="77777777" w:rsidTr="002E6186">
        <w:trPr>
          <w:jc w:val="center"/>
        </w:trPr>
        <w:tc>
          <w:tcPr>
            <w:tcW w:w="1212" w:type="pct"/>
          </w:tcPr>
          <w:p w14:paraId="2C50C231" w14:textId="77777777" w:rsidR="00CA4E9B" w:rsidRPr="00C55177" w:rsidRDefault="00CA4E9B" w:rsidP="002E6186">
            <w:pPr>
              <w:pStyle w:val="Tabletext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Resolución 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t>172 (CMR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noBreakHyphen/>
              <w:t>19)</w:t>
            </w:r>
          </w:p>
          <w:p w14:paraId="313689D9" w14:textId="77777777" w:rsidR="00CA4E9B" w:rsidRPr="00C55177" w:rsidRDefault="00CA4E9B" w:rsidP="002E6186">
            <w:pPr>
              <w:pStyle w:val="Tabletext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Funcionamiento de las estaciones terrenas a bordo de aeronaves y barcos que se comunican con estaciones espaciales geoestacionarias del servicio fijo por satélite (Tierra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espacio) en la banda de frecuencias 12,75-13,25 GHz</w:t>
            </w:r>
          </w:p>
        </w:tc>
        <w:tc>
          <w:tcPr>
            <w:tcW w:w="557" w:type="pct"/>
          </w:tcPr>
          <w:p w14:paraId="14531E94" w14:textId="77777777" w:rsidR="00CA4E9B" w:rsidRPr="00C55177" w:rsidRDefault="00CA4E9B" w:rsidP="002E6186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C55177">
              <w:rPr>
                <w:rFonts w:asciiTheme="minorHAnsi" w:hAnsiTheme="minorHAnsi" w:cstheme="minorHAnsi"/>
                <w:b/>
                <w:bCs/>
                <w:lang w:val="es-ES"/>
              </w:rPr>
              <w:t>GT 4A</w:t>
            </w:r>
          </w:p>
        </w:tc>
        <w:tc>
          <w:tcPr>
            <w:tcW w:w="2722" w:type="pct"/>
          </w:tcPr>
          <w:p w14:paraId="53C8D7F3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left" w:pos="729"/>
              </w:tabs>
              <w:ind w:left="590"/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  <w:r w:rsidRPr="00C55177">
              <w:rPr>
                <w:rFonts w:asciiTheme="minorHAnsi" w:hAnsiTheme="minorHAnsi" w:cstheme="minorHAnsi"/>
                <w:i/>
                <w:iCs/>
                <w:lang w:val="es-ES"/>
              </w:rPr>
              <w:t>resuelve invitar al Sector de Radiocomunicaciones de la UIT</w:t>
            </w:r>
          </w:p>
          <w:p w14:paraId="5B116A5B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587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1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estudiar las características técnicas y operativas y las necesidades de los usuarios de las estaciones terrenas a bordo de aeronaves y barcos que se comunican o tienen previsto comunicarse con estaciones espaciales OSG del SFS en la banda de frecuencias 12,75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 xml:space="preserve">13,25 GHz (Tierra-espacio) conforme al Artículo 6 del Apéndice 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t>30B</w:t>
            </w:r>
            <w:r w:rsidRPr="00C55177">
              <w:rPr>
                <w:rFonts w:asciiTheme="minorHAnsi" w:hAnsiTheme="minorHAnsi" w:cstheme="minorHAnsi"/>
                <w:lang w:val="es-ES_tradnl"/>
              </w:rPr>
              <w:t xml:space="preserve">, inscritas en la Lista o el Registro Internacional con una conclusión favorable únicamente, y a examinar las disposiciones reglamentarias existentes conexas, sujetas al </w:t>
            </w:r>
            <w:r w:rsidRPr="00C55177">
              <w:rPr>
                <w:rFonts w:asciiTheme="minorHAnsi" w:hAnsiTheme="minorHAnsi" w:cstheme="minorHAnsi"/>
                <w:i/>
                <w:iCs/>
                <w:lang w:val="es-ES_tradnl"/>
              </w:rPr>
              <w:t>reconociendo a)</w:t>
            </w:r>
            <w:r w:rsidRPr="00C55177">
              <w:rPr>
                <w:rFonts w:asciiTheme="minorHAnsi" w:hAnsiTheme="minorHAnsi" w:cstheme="minorHAnsi"/>
                <w:lang w:val="es-ES_tradnl"/>
              </w:rPr>
              <w:t>;</w:t>
            </w:r>
          </w:p>
          <w:p w14:paraId="462A002C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587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2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 xml:space="preserve">a estudiar los problemas de compartición y compatibilidad entre las estaciones terrenas a bordo de aeronaves y barcos que se comunican con estaciones espaciales del SFS OSG y las estaciones actuales y planificadas de los servicios existentes mencionados en el </w:t>
            </w:r>
            <w:r w:rsidRPr="00C55177">
              <w:rPr>
                <w:rFonts w:asciiTheme="minorHAnsi" w:hAnsiTheme="minorHAnsi" w:cstheme="minorHAnsi"/>
                <w:i/>
                <w:iCs/>
                <w:lang w:val="es-ES_tradnl"/>
              </w:rPr>
              <w:t>considerando a)</w:t>
            </w:r>
            <w:r w:rsidRPr="00C55177">
              <w:rPr>
                <w:rFonts w:asciiTheme="minorHAnsi" w:hAnsiTheme="minorHAnsi" w:cstheme="minorHAnsi"/>
                <w:lang w:val="es-ES_tradnl"/>
              </w:rPr>
              <w:t xml:space="preserve">, así como de los servicios de bandas adyacentes, a fin de garantizar la protección de esos servicios sin imponerles restricciones indebidas que obstaculizan su evolución futura, teniendo en cuenta las disposiciones del Apéndice 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t>30B</w:t>
            </w:r>
            <w:r w:rsidRPr="00C55177">
              <w:rPr>
                <w:rFonts w:asciiTheme="minorHAnsi" w:hAnsiTheme="minorHAnsi" w:cstheme="minorHAnsi"/>
                <w:lang w:val="es-ES_tradnl"/>
              </w:rPr>
              <w:t>;</w:t>
            </w:r>
          </w:p>
          <w:p w14:paraId="52616BDA" w14:textId="13E53F21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587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3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estudiar la responsabilidad de las entidades que intervienen en el funcionamiento de estaciones terrenas a bordo de aeronaves y barcos en el marco de esta Resolución;</w:t>
            </w:r>
          </w:p>
          <w:p w14:paraId="6C448599" w14:textId="77777777" w:rsidR="00CA4E9B" w:rsidRPr="00C55177" w:rsidRDefault="00CA4E9B" w:rsidP="00CA4E9B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587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3</w:t>
            </w:r>
            <w:r w:rsidRPr="00C55177">
              <w:rPr>
                <w:rFonts w:asciiTheme="minorHAnsi" w:hAnsiTheme="minorHAnsi" w:cstheme="minorHAnsi"/>
                <w:i/>
                <w:iCs/>
                <w:lang w:val="es-ES_tradnl"/>
              </w:rPr>
              <w:t>bis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 xml:space="preserve">a formular los criterios necesarios para garantizar que las estaciones terrenas a bordo de aeronaves y barcos, como nueva aplicación del SFS en esta banda de frecuencias, no reclamen más protección ni causen más interferencia que las estaciones terrenas notificadas del Apéndice 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t>30B</w:t>
            </w:r>
            <w:r w:rsidRPr="00C55177">
              <w:rPr>
                <w:rFonts w:asciiTheme="minorHAnsi" w:hAnsiTheme="minorHAnsi" w:cstheme="minorHAnsi"/>
                <w:lang w:val="es-ES_tradnl"/>
              </w:rPr>
              <w:t>;</w:t>
            </w:r>
          </w:p>
          <w:p w14:paraId="1BC6398B" w14:textId="77777777" w:rsidR="00CA4E9B" w:rsidRPr="00C55177" w:rsidRDefault="00CA4E9B" w:rsidP="002E6186">
            <w:pPr>
              <w:pStyle w:val="Tabletext"/>
              <w:keepNext/>
              <w:keepLines/>
              <w:tabs>
                <w:tab w:val="clear" w:pos="284"/>
                <w:tab w:val="clear" w:pos="567"/>
                <w:tab w:val="clear" w:pos="851"/>
                <w:tab w:val="left" w:pos="587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lastRenderedPageBreak/>
              <w:t>4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formular las condiciones técnicas y disposiciones reglamentarias necesarias para el funcionamiento armonizado de las estaciones terrenas a bordo de aeronaves y barcos que se comunican con estaciones espaciales OSG del SFS que funcionan en la banda de frecuencias 12,75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 xml:space="preserve">13,25 GHz (Tierra-espacio), teniendo en cuenta los resultados de los estudios descritos en los </w:t>
            </w:r>
            <w:r w:rsidRPr="00C55177">
              <w:rPr>
                <w:rFonts w:asciiTheme="minorHAnsi" w:hAnsiTheme="minorHAnsi" w:cstheme="minorHAnsi"/>
                <w:i/>
                <w:iCs/>
                <w:lang w:val="es-ES_tradnl"/>
              </w:rPr>
              <w:t>resuelve invitar al UIT-R</w:t>
            </w:r>
            <w:r w:rsidRPr="00C55177">
              <w:rPr>
                <w:rFonts w:asciiTheme="minorHAnsi" w:hAnsiTheme="minorHAnsi" w:cstheme="minorHAnsi"/>
                <w:lang w:val="es-ES_tradnl"/>
              </w:rPr>
              <w:t xml:space="preserve"> 1 y 2 y, en particular, sin que ello afecte al Plan del Apéndice 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t>30B</w:t>
            </w:r>
            <w:r w:rsidRPr="00C55177">
              <w:rPr>
                <w:rFonts w:asciiTheme="minorHAnsi" w:hAnsiTheme="minorHAnsi" w:cstheme="minorHAnsi"/>
                <w:lang w:val="es-ES_tradnl"/>
              </w:rPr>
              <w:t>;</w:t>
            </w:r>
          </w:p>
          <w:p w14:paraId="1E9A3FD2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587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5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velar por que el funcionamiento de las estaciones terrenas a bordo de aeronaves y barcos que utilizan la banda de frecuencias 12,75-13,25 GHz de conformidad con el Apéndice 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t>30B</w:t>
            </w:r>
            <w:r w:rsidRPr="00C55177">
              <w:rPr>
                <w:rFonts w:asciiTheme="minorHAnsi" w:hAnsiTheme="minorHAnsi" w:cstheme="minorHAnsi"/>
                <w:lang w:val="es-ES_tradnl"/>
              </w:rPr>
              <w:t xml:space="preserve"> no menoscabe los criterios expuestos en el </w:t>
            </w:r>
            <w:r w:rsidRPr="00C55177">
              <w:rPr>
                <w:rFonts w:asciiTheme="minorHAnsi" w:hAnsiTheme="minorHAnsi" w:cstheme="minorHAnsi"/>
                <w:i/>
                <w:iCs/>
                <w:lang w:val="es-ES_tradnl"/>
              </w:rPr>
              <w:t>reconociendo j)</w:t>
            </w:r>
            <w:r w:rsidRPr="00C55177">
              <w:rPr>
                <w:rFonts w:asciiTheme="minorHAnsi" w:hAnsiTheme="minorHAnsi" w:cstheme="minorHAnsi"/>
                <w:lang w:val="es-ES_tradnl"/>
              </w:rPr>
              <w:t>, incluido el efecto acumulado de múltiples estaciones terrenas a bordo de aeronaves y barcos;</w:t>
            </w:r>
          </w:p>
          <w:p w14:paraId="1E8F2938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6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 xml:space="preserve">a velar por que la utilización de la banda 12,75-13,25 GHz (Tierra-espacio) por las estaciones terrenas a bordo de aeronaves y barcos no limite el acceso de otras administraciones a sus recursos nacionales enumerados en el Apéndice 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t>30B</w:t>
            </w:r>
            <w:r w:rsidRPr="00C55177">
              <w:rPr>
                <w:rFonts w:asciiTheme="minorHAnsi" w:hAnsiTheme="minorHAnsi" w:cstheme="minorHAnsi"/>
                <w:lang w:val="es-ES_tradnl"/>
              </w:rPr>
              <w:t>, así como la aplicación de la Resolución 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t>170 (CMR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noBreakHyphen/>
              <w:t>19)</w:t>
            </w:r>
            <w:r w:rsidRPr="00C55177">
              <w:rPr>
                <w:rFonts w:asciiTheme="minorHAnsi" w:hAnsiTheme="minorHAnsi" w:cstheme="minorHAnsi"/>
                <w:lang w:val="es-ES_tradnl"/>
              </w:rPr>
              <w:t>;</w:t>
            </w:r>
          </w:p>
          <w:p w14:paraId="752CF938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7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velar por que la utilización de estaciones terrenas a bordo de aeronaves y barcos de esta Resolución no genere categorías adicionales a la de la red OSG con la que esas estaciones se comunican;</w:t>
            </w:r>
          </w:p>
          <w:p w14:paraId="5961DC2B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8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garantizar que los Estados Miembros aprueben los resultados de los estudios del UIT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R, habida cuenta del requerido consenso en esta materia;</w:t>
            </w:r>
          </w:p>
          <w:p w14:paraId="1A483D28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9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completar estudios a tiempo para la CMR-23,</w:t>
            </w:r>
          </w:p>
          <w:p w14:paraId="605EF1B5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left" w:pos="729"/>
              </w:tabs>
              <w:ind w:left="590"/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  <w:proofErr w:type="gramStart"/>
            <w:r w:rsidRPr="00C55177">
              <w:rPr>
                <w:rFonts w:asciiTheme="minorHAnsi" w:hAnsiTheme="minorHAnsi" w:cstheme="minorHAnsi"/>
                <w:i/>
                <w:iCs/>
                <w:lang w:val="es-ES"/>
              </w:rPr>
              <w:t>resuelve</w:t>
            </w:r>
            <w:proofErr w:type="gramEnd"/>
            <w:r w:rsidRPr="00C55177">
              <w:rPr>
                <w:rFonts w:asciiTheme="minorHAnsi" w:hAnsiTheme="minorHAnsi" w:cstheme="minorHAnsi"/>
                <w:i/>
                <w:iCs/>
                <w:lang w:val="es-ES"/>
              </w:rPr>
              <w:t xml:space="preserve"> además</w:t>
            </w:r>
          </w:p>
          <w:p w14:paraId="356BA637" w14:textId="77777777" w:rsidR="00CA4E9B" w:rsidRPr="00C55177" w:rsidRDefault="00CA4E9B" w:rsidP="002E6186">
            <w:pPr>
              <w:pStyle w:val="Tabletext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que las estaciones terrenas a bordo de aeronaves y barcos a que se refiere la presente Resolución:</w:t>
            </w:r>
          </w:p>
          <w:p w14:paraId="7DD45050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ind w:left="567" w:hanging="567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i/>
                <w:lang w:val="es-ES_tradnl"/>
              </w:rPr>
              <w:t>a)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no se utilicen en aplicaciones de seguridad de la vida humana ni se confíe en ellas para tal fin;</w:t>
            </w:r>
          </w:p>
          <w:p w14:paraId="551A0014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ind w:left="567" w:hanging="567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i/>
                <w:lang w:val="es-ES_tradnl"/>
              </w:rPr>
              <w:t>b)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 xml:space="preserve">no den lugar a ningún cambio ni restricción a las adjudicaciones existentes del Plan ni a las asignaciones de la Lista en el Apéndice 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t>30B</w:t>
            </w:r>
            <w:r w:rsidRPr="00C55177">
              <w:rPr>
                <w:rFonts w:asciiTheme="minorHAnsi" w:hAnsiTheme="minorHAnsi" w:cstheme="minorHAnsi"/>
                <w:lang w:val="es-ES_tradnl"/>
              </w:rPr>
              <w:t>, ni a su futuro desarrollo,</w:t>
            </w:r>
          </w:p>
          <w:p w14:paraId="6181D236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left" w:pos="729"/>
              </w:tabs>
              <w:ind w:left="590"/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  <w:r w:rsidRPr="00C55177">
              <w:rPr>
                <w:rFonts w:asciiTheme="minorHAnsi" w:hAnsiTheme="minorHAnsi" w:cstheme="minorHAnsi"/>
                <w:i/>
                <w:iCs/>
                <w:lang w:val="es-ES"/>
              </w:rPr>
              <w:t>resuelve invitar a la CMR-23</w:t>
            </w:r>
          </w:p>
          <w:p w14:paraId="4C6A3E61" w14:textId="77777777" w:rsidR="00CA4E9B" w:rsidRPr="00C55177" w:rsidRDefault="00CA4E9B" w:rsidP="002E6186">
            <w:pPr>
              <w:pStyle w:val="Tabletext"/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a considerar los resultados de los estudios antes mencionados en el</w:t>
            </w:r>
            <w:r w:rsidRPr="00C55177">
              <w:rPr>
                <w:rFonts w:asciiTheme="minorHAnsi" w:hAnsiTheme="minorHAnsi" w:cstheme="minorHAnsi"/>
                <w:i/>
                <w:lang w:val="es-ES_tradnl"/>
              </w:rPr>
              <w:t xml:space="preserve"> resuelve invitar al UIT</w:t>
            </w:r>
            <w:r w:rsidRPr="00C55177">
              <w:rPr>
                <w:rFonts w:asciiTheme="minorHAnsi" w:hAnsiTheme="minorHAnsi" w:cstheme="minorHAnsi"/>
                <w:i/>
                <w:lang w:val="es-ES_tradnl"/>
              </w:rPr>
              <w:noBreakHyphen/>
              <w:t>R</w:t>
            </w:r>
            <w:r w:rsidRPr="00C55177">
              <w:rPr>
                <w:rFonts w:asciiTheme="minorHAnsi" w:hAnsiTheme="minorHAnsi" w:cstheme="minorHAnsi"/>
                <w:lang w:val="es-ES_tradnl"/>
              </w:rPr>
              <w:t xml:space="preserve"> y a tomar las medidas necesarias, según convenga,</w:t>
            </w:r>
          </w:p>
          <w:p w14:paraId="22E7E422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left" w:pos="729"/>
              </w:tabs>
              <w:ind w:left="590"/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  <w:r w:rsidRPr="00C55177">
              <w:rPr>
                <w:rFonts w:asciiTheme="minorHAnsi" w:hAnsiTheme="minorHAnsi" w:cstheme="minorHAnsi"/>
                <w:i/>
                <w:iCs/>
                <w:lang w:val="es-ES"/>
              </w:rPr>
              <w:t>invita a las administraciones</w:t>
            </w:r>
          </w:p>
          <w:p w14:paraId="3527BE79" w14:textId="77777777" w:rsidR="00CA4E9B" w:rsidRPr="00C55177" w:rsidRDefault="00CA4E9B" w:rsidP="002E6186">
            <w:pPr>
              <w:pStyle w:val="Tabletext"/>
              <w:jc w:val="both"/>
              <w:rPr>
                <w:rFonts w:asciiTheme="minorHAnsi" w:hAnsiTheme="minorHAnsi" w:cstheme="minorHAnsi"/>
                <w:lang w:val="es-ES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a participar activamente en los estudios presentando contribuciones al UIT-R.</w:t>
            </w:r>
          </w:p>
        </w:tc>
        <w:tc>
          <w:tcPr>
            <w:tcW w:w="509" w:type="pct"/>
            <w:gridSpan w:val="2"/>
          </w:tcPr>
          <w:p w14:paraId="50C304CB" w14:textId="77777777" w:rsidR="00CA4E9B" w:rsidRPr="00C55177" w:rsidRDefault="00CA4E9B" w:rsidP="002E6186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C55177">
              <w:rPr>
                <w:rFonts w:asciiTheme="minorHAnsi" w:hAnsiTheme="minorHAnsi" w:cstheme="minorHAnsi"/>
                <w:b/>
                <w:bCs/>
                <w:lang w:val="fr-FR"/>
              </w:rPr>
              <w:lastRenderedPageBreak/>
              <w:t xml:space="preserve">GT 3M, </w:t>
            </w:r>
            <w:r w:rsidRPr="00C55177">
              <w:rPr>
                <w:rFonts w:asciiTheme="minorHAnsi" w:hAnsiTheme="minorHAnsi" w:cstheme="minorHAnsi"/>
                <w:b/>
                <w:bCs/>
                <w:lang w:val="fr-FR"/>
              </w:rPr>
              <w:br/>
              <w:t xml:space="preserve">GT 5A, </w:t>
            </w:r>
            <w:r w:rsidRPr="00C55177">
              <w:rPr>
                <w:rFonts w:asciiTheme="minorHAnsi" w:hAnsiTheme="minorHAnsi" w:cstheme="minorHAnsi"/>
                <w:b/>
                <w:bCs/>
                <w:lang w:val="fr-FR"/>
              </w:rPr>
              <w:br/>
              <w:t xml:space="preserve">GT 5B, </w:t>
            </w:r>
            <w:r w:rsidRPr="00C55177">
              <w:rPr>
                <w:rFonts w:asciiTheme="minorHAnsi" w:hAnsiTheme="minorHAnsi" w:cstheme="minorHAnsi"/>
                <w:b/>
                <w:bCs/>
                <w:lang w:val="fr-FR"/>
              </w:rPr>
              <w:br/>
              <w:t>GT 5C</w:t>
            </w:r>
          </w:p>
        </w:tc>
      </w:tr>
      <w:tr w:rsidR="00CA4E9B" w:rsidRPr="00C55177" w14:paraId="52742CB2" w14:textId="77777777" w:rsidTr="002E6186">
        <w:trPr>
          <w:cantSplit/>
          <w:jc w:val="center"/>
        </w:trPr>
        <w:tc>
          <w:tcPr>
            <w:tcW w:w="5000" w:type="pct"/>
            <w:gridSpan w:val="5"/>
          </w:tcPr>
          <w:p w14:paraId="45791DAC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left" w:pos="880"/>
              </w:tabs>
              <w:jc w:val="both"/>
              <w:rPr>
                <w:rFonts w:asciiTheme="minorHAnsi" w:hAnsiTheme="minorHAnsi" w:cstheme="minorHAnsi"/>
                <w:lang w:val="es-ES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lastRenderedPageBreak/>
              <w:t>1.16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estudiar y desarrollar medidas técnicas, operativas y reglamentarias, según proceda, para facilitar la utilización de las bandas de frecuencias 17,7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18,6 GHz y 18,8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19,3 GHz y 19,7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20,2 GHz (espacio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Tierra) y 27,5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29,1 GHz y 29,5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 xml:space="preserve">30 GHz (Tierra-espacio) por las estaciones terrenas en movimiento del SFS no OSG, garantizando a su vez la debida protección de los servicios existentes en dichas bandas de frecuencias, de conformidad con la Resolución 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t>173 (CMR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noBreakHyphen/>
              <w:t>19)</w:t>
            </w:r>
            <w:r w:rsidRPr="00C55177">
              <w:rPr>
                <w:rFonts w:asciiTheme="minorHAnsi" w:hAnsiTheme="minorHAnsi" w:cstheme="minorHAnsi"/>
                <w:lang w:val="es-ES_tradnl"/>
              </w:rPr>
              <w:t>;</w:t>
            </w:r>
          </w:p>
        </w:tc>
      </w:tr>
      <w:tr w:rsidR="00CA4E9B" w:rsidRPr="00C55177" w14:paraId="7F32E999" w14:textId="77777777" w:rsidTr="002E6186">
        <w:trPr>
          <w:jc w:val="center"/>
        </w:trPr>
        <w:tc>
          <w:tcPr>
            <w:tcW w:w="1212" w:type="pct"/>
          </w:tcPr>
          <w:p w14:paraId="4DE38101" w14:textId="77777777" w:rsidR="00CA4E9B" w:rsidRPr="00C55177" w:rsidRDefault="00CA4E9B" w:rsidP="002E6186">
            <w:pPr>
              <w:pStyle w:val="Tabletext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Resolución 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t>173 (CMR</w:t>
            </w:r>
            <w:r w:rsidRPr="00C55177">
              <w:rPr>
                <w:rFonts w:asciiTheme="minorHAnsi" w:hAnsiTheme="minorHAnsi" w:cstheme="minorHAnsi"/>
                <w:b/>
                <w:bCs/>
                <w:lang w:val="es-ES_tradnl"/>
              </w:rPr>
              <w:noBreakHyphen/>
              <w:t>19)</w:t>
            </w:r>
          </w:p>
          <w:p w14:paraId="2BD8E320" w14:textId="77777777" w:rsidR="00CA4E9B" w:rsidRPr="00C55177" w:rsidRDefault="00CA4E9B" w:rsidP="002E6186">
            <w:pPr>
              <w:pStyle w:val="Tabletext"/>
              <w:rPr>
                <w:rFonts w:asciiTheme="minorHAnsi" w:hAnsiTheme="minorHAnsi" w:cstheme="minorHAnsi"/>
                <w:lang w:val="es-ES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Utilización de las bandas de frecuencias 17,7-18,6 GHz, 18,8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19,3 GHz y 19,7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20,2 GHz (espacio-Tierra) y 27,5-29,1 y 29,5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30,0 GHz (Tierra-espacio) por las estaciones terrenas en movimiento que se comunican con estaciones espaciales no geoestacionarias del servicio fijo por satélite</w:t>
            </w:r>
          </w:p>
        </w:tc>
        <w:tc>
          <w:tcPr>
            <w:tcW w:w="557" w:type="pct"/>
          </w:tcPr>
          <w:p w14:paraId="3A8DFB59" w14:textId="77777777" w:rsidR="00CA4E9B" w:rsidRPr="00C55177" w:rsidRDefault="00CA4E9B" w:rsidP="002E6186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C55177">
              <w:rPr>
                <w:rFonts w:asciiTheme="minorHAnsi" w:hAnsiTheme="minorHAnsi" w:cstheme="minorHAnsi"/>
                <w:b/>
                <w:bCs/>
                <w:lang w:val="es-ES"/>
              </w:rPr>
              <w:t>GT 4A</w:t>
            </w:r>
          </w:p>
        </w:tc>
        <w:tc>
          <w:tcPr>
            <w:tcW w:w="2722" w:type="pct"/>
          </w:tcPr>
          <w:p w14:paraId="73F04C10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left" w:pos="729"/>
              </w:tabs>
              <w:ind w:left="590"/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  <w:r w:rsidRPr="00C55177">
              <w:rPr>
                <w:rFonts w:asciiTheme="minorHAnsi" w:hAnsiTheme="minorHAnsi" w:cstheme="minorHAnsi"/>
                <w:i/>
                <w:iCs/>
                <w:lang w:val="es-ES"/>
              </w:rPr>
              <w:t>resuelve invitar al Sector de Radiocomunicaciones de la UIT</w:t>
            </w:r>
          </w:p>
          <w:p w14:paraId="64A2EDA2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1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estudiar las características técnicas y operativas y los requisitos de usuario de los diferentes tipos de ETEM que está previsto explotar en el marco de sistemas no OSG del SFS en las bandas de frecuencias 17,7-18,6 GHz, 18,8-19,3 GHz y 19,7-20,2 GHz (espacio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Tierra) y 27,5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29,1 GHz y 29,5-30 GHz (Tierra-espacio), o en partes de las mismas;</w:t>
            </w:r>
          </w:p>
          <w:p w14:paraId="59834860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2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estudiar la compartición y la compatibilidad entre las ETEM que funcionan con sistemas no OSG del SFS y las estaciones actuales y previstas en servicios con atribuciones en las bandas de frecuencias 17,7-18,6 GHz, 18,8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19,3 GHz y 19,7-20,2 GHz (espacio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Tierra), y 27,5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29,1 GHz y 29,5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30 GHz (Tierra-espacio), o en partes de las mismas, con el fin de asegurar la protección de los servicios con atribuciones en esas bandas de frecuencias, sin imponer limitaciones adicionales a los sistemas OSG y a otros servicios, en particular a los servicios terrenales, en esas bandas de frecuencias y en bandas adyacentes, incluidos los servicios pasivos;</w:t>
            </w:r>
          </w:p>
          <w:p w14:paraId="1C7C73A1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3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 xml:space="preserve">a definir las disposiciones técnicas y reglamentarias necesarias para el funcionamiento de las ETEM aeronáuticas y marítimas con sistemas no OSG del SFS, habida cuenta de los resultados de los estudios de los </w:t>
            </w:r>
            <w:r w:rsidRPr="00C55177">
              <w:rPr>
                <w:rFonts w:asciiTheme="minorHAnsi" w:hAnsiTheme="minorHAnsi" w:cstheme="minorHAnsi"/>
                <w:i/>
                <w:iCs/>
                <w:lang w:val="es-ES_tradnl"/>
              </w:rPr>
              <w:t>resuelve invitar al Sector de Radiocomunicaciones de la UIT</w:t>
            </w:r>
            <w:r w:rsidRPr="00C55177">
              <w:rPr>
                <w:rFonts w:asciiTheme="minorHAnsi" w:hAnsiTheme="minorHAnsi" w:cstheme="minorHAnsi"/>
                <w:lang w:val="es-ES_tradnl"/>
              </w:rPr>
              <w:t> 1 y 2;</w:t>
            </w:r>
          </w:p>
          <w:p w14:paraId="6D6C986A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4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garantizar que las medidas técnicas y operativas y las posibles medidas reglamentarias establecidas de conformidad con la presente Resolución no afecten a las disposiciones pertinentes relacionadas con la protección de las redes OSG contra los sistemas no OSG del SFS;</w:t>
            </w:r>
          </w:p>
          <w:p w14:paraId="7A200BCC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5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velar por que los Estados Miembros aprueben por consenso los resultados de los estudios del UIT</w:t>
            </w:r>
            <w:r w:rsidRPr="00C55177">
              <w:rPr>
                <w:rFonts w:asciiTheme="minorHAnsi" w:hAnsiTheme="minorHAnsi" w:cstheme="minorHAnsi"/>
                <w:lang w:val="es-ES_tradnl"/>
              </w:rPr>
              <w:noBreakHyphen/>
              <w:t>R;</w:t>
            </w:r>
          </w:p>
          <w:p w14:paraId="3A718387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851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6</w:t>
            </w:r>
            <w:r w:rsidRPr="00C55177">
              <w:rPr>
                <w:rFonts w:asciiTheme="minorHAnsi" w:hAnsiTheme="minorHAnsi" w:cstheme="minorHAnsi"/>
                <w:lang w:val="es-ES_tradnl"/>
              </w:rPr>
              <w:tab/>
              <w:t>a completar estudios a tiempo para la CMR-23,</w:t>
            </w:r>
          </w:p>
          <w:p w14:paraId="2FCF939B" w14:textId="77777777" w:rsidR="00CA4E9B" w:rsidRPr="00C55177" w:rsidRDefault="00CA4E9B" w:rsidP="002E6186">
            <w:pPr>
              <w:pStyle w:val="Tabletext"/>
              <w:tabs>
                <w:tab w:val="clear" w:pos="284"/>
                <w:tab w:val="clear" w:pos="567"/>
                <w:tab w:val="left" w:pos="729"/>
              </w:tabs>
              <w:ind w:left="590"/>
              <w:jc w:val="both"/>
              <w:rPr>
                <w:rFonts w:asciiTheme="minorHAnsi" w:hAnsiTheme="minorHAnsi" w:cstheme="minorHAnsi"/>
                <w:i/>
                <w:iCs/>
                <w:lang w:val="es-ES"/>
              </w:rPr>
            </w:pPr>
            <w:r w:rsidRPr="00C55177">
              <w:rPr>
                <w:rFonts w:asciiTheme="minorHAnsi" w:hAnsiTheme="minorHAnsi" w:cstheme="minorHAnsi"/>
                <w:i/>
                <w:iCs/>
                <w:lang w:val="es-ES"/>
              </w:rPr>
              <w:t>resuelve invitar a la Conferencia Mundial Radiocomunicaciones de 2023</w:t>
            </w:r>
          </w:p>
          <w:p w14:paraId="495E78AD" w14:textId="77777777" w:rsidR="00CA4E9B" w:rsidRPr="00C55177" w:rsidRDefault="00CA4E9B" w:rsidP="002E6186">
            <w:pPr>
              <w:pStyle w:val="Tabletext"/>
              <w:jc w:val="both"/>
              <w:rPr>
                <w:rFonts w:asciiTheme="minorHAnsi" w:hAnsiTheme="minorHAnsi" w:cstheme="minorHAnsi"/>
                <w:lang w:val="es-ES"/>
              </w:rPr>
            </w:pPr>
            <w:r w:rsidRPr="00C55177">
              <w:rPr>
                <w:rFonts w:asciiTheme="minorHAnsi" w:hAnsiTheme="minorHAnsi" w:cstheme="minorHAnsi"/>
                <w:lang w:val="es-ES_tradnl"/>
              </w:rPr>
              <w:t>a examinar los resultados de estos estudios y tomar las medidas adecuadas.</w:t>
            </w:r>
          </w:p>
        </w:tc>
        <w:tc>
          <w:tcPr>
            <w:tcW w:w="509" w:type="pct"/>
            <w:gridSpan w:val="2"/>
          </w:tcPr>
          <w:p w14:paraId="484856BE" w14:textId="77777777" w:rsidR="00CA4E9B" w:rsidRPr="00C55177" w:rsidRDefault="00CA4E9B" w:rsidP="002E6186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C55177">
              <w:rPr>
                <w:rFonts w:asciiTheme="minorHAnsi" w:hAnsiTheme="minorHAnsi" w:cstheme="minorHAnsi"/>
                <w:b/>
                <w:bCs/>
                <w:lang w:val="fr-FR"/>
              </w:rPr>
              <w:t xml:space="preserve">GT 3M, </w:t>
            </w:r>
          </w:p>
          <w:p w14:paraId="1A34A552" w14:textId="77777777" w:rsidR="00CA4E9B" w:rsidRPr="00C55177" w:rsidRDefault="00CA4E9B" w:rsidP="002E6186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C55177">
              <w:rPr>
                <w:rFonts w:asciiTheme="minorHAnsi" w:hAnsiTheme="minorHAnsi" w:cstheme="minorHAnsi"/>
                <w:b/>
                <w:bCs/>
                <w:lang w:val="fr-FR"/>
              </w:rPr>
              <w:t xml:space="preserve">GT 4C, </w:t>
            </w:r>
          </w:p>
          <w:p w14:paraId="70B6FCA6" w14:textId="77777777" w:rsidR="00CA4E9B" w:rsidRPr="00C55177" w:rsidRDefault="00CA4E9B" w:rsidP="002E6186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C55177">
              <w:rPr>
                <w:rFonts w:asciiTheme="minorHAnsi" w:hAnsiTheme="minorHAnsi" w:cstheme="minorHAnsi"/>
                <w:b/>
                <w:bCs/>
                <w:lang w:val="fr-FR"/>
              </w:rPr>
              <w:t xml:space="preserve">GT 5A, </w:t>
            </w:r>
          </w:p>
          <w:p w14:paraId="37075F8C" w14:textId="77777777" w:rsidR="00CA4E9B" w:rsidRPr="00C55177" w:rsidRDefault="00CA4E9B" w:rsidP="002E6186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C55177">
              <w:rPr>
                <w:rFonts w:asciiTheme="minorHAnsi" w:hAnsiTheme="minorHAnsi" w:cstheme="minorHAnsi"/>
                <w:b/>
                <w:bCs/>
                <w:lang w:val="fr-FR"/>
              </w:rPr>
              <w:t xml:space="preserve">GT 5B, </w:t>
            </w:r>
          </w:p>
          <w:p w14:paraId="30E93F6C" w14:textId="77777777" w:rsidR="00CA4E9B" w:rsidRPr="00C55177" w:rsidRDefault="00CA4E9B" w:rsidP="002E6186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C55177">
              <w:rPr>
                <w:rFonts w:asciiTheme="minorHAnsi" w:hAnsiTheme="minorHAnsi" w:cstheme="minorHAnsi"/>
                <w:b/>
                <w:bCs/>
                <w:lang w:val="es-ES"/>
              </w:rPr>
              <w:t xml:space="preserve">GT 5C, </w:t>
            </w:r>
            <w:r w:rsidRPr="00C55177">
              <w:rPr>
                <w:rFonts w:asciiTheme="minorHAnsi" w:hAnsiTheme="minorHAnsi" w:cstheme="minorHAnsi"/>
                <w:b/>
                <w:bCs/>
                <w:lang w:val="es-ES"/>
              </w:rPr>
              <w:br/>
              <w:t>GT 7B</w:t>
            </w:r>
          </w:p>
        </w:tc>
      </w:tr>
      <w:bookmarkEnd w:id="3"/>
    </w:tbl>
    <w:p w14:paraId="1A6C5368" w14:textId="77777777" w:rsidR="0076517A" w:rsidRDefault="0076517A" w:rsidP="00411C49">
      <w:pPr>
        <w:pStyle w:val="Reasons"/>
      </w:pPr>
    </w:p>
    <w:p w14:paraId="48C86EC2" w14:textId="77777777" w:rsidR="0076517A" w:rsidRDefault="0076517A">
      <w:pPr>
        <w:jc w:val="center"/>
      </w:pPr>
      <w:r>
        <w:t>______________</w:t>
      </w:r>
    </w:p>
    <w:sectPr w:rsidR="0076517A" w:rsidSect="0076517A">
      <w:headerReference w:type="even" r:id="rId14"/>
      <w:headerReference w:type="default" r:id="rId15"/>
      <w:headerReference w:type="first" r:id="rId16"/>
      <w:footerReference w:type="first" r:id="rId17"/>
      <w:pgSz w:w="16834" w:h="11907" w:orient="landscape" w:code="9"/>
      <w:pgMar w:top="1134" w:right="1134" w:bottom="1134" w:left="993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D5D1C" w14:textId="77777777" w:rsidR="001F5F92" w:rsidRDefault="001F5F92">
      <w:r>
        <w:separator/>
      </w:r>
    </w:p>
  </w:endnote>
  <w:endnote w:type="continuationSeparator" w:id="0">
    <w:p w14:paraId="6133EC48" w14:textId="77777777" w:rsidR="001F5F92" w:rsidRDefault="001F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97254" w14:textId="77777777" w:rsidR="000B1372" w:rsidRDefault="000B1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6A9C" w14:textId="77777777" w:rsidR="000B1372" w:rsidRDefault="000B1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13FBF" w14:textId="2322B3EE" w:rsidR="0076517A" w:rsidRPr="0076517A" w:rsidRDefault="0076517A" w:rsidP="0076517A">
    <w:pPr>
      <w:pStyle w:val="FirstFooter"/>
      <w:spacing w:line="240" w:lineRule="auto"/>
      <w:ind w:left="-397" w:right="-397"/>
      <w:jc w:val="center"/>
      <w:rPr>
        <w:color w:val="0070C0"/>
        <w:sz w:val="18"/>
        <w:szCs w:val="18"/>
        <w:lang w:val="es-ES"/>
      </w:rPr>
    </w:pPr>
    <w:r w:rsidRPr="0076517A">
      <w:rPr>
        <w:color w:val="0070C0"/>
        <w:sz w:val="18"/>
        <w:szCs w:val="18"/>
        <w:lang w:val="es-ES"/>
      </w:rPr>
      <w:t xml:space="preserve">Unión Internacional de Telecomunicaciones • Place des </w:t>
    </w:r>
    <w:proofErr w:type="spellStart"/>
    <w:r w:rsidRPr="0076517A">
      <w:rPr>
        <w:color w:val="0070C0"/>
        <w:sz w:val="18"/>
        <w:szCs w:val="18"/>
        <w:lang w:val="es-ES"/>
      </w:rPr>
      <w:t>Nations</w:t>
    </w:r>
    <w:proofErr w:type="spellEnd"/>
    <w:r w:rsidRPr="0076517A">
      <w:rPr>
        <w:color w:val="0070C0"/>
        <w:sz w:val="18"/>
        <w:szCs w:val="18"/>
        <w:lang w:val="es-ES"/>
      </w:rPr>
      <w:t xml:space="preserve"> • CH</w:t>
    </w:r>
    <w:r w:rsidRPr="0076517A">
      <w:rPr>
        <w:color w:val="0070C0"/>
        <w:sz w:val="18"/>
        <w:szCs w:val="18"/>
        <w:lang w:val="es-ES"/>
      </w:rPr>
      <w:noBreakHyphen/>
      <w:t>1211 Ginebra 20 • Suiza</w:t>
    </w:r>
    <w:r w:rsidR="000B1372" w:rsidRPr="0076517A">
      <w:rPr>
        <w:color w:val="0070C0"/>
        <w:sz w:val="18"/>
        <w:szCs w:val="18"/>
        <w:lang w:val="es-ES"/>
      </w:rPr>
      <w:t xml:space="preserve"> •</w:t>
    </w:r>
    <w:r w:rsidRPr="0076517A">
      <w:rPr>
        <w:color w:val="0070C0"/>
        <w:sz w:val="18"/>
        <w:szCs w:val="18"/>
        <w:lang w:val="es-ES"/>
      </w:rPr>
      <w:br/>
      <w:t>Tel</w:t>
    </w:r>
    <w:r>
      <w:rPr>
        <w:color w:val="0070C0"/>
        <w:sz w:val="18"/>
        <w:szCs w:val="18"/>
        <w:lang w:val="es-ES"/>
      </w:rPr>
      <w:t>.</w:t>
    </w:r>
    <w:r w:rsidRPr="0076517A">
      <w:rPr>
        <w:color w:val="0070C0"/>
        <w:sz w:val="18"/>
        <w:szCs w:val="18"/>
        <w:lang w:val="es-ES"/>
      </w:rPr>
      <w:t xml:space="preserve">: +41 22 730 5111 • Correo-e: </w:t>
    </w:r>
    <w:hyperlink r:id="rId1" w:history="1">
      <w:r w:rsidRPr="0076517A">
        <w:rPr>
          <w:rStyle w:val="Hyperlink"/>
          <w:sz w:val="18"/>
          <w:szCs w:val="18"/>
          <w:lang w:val="es-ES"/>
        </w:rPr>
        <w:t>itumail@itu.int</w:t>
      </w:r>
    </w:hyperlink>
    <w:r w:rsidRPr="0076517A">
      <w:rPr>
        <w:color w:val="0070C0"/>
        <w:sz w:val="18"/>
        <w:szCs w:val="18"/>
        <w:lang w:val="es-ES"/>
      </w:rPr>
      <w:t xml:space="preserve"> • Fax: +41 22 733 7256 • </w:t>
    </w:r>
    <w:hyperlink r:id="rId2" w:history="1">
      <w:r w:rsidRPr="006329CA">
        <w:rPr>
          <w:rStyle w:val="Hyperlink"/>
          <w:color w:val="0070C0"/>
          <w:sz w:val="18"/>
          <w:szCs w:val="18"/>
          <w:u w:val="none"/>
          <w:lang w:val="es-ES"/>
        </w:rPr>
        <w:t>www.itu.int</w:t>
      </w:r>
    </w:hyperlink>
    <w:bookmarkStart w:id="2" w:name="_GoBack"/>
    <w:bookmarkEnd w:id="2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5C91A" w14:textId="3250AD33" w:rsidR="005370F0" w:rsidRPr="00CD4155" w:rsidRDefault="005370F0" w:rsidP="00CD4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774AD" w14:textId="77777777" w:rsidR="001F5F92" w:rsidRDefault="001F5F92">
      <w:r>
        <w:t>____________________</w:t>
      </w:r>
    </w:p>
  </w:footnote>
  <w:footnote w:type="continuationSeparator" w:id="0">
    <w:p w14:paraId="4A9C3EEF" w14:textId="77777777" w:rsidR="001F5F92" w:rsidRDefault="001F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1234D" w14:textId="0D8DFDC8" w:rsidR="0076517A" w:rsidRPr="00FC6F6B" w:rsidRDefault="0076517A" w:rsidP="00687E8D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CA4E9B">
      <w:rPr>
        <w:rStyle w:val="PageNumber"/>
        <w:noProof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C69F3" w14:textId="09F4AFD0" w:rsidR="0076517A" w:rsidRPr="00687E8D" w:rsidRDefault="0076517A" w:rsidP="00687E8D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CA4E9B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98"/>
      <w:gridCol w:w="1072"/>
    </w:tblGrid>
    <w:tr w:rsidR="0076517A" w14:paraId="07CAABCC" w14:textId="77777777" w:rsidTr="00941E6E">
      <w:tc>
        <w:tcPr>
          <w:tcW w:w="9690" w:type="dxa"/>
          <w:noWrap/>
          <w:tcMar>
            <w:left w:w="0" w:type="dxa"/>
          </w:tcMar>
        </w:tcPr>
        <w:p w14:paraId="55B221A8" w14:textId="77777777" w:rsidR="0076517A" w:rsidRDefault="0076517A" w:rsidP="00941E6E">
          <w:pPr>
            <w:pStyle w:val="Header"/>
            <w:spacing w:before="120" w:line="360" w:lineRule="auto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034B63E2" wp14:editId="7E43873A">
                <wp:extent cx="765175" cy="7651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2" w:type="dxa"/>
          <w:noWrap/>
        </w:tcPr>
        <w:p w14:paraId="2DC20871" w14:textId="77777777" w:rsidR="0076517A" w:rsidRDefault="0076517A" w:rsidP="00941E6E">
          <w:pPr>
            <w:pStyle w:val="Header"/>
            <w:spacing w:before="240" w:line="360" w:lineRule="auto"/>
            <w:ind w:left="4100"/>
            <w:jc w:val="right"/>
          </w:pPr>
        </w:p>
      </w:tc>
    </w:tr>
  </w:tbl>
  <w:p w14:paraId="052D754C" w14:textId="77777777" w:rsidR="0076517A" w:rsidRPr="00A52F57" w:rsidRDefault="0076517A" w:rsidP="00A52F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B749B" w14:textId="7456F1B8" w:rsidR="00E915AF" w:rsidRPr="00192CF7" w:rsidRDefault="00192CF7" w:rsidP="00192CF7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CA4E9B">
      <w:rPr>
        <w:rStyle w:val="PageNumber"/>
        <w:noProof/>
        <w:sz w:val="18"/>
        <w:szCs w:val="16"/>
      </w:rPr>
      <w:t>6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FD95A" w14:textId="035BE2E1" w:rsidR="00E915AF" w:rsidRPr="00192CF7" w:rsidRDefault="00192CF7" w:rsidP="00192CF7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CA4E9B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0046" w14:textId="35315B9F" w:rsidR="00E915AF" w:rsidRPr="00192CF7" w:rsidRDefault="00192CF7" w:rsidP="00192CF7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CA4E9B">
      <w:rPr>
        <w:rStyle w:val="PageNumber"/>
        <w:noProof/>
        <w:sz w:val="18"/>
        <w:szCs w:val="16"/>
      </w:rPr>
      <w:t>4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E2EB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6242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1A3A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D8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2E29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8032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B47A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23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0A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activeWritingStyle w:appName="MSWord" w:lang="fr-CH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54FB"/>
    <w:rsid w:val="000A7051"/>
    <w:rsid w:val="000B0AF6"/>
    <w:rsid w:val="000B0E9B"/>
    <w:rsid w:val="000B1372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2CF7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1F5F92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3F6F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204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02FF"/>
    <w:rsid w:val="00553DD7"/>
    <w:rsid w:val="005638CF"/>
    <w:rsid w:val="0056741E"/>
    <w:rsid w:val="0057325A"/>
    <w:rsid w:val="0057469A"/>
    <w:rsid w:val="00580814"/>
    <w:rsid w:val="00583A0B"/>
    <w:rsid w:val="00597EDF"/>
    <w:rsid w:val="005A03A3"/>
    <w:rsid w:val="005A2B92"/>
    <w:rsid w:val="005A3F66"/>
    <w:rsid w:val="005A47D2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329CA"/>
    <w:rsid w:val="00637F3E"/>
    <w:rsid w:val="0064371D"/>
    <w:rsid w:val="00650543"/>
    <w:rsid w:val="00650B2A"/>
    <w:rsid w:val="00651777"/>
    <w:rsid w:val="006550F8"/>
    <w:rsid w:val="00682544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517A"/>
    <w:rsid w:val="00775DB8"/>
    <w:rsid w:val="00782354"/>
    <w:rsid w:val="007921A7"/>
    <w:rsid w:val="007B3DB1"/>
    <w:rsid w:val="007D183E"/>
    <w:rsid w:val="007D43D0"/>
    <w:rsid w:val="007E1833"/>
    <w:rsid w:val="007E3F13"/>
    <w:rsid w:val="007F532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0B2E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005A4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1188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A4E9B"/>
    <w:rsid w:val="00CB3771"/>
    <w:rsid w:val="00CB44BF"/>
    <w:rsid w:val="00CB5153"/>
    <w:rsid w:val="00CD4155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C6AD3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46BAF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B30C4E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aliases w:val="pie de página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aliases w:val="encabezado Char"/>
    <w:basedOn w:val="DefaultParagraphFont"/>
    <w:link w:val="Header"/>
    <w:rsid w:val="001B3D4D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76517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AnnexNo">
    <w:name w:val="Annex_No"/>
    <w:basedOn w:val="Normal"/>
    <w:next w:val="Normal"/>
    <w:rsid w:val="00192CF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 w:line="240" w:lineRule="auto"/>
      <w:jc w:val="center"/>
    </w:pPr>
    <w:rPr>
      <w:rFonts w:cs="Times New Roman"/>
      <w:caps/>
      <w:sz w:val="28"/>
      <w:szCs w:val="20"/>
      <w:lang w:val="es-ES_tradnl"/>
    </w:rPr>
  </w:style>
  <w:style w:type="character" w:customStyle="1" w:styleId="CommentTextChar">
    <w:name w:val="Comment Text Char"/>
    <w:basedOn w:val="DefaultParagraphFont"/>
    <w:link w:val="CommentText"/>
    <w:semiHidden/>
    <w:rsid w:val="003C3F6F"/>
    <w:rPr>
      <w:szCs w:val="22"/>
      <w:lang w:val="en-US" w:eastAsia="en-US"/>
    </w:rPr>
  </w:style>
  <w:style w:type="paragraph" w:customStyle="1" w:styleId="Annextitle">
    <w:name w:val="Annex_title"/>
    <w:basedOn w:val="Normal"/>
    <w:next w:val="Normal"/>
    <w:rsid w:val="00192CF7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40" w:lineRule="auto"/>
      <w:jc w:val="center"/>
    </w:pPr>
    <w:rPr>
      <w:rFonts w:cs="Times New Roman"/>
      <w:b/>
      <w:sz w:val="28"/>
      <w:szCs w:val="20"/>
      <w:lang w:val="es-ES_tradnl"/>
    </w:rPr>
  </w:style>
  <w:style w:type="paragraph" w:customStyle="1" w:styleId="TableNo">
    <w:name w:val="Table_No"/>
    <w:basedOn w:val="Normal"/>
    <w:next w:val="Normal"/>
    <w:rsid w:val="00192CF7"/>
    <w:pPr>
      <w:keepNext/>
      <w:spacing w:before="560" w:after="120" w:line="240" w:lineRule="auto"/>
      <w:jc w:val="center"/>
    </w:pPr>
    <w:rPr>
      <w:rFonts w:cs="Times New Roman"/>
      <w:cap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2BD6-C7BA-4D62-91A8-4993CE88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1692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10469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Soto Romero, Alicia</cp:lastModifiedBy>
  <cp:revision>20</cp:revision>
  <cp:lastPrinted>2020-01-27T13:51:00Z</cp:lastPrinted>
  <dcterms:created xsi:type="dcterms:W3CDTF">2020-01-24T14:17:00Z</dcterms:created>
  <dcterms:modified xsi:type="dcterms:W3CDTF">2020-01-28T13:17:00Z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