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5528"/>
        <w:gridCol w:w="2835"/>
      </w:tblGrid>
      <w:tr w:rsidR="00E53DCE" w:rsidRPr="00DA5FDE" w14:paraId="731657F8" w14:textId="77777777" w:rsidTr="004228FA">
        <w:trPr>
          <w:jc w:val="center"/>
        </w:trPr>
        <w:tc>
          <w:tcPr>
            <w:tcW w:w="9889" w:type="dxa"/>
            <w:gridSpan w:val="3"/>
            <w:shd w:val="clear" w:color="auto" w:fill="auto"/>
          </w:tcPr>
          <w:p w14:paraId="044BD316" w14:textId="77777777" w:rsidR="00E53DCE" w:rsidRPr="00DA5FDE" w:rsidRDefault="00E53DCE" w:rsidP="00110E6F">
            <w:pPr>
              <w:spacing w:before="0" w:line="240" w:lineRule="auto"/>
              <w:rPr>
                <w:rFonts w:cstheme="minorHAnsi"/>
                <w:b/>
                <w:bCs/>
                <w:color w:val="808080"/>
                <w:sz w:val="28"/>
                <w:szCs w:val="28"/>
                <w:lang w:val="fr-FR"/>
              </w:rPr>
            </w:pPr>
            <w:r w:rsidRPr="00DA5FDE">
              <w:rPr>
                <w:rFonts w:cstheme="minorHAnsi"/>
                <w:b/>
                <w:bCs/>
                <w:color w:val="808080"/>
                <w:sz w:val="28"/>
                <w:szCs w:val="28"/>
                <w:lang w:val="fr-FR"/>
              </w:rPr>
              <w:t>Bureau des radiocommunications (BR)</w:t>
            </w:r>
          </w:p>
          <w:p w14:paraId="6BEDB0E1" w14:textId="77777777" w:rsidR="00E53DCE" w:rsidRPr="00DA5FDE" w:rsidRDefault="00E53DCE" w:rsidP="00110E6F">
            <w:pPr>
              <w:spacing w:before="0" w:line="240" w:lineRule="auto"/>
              <w:jc w:val="left"/>
              <w:rPr>
                <w:rFonts w:cstheme="minorHAnsi"/>
                <w:b/>
                <w:bCs/>
                <w:color w:val="808080"/>
                <w:sz w:val="28"/>
                <w:szCs w:val="28"/>
                <w:lang w:val="fr-FR"/>
              </w:rPr>
            </w:pPr>
          </w:p>
          <w:p w14:paraId="18A7A94B" w14:textId="77777777" w:rsidR="00E53DCE" w:rsidRPr="00DA5FDE" w:rsidRDefault="00E53DCE" w:rsidP="00110E6F">
            <w:pPr>
              <w:spacing w:before="0" w:line="240" w:lineRule="auto"/>
              <w:jc w:val="left"/>
              <w:rPr>
                <w:rFonts w:cs="Times New Roman Bold"/>
                <w:b/>
                <w:bCs/>
                <w:color w:val="808080"/>
                <w:sz w:val="28"/>
                <w:szCs w:val="28"/>
                <w:lang w:val="fr-FR"/>
              </w:rPr>
            </w:pPr>
          </w:p>
        </w:tc>
      </w:tr>
      <w:tr w:rsidR="00E53DCE" w:rsidRPr="00DA5FDE" w14:paraId="4486F6CE" w14:textId="77777777" w:rsidTr="004228FA">
        <w:trPr>
          <w:jc w:val="center"/>
        </w:trPr>
        <w:tc>
          <w:tcPr>
            <w:tcW w:w="7054" w:type="dxa"/>
            <w:gridSpan w:val="2"/>
            <w:shd w:val="clear" w:color="auto" w:fill="auto"/>
          </w:tcPr>
          <w:p w14:paraId="67E482FD" w14:textId="1D484310" w:rsidR="009630F9" w:rsidRPr="009630F9" w:rsidRDefault="009630F9" w:rsidP="00110E6F">
            <w:pPr>
              <w:spacing w:before="0" w:line="240" w:lineRule="auto"/>
              <w:jc w:val="left"/>
              <w:rPr>
                <w:szCs w:val="24"/>
                <w:lang w:val="fr-CH"/>
              </w:rPr>
            </w:pPr>
            <w:r w:rsidRPr="009630F9">
              <w:rPr>
                <w:szCs w:val="24"/>
                <w:lang w:val="fr-CH"/>
              </w:rPr>
              <w:t>Corrigendum 1 à</w:t>
            </w:r>
            <w:r>
              <w:rPr>
                <w:szCs w:val="24"/>
                <w:lang w:val="fr-CH"/>
              </w:rPr>
              <w:t xml:space="preserve"> la</w:t>
            </w:r>
          </w:p>
          <w:p w14:paraId="3B39A800" w14:textId="5D92E83E" w:rsidR="00E53DCE" w:rsidRPr="00DA5FDE" w:rsidRDefault="00E53DCE" w:rsidP="00110E6F">
            <w:pPr>
              <w:spacing w:before="0" w:line="240" w:lineRule="auto"/>
              <w:jc w:val="left"/>
              <w:rPr>
                <w:sz w:val="28"/>
                <w:szCs w:val="28"/>
                <w:lang w:val="fr-FR"/>
              </w:rPr>
            </w:pPr>
            <w:r w:rsidRPr="00DA5FDE">
              <w:rPr>
                <w:szCs w:val="24"/>
                <w:lang w:val="fr-FR"/>
              </w:rPr>
              <w:t>Circulaire administrative</w:t>
            </w:r>
          </w:p>
          <w:p w14:paraId="2DEED8D9" w14:textId="027EF19B" w:rsidR="00E53DCE" w:rsidRPr="00DA5FDE" w:rsidRDefault="00E53DCE" w:rsidP="00110E6F">
            <w:pPr>
              <w:spacing w:before="0" w:line="240" w:lineRule="auto"/>
              <w:jc w:val="left"/>
              <w:rPr>
                <w:b/>
                <w:bCs/>
                <w:sz w:val="28"/>
                <w:szCs w:val="28"/>
                <w:lang w:val="fr-FR"/>
              </w:rPr>
            </w:pPr>
            <w:r w:rsidRPr="00DA5FDE">
              <w:rPr>
                <w:b/>
                <w:bCs/>
                <w:szCs w:val="24"/>
                <w:lang w:val="fr-FR"/>
              </w:rPr>
              <w:t>CA/</w:t>
            </w:r>
            <w:r w:rsidR="00FA12CC" w:rsidRPr="00DA5FDE">
              <w:rPr>
                <w:b/>
                <w:bCs/>
                <w:szCs w:val="24"/>
                <w:lang w:val="fr-FR"/>
              </w:rPr>
              <w:t>251</w:t>
            </w:r>
          </w:p>
        </w:tc>
        <w:tc>
          <w:tcPr>
            <w:tcW w:w="2835" w:type="dxa"/>
            <w:shd w:val="clear" w:color="auto" w:fill="auto"/>
          </w:tcPr>
          <w:p w14:paraId="3F01D64C" w14:textId="291513F3" w:rsidR="00E53DCE" w:rsidRPr="00DA5FDE" w:rsidRDefault="00AA781A" w:rsidP="00110E6F">
            <w:pPr>
              <w:spacing w:before="0" w:line="240" w:lineRule="auto"/>
              <w:jc w:val="right"/>
              <w:rPr>
                <w:sz w:val="28"/>
                <w:szCs w:val="28"/>
                <w:lang w:val="fr-FR"/>
              </w:rPr>
            </w:pPr>
            <w:r w:rsidRPr="00DA5FDE">
              <w:rPr>
                <w:szCs w:val="24"/>
                <w:lang w:val="fr-FR"/>
              </w:rPr>
              <w:t>Le</w:t>
            </w:r>
            <w:r w:rsidR="009630F9">
              <w:rPr>
                <w:rFonts w:cs="Arial"/>
                <w:szCs w:val="24"/>
                <w:lang w:val="fr-FR"/>
              </w:rPr>
              <w:t xml:space="preserve"> 28 janvier </w:t>
            </w:r>
            <w:sdt>
              <w:sdtPr>
                <w:rPr>
                  <w:rFonts w:cs="Arial"/>
                  <w:szCs w:val="24"/>
                  <w:lang w:val="fr-FR"/>
                </w:rPr>
                <w:alias w:val="Date"/>
                <w:tag w:val="Date"/>
                <w:id w:val="444659277"/>
                <w:placeholder>
                  <w:docPart w:val="70229262FFC44CB48875E0B62067E458"/>
                </w:placeholder>
                <w:date>
                  <w:dateFormat w:val="d MMMM yyyy"/>
                  <w:lid w:val="fr-FR"/>
                  <w:storeMappedDataAs w:val="date"/>
                  <w:calendar w:val="gregorian"/>
                </w:date>
              </w:sdtPr>
              <w:sdtEndPr/>
              <w:sdtContent>
                <w:r w:rsidR="00FA12CC" w:rsidRPr="00DA5FDE">
                  <w:rPr>
                    <w:rFonts w:cs="Arial"/>
                    <w:szCs w:val="24"/>
                    <w:lang w:val="fr-FR"/>
                  </w:rPr>
                  <w:t>20</w:t>
                </w:r>
                <w:r w:rsidR="009630F9">
                  <w:rPr>
                    <w:rFonts w:cs="Arial"/>
                    <w:szCs w:val="24"/>
                    <w:lang w:val="fr-FR"/>
                  </w:rPr>
                  <w:t>20</w:t>
                </w:r>
              </w:sdtContent>
            </w:sdt>
          </w:p>
        </w:tc>
      </w:tr>
      <w:tr w:rsidR="00E53DCE" w:rsidRPr="00DA5FDE" w14:paraId="70333BF1" w14:textId="77777777" w:rsidTr="004228FA">
        <w:trPr>
          <w:jc w:val="center"/>
        </w:trPr>
        <w:tc>
          <w:tcPr>
            <w:tcW w:w="9889" w:type="dxa"/>
            <w:gridSpan w:val="3"/>
            <w:shd w:val="clear" w:color="auto" w:fill="auto"/>
          </w:tcPr>
          <w:p w14:paraId="08B70479" w14:textId="77777777" w:rsidR="00E53DCE" w:rsidRPr="00DA5FDE" w:rsidRDefault="00E53DCE" w:rsidP="00110E6F">
            <w:pPr>
              <w:spacing w:before="0" w:line="240" w:lineRule="auto"/>
              <w:jc w:val="left"/>
              <w:rPr>
                <w:rFonts w:cs="Arial"/>
                <w:szCs w:val="24"/>
                <w:lang w:val="fr-FR"/>
              </w:rPr>
            </w:pPr>
          </w:p>
        </w:tc>
      </w:tr>
      <w:tr w:rsidR="00E53DCE" w:rsidRPr="00DA5FDE" w14:paraId="369EB3DC" w14:textId="77777777" w:rsidTr="004228FA">
        <w:trPr>
          <w:jc w:val="center"/>
        </w:trPr>
        <w:tc>
          <w:tcPr>
            <w:tcW w:w="9889" w:type="dxa"/>
            <w:gridSpan w:val="3"/>
            <w:shd w:val="clear" w:color="auto" w:fill="auto"/>
          </w:tcPr>
          <w:p w14:paraId="788F9046" w14:textId="77777777" w:rsidR="00E53DCE" w:rsidRPr="00DA5FDE" w:rsidRDefault="00E53DCE" w:rsidP="00110E6F">
            <w:pPr>
              <w:spacing w:before="0" w:line="240" w:lineRule="auto"/>
              <w:jc w:val="left"/>
              <w:rPr>
                <w:szCs w:val="24"/>
                <w:lang w:val="fr-FR"/>
              </w:rPr>
            </w:pPr>
          </w:p>
        </w:tc>
      </w:tr>
      <w:tr w:rsidR="00E53DCE" w:rsidRPr="00C176AA" w14:paraId="0C2E73E8" w14:textId="77777777" w:rsidTr="004228FA">
        <w:trPr>
          <w:jc w:val="center"/>
        </w:trPr>
        <w:tc>
          <w:tcPr>
            <w:tcW w:w="9889" w:type="dxa"/>
            <w:gridSpan w:val="3"/>
            <w:shd w:val="clear" w:color="auto" w:fill="auto"/>
          </w:tcPr>
          <w:p w14:paraId="0166BE17" w14:textId="492A6EA5" w:rsidR="00E53DCE" w:rsidRPr="00DA5FDE" w:rsidRDefault="00FA12CC" w:rsidP="00110E6F">
            <w:pPr>
              <w:spacing w:before="0" w:line="240" w:lineRule="auto"/>
              <w:jc w:val="left"/>
              <w:rPr>
                <w:b/>
                <w:bCs/>
                <w:szCs w:val="24"/>
                <w:lang w:val="fr-FR"/>
              </w:rPr>
            </w:pPr>
            <w:r w:rsidRPr="00DA5FDE">
              <w:rPr>
                <w:b/>
                <w:bCs/>
                <w:szCs w:val="24"/>
                <w:lang w:val="fr-FR"/>
              </w:rPr>
              <w:t xml:space="preserve">Aux Administrations des </w:t>
            </w:r>
            <w:r w:rsidR="00872901" w:rsidRPr="00DA5FDE">
              <w:rPr>
                <w:b/>
                <w:bCs/>
                <w:szCs w:val="24"/>
                <w:lang w:val="fr-FR"/>
              </w:rPr>
              <w:t>États</w:t>
            </w:r>
            <w:r w:rsidRPr="00DA5FDE">
              <w:rPr>
                <w:b/>
                <w:bCs/>
                <w:szCs w:val="24"/>
                <w:lang w:val="fr-FR"/>
              </w:rPr>
              <w:t xml:space="preserve"> Membres de l'UIT et aux Membres du Secteur des radiocommunications</w:t>
            </w:r>
          </w:p>
          <w:p w14:paraId="5D97308D" w14:textId="77777777" w:rsidR="00E53DCE" w:rsidRPr="00DA5FDE" w:rsidRDefault="00E53DCE" w:rsidP="00110E6F">
            <w:pPr>
              <w:spacing w:before="0" w:line="240" w:lineRule="auto"/>
              <w:jc w:val="left"/>
              <w:rPr>
                <w:b/>
                <w:bCs/>
                <w:szCs w:val="24"/>
                <w:lang w:val="fr-FR"/>
              </w:rPr>
            </w:pPr>
          </w:p>
        </w:tc>
      </w:tr>
      <w:tr w:rsidR="00E53DCE" w:rsidRPr="00C176AA" w14:paraId="326E07C0" w14:textId="77777777" w:rsidTr="004228FA">
        <w:trPr>
          <w:jc w:val="center"/>
        </w:trPr>
        <w:tc>
          <w:tcPr>
            <w:tcW w:w="9889" w:type="dxa"/>
            <w:gridSpan w:val="3"/>
            <w:shd w:val="clear" w:color="auto" w:fill="auto"/>
          </w:tcPr>
          <w:p w14:paraId="6D2152AF" w14:textId="77777777" w:rsidR="00E53DCE" w:rsidRPr="00DA5FDE" w:rsidRDefault="00E53DCE" w:rsidP="00110E6F">
            <w:pPr>
              <w:spacing w:before="0" w:line="240" w:lineRule="auto"/>
              <w:jc w:val="left"/>
              <w:rPr>
                <w:szCs w:val="24"/>
                <w:lang w:val="fr-FR"/>
              </w:rPr>
            </w:pPr>
          </w:p>
        </w:tc>
      </w:tr>
      <w:tr w:rsidR="00E53DCE" w:rsidRPr="00C176AA" w14:paraId="300C5B54" w14:textId="77777777" w:rsidTr="004228FA">
        <w:trPr>
          <w:jc w:val="center"/>
        </w:trPr>
        <w:tc>
          <w:tcPr>
            <w:tcW w:w="9889" w:type="dxa"/>
            <w:gridSpan w:val="3"/>
            <w:shd w:val="clear" w:color="auto" w:fill="auto"/>
          </w:tcPr>
          <w:p w14:paraId="422C141C" w14:textId="77777777" w:rsidR="00E53DCE" w:rsidRPr="00DA5FDE" w:rsidRDefault="00E53DCE" w:rsidP="00110E6F">
            <w:pPr>
              <w:spacing w:before="0" w:line="240" w:lineRule="auto"/>
              <w:jc w:val="left"/>
              <w:rPr>
                <w:szCs w:val="24"/>
                <w:lang w:val="fr-FR"/>
              </w:rPr>
            </w:pPr>
          </w:p>
        </w:tc>
      </w:tr>
      <w:tr w:rsidR="00E53DCE" w:rsidRPr="00995324" w14:paraId="6D697246" w14:textId="77777777" w:rsidTr="004228FA">
        <w:trPr>
          <w:jc w:val="center"/>
        </w:trPr>
        <w:tc>
          <w:tcPr>
            <w:tcW w:w="1526" w:type="dxa"/>
            <w:shd w:val="clear" w:color="auto" w:fill="auto"/>
          </w:tcPr>
          <w:p w14:paraId="6518613B" w14:textId="77777777" w:rsidR="00E53DCE" w:rsidRPr="00DA5FDE" w:rsidRDefault="003471C9" w:rsidP="00110E6F">
            <w:pPr>
              <w:tabs>
                <w:tab w:val="clear" w:pos="1588"/>
                <w:tab w:val="left" w:pos="1560"/>
              </w:tabs>
              <w:spacing w:before="0" w:line="240" w:lineRule="auto"/>
              <w:jc w:val="left"/>
              <w:rPr>
                <w:szCs w:val="24"/>
                <w:lang w:val="fr-FR"/>
              </w:rPr>
            </w:pPr>
            <w:r w:rsidRPr="00DA5FDE">
              <w:rPr>
                <w:lang w:val="fr-FR"/>
              </w:rPr>
              <w:t>Objet</w:t>
            </w:r>
            <w:r w:rsidR="00E53DCE" w:rsidRPr="00DA5FDE">
              <w:rPr>
                <w:szCs w:val="24"/>
                <w:lang w:val="fr-FR"/>
              </w:rPr>
              <w:t>:</w:t>
            </w:r>
          </w:p>
        </w:tc>
        <w:tc>
          <w:tcPr>
            <w:tcW w:w="8363" w:type="dxa"/>
            <w:gridSpan w:val="2"/>
            <w:vMerge w:val="restart"/>
            <w:shd w:val="clear" w:color="auto" w:fill="auto"/>
          </w:tcPr>
          <w:p w14:paraId="73570BB7" w14:textId="0F21B34A" w:rsidR="00E53DCE" w:rsidRPr="00DA5FDE" w:rsidRDefault="00FA12CC" w:rsidP="00110E6F">
            <w:pPr>
              <w:tabs>
                <w:tab w:val="clear" w:pos="1191"/>
                <w:tab w:val="clear" w:pos="1588"/>
                <w:tab w:val="clear" w:pos="1985"/>
              </w:tabs>
              <w:spacing w:before="0" w:line="240" w:lineRule="auto"/>
              <w:rPr>
                <w:b/>
                <w:bCs/>
                <w:szCs w:val="24"/>
                <w:lang w:val="fr-FR"/>
              </w:rPr>
            </w:pPr>
            <w:r w:rsidRPr="00DA5FDE">
              <w:rPr>
                <w:b/>
                <w:bCs/>
                <w:szCs w:val="24"/>
                <w:lang w:val="fr-FR"/>
              </w:rPr>
              <w:t>Résultats de la première session de la Réunion de préparation à la Conférence en vue de la CMR-23 (RPC23-1)</w:t>
            </w:r>
          </w:p>
        </w:tc>
      </w:tr>
      <w:tr w:rsidR="00E53DCE" w:rsidRPr="00995324" w14:paraId="5B1EE99F" w14:textId="77777777" w:rsidTr="004228FA">
        <w:trPr>
          <w:jc w:val="center"/>
        </w:trPr>
        <w:tc>
          <w:tcPr>
            <w:tcW w:w="1526" w:type="dxa"/>
            <w:shd w:val="clear" w:color="auto" w:fill="auto"/>
          </w:tcPr>
          <w:p w14:paraId="0151DEF2" w14:textId="77777777" w:rsidR="00E53DCE" w:rsidRPr="00DA5FDE" w:rsidRDefault="00E53DCE" w:rsidP="00110E6F">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3CE2929A" w14:textId="77777777" w:rsidR="00E53DCE" w:rsidRPr="00DA5FDE" w:rsidRDefault="00E53DCE" w:rsidP="00110E6F">
            <w:pPr>
              <w:tabs>
                <w:tab w:val="clear" w:pos="1588"/>
                <w:tab w:val="left" w:pos="1560"/>
              </w:tabs>
              <w:spacing w:before="0" w:line="240" w:lineRule="auto"/>
              <w:rPr>
                <w:b/>
                <w:bCs/>
                <w:szCs w:val="24"/>
                <w:lang w:val="fr-FR"/>
              </w:rPr>
            </w:pPr>
          </w:p>
        </w:tc>
      </w:tr>
      <w:tr w:rsidR="00E53DCE" w:rsidRPr="00995324" w14:paraId="6EC62D79" w14:textId="77777777" w:rsidTr="004228FA">
        <w:trPr>
          <w:jc w:val="center"/>
        </w:trPr>
        <w:tc>
          <w:tcPr>
            <w:tcW w:w="1526" w:type="dxa"/>
            <w:shd w:val="clear" w:color="auto" w:fill="auto"/>
          </w:tcPr>
          <w:p w14:paraId="4BF56F99" w14:textId="77777777" w:rsidR="00E53DCE" w:rsidRPr="00DA5FDE" w:rsidRDefault="00E53DCE" w:rsidP="00110E6F">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21C71D92" w14:textId="77777777" w:rsidR="00E53DCE" w:rsidRPr="00DA5FDE" w:rsidRDefault="00E53DCE" w:rsidP="00110E6F">
            <w:pPr>
              <w:tabs>
                <w:tab w:val="clear" w:pos="1588"/>
                <w:tab w:val="left" w:pos="1560"/>
              </w:tabs>
              <w:spacing w:before="0" w:line="240" w:lineRule="auto"/>
              <w:rPr>
                <w:b/>
                <w:bCs/>
                <w:szCs w:val="24"/>
                <w:lang w:val="fr-FR"/>
              </w:rPr>
            </w:pPr>
          </w:p>
        </w:tc>
      </w:tr>
      <w:tr w:rsidR="00E53DCE" w:rsidRPr="00995324" w14:paraId="6D3E484C" w14:textId="77777777" w:rsidTr="004228FA">
        <w:trPr>
          <w:jc w:val="center"/>
        </w:trPr>
        <w:tc>
          <w:tcPr>
            <w:tcW w:w="9889" w:type="dxa"/>
            <w:gridSpan w:val="3"/>
            <w:shd w:val="clear" w:color="auto" w:fill="auto"/>
          </w:tcPr>
          <w:p w14:paraId="43CB6714" w14:textId="77777777" w:rsidR="00E53DCE" w:rsidRPr="00DA5FDE" w:rsidRDefault="00E53DCE" w:rsidP="00110E6F">
            <w:pPr>
              <w:tabs>
                <w:tab w:val="clear" w:pos="1588"/>
                <w:tab w:val="left" w:pos="1560"/>
              </w:tabs>
              <w:spacing w:before="0" w:line="240" w:lineRule="auto"/>
              <w:jc w:val="left"/>
              <w:rPr>
                <w:szCs w:val="24"/>
                <w:lang w:val="fr-FR"/>
              </w:rPr>
            </w:pPr>
          </w:p>
        </w:tc>
      </w:tr>
      <w:tr w:rsidR="00E53DCE" w:rsidRPr="00995324" w14:paraId="0A8C1F1B" w14:textId="77777777" w:rsidTr="004228FA">
        <w:trPr>
          <w:jc w:val="center"/>
        </w:trPr>
        <w:tc>
          <w:tcPr>
            <w:tcW w:w="9889" w:type="dxa"/>
            <w:gridSpan w:val="3"/>
            <w:shd w:val="clear" w:color="auto" w:fill="auto"/>
          </w:tcPr>
          <w:p w14:paraId="09688A3E" w14:textId="77777777" w:rsidR="00E53DCE" w:rsidRPr="00DA5FDE" w:rsidRDefault="00E53DCE" w:rsidP="00110E6F">
            <w:pPr>
              <w:spacing w:before="0" w:line="240" w:lineRule="auto"/>
              <w:jc w:val="left"/>
              <w:rPr>
                <w:b/>
                <w:bCs/>
                <w:szCs w:val="24"/>
                <w:lang w:val="fr-FR"/>
              </w:rPr>
            </w:pPr>
          </w:p>
        </w:tc>
      </w:tr>
    </w:tbl>
    <w:p w14:paraId="301D5DD4" w14:textId="77777777" w:rsidR="002F086C" w:rsidRDefault="002F086C" w:rsidP="00110E6F">
      <w:pPr>
        <w:spacing w:before="0" w:line="240" w:lineRule="auto"/>
        <w:jc w:val="left"/>
        <w:rPr>
          <w:szCs w:val="24"/>
          <w:lang w:val="fr-CH"/>
        </w:rPr>
      </w:pPr>
    </w:p>
    <w:p w14:paraId="604D13C7" w14:textId="67B89AF4" w:rsidR="009630F9" w:rsidRPr="00EF115F" w:rsidRDefault="009630F9" w:rsidP="00C73AD1">
      <w:pPr>
        <w:spacing w:before="0" w:line="240" w:lineRule="auto"/>
        <w:rPr>
          <w:szCs w:val="24"/>
          <w:lang w:val="fr-CH"/>
        </w:rPr>
      </w:pPr>
      <w:r w:rsidRPr="00EF115F">
        <w:rPr>
          <w:szCs w:val="24"/>
          <w:lang w:val="fr-CH"/>
        </w:rPr>
        <w:t>Veuillez remplacer le Tableau 1 de l</w:t>
      </w:r>
      <w:r w:rsidR="006B5079" w:rsidRPr="00EF115F">
        <w:rPr>
          <w:szCs w:val="24"/>
          <w:lang w:val="fr-CH"/>
        </w:rPr>
        <w:t>'</w:t>
      </w:r>
      <w:r w:rsidRPr="00EF115F">
        <w:rPr>
          <w:szCs w:val="24"/>
          <w:lang w:val="fr-CH"/>
        </w:rPr>
        <w:t xml:space="preserve">Annexe 4 de la </w:t>
      </w:r>
      <w:r w:rsidRPr="00EF115F">
        <w:rPr>
          <w:szCs w:val="24"/>
          <w:lang w:val="fr-FR"/>
        </w:rPr>
        <w:t>Circulaire administrative</w:t>
      </w:r>
      <w:r w:rsidRPr="00EF115F">
        <w:rPr>
          <w:szCs w:val="24"/>
          <w:lang w:val="fr-CH"/>
        </w:rPr>
        <w:t xml:space="preserve"> CA/251, en date du 19</w:t>
      </w:r>
      <w:r w:rsidR="004C42E1" w:rsidRPr="00EF115F">
        <w:rPr>
          <w:szCs w:val="24"/>
          <w:lang w:val="fr-CH"/>
        </w:rPr>
        <w:t> </w:t>
      </w:r>
      <w:r w:rsidRPr="00EF115F">
        <w:rPr>
          <w:szCs w:val="24"/>
          <w:lang w:val="fr-CH"/>
        </w:rPr>
        <w:t xml:space="preserve">décembre 2019, par le </w:t>
      </w:r>
      <w:r w:rsidR="00F901F0">
        <w:rPr>
          <w:szCs w:val="24"/>
          <w:lang w:val="fr-CH"/>
        </w:rPr>
        <w:t>t</w:t>
      </w:r>
      <w:r w:rsidRPr="00EF115F">
        <w:rPr>
          <w:szCs w:val="24"/>
          <w:lang w:val="fr-CH"/>
        </w:rPr>
        <w:t>ableau suivant:</w:t>
      </w:r>
      <w:r w:rsidR="006B5079" w:rsidRPr="00EF115F">
        <w:rPr>
          <w:szCs w:val="24"/>
          <w:lang w:val="fr-CH"/>
        </w:rPr>
        <w:t xml:space="preserve"> </w:t>
      </w:r>
    </w:p>
    <w:p w14:paraId="68443561" w14:textId="77777777" w:rsidR="009630F9" w:rsidRPr="000C40D1" w:rsidRDefault="009630F9" w:rsidP="00110E6F">
      <w:pPr>
        <w:pStyle w:val="TableNo"/>
        <w:spacing w:before="360"/>
        <w:rPr>
          <w:rFonts w:asciiTheme="minorHAnsi" w:hAnsiTheme="minorHAnsi" w:cstheme="minorHAnsi"/>
        </w:rPr>
      </w:pPr>
      <w:r w:rsidRPr="000C40D1">
        <w:rPr>
          <w:rFonts w:asciiTheme="minorHAnsi" w:hAnsiTheme="minorHAnsi" w:cstheme="minorHAnsi"/>
        </w:rPr>
        <w:t>TableAU 1</w:t>
      </w:r>
    </w:p>
    <w:tbl>
      <w:tblPr>
        <w:tblStyle w:val="TableGrid"/>
        <w:tblW w:w="9936" w:type="dxa"/>
        <w:tblLook w:val="04A0" w:firstRow="1" w:lastRow="0" w:firstColumn="1" w:lastColumn="0" w:noHBand="0" w:noVBand="1"/>
      </w:tblPr>
      <w:tblGrid>
        <w:gridCol w:w="1696"/>
        <w:gridCol w:w="3261"/>
        <w:gridCol w:w="3136"/>
        <w:gridCol w:w="1843"/>
      </w:tblGrid>
      <w:tr w:rsidR="009630F9" w:rsidRPr="00EF115F" w14:paraId="3D667E50" w14:textId="77777777" w:rsidTr="000C40D1">
        <w:tc>
          <w:tcPr>
            <w:tcW w:w="1696" w:type="dxa"/>
          </w:tcPr>
          <w:p w14:paraId="1BC0ACFF" w14:textId="77777777" w:rsidR="009630F9" w:rsidRPr="00EF115F" w:rsidRDefault="009630F9" w:rsidP="00110E6F">
            <w:pPr>
              <w:pStyle w:val="TableHead0"/>
              <w:rPr>
                <w:rFonts w:asciiTheme="minorHAnsi" w:hAnsiTheme="minorHAnsi" w:cstheme="minorHAnsi"/>
                <w:sz w:val="20"/>
                <w:lang w:val="fr-FR"/>
              </w:rPr>
            </w:pPr>
            <w:r w:rsidRPr="00EF115F">
              <w:rPr>
                <w:rFonts w:asciiTheme="minorHAnsi" w:hAnsiTheme="minorHAnsi" w:cstheme="minorHAnsi"/>
                <w:sz w:val="20"/>
                <w:lang w:val="fr-FR"/>
              </w:rPr>
              <w:t>1.2 (IMT)</w:t>
            </w:r>
          </w:p>
          <w:p w14:paraId="49B9758C" w14:textId="77777777" w:rsidR="009630F9" w:rsidRPr="00EF115F" w:rsidRDefault="009630F9" w:rsidP="00110E6F">
            <w:pPr>
              <w:pStyle w:val="TableHead0"/>
              <w:rPr>
                <w:rFonts w:asciiTheme="minorHAnsi" w:hAnsiTheme="minorHAnsi" w:cstheme="minorHAnsi"/>
                <w:sz w:val="20"/>
                <w:lang w:val="fr-FR"/>
              </w:rPr>
            </w:pPr>
            <w:r w:rsidRPr="00EF115F">
              <w:rPr>
                <w:rFonts w:asciiTheme="minorHAnsi" w:hAnsiTheme="minorHAnsi" w:cstheme="minorHAnsi"/>
                <w:sz w:val="20"/>
                <w:lang w:val="fr-FR"/>
              </w:rPr>
              <w:t>GT 5D</w:t>
            </w:r>
          </w:p>
        </w:tc>
        <w:tc>
          <w:tcPr>
            <w:tcW w:w="3261" w:type="dxa"/>
          </w:tcPr>
          <w:p w14:paraId="6ADF5D90" w14:textId="77777777" w:rsidR="009630F9" w:rsidRPr="00EF115F" w:rsidRDefault="009630F9" w:rsidP="00110E6F">
            <w:pPr>
              <w:pStyle w:val="TableHead0"/>
              <w:spacing w:before="40" w:after="40"/>
              <w:rPr>
                <w:rFonts w:asciiTheme="minorHAnsi" w:hAnsiTheme="minorHAnsi" w:cstheme="minorHAnsi"/>
                <w:sz w:val="20"/>
                <w:lang w:val="fr-FR"/>
              </w:rPr>
            </w:pPr>
            <w:r w:rsidRPr="00EF115F">
              <w:rPr>
                <w:rFonts w:asciiTheme="minorHAnsi" w:hAnsiTheme="minorHAnsi" w:cstheme="minorHAnsi"/>
                <w:sz w:val="20"/>
                <w:lang w:val="fr-FR"/>
              </w:rPr>
              <w:t>1.16 (</w:t>
            </w:r>
            <w:r w:rsidRPr="00EF115F">
              <w:rPr>
                <w:rFonts w:asciiTheme="minorHAnsi" w:hAnsiTheme="minorHAnsi" w:cstheme="minorHAnsi"/>
                <w:color w:val="000000"/>
                <w:sz w:val="20"/>
                <w:lang w:val="fr-FR"/>
              </w:rPr>
              <w:t>stations ESIM du SFS non OSG</w:t>
            </w:r>
            <w:r w:rsidRPr="00EF115F">
              <w:rPr>
                <w:rFonts w:asciiTheme="minorHAnsi" w:hAnsiTheme="minorHAnsi" w:cstheme="minorHAnsi"/>
                <w:sz w:val="20"/>
                <w:lang w:val="fr-FR"/>
              </w:rPr>
              <w:t>)</w:t>
            </w:r>
          </w:p>
          <w:p w14:paraId="1615581F" w14:textId="77777777" w:rsidR="009630F9" w:rsidRPr="00EF115F" w:rsidRDefault="009630F9" w:rsidP="00110E6F">
            <w:pPr>
              <w:pStyle w:val="TableHead0"/>
              <w:spacing w:before="40" w:after="40"/>
              <w:rPr>
                <w:rFonts w:asciiTheme="minorHAnsi" w:hAnsiTheme="minorHAnsi" w:cstheme="minorHAnsi"/>
                <w:sz w:val="20"/>
                <w:lang w:val="fr-FR"/>
              </w:rPr>
            </w:pPr>
            <w:r w:rsidRPr="00EF115F">
              <w:rPr>
                <w:rFonts w:asciiTheme="minorHAnsi" w:hAnsiTheme="minorHAnsi" w:cstheme="minorHAnsi"/>
                <w:sz w:val="20"/>
                <w:lang w:val="fr-FR"/>
              </w:rPr>
              <w:t>GT 4A</w:t>
            </w:r>
          </w:p>
        </w:tc>
        <w:tc>
          <w:tcPr>
            <w:tcW w:w="3136" w:type="dxa"/>
          </w:tcPr>
          <w:p w14:paraId="4BE26C03" w14:textId="4E7EFAF3" w:rsidR="009630F9" w:rsidRPr="00EF115F" w:rsidRDefault="009630F9" w:rsidP="00110E6F">
            <w:pPr>
              <w:pStyle w:val="TableHead0"/>
              <w:spacing w:before="40" w:after="40"/>
              <w:rPr>
                <w:rFonts w:asciiTheme="minorHAnsi" w:hAnsiTheme="minorHAnsi" w:cstheme="minorHAnsi"/>
                <w:sz w:val="20"/>
                <w:lang w:val="fr-FR"/>
              </w:rPr>
            </w:pPr>
            <w:r w:rsidRPr="00EF115F">
              <w:rPr>
                <w:rFonts w:asciiTheme="minorHAnsi" w:hAnsiTheme="minorHAnsi" w:cstheme="minorHAnsi"/>
                <w:sz w:val="20"/>
                <w:lang w:val="fr-FR"/>
              </w:rPr>
              <w:t>1.17 (</w:t>
            </w:r>
            <w:r w:rsidRPr="00EF115F">
              <w:rPr>
                <w:rFonts w:asciiTheme="minorHAnsi" w:hAnsiTheme="minorHAnsi" w:cstheme="minorHAnsi"/>
                <w:color w:val="000000"/>
                <w:sz w:val="20"/>
                <w:lang w:val="fr-FR"/>
              </w:rPr>
              <w:t>liaisons inter-satellites (ISL)</w:t>
            </w:r>
            <w:r w:rsidRPr="00EF115F">
              <w:rPr>
                <w:rFonts w:asciiTheme="minorHAnsi" w:hAnsiTheme="minorHAnsi" w:cstheme="minorHAnsi"/>
                <w:sz w:val="20"/>
                <w:lang w:val="fr-FR"/>
              </w:rPr>
              <w:t>)</w:t>
            </w:r>
          </w:p>
          <w:p w14:paraId="48568542" w14:textId="77777777" w:rsidR="009630F9" w:rsidRPr="00EF115F" w:rsidRDefault="009630F9" w:rsidP="00110E6F">
            <w:pPr>
              <w:pStyle w:val="TableHead0"/>
              <w:spacing w:before="40" w:after="40"/>
              <w:rPr>
                <w:rFonts w:asciiTheme="minorHAnsi" w:hAnsiTheme="minorHAnsi" w:cstheme="minorHAnsi"/>
                <w:sz w:val="20"/>
                <w:lang w:val="fr-FR"/>
              </w:rPr>
            </w:pPr>
            <w:r w:rsidRPr="00EF115F">
              <w:rPr>
                <w:rFonts w:asciiTheme="minorHAnsi" w:hAnsiTheme="minorHAnsi" w:cstheme="minorHAnsi"/>
                <w:sz w:val="20"/>
                <w:lang w:val="fr-FR"/>
              </w:rPr>
              <w:t>GT 4A</w:t>
            </w:r>
          </w:p>
        </w:tc>
        <w:tc>
          <w:tcPr>
            <w:tcW w:w="1843" w:type="dxa"/>
          </w:tcPr>
          <w:p w14:paraId="3A430A78" w14:textId="1B870AE8" w:rsidR="009630F9" w:rsidRPr="00EF115F" w:rsidRDefault="009630F9" w:rsidP="00110E6F">
            <w:pPr>
              <w:pStyle w:val="TableHead0"/>
              <w:spacing w:before="40" w:after="40"/>
              <w:rPr>
                <w:rFonts w:asciiTheme="minorHAnsi" w:hAnsiTheme="minorHAnsi" w:cstheme="minorHAnsi"/>
                <w:sz w:val="20"/>
                <w:lang w:val="fr-FR"/>
              </w:rPr>
            </w:pPr>
            <w:r w:rsidRPr="00EF115F">
              <w:rPr>
                <w:rFonts w:asciiTheme="minorHAnsi" w:hAnsiTheme="minorHAnsi" w:cstheme="minorHAnsi"/>
                <w:sz w:val="20"/>
                <w:lang w:val="fr-FR"/>
              </w:rPr>
              <w:t xml:space="preserve">1.18 (SMS </w:t>
            </w:r>
            <w:r w:rsidRPr="00EF115F">
              <w:rPr>
                <w:rFonts w:asciiTheme="minorHAnsi" w:hAnsiTheme="minorHAnsi" w:cstheme="minorHAnsi"/>
                <w:color w:val="000000"/>
                <w:sz w:val="20"/>
                <w:lang w:val="fr-FR"/>
              </w:rPr>
              <w:t xml:space="preserve">à </w:t>
            </w:r>
            <w:r w:rsidR="000C40D1">
              <w:rPr>
                <w:rFonts w:asciiTheme="minorHAnsi" w:hAnsiTheme="minorHAnsi" w:cstheme="minorHAnsi"/>
                <w:color w:val="000000"/>
                <w:sz w:val="20"/>
                <w:lang w:val="fr-FR"/>
              </w:rPr>
              <w:br/>
            </w:r>
            <w:r w:rsidRPr="00EF115F">
              <w:rPr>
                <w:rFonts w:asciiTheme="minorHAnsi" w:hAnsiTheme="minorHAnsi" w:cstheme="minorHAnsi"/>
                <w:color w:val="000000"/>
                <w:sz w:val="20"/>
                <w:lang w:val="fr-FR"/>
              </w:rPr>
              <w:t>bande étroite</w:t>
            </w:r>
            <w:r w:rsidRPr="00EF115F">
              <w:rPr>
                <w:rFonts w:asciiTheme="minorHAnsi" w:hAnsiTheme="minorHAnsi" w:cstheme="minorHAnsi"/>
                <w:sz w:val="20"/>
                <w:lang w:val="fr-FR"/>
              </w:rPr>
              <w:t>)</w:t>
            </w:r>
          </w:p>
          <w:p w14:paraId="38F58119" w14:textId="77777777" w:rsidR="009630F9" w:rsidRPr="00EF115F" w:rsidRDefault="009630F9" w:rsidP="00110E6F">
            <w:pPr>
              <w:pStyle w:val="TableHead0"/>
              <w:spacing w:before="40" w:after="40"/>
              <w:rPr>
                <w:rFonts w:asciiTheme="minorHAnsi" w:hAnsiTheme="minorHAnsi" w:cstheme="minorHAnsi"/>
                <w:sz w:val="20"/>
                <w:lang w:val="fr-FR"/>
              </w:rPr>
            </w:pPr>
            <w:r w:rsidRPr="00EF115F">
              <w:rPr>
                <w:rFonts w:asciiTheme="minorHAnsi" w:hAnsiTheme="minorHAnsi" w:cstheme="minorHAnsi"/>
                <w:sz w:val="20"/>
                <w:lang w:val="fr-FR"/>
              </w:rPr>
              <w:t>GT 4C</w:t>
            </w:r>
          </w:p>
        </w:tc>
      </w:tr>
      <w:tr w:rsidR="009630F9" w:rsidRPr="00EF115F" w14:paraId="32F5B603" w14:textId="77777777" w:rsidTr="000C40D1">
        <w:tc>
          <w:tcPr>
            <w:tcW w:w="1696" w:type="dxa"/>
          </w:tcPr>
          <w:p w14:paraId="2008A1ED" w14:textId="77777777" w:rsidR="009630F9" w:rsidRPr="00EF115F" w:rsidRDefault="009630F9" w:rsidP="00110E6F">
            <w:pPr>
              <w:pStyle w:val="TableText0"/>
              <w:jc w:val="center"/>
              <w:rPr>
                <w:rFonts w:asciiTheme="minorHAnsi" w:hAnsiTheme="minorHAnsi" w:cstheme="minorHAnsi"/>
                <w:sz w:val="20"/>
                <w:lang w:val="fr-FR"/>
              </w:rPr>
            </w:pPr>
            <w:r w:rsidRPr="00EF115F">
              <w:rPr>
                <w:rFonts w:asciiTheme="minorHAnsi" w:hAnsiTheme="minorHAnsi" w:cstheme="minorHAnsi"/>
                <w:sz w:val="20"/>
                <w:lang w:val="fr-FR"/>
              </w:rPr>
              <w:t>3 300-3 400 MHz (Régions 1 et 2)</w:t>
            </w:r>
          </w:p>
        </w:tc>
        <w:tc>
          <w:tcPr>
            <w:tcW w:w="3261" w:type="dxa"/>
          </w:tcPr>
          <w:p w14:paraId="0638B2EE" w14:textId="77777777" w:rsidR="009630F9" w:rsidRPr="00EF115F" w:rsidRDefault="009630F9" w:rsidP="00110E6F">
            <w:pPr>
              <w:pStyle w:val="TableText0"/>
              <w:spacing w:before="40" w:after="40"/>
              <w:jc w:val="center"/>
              <w:rPr>
                <w:rFonts w:asciiTheme="minorHAnsi" w:hAnsiTheme="minorHAnsi" w:cstheme="minorHAnsi"/>
                <w:sz w:val="20"/>
                <w:lang w:val="fr-FR"/>
              </w:rPr>
            </w:pPr>
          </w:p>
        </w:tc>
        <w:tc>
          <w:tcPr>
            <w:tcW w:w="3136" w:type="dxa"/>
          </w:tcPr>
          <w:p w14:paraId="4834FFEB" w14:textId="77777777" w:rsidR="009630F9" w:rsidRPr="00EF115F" w:rsidRDefault="009630F9" w:rsidP="00110E6F">
            <w:pPr>
              <w:pStyle w:val="TableText0"/>
              <w:spacing w:before="40" w:after="40"/>
              <w:jc w:val="center"/>
              <w:rPr>
                <w:rFonts w:asciiTheme="minorHAnsi" w:hAnsiTheme="minorHAnsi" w:cstheme="minorHAnsi"/>
                <w:sz w:val="20"/>
                <w:lang w:val="fr-FR"/>
              </w:rPr>
            </w:pPr>
          </w:p>
        </w:tc>
        <w:tc>
          <w:tcPr>
            <w:tcW w:w="1843" w:type="dxa"/>
          </w:tcPr>
          <w:p w14:paraId="344AC1B3" w14:textId="77777777" w:rsidR="009630F9" w:rsidRPr="00EF115F" w:rsidRDefault="009630F9" w:rsidP="00110E6F">
            <w:pPr>
              <w:pStyle w:val="TableText0"/>
              <w:spacing w:before="40" w:after="40"/>
              <w:jc w:val="center"/>
              <w:rPr>
                <w:rFonts w:asciiTheme="minorHAnsi" w:hAnsiTheme="minorHAnsi" w:cstheme="minorHAnsi"/>
                <w:sz w:val="20"/>
                <w:lang w:val="fr-FR"/>
              </w:rPr>
            </w:pPr>
            <w:r w:rsidRPr="00EF115F">
              <w:rPr>
                <w:rFonts w:asciiTheme="minorHAnsi" w:hAnsiTheme="minorHAnsi" w:cstheme="minorHAnsi"/>
                <w:sz w:val="20"/>
                <w:lang w:val="fr-FR"/>
              </w:rPr>
              <w:t>3 300-3 400 MHz</w:t>
            </w:r>
            <w:r w:rsidRPr="00EF115F">
              <w:rPr>
                <w:rFonts w:asciiTheme="minorHAnsi" w:hAnsiTheme="minorHAnsi" w:cstheme="minorHAnsi"/>
                <w:sz w:val="20"/>
                <w:lang w:val="fr-FR"/>
              </w:rPr>
              <w:br/>
              <w:t>(Région 2)</w:t>
            </w:r>
          </w:p>
        </w:tc>
      </w:tr>
      <w:tr w:rsidR="009630F9" w:rsidRPr="00EF115F" w14:paraId="2C2F9D53" w14:textId="77777777" w:rsidTr="000C40D1">
        <w:tc>
          <w:tcPr>
            <w:tcW w:w="1696" w:type="dxa"/>
          </w:tcPr>
          <w:p w14:paraId="17545D98" w14:textId="77777777" w:rsidR="009630F9" w:rsidRPr="00EF115F" w:rsidRDefault="009630F9" w:rsidP="00110E6F">
            <w:pPr>
              <w:pStyle w:val="TableText0"/>
              <w:jc w:val="center"/>
              <w:rPr>
                <w:rFonts w:asciiTheme="minorHAnsi" w:hAnsiTheme="minorHAnsi" w:cstheme="minorHAnsi"/>
                <w:sz w:val="20"/>
                <w:lang w:val="fr-FR"/>
              </w:rPr>
            </w:pPr>
          </w:p>
        </w:tc>
        <w:tc>
          <w:tcPr>
            <w:tcW w:w="3261" w:type="dxa"/>
          </w:tcPr>
          <w:p w14:paraId="11CE6CF9" w14:textId="52409ACD" w:rsidR="009630F9" w:rsidRPr="00EF115F" w:rsidRDefault="009630F9" w:rsidP="00110E6F">
            <w:pPr>
              <w:pStyle w:val="TableText0"/>
              <w:spacing w:before="40" w:after="40"/>
              <w:jc w:val="center"/>
              <w:rPr>
                <w:rFonts w:asciiTheme="minorHAnsi" w:hAnsiTheme="minorHAnsi" w:cstheme="minorHAnsi"/>
                <w:sz w:val="20"/>
                <w:lang w:val="fr-FR"/>
              </w:rPr>
            </w:pPr>
            <w:r w:rsidRPr="00EF115F">
              <w:rPr>
                <w:rFonts w:asciiTheme="minorHAnsi" w:hAnsiTheme="minorHAnsi" w:cstheme="minorHAnsi"/>
                <w:sz w:val="20"/>
                <w:lang w:val="fr-FR"/>
              </w:rPr>
              <w:t>27</w:t>
            </w:r>
            <w:r w:rsidR="00EF115F" w:rsidRPr="00EF115F">
              <w:rPr>
                <w:rFonts w:asciiTheme="minorHAnsi" w:hAnsiTheme="minorHAnsi" w:cstheme="minorHAnsi"/>
                <w:sz w:val="20"/>
                <w:lang w:val="fr-FR"/>
              </w:rPr>
              <w:t>,</w:t>
            </w:r>
            <w:r w:rsidRPr="00EF115F">
              <w:rPr>
                <w:rFonts w:asciiTheme="minorHAnsi" w:hAnsiTheme="minorHAnsi" w:cstheme="minorHAnsi"/>
                <w:sz w:val="20"/>
                <w:lang w:val="fr-FR"/>
              </w:rPr>
              <w:t>5-29</w:t>
            </w:r>
            <w:r w:rsidR="00EF115F" w:rsidRPr="00EF115F">
              <w:rPr>
                <w:rFonts w:asciiTheme="minorHAnsi" w:hAnsiTheme="minorHAnsi" w:cstheme="minorHAnsi"/>
                <w:sz w:val="20"/>
                <w:lang w:val="fr-FR"/>
              </w:rPr>
              <w:t>,</w:t>
            </w:r>
            <w:r w:rsidRPr="00EF115F">
              <w:rPr>
                <w:rFonts w:asciiTheme="minorHAnsi" w:hAnsiTheme="minorHAnsi" w:cstheme="minorHAnsi"/>
                <w:sz w:val="20"/>
                <w:lang w:val="fr-FR"/>
              </w:rPr>
              <w:t>1 GHz (Terre vers espace)</w:t>
            </w:r>
          </w:p>
          <w:p w14:paraId="1A975528" w14:textId="57BCA43E" w:rsidR="009630F9" w:rsidRPr="00EF115F" w:rsidRDefault="009630F9" w:rsidP="00110E6F">
            <w:pPr>
              <w:pStyle w:val="TableText0"/>
              <w:spacing w:before="40" w:after="40"/>
              <w:jc w:val="center"/>
              <w:rPr>
                <w:rFonts w:asciiTheme="minorHAnsi" w:hAnsiTheme="minorHAnsi" w:cstheme="minorHAnsi"/>
                <w:sz w:val="20"/>
                <w:lang w:val="fr-CH"/>
              </w:rPr>
            </w:pPr>
            <w:r w:rsidRPr="00EF115F">
              <w:rPr>
                <w:rFonts w:asciiTheme="minorHAnsi" w:hAnsiTheme="minorHAnsi" w:cstheme="minorHAnsi"/>
                <w:sz w:val="20"/>
                <w:lang w:val="fr-CH"/>
              </w:rPr>
              <w:t>29</w:t>
            </w:r>
            <w:r w:rsidR="00EF115F" w:rsidRPr="00EF115F">
              <w:rPr>
                <w:rFonts w:asciiTheme="minorHAnsi" w:hAnsiTheme="minorHAnsi" w:cstheme="minorHAnsi"/>
                <w:sz w:val="20"/>
                <w:lang w:val="fr-CH"/>
              </w:rPr>
              <w:t>,</w:t>
            </w:r>
            <w:r w:rsidRPr="00EF115F">
              <w:rPr>
                <w:rFonts w:asciiTheme="minorHAnsi" w:hAnsiTheme="minorHAnsi" w:cstheme="minorHAnsi"/>
                <w:sz w:val="20"/>
                <w:lang w:val="fr-CH"/>
              </w:rPr>
              <w:t xml:space="preserve">5-30 GHz </w:t>
            </w:r>
            <w:r w:rsidRPr="00EF115F">
              <w:rPr>
                <w:rFonts w:asciiTheme="minorHAnsi" w:hAnsiTheme="minorHAnsi" w:cstheme="minorHAnsi"/>
                <w:sz w:val="20"/>
                <w:lang w:val="fr-FR"/>
              </w:rPr>
              <w:t>(Terre vers espace)</w:t>
            </w:r>
          </w:p>
        </w:tc>
        <w:tc>
          <w:tcPr>
            <w:tcW w:w="3136" w:type="dxa"/>
          </w:tcPr>
          <w:p w14:paraId="3AAA9734" w14:textId="4D808D61" w:rsidR="009630F9" w:rsidRPr="00EF115F" w:rsidRDefault="009630F9" w:rsidP="00110E6F">
            <w:pPr>
              <w:pStyle w:val="TableText0"/>
              <w:spacing w:before="40" w:after="40"/>
              <w:jc w:val="center"/>
              <w:rPr>
                <w:rFonts w:asciiTheme="minorHAnsi" w:hAnsiTheme="minorHAnsi" w:cstheme="minorHAnsi"/>
                <w:sz w:val="20"/>
                <w:lang w:val="fr-FR"/>
              </w:rPr>
            </w:pPr>
            <w:r w:rsidRPr="00EF115F">
              <w:rPr>
                <w:rFonts w:asciiTheme="minorHAnsi" w:hAnsiTheme="minorHAnsi" w:cstheme="minorHAnsi"/>
                <w:sz w:val="20"/>
                <w:lang w:val="fr-FR"/>
              </w:rPr>
              <w:t>27,5-30 GHz (espace</w:t>
            </w:r>
            <w:r w:rsidR="000C40D1">
              <w:rPr>
                <w:rFonts w:asciiTheme="minorHAnsi" w:hAnsiTheme="minorHAnsi" w:cstheme="minorHAnsi"/>
                <w:sz w:val="20"/>
                <w:lang w:val="fr-FR"/>
              </w:rPr>
              <w:t>-</w:t>
            </w:r>
            <w:r w:rsidRPr="00EF115F">
              <w:rPr>
                <w:rFonts w:asciiTheme="minorHAnsi" w:hAnsiTheme="minorHAnsi" w:cstheme="minorHAnsi"/>
                <w:sz w:val="20"/>
                <w:lang w:val="fr-FR"/>
              </w:rPr>
              <w:t>espace)</w:t>
            </w:r>
          </w:p>
        </w:tc>
        <w:tc>
          <w:tcPr>
            <w:tcW w:w="1843" w:type="dxa"/>
          </w:tcPr>
          <w:p w14:paraId="3D777E28" w14:textId="77777777" w:rsidR="009630F9" w:rsidRPr="00EF115F" w:rsidRDefault="009630F9" w:rsidP="00110E6F">
            <w:pPr>
              <w:pStyle w:val="TableText0"/>
              <w:spacing w:before="40" w:after="40"/>
              <w:jc w:val="center"/>
              <w:rPr>
                <w:rFonts w:asciiTheme="minorHAnsi" w:hAnsiTheme="minorHAnsi" w:cstheme="minorHAnsi"/>
                <w:sz w:val="20"/>
                <w:lang w:val="fr-FR"/>
              </w:rPr>
            </w:pPr>
          </w:p>
        </w:tc>
      </w:tr>
    </w:tbl>
    <w:p w14:paraId="628EA74B" w14:textId="224BB395" w:rsidR="009630F9" w:rsidRPr="004570E0" w:rsidRDefault="009630F9" w:rsidP="00C73AD1">
      <w:pPr>
        <w:spacing w:line="240" w:lineRule="auto"/>
        <w:rPr>
          <w:szCs w:val="24"/>
          <w:lang w:val="fr-CH"/>
        </w:rPr>
      </w:pPr>
      <w:r w:rsidRPr="004570E0">
        <w:rPr>
          <w:szCs w:val="24"/>
          <w:lang w:val="fr-CH"/>
        </w:rPr>
        <w:t>Veuillez également noter que, par suite de l</w:t>
      </w:r>
      <w:r w:rsidR="006B5079" w:rsidRPr="004570E0">
        <w:rPr>
          <w:szCs w:val="24"/>
          <w:lang w:val="fr-CH"/>
        </w:rPr>
        <w:t>'</w:t>
      </w:r>
      <w:r w:rsidRPr="004570E0">
        <w:rPr>
          <w:szCs w:val="24"/>
          <w:lang w:val="fr-CH"/>
        </w:rPr>
        <w:t>examen des Actes finals provisoires de la CMR-19 sur la base</w:t>
      </w:r>
      <w:r w:rsidR="006B5079" w:rsidRPr="004570E0">
        <w:rPr>
          <w:szCs w:val="24"/>
          <w:lang w:val="fr-CH"/>
        </w:rPr>
        <w:t xml:space="preserve"> </w:t>
      </w:r>
      <w:r w:rsidRPr="004570E0">
        <w:rPr>
          <w:szCs w:val="24"/>
          <w:lang w:val="fr-CH"/>
        </w:rPr>
        <w:t xml:space="preserve">du procès-verbal de la </w:t>
      </w:r>
      <w:r w:rsidRPr="004570E0">
        <w:rPr>
          <w:color w:val="000000"/>
          <w:szCs w:val="24"/>
          <w:lang w:val="fr-CH"/>
        </w:rPr>
        <w:t>douzième</w:t>
      </w:r>
      <w:r w:rsidRPr="004570E0">
        <w:rPr>
          <w:szCs w:val="24"/>
          <w:lang w:val="fr-CH"/>
        </w:rPr>
        <w:t xml:space="preserve"> séance plénière</w:t>
      </w:r>
      <w:r w:rsidR="00EF115F" w:rsidRPr="004570E0">
        <w:rPr>
          <w:szCs w:val="24"/>
          <w:lang w:val="fr-CH"/>
        </w:rPr>
        <w:t xml:space="preserve"> de la CMR</w:t>
      </w:r>
      <w:r w:rsidR="00EF115F" w:rsidRPr="004570E0">
        <w:rPr>
          <w:szCs w:val="24"/>
          <w:lang w:val="fr-CH"/>
        </w:rPr>
        <w:noBreakHyphen/>
        <w:t>19</w:t>
      </w:r>
      <w:r w:rsidRPr="004570E0">
        <w:rPr>
          <w:szCs w:val="24"/>
          <w:lang w:val="fr-CH"/>
        </w:rPr>
        <w:t>, il a également été nécessaire d</w:t>
      </w:r>
      <w:r w:rsidR="006B5079" w:rsidRPr="004570E0">
        <w:rPr>
          <w:szCs w:val="24"/>
          <w:lang w:val="fr-CH"/>
        </w:rPr>
        <w:t>'</w:t>
      </w:r>
      <w:r w:rsidRPr="004570E0">
        <w:rPr>
          <w:szCs w:val="24"/>
          <w:lang w:val="fr-CH"/>
        </w:rPr>
        <w:t xml:space="preserve">apporter les modifications ci-après aux parties pertinentes des Annexes 2, 7, 8 et 10 de la </w:t>
      </w:r>
      <w:r w:rsidRPr="004570E0">
        <w:rPr>
          <w:szCs w:val="24"/>
          <w:lang w:val="fr-FR"/>
        </w:rPr>
        <w:t>Circulaire administrative</w:t>
      </w:r>
      <w:r w:rsidR="006B5079" w:rsidRPr="004570E0">
        <w:rPr>
          <w:szCs w:val="24"/>
          <w:lang w:val="fr-CH"/>
        </w:rPr>
        <w:t xml:space="preserve"> </w:t>
      </w:r>
      <w:r w:rsidRPr="004570E0">
        <w:rPr>
          <w:szCs w:val="24"/>
          <w:lang w:val="fr-CH"/>
        </w:rPr>
        <w:t>CA/251:</w:t>
      </w:r>
    </w:p>
    <w:p w14:paraId="15B4C6CF" w14:textId="00B95F63" w:rsidR="009630F9" w:rsidRPr="00EF115F" w:rsidRDefault="009630F9" w:rsidP="00C73AD1">
      <w:pPr>
        <w:pStyle w:val="enumlev1"/>
        <w:spacing w:line="240" w:lineRule="auto"/>
        <w:rPr>
          <w:rFonts w:eastAsia="SimSun"/>
          <w:lang w:val="fr-CH" w:eastAsia="zh-CN"/>
        </w:rPr>
      </w:pPr>
      <w:r w:rsidRPr="00496E06">
        <w:rPr>
          <w:rFonts w:eastAsia="SimSun"/>
          <w:lang w:val="fr-CH" w:eastAsia="zh-CN"/>
        </w:rPr>
        <w:t>–</w:t>
      </w:r>
      <w:r w:rsidRPr="00496E06">
        <w:rPr>
          <w:rFonts w:eastAsia="SimSun"/>
          <w:lang w:val="fr-CH" w:eastAsia="zh-CN"/>
        </w:rPr>
        <w:tab/>
      </w:r>
      <w:r w:rsidR="00496E06" w:rsidRPr="00496E06">
        <w:rPr>
          <w:rFonts w:eastAsia="SimSun"/>
          <w:lang w:val="fr-CH" w:eastAsia="zh-CN"/>
        </w:rPr>
        <w:t>Dans la</w:t>
      </w:r>
      <w:r w:rsidRPr="00496E06">
        <w:rPr>
          <w:rFonts w:eastAsia="SimSun"/>
          <w:lang w:val="fr-CH" w:eastAsia="zh-CN"/>
        </w:rPr>
        <w:t xml:space="preserve"> Résolution 812 (CMR-19),</w:t>
      </w:r>
      <w:r w:rsidR="00496E06">
        <w:rPr>
          <w:rFonts w:eastAsia="SimSun"/>
          <w:lang w:val="fr-CH" w:eastAsia="zh-CN"/>
        </w:rPr>
        <w:t xml:space="preserve"> au point</w:t>
      </w:r>
      <w:r w:rsidR="006B5079">
        <w:rPr>
          <w:rFonts w:eastAsia="SimSun"/>
          <w:lang w:val="fr-CH" w:eastAsia="zh-CN"/>
        </w:rPr>
        <w:t xml:space="preserve"> </w:t>
      </w:r>
      <w:r w:rsidR="00496E06" w:rsidRPr="00496E06">
        <w:rPr>
          <w:rFonts w:eastAsia="SimSun"/>
          <w:lang w:val="fr-CH" w:eastAsia="zh-CN"/>
        </w:rPr>
        <w:t>2.13 d</w:t>
      </w:r>
      <w:r w:rsidR="00496E06">
        <w:rPr>
          <w:rFonts w:eastAsia="SimSun"/>
          <w:lang w:val="fr-CH" w:eastAsia="zh-CN"/>
        </w:rPr>
        <w:t xml:space="preserve">u </w:t>
      </w:r>
      <w:r w:rsidR="00496E06" w:rsidRPr="009E1E9E">
        <w:rPr>
          <w:rFonts w:eastAsia="SimSun"/>
          <w:i/>
          <w:iCs/>
          <w:lang w:val="fr-CH" w:eastAsia="zh-CN"/>
        </w:rPr>
        <w:t>décide de formuler l'avis suivant</w:t>
      </w:r>
      <w:r w:rsidR="00496E06" w:rsidRPr="00EF115F">
        <w:rPr>
          <w:rFonts w:eastAsia="SimSun"/>
          <w:lang w:val="fr-CH" w:eastAsia="zh-CN"/>
        </w:rPr>
        <w:t xml:space="preserve">, </w:t>
      </w:r>
      <w:r w:rsidR="00496E06" w:rsidRPr="00496E06">
        <w:rPr>
          <w:rFonts w:eastAsia="SimSun"/>
          <w:lang w:val="fr-CH" w:eastAsia="zh-CN"/>
        </w:rPr>
        <w:t>il convient de placer entre crochets</w:t>
      </w:r>
      <w:r w:rsidR="006B5079">
        <w:rPr>
          <w:rFonts w:eastAsia="SimSun"/>
          <w:lang w:val="fr-CH" w:eastAsia="zh-CN"/>
        </w:rPr>
        <w:t xml:space="preserve"> </w:t>
      </w:r>
      <w:r w:rsidR="00EF115F">
        <w:rPr>
          <w:rFonts w:eastAsia="SimSun"/>
          <w:lang w:val="fr-CH" w:eastAsia="zh-CN"/>
        </w:rPr>
        <w:t xml:space="preserve">la gamme de fréquences </w:t>
      </w:r>
      <w:r w:rsidR="00496E06" w:rsidRPr="00EF115F">
        <w:rPr>
          <w:rFonts w:eastAsia="SimSun"/>
          <w:lang w:val="fr-CH" w:eastAsia="zh-CN"/>
        </w:rPr>
        <w:t>1,5</w:t>
      </w:r>
      <w:r w:rsidR="00EF115F">
        <w:rPr>
          <w:rFonts w:eastAsia="SimSun"/>
          <w:lang w:val="fr-CH" w:eastAsia="zh-CN"/>
        </w:rPr>
        <w:noBreakHyphen/>
      </w:r>
      <w:r w:rsidR="00496E06" w:rsidRPr="00EF115F">
        <w:rPr>
          <w:rFonts w:eastAsia="SimSun"/>
          <w:lang w:val="fr-CH" w:eastAsia="zh-CN"/>
        </w:rPr>
        <w:t>5 GHz</w:t>
      </w:r>
      <w:r w:rsidR="006B5079" w:rsidRPr="00EF115F">
        <w:rPr>
          <w:rFonts w:eastAsia="SimSun"/>
          <w:lang w:val="fr-CH" w:eastAsia="zh-CN"/>
        </w:rPr>
        <w:t xml:space="preserve"> </w:t>
      </w:r>
      <w:r w:rsidRPr="00496E06">
        <w:rPr>
          <w:rFonts w:eastAsia="SimSun"/>
          <w:lang w:val="fr-CH" w:eastAsia="zh-CN"/>
        </w:rPr>
        <w:t>(</w:t>
      </w:r>
      <w:r w:rsidR="00496E06">
        <w:rPr>
          <w:rFonts w:eastAsia="SimSun"/>
          <w:lang w:val="fr-CH" w:eastAsia="zh-CN"/>
        </w:rPr>
        <w:t>voir les modifications pertinentes apportées aux</w:t>
      </w:r>
      <w:r w:rsidRPr="00496E06">
        <w:rPr>
          <w:rFonts w:eastAsia="SimSun"/>
          <w:lang w:val="fr-CH" w:eastAsia="zh-CN"/>
        </w:rPr>
        <w:t xml:space="preserve"> Annexes 2, 8</w:t>
      </w:r>
      <w:r w:rsidR="00496E06">
        <w:rPr>
          <w:rFonts w:eastAsia="SimSun"/>
          <w:lang w:val="fr-CH" w:eastAsia="zh-CN"/>
        </w:rPr>
        <w:t xml:space="preserve"> et</w:t>
      </w:r>
      <w:r w:rsidRPr="00496E06">
        <w:rPr>
          <w:rFonts w:eastAsia="SimSun"/>
          <w:lang w:val="fr-CH" w:eastAsia="zh-CN"/>
        </w:rPr>
        <w:t xml:space="preserve"> 10 </w:t>
      </w:r>
      <w:r w:rsidR="00496E06" w:rsidRPr="00EF115F">
        <w:rPr>
          <w:rFonts w:eastAsia="SimSun"/>
          <w:lang w:val="fr-CH" w:eastAsia="zh-CN"/>
        </w:rPr>
        <w:t>de la Circulaire administrative</w:t>
      </w:r>
      <w:r w:rsidR="00EF115F">
        <w:rPr>
          <w:rFonts w:eastAsia="SimSun"/>
          <w:lang w:val="fr-CH" w:eastAsia="zh-CN"/>
        </w:rPr>
        <w:t> </w:t>
      </w:r>
      <w:r w:rsidRPr="00496E06">
        <w:rPr>
          <w:rFonts w:eastAsia="SimSun"/>
          <w:lang w:val="fr-CH" w:eastAsia="zh-CN"/>
        </w:rPr>
        <w:t>CA/251</w:t>
      </w:r>
      <w:r w:rsidR="00EF115F">
        <w:rPr>
          <w:rFonts w:eastAsia="SimSun"/>
          <w:lang w:val="fr-CH" w:eastAsia="zh-CN"/>
        </w:rPr>
        <w:t>, qui figurent</w:t>
      </w:r>
      <w:r w:rsidRPr="00496E06">
        <w:rPr>
          <w:rFonts w:eastAsia="SimSun"/>
          <w:lang w:val="fr-CH" w:eastAsia="zh-CN"/>
        </w:rPr>
        <w:t xml:space="preserve"> </w:t>
      </w:r>
      <w:r w:rsidR="00496E06">
        <w:rPr>
          <w:rFonts w:eastAsia="SimSun"/>
          <w:lang w:val="fr-CH" w:eastAsia="zh-CN"/>
        </w:rPr>
        <w:t>dans</w:t>
      </w:r>
      <w:r w:rsidRPr="00496E06">
        <w:rPr>
          <w:rFonts w:eastAsia="SimSun"/>
          <w:lang w:val="fr-CH" w:eastAsia="zh-CN"/>
        </w:rPr>
        <w:t xml:space="preserve"> </w:t>
      </w:r>
      <w:r w:rsidR="00496E06">
        <w:rPr>
          <w:rFonts w:eastAsia="SimSun"/>
          <w:lang w:val="fr-CH" w:eastAsia="zh-CN"/>
        </w:rPr>
        <w:t>l</w:t>
      </w:r>
      <w:r w:rsidR="006B5079">
        <w:rPr>
          <w:rFonts w:eastAsia="SimSun"/>
          <w:lang w:val="fr-CH" w:eastAsia="zh-CN"/>
        </w:rPr>
        <w:t>'</w:t>
      </w:r>
      <w:r w:rsidRPr="00496E06">
        <w:rPr>
          <w:rFonts w:eastAsia="SimSun"/>
          <w:lang w:val="fr-CH" w:eastAsia="zh-CN"/>
        </w:rPr>
        <w:t>Annex</w:t>
      </w:r>
      <w:r w:rsidR="00496E06">
        <w:rPr>
          <w:rFonts w:eastAsia="SimSun"/>
          <w:lang w:val="fr-CH" w:eastAsia="zh-CN"/>
        </w:rPr>
        <w:t>e</w:t>
      </w:r>
      <w:r w:rsidRPr="00496E06">
        <w:rPr>
          <w:rFonts w:eastAsia="SimSun"/>
          <w:lang w:val="fr-CH" w:eastAsia="zh-CN"/>
        </w:rPr>
        <w:t xml:space="preserve"> 1 </w:t>
      </w:r>
      <w:r w:rsidR="00496E06">
        <w:rPr>
          <w:rFonts w:eastAsia="SimSun"/>
          <w:lang w:val="fr-CH" w:eastAsia="zh-CN"/>
        </w:rPr>
        <w:t>du présent</w:t>
      </w:r>
      <w:r w:rsidRPr="00496E06">
        <w:rPr>
          <w:rFonts w:eastAsia="SimSun"/>
          <w:lang w:val="fr-CH" w:eastAsia="zh-CN"/>
        </w:rPr>
        <w:t xml:space="preserve"> Corrigendum 1)</w:t>
      </w:r>
      <w:r w:rsidR="002F086C">
        <w:rPr>
          <w:rFonts w:eastAsia="SimSun"/>
          <w:lang w:val="fr-CH" w:eastAsia="zh-CN"/>
        </w:rPr>
        <w:t> ;</w:t>
      </w:r>
    </w:p>
    <w:p w14:paraId="33C93D43" w14:textId="5276AC51" w:rsidR="009630F9" w:rsidRPr="001C59E2" w:rsidRDefault="009630F9" w:rsidP="00C73AD1">
      <w:pPr>
        <w:pStyle w:val="enumlev1"/>
        <w:keepNext/>
        <w:keepLines/>
        <w:spacing w:line="240" w:lineRule="auto"/>
        <w:rPr>
          <w:rFonts w:eastAsia="SimSun"/>
          <w:lang w:val="fr-CH" w:eastAsia="zh-CN"/>
        </w:rPr>
      </w:pPr>
      <w:r w:rsidRPr="001C59E2">
        <w:rPr>
          <w:rFonts w:eastAsia="SimSun"/>
          <w:lang w:val="fr-CH" w:eastAsia="zh-CN"/>
        </w:rPr>
        <w:lastRenderedPageBreak/>
        <w:t>–</w:t>
      </w:r>
      <w:r w:rsidRPr="001C59E2">
        <w:rPr>
          <w:rFonts w:eastAsia="SimSun"/>
          <w:lang w:val="fr-CH" w:eastAsia="zh-CN"/>
        </w:rPr>
        <w:tab/>
      </w:r>
      <w:r w:rsidR="007C0565" w:rsidRPr="001C59E2">
        <w:rPr>
          <w:rFonts w:eastAsia="SimSun"/>
          <w:lang w:val="fr-CH" w:eastAsia="zh-CN"/>
        </w:rPr>
        <w:t xml:space="preserve">Il convient </w:t>
      </w:r>
      <w:r w:rsidR="001C59E2">
        <w:rPr>
          <w:rFonts w:eastAsia="SimSun"/>
          <w:lang w:val="fr-CH" w:eastAsia="zh-CN"/>
        </w:rPr>
        <w:t>de remplacer</w:t>
      </w:r>
      <w:r w:rsidR="007C0565" w:rsidRPr="001C59E2">
        <w:rPr>
          <w:rFonts w:eastAsia="SimSun"/>
          <w:lang w:val="fr-CH" w:eastAsia="zh-CN"/>
        </w:rPr>
        <w:t xml:space="preserve"> </w:t>
      </w:r>
      <w:r w:rsidR="007C0565" w:rsidRPr="00EF115F">
        <w:rPr>
          <w:rFonts w:eastAsia="SimSun"/>
          <w:lang w:val="fr-CH" w:eastAsia="zh-CN"/>
        </w:rPr>
        <w:t>le</w:t>
      </w:r>
      <w:r w:rsidR="007C0565" w:rsidRPr="001C59E2">
        <w:rPr>
          <w:rFonts w:eastAsia="SimSun"/>
          <w:lang w:val="fr-CH" w:eastAsia="zh-CN"/>
        </w:rPr>
        <w:t xml:space="preserve"> </w:t>
      </w:r>
      <w:r w:rsidR="00496E06" w:rsidRPr="001C59E2">
        <w:rPr>
          <w:rFonts w:eastAsia="SimSun"/>
          <w:lang w:val="fr-CH" w:eastAsia="zh-CN"/>
        </w:rPr>
        <w:t xml:space="preserve">texte du point 8 du </w:t>
      </w:r>
      <w:r w:rsidR="00496E06" w:rsidRPr="001C59E2">
        <w:rPr>
          <w:rFonts w:eastAsia="SimSun"/>
          <w:i/>
          <w:iCs/>
          <w:lang w:val="fr-CH" w:eastAsia="zh-CN"/>
        </w:rPr>
        <w:t>décide d</w:t>
      </w:r>
      <w:r w:rsidR="006B5079" w:rsidRPr="001C59E2">
        <w:rPr>
          <w:rFonts w:eastAsia="SimSun"/>
          <w:i/>
          <w:iCs/>
          <w:lang w:val="fr-CH" w:eastAsia="zh-CN"/>
        </w:rPr>
        <w:t>'</w:t>
      </w:r>
      <w:r w:rsidR="00496E06" w:rsidRPr="001C59E2">
        <w:rPr>
          <w:rFonts w:eastAsia="SimSun"/>
          <w:i/>
          <w:iCs/>
          <w:lang w:val="fr-CH" w:eastAsia="zh-CN"/>
        </w:rPr>
        <w:t>inviter l</w:t>
      </w:r>
      <w:r w:rsidR="006B5079" w:rsidRPr="001C59E2">
        <w:rPr>
          <w:rFonts w:eastAsia="SimSun"/>
          <w:i/>
          <w:iCs/>
          <w:lang w:val="fr-CH" w:eastAsia="zh-CN"/>
        </w:rPr>
        <w:t>'</w:t>
      </w:r>
      <w:r w:rsidR="00496E06" w:rsidRPr="001C59E2">
        <w:rPr>
          <w:rFonts w:eastAsia="SimSun"/>
          <w:i/>
          <w:iCs/>
          <w:lang w:val="fr-CH" w:eastAsia="zh-CN"/>
        </w:rPr>
        <w:t>UIT</w:t>
      </w:r>
      <w:r w:rsidR="00496E06" w:rsidRPr="001C59E2">
        <w:rPr>
          <w:rFonts w:eastAsia="SimSun"/>
          <w:i/>
          <w:iCs/>
          <w:lang w:val="fr-CH" w:eastAsia="zh-CN"/>
        </w:rPr>
        <w:noBreakHyphen/>
        <w:t>R</w:t>
      </w:r>
      <w:r w:rsidR="00496E06" w:rsidRPr="001C59E2">
        <w:rPr>
          <w:rFonts w:eastAsia="SimSun"/>
          <w:lang w:val="fr-CH" w:eastAsia="zh-CN"/>
        </w:rPr>
        <w:t xml:space="preserve"> de la</w:t>
      </w:r>
      <w:r w:rsidRPr="001C59E2">
        <w:rPr>
          <w:rFonts w:eastAsia="SimSun"/>
          <w:lang w:val="fr-CH" w:eastAsia="zh-CN"/>
        </w:rPr>
        <w:t xml:space="preserve"> R</w:t>
      </w:r>
      <w:r w:rsidR="00496E06" w:rsidRPr="001C59E2">
        <w:rPr>
          <w:rFonts w:eastAsia="SimSun"/>
          <w:lang w:val="fr-CH" w:eastAsia="zh-CN"/>
        </w:rPr>
        <w:t>é</w:t>
      </w:r>
      <w:r w:rsidRPr="001C59E2">
        <w:rPr>
          <w:rFonts w:eastAsia="SimSun"/>
          <w:lang w:val="fr-CH" w:eastAsia="zh-CN"/>
        </w:rPr>
        <w:t xml:space="preserve">solution 172 (CMR-19) </w:t>
      </w:r>
      <w:r w:rsidR="001C59E2">
        <w:rPr>
          <w:rFonts w:eastAsia="SimSun"/>
          <w:lang w:val="fr-CH" w:eastAsia="zh-CN"/>
        </w:rPr>
        <w:t xml:space="preserve">par le texte </w:t>
      </w:r>
      <w:r w:rsidR="00496E06" w:rsidRPr="001C59E2">
        <w:rPr>
          <w:rFonts w:eastAsia="SimSun"/>
          <w:lang w:val="fr-CH" w:eastAsia="zh-CN"/>
        </w:rPr>
        <w:t xml:space="preserve">du point 5 du </w:t>
      </w:r>
      <w:r w:rsidR="00496E06" w:rsidRPr="001C59E2">
        <w:rPr>
          <w:rFonts w:eastAsia="SimSun"/>
          <w:i/>
          <w:iCs/>
          <w:lang w:val="fr-CH" w:eastAsia="zh-CN"/>
        </w:rPr>
        <w:t>décide d</w:t>
      </w:r>
      <w:r w:rsidR="006B5079" w:rsidRPr="001C59E2">
        <w:rPr>
          <w:rFonts w:eastAsia="SimSun"/>
          <w:i/>
          <w:iCs/>
          <w:lang w:val="fr-CH" w:eastAsia="zh-CN"/>
        </w:rPr>
        <w:t>'</w:t>
      </w:r>
      <w:r w:rsidR="00496E06" w:rsidRPr="001C59E2">
        <w:rPr>
          <w:rFonts w:eastAsia="SimSun"/>
          <w:i/>
          <w:iCs/>
          <w:lang w:val="fr-CH" w:eastAsia="zh-CN"/>
        </w:rPr>
        <w:t>inviter l</w:t>
      </w:r>
      <w:r w:rsidR="006B5079" w:rsidRPr="001C59E2">
        <w:rPr>
          <w:rFonts w:eastAsia="SimSun"/>
          <w:i/>
          <w:iCs/>
          <w:lang w:val="fr-CH" w:eastAsia="zh-CN"/>
        </w:rPr>
        <w:t>'</w:t>
      </w:r>
      <w:r w:rsidR="00496E06" w:rsidRPr="001C59E2">
        <w:rPr>
          <w:rFonts w:eastAsia="SimSun"/>
          <w:i/>
          <w:iCs/>
          <w:lang w:val="fr-CH" w:eastAsia="zh-CN"/>
        </w:rPr>
        <w:t>UIT</w:t>
      </w:r>
      <w:r w:rsidR="00496E06" w:rsidRPr="001C59E2">
        <w:rPr>
          <w:rFonts w:eastAsia="SimSun"/>
          <w:i/>
          <w:iCs/>
          <w:lang w:val="fr-CH" w:eastAsia="zh-CN"/>
        </w:rPr>
        <w:noBreakHyphen/>
        <w:t>R</w:t>
      </w:r>
      <w:r w:rsidR="00496E06" w:rsidRPr="001C59E2">
        <w:rPr>
          <w:rFonts w:eastAsia="SimSun"/>
          <w:lang w:val="fr-CH" w:eastAsia="zh-CN"/>
        </w:rPr>
        <w:t xml:space="preserve"> de la Résolution </w:t>
      </w:r>
      <w:r w:rsidRPr="001C59E2">
        <w:rPr>
          <w:rFonts w:eastAsia="SimSun"/>
          <w:lang w:val="fr-CH" w:eastAsia="zh-CN"/>
        </w:rPr>
        <w:t>173 (CMR-19)</w:t>
      </w:r>
      <w:r w:rsidR="007C0565" w:rsidRPr="001C59E2">
        <w:rPr>
          <w:rFonts w:eastAsia="SimSun"/>
          <w:lang w:val="fr-CH" w:eastAsia="zh-CN"/>
        </w:rPr>
        <w:t xml:space="preserve"> </w:t>
      </w:r>
      <w:r w:rsidR="001C59E2">
        <w:rPr>
          <w:rFonts w:eastAsia="SimSun"/>
          <w:lang w:val="fr-CH" w:eastAsia="zh-CN"/>
        </w:rPr>
        <w:t xml:space="preserve">et inversement </w:t>
      </w:r>
      <w:r w:rsidRPr="001C59E2">
        <w:rPr>
          <w:rFonts w:eastAsia="SimSun"/>
          <w:lang w:val="fr-CH" w:eastAsia="zh-CN"/>
        </w:rPr>
        <w:t>(</w:t>
      </w:r>
      <w:r w:rsidR="007C0565" w:rsidRPr="001C59E2">
        <w:rPr>
          <w:rFonts w:eastAsia="SimSun"/>
          <w:lang w:val="fr-CH" w:eastAsia="zh-CN"/>
        </w:rPr>
        <w:t xml:space="preserve">voir les modifications pertinentes apportées </w:t>
      </w:r>
      <w:r w:rsidR="00EF3727" w:rsidRPr="001C59E2">
        <w:rPr>
          <w:rFonts w:eastAsia="SimSun"/>
          <w:lang w:val="fr-CH" w:eastAsia="zh-CN"/>
        </w:rPr>
        <w:t>à</w:t>
      </w:r>
      <w:r w:rsidRPr="001C59E2">
        <w:rPr>
          <w:rFonts w:eastAsia="SimSun"/>
          <w:lang w:val="fr-CH" w:eastAsia="zh-CN"/>
        </w:rPr>
        <w:t xml:space="preserve"> </w:t>
      </w:r>
      <w:r w:rsidR="007C0565" w:rsidRPr="001C59E2">
        <w:rPr>
          <w:rFonts w:eastAsia="SimSun"/>
          <w:lang w:val="fr-CH" w:eastAsia="zh-CN"/>
        </w:rPr>
        <w:t>l</w:t>
      </w:r>
      <w:r w:rsidR="006B5079" w:rsidRPr="001C59E2">
        <w:rPr>
          <w:rFonts w:eastAsia="SimSun"/>
          <w:lang w:val="fr-CH" w:eastAsia="zh-CN"/>
        </w:rPr>
        <w:t>'</w:t>
      </w:r>
      <w:r w:rsidRPr="001C59E2">
        <w:rPr>
          <w:rFonts w:eastAsia="SimSun"/>
          <w:lang w:val="fr-CH" w:eastAsia="zh-CN"/>
        </w:rPr>
        <w:t>Annex</w:t>
      </w:r>
      <w:r w:rsidR="007C0565" w:rsidRPr="001C59E2">
        <w:rPr>
          <w:rFonts w:eastAsia="SimSun"/>
          <w:lang w:val="fr-CH" w:eastAsia="zh-CN"/>
        </w:rPr>
        <w:t>e</w:t>
      </w:r>
      <w:r w:rsidRPr="001C59E2">
        <w:rPr>
          <w:rFonts w:eastAsia="SimSun"/>
          <w:lang w:val="fr-CH" w:eastAsia="zh-CN"/>
        </w:rPr>
        <w:t xml:space="preserve"> 7 </w:t>
      </w:r>
      <w:r w:rsidR="007C0565" w:rsidRPr="001C59E2">
        <w:rPr>
          <w:rFonts w:eastAsia="SimSun"/>
          <w:lang w:val="fr-CH" w:eastAsia="zh-CN"/>
        </w:rPr>
        <w:t xml:space="preserve">de la Circulaire administrative </w:t>
      </w:r>
      <w:r w:rsidRPr="001C59E2">
        <w:rPr>
          <w:rFonts w:eastAsia="SimSun"/>
          <w:lang w:val="fr-CH" w:eastAsia="zh-CN"/>
        </w:rPr>
        <w:t>CA/251</w:t>
      </w:r>
      <w:r w:rsidR="001C59E2">
        <w:rPr>
          <w:rFonts w:eastAsia="SimSun"/>
          <w:lang w:val="fr-CH" w:eastAsia="zh-CN"/>
        </w:rPr>
        <w:t>, qui figurent</w:t>
      </w:r>
      <w:r w:rsidR="007C0565" w:rsidRPr="001C59E2">
        <w:rPr>
          <w:rFonts w:eastAsia="SimSun"/>
          <w:lang w:val="fr-CH" w:eastAsia="zh-CN"/>
        </w:rPr>
        <w:t xml:space="preserve"> dans l</w:t>
      </w:r>
      <w:r w:rsidR="006B5079" w:rsidRPr="001C59E2">
        <w:rPr>
          <w:rFonts w:eastAsia="SimSun"/>
          <w:lang w:val="fr-CH" w:eastAsia="zh-CN"/>
        </w:rPr>
        <w:t>'</w:t>
      </w:r>
      <w:r w:rsidR="007C0565" w:rsidRPr="001C59E2">
        <w:rPr>
          <w:rFonts w:eastAsia="SimSun"/>
          <w:lang w:val="fr-CH" w:eastAsia="zh-CN"/>
        </w:rPr>
        <w:t>Annexe 2 du présent</w:t>
      </w:r>
      <w:r w:rsidRPr="001C59E2">
        <w:rPr>
          <w:rFonts w:eastAsia="SimSun"/>
          <w:lang w:val="fr-CH" w:eastAsia="zh-CN"/>
        </w:rPr>
        <w:t xml:space="preserve"> Corrigendum 1).</w:t>
      </w:r>
    </w:p>
    <w:p w14:paraId="7B619C4C" w14:textId="469D2FF3" w:rsidR="002569F7" w:rsidRPr="00DA5FDE" w:rsidRDefault="004F47EA" w:rsidP="002F086C">
      <w:pPr>
        <w:keepNext/>
        <w:keepLines/>
        <w:spacing w:before="2280" w:line="240" w:lineRule="auto"/>
        <w:jc w:val="left"/>
        <w:rPr>
          <w:szCs w:val="24"/>
          <w:lang w:val="fr-FR"/>
        </w:rPr>
      </w:pPr>
      <w:r w:rsidRPr="00DA5FDE">
        <w:rPr>
          <w:rFonts w:asciiTheme="minorHAnsi" w:hAnsiTheme="minorHAnsi" w:cstheme="minorHAnsi"/>
          <w:lang w:val="fr-FR"/>
        </w:rPr>
        <w:t xml:space="preserve">Mario </w:t>
      </w:r>
      <w:r w:rsidRPr="00DA5FDE">
        <w:rPr>
          <w:lang w:val="fr-FR"/>
        </w:rPr>
        <w:t>Maniewicz</w:t>
      </w:r>
      <w:r w:rsidR="00E53DCE" w:rsidRPr="00DA5FDE">
        <w:rPr>
          <w:szCs w:val="24"/>
          <w:lang w:val="fr-FR"/>
        </w:rPr>
        <w:br/>
        <w:t>Directeur</w:t>
      </w:r>
    </w:p>
    <w:p w14:paraId="6AB6180D" w14:textId="3EBEE27E" w:rsidR="0058688A" w:rsidRPr="00DA5FDE" w:rsidRDefault="0058688A" w:rsidP="00110E6F">
      <w:pPr>
        <w:pStyle w:val="enumlev1"/>
        <w:tabs>
          <w:tab w:val="clear" w:pos="794"/>
          <w:tab w:val="left" w:pos="567"/>
        </w:tabs>
        <w:spacing w:before="0" w:line="240" w:lineRule="auto"/>
        <w:ind w:left="567" w:hanging="567"/>
        <w:jc w:val="left"/>
        <w:rPr>
          <w:szCs w:val="24"/>
          <w:lang w:val="fr-FR"/>
        </w:rPr>
      </w:pPr>
      <w:r w:rsidRPr="00DA5FDE">
        <w:rPr>
          <w:szCs w:val="24"/>
          <w:lang w:val="fr-FR"/>
        </w:rPr>
        <w:br w:type="page"/>
      </w:r>
    </w:p>
    <w:p w14:paraId="22440DAE" w14:textId="17455C10" w:rsidR="00C3556B" w:rsidRPr="00DA5FDE" w:rsidRDefault="00FB7CD4" w:rsidP="00110E6F">
      <w:pPr>
        <w:pStyle w:val="AnnexNoTitle"/>
        <w:spacing w:line="240" w:lineRule="auto"/>
        <w:rPr>
          <w:b w:val="0"/>
          <w:bCs/>
          <w:sz w:val="28"/>
          <w:szCs w:val="28"/>
          <w:lang w:val="fr-FR"/>
        </w:rPr>
      </w:pPr>
      <w:r w:rsidRPr="00DA5FDE">
        <w:rPr>
          <w:b w:val="0"/>
          <w:bCs/>
          <w:sz w:val="28"/>
          <w:szCs w:val="28"/>
          <w:lang w:val="fr-FR"/>
        </w:rPr>
        <w:lastRenderedPageBreak/>
        <w:t>ANNEXE</w:t>
      </w:r>
      <w:r w:rsidR="00472C5D" w:rsidRPr="00DA5FDE">
        <w:rPr>
          <w:b w:val="0"/>
          <w:bCs/>
          <w:sz w:val="28"/>
          <w:szCs w:val="28"/>
          <w:lang w:val="fr-FR"/>
        </w:rPr>
        <w:t xml:space="preserve"> 1</w:t>
      </w:r>
    </w:p>
    <w:p w14:paraId="5790D832" w14:textId="50206636" w:rsidR="00EF3727" w:rsidRPr="003A2095" w:rsidRDefault="003A2095" w:rsidP="00110E6F">
      <w:pPr>
        <w:pStyle w:val="AnnexNotitle0"/>
        <w:spacing w:before="160" w:after="120"/>
        <w:rPr>
          <w:rFonts w:asciiTheme="minorHAnsi" w:hAnsiTheme="minorHAnsi"/>
          <w:lang w:val="fr-CH"/>
        </w:rPr>
      </w:pPr>
      <w:r w:rsidRPr="003A2095">
        <w:rPr>
          <w:rFonts w:asciiTheme="minorHAnsi" w:hAnsiTheme="minorHAnsi"/>
          <w:lang w:val="fr-CH"/>
        </w:rPr>
        <w:t xml:space="preserve">Modifications apportées aux </w:t>
      </w:r>
      <w:r w:rsidR="00EF3727" w:rsidRPr="003A2095">
        <w:rPr>
          <w:rFonts w:asciiTheme="minorHAnsi" w:hAnsiTheme="minorHAnsi"/>
          <w:lang w:val="fr-CH"/>
        </w:rPr>
        <w:t xml:space="preserve">Annexes 2, 8 </w:t>
      </w:r>
      <w:r w:rsidRPr="003A2095">
        <w:rPr>
          <w:rFonts w:asciiTheme="minorHAnsi" w:hAnsiTheme="minorHAnsi"/>
          <w:lang w:val="fr-CH"/>
        </w:rPr>
        <w:t>et</w:t>
      </w:r>
      <w:r>
        <w:rPr>
          <w:rFonts w:asciiTheme="minorHAnsi" w:hAnsiTheme="minorHAnsi"/>
          <w:lang w:val="fr-CH"/>
        </w:rPr>
        <w:t xml:space="preserve"> </w:t>
      </w:r>
      <w:r w:rsidR="00EF3727" w:rsidRPr="003A2095">
        <w:rPr>
          <w:rFonts w:asciiTheme="minorHAnsi" w:hAnsiTheme="minorHAnsi"/>
          <w:lang w:val="fr-CH"/>
        </w:rPr>
        <w:t xml:space="preserve">10 </w:t>
      </w:r>
      <w:r>
        <w:rPr>
          <w:rFonts w:asciiTheme="minorHAnsi" w:hAnsiTheme="minorHAnsi"/>
          <w:lang w:val="fr-CH"/>
        </w:rPr>
        <w:t xml:space="preserve">de la </w:t>
      </w:r>
      <w:r w:rsidR="00A67495">
        <w:rPr>
          <w:rFonts w:asciiTheme="minorHAnsi" w:hAnsiTheme="minorHAnsi"/>
          <w:lang w:val="fr-CH"/>
        </w:rPr>
        <w:br/>
      </w:r>
      <w:r>
        <w:rPr>
          <w:rFonts w:asciiTheme="minorHAnsi" w:hAnsiTheme="minorHAnsi"/>
          <w:lang w:val="fr-CH"/>
        </w:rPr>
        <w:t xml:space="preserve">Circulaire administrative </w:t>
      </w:r>
      <w:r w:rsidR="00EF3727" w:rsidRPr="003A2095">
        <w:rPr>
          <w:rFonts w:asciiTheme="minorHAnsi" w:hAnsiTheme="minorHAnsi"/>
          <w:lang w:val="fr-CH"/>
        </w:rPr>
        <w:t>CA/251</w:t>
      </w:r>
    </w:p>
    <w:p w14:paraId="6AC2ECEC" w14:textId="487274EA" w:rsidR="00EF3727" w:rsidRPr="002F086C" w:rsidRDefault="00A67495" w:rsidP="002F086C">
      <w:pPr>
        <w:spacing w:line="240" w:lineRule="auto"/>
        <w:rPr>
          <w:rFonts w:asciiTheme="minorHAnsi" w:hAnsiTheme="minorHAnsi" w:cstheme="minorHAnsi"/>
          <w:sz w:val="23"/>
          <w:szCs w:val="23"/>
          <w:lang w:val="fr-CH"/>
        </w:rPr>
      </w:pPr>
      <w:r w:rsidRPr="002F086C">
        <w:rPr>
          <w:rFonts w:asciiTheme="minorHAnsi" w:hAnsiTheme="minorHAnsi" w:cstheme="minorHAnsi"/>
          <w:sz w:val="23"/>
          <w:szCs w:val="23"/>
          <w:lang w:val="fr-CH"/>
        </w:rPr>
        <w:t>1</w:t>
      </w:r>
      <w:r w:rsidR="00DE5E1D">
        <w:rPr>
          <w:rFonts w:asciiTheme="minorHAnsi" w:hAnsiTheme="minorHAnsi" w:cstheme="minorHAnsi"/>
          <w:sz w:val="23"/>
          <w:szCs w:val="23"/>
          <w:lang w:val="fr-CH"/>
        </w:rPr>
        <w:t>.</w:t>
      </w:r>
      <w:r w:rsidRPr="002F086C">
        <w:rPr>
          <w:rFonts w:asciiTheme="minorHAnsi" w:hAnsiTheme="minorHAnsi" w:cstheme="minorHAnsi"/>
          <w:sz w:val="23"/>
          <w:szCs w:val="23"/>
          <w:lang w:val="fr-CH"/>
        </w:rPr>
        <w:tab/>
      </w:r>
      <w:r w:rsidR="00EF3727" w:rsidRPr="002F086C">
        <w:rPr>
          <w:rFonts w:asciiTheme="minorHAnsi" w:hAnsiTheme="minorHAnsi" w:cstheme="minorHAnsi"/>
          <w:sz w:val="23"/>
          <w:szCs w:val="23"/>
          <w:lang w:val="fr-CH"/>
        </w:rPr>
        <w:t>Dans l</w:t>
      </w:r>
      <w:r w:rsidR="006B5079" w:rsidRPr="002F086C">
        <w:rPr>
          <w:rFonts w:asciiTheme="minorHAnsi" w:hAnsiTheme="minorHAnsi" w:cstheme="minorHAnsi"/>
          <w:sz w:val="23"/>
          <w:szCs w:val="23"/>
          <w:lang w:val="fr-CH"/>
        </w:rPr>
        <w:t>'</w:t>
      </w:r>
      <w:r w:rsidR="00EF3727" w:rsidRPr="002F086C">
        <w:rPr>
          <w:rFonts w:asciiTheme="minorHAnsi" w:hAnsiTheme="minorHAnsi" w:cstheme="minorHAnsi"/>
          <w:sz w:val="23"/>
          <w:szCs w:val="23"/>
          <w:lang w:val="fr-CH"/>
        </w:rPr>
        <w:t>Annexe 2 de la Circulaire administrative</w:t>
      </w:r>
      <w:r w:rsidR="006B5079" w:rsidRPr="002F086C">
        <w:rPr>
          <w:rFonts w:asciiTheme="minorHAnsi" w:hAnsiTheme="minorHAnsi" w:cstheme="minorHAnsi"/>
          <w:sz w:val="23"/>
          <w:szCs w:val="23"/>
          <w:lang w:val="fr-CH"/>
        </w:rPr>
        <w:t xml:space="preserve"> </w:t>
      </w:r>
      <w:r w:rsidR="00EF3727" w:rsidRPr="002F086C">
        <w:rPr>
          <w:rFonts w:asciiTheme="minorHAnsi" w:hAnsiTheme="minorHAnsi" w:cstheme="minorHAnsi"/>
          <w:sz w:val="23"/>
          <w:szCs w:val="23"/>
          <w:lang w:val="fr-CH"/>
        </w:rPr>
        <w:t>CA/251, veuillez remplacer le texte du point</w:t>
      </w:r>
      <w:r w:rsidRPr="002F086C">
        <w:rPr>
          <w:rFonts w:asciiTheme="minorHAnsi" w:hAnsiTheme="minorHAnsi" w:cstheme="minorHAnsi"/>
          <w:sz w:val="23"/>
          <w:szCs w:val="23"/>
          <w:lang w:val="fr-CH"/>
        </w:rPr>
        <w:t> </w:t>
      </w:r>
      <w:r w:rsidR="00EF3727" w:rsidRPr="002F086C">
        <w:rPr>
          <w:rFonts w:asciiTheme="minorHAnsi" w:hAnsiTheme="minorHAnsi" w:cstheme="minorHAnsi"/>
          <w:sz w:val="23"/>
          <w:szCs w:val="23"/>
          <w:lang w:val="fr-CH"/>
        </w:rPr>
        <w:t xml:space="preserve">2.13 du </w:t>
      </w:r>
      <w:r w:rsidR="00EF3727" w:rsidRPr="002F086C">
        <w:rPr>
          <w:rFonts w:asciiTheme="minorHAnsi" w:hAnsiTheme="minorHAnsi" w:cstheme="minorHAnsi"/>
          <w:i/>
          <w:iCs/>
          <w:sz w:val="23"/>
          <w:szCs w:val="23"/>
          <w:lang w:val="fr-CH"/>
        </w:rPr>
        <w:t>décide de formuler l'avis suivant</w:t>
      </w:r>
      <w:r w:rsidR="00EF3727" w:rsidRPr="002F086C">
        <w:rPr>
          <w:rFonts w:asciiTheme="minorHAnsi" w:hAnsiTheme="minorHAnsi" w:cstheme="minorHAnsi"/>
          <w:sz w:val="23"/>
          <w:szCs w:val="23"/>
          <w:lang w:val="fr-CH"/>
        </w:rPr>
        <w:t xml:space="preserve"> de la Résolution 812 (CMR-19) par le texte ci-après</w:t>
      </w:r>
      <w:r w:rsidR="009E1E9E" w:rsidRPr="002F086C">
        <w:rPr>
          <w:rFonts w:asciiTheme="minorHAnsi" w:hAnsiTheme="minorHAnsi" w:cstheme="minorHAnsi"/>
          <w:sz w:val="23"/>
          <w:szCs w:val="23"/>
          <w:lang w:val="fr-CH"/>
        </w:rPr>
        <w:t>:</w:t>
      </w:r>
    </w:p>
    <w:p w14:paraId="5308161D" w14:textId="54BFC747" w:rsidR="00EF3727" w:rsidRPr="002F086C" w:rsidRDefault="009E1E9E" w:rsidP="002F086C">
      <w:pPr>
        <w:spacing w:line="240" w:lineRule="auto"/>
        <w:rPr>
          <w:highlight w:val="green"/>
          <w:lang w:val="fr-CH"/>
        </w:rPr>
      </w:pPr>
      <w:r>
        <w:rPr>
          <w:lang w:val="fr-FR"/>
        </w:rPr>
        <w:t>«</w:t>
      </w:r>
      <w:r w:rsidR="00EF3727" w:rsidRPr="00A67495">
        <w:rPr>
          <w:lang w:val="fr-FR"/>
        </w:rPr>
        <w:t>2.13</w:t>
      </w:r>
      <w:r w:rsidR="00EF3727" w:rsidRPr="00A67495">
        <w:rPr>
          <w:lang w:val="fr-FR"/>
        </w:rPr>
        <w:tab/>
        <w:t xml:space="preserve">envisager une éventuelle attribution à l'échelle mondiale au service mobile par satellite, en vue du développement futur des systèmes mobiles à satellites à bande étroite dans les bandes de fréquences comprises entre [1,5 et 5 GHz], conformément à la Résolution </w:t>
      </w:r>
      <w:r w:rsidR="00EF3727" w:rsidRPr="00A67495">
        <w:rPr>
          <w:b/>
          <w:bCs/>
          <w:lang w:val="fr-FR"/>
        </w:rPr>
        <w:t>248 (CMR</w:t>
      </w:r>
      <w:r w:rsidR="00EF3727" w:rsidRPr="00A67495">
        <w:rPr>
          <w:b/>
          <w:bCs/>
          <w:lang w:val="fr-FR"/>
        </w:rPr>
        <w:noBreakHyphen/>
        <w:t>19)</w:t>
      </w:r>
      <w:proofErr w:type="gramStart"/>
      <w:r w:rsidR="00995324" w:rsidRPr="00995324">
        <w:rPr>
          <w:bCs/>
          <w:lang w:val="fr-FR"/>
        </w:rPr>
        <w:t>,</w:t>
      </w:r>
      <w:r>
        <w:rPr>
          <w:lang w:val="fr-FR"/>
        </w:rPr>
        <w:t>»</w:t>
      </w:r>
      <w:proofErr w:type="gramEnd"/>
    </w:p>
    <w:p w14:paraId="78454474" w14:textId="2EC958DD" w:rsidR="00EF3727" w:rsidRPr="002F086C" w:rsidRDefault="00DE5E1D" w:rsidP="002F086C">
      <w:pPr>
        <w:spacing w:after="120" w:line="240" w:lineRule="auto"/>
        <w:rPr>
          <w:sz w:val="23"/>
          <w:szCs w:val="23"/>
          <w:lang w:val="fr-CH"/>
        </w:rPr>
      </w:pPr>
      <w:r>
        <w:rPr>
          <w:sz w:val="23"/>
          <w:szCs w:val="23"/>
          <w:lang w:val="fr-CH"/>
        </w:rPr>
        <w:t>2.</w:t>
      </w:r>
      <w:r w:rsidR="00A67495" w:rsidRPr="002F086C">
        <w:rPr>
          <w:sz w:val="23"/>
          <w:szCs w:val="23"/>
          <w:lang w:val="fr-CH"/>
        </w:rPr>
        <w:tab/>
      </w:r>
      <w:r w:rsidR="00EF3727" w:rsidRPr="002F086C">
        <w:rPr>
          <w:sz w:val="23"/>
          <w:szCs w:val="23"/>
          <w:lang w:val="fr-CH"/>
        </w:rPr>
        <w:t>Dans le tableau de l</w:t>
      </w:r>
      <w:r w:rsidR="006B5079" w:rsidRPr="002F086C">
        <w:rPr>
          <w:sz w:val="23"/>
          <w:szCs w:val="23"/>
          <w:lang w:val="fr-CH"/>
        </w:rPr>
        <w:t>'</w:t>
      </w:r>
      <w:r w:rsidR="00EF3727" w:rsidRPr="002F086C">
        <w:rPr>
          <w:sz w:val="23"/>
          <w:szCs w:val="23"/>
          <w:lang w:val="fr-CH"/>
        </w:rPr>
        <w:t>Annexe 8 de la Circulaire administrative</w:t>
      </w:r>
      <w:r w:rsidR="006B5079" w:rsidRPr="002F086C">
        <w:rPr>
          <w:sz w:val="23"/>
          <w:szCs w:val="23"/>
          <w:lang w:val="fr-CH"/>
        </w:rPr>
        <w:t xml:space="preserve"> </w:t>
      </w:r>
      <w:r w:rsidR="00EF3727" w:rsidRPr="002F086C">
        <w:rPr>
          <w:sz w:val="23"/>
          <w:szCs w:val="23"/>
          <w:lang w:val="fr-CH"/>
        </w:rPr>
        <w:t>CA/251, intitulé</w:t>
      </w:r>
      <w:proofErr w:type="gramStart"/>
      <w:r w:rsidR="00EF3727" w:rsidRPr="002F086C">
        <w:rPr>
          <w:sz w:val="23"/>
          <w:szCs w:val="23"/>
          <w:lang w:val="fr-CH"/>
        </w:rPr>
        <w:t xml:space="preserve"> </w:t>
      </w:r>
      <w:r w:rsidR="00EF3727" w:rsidRPr="00B04A27">
        <w:rPr>
          <w:szCs w:val="23"/>
          <w:lang w:val="fr-CH"/>
        </w:rPr>
        <w:t>«Répartition</w:t>
      </w:r>
      <w:proofErr w:type="gramEnd"/>
      <w:r w:rsidR="00EF3727" w:rsidRPr="00B04A27">
        <w:rPr>
          <w:szCs w:val="23"/>
          <w:lang w:val="fr-CH"/>
        </w:rPr>
        <w:t xml:space="preserve"> des travaux préparatoires de l'UIT-R en vue de la CMR-27»</w:t>
      </w:r>
      <w:r w:rsidR="00EF3727" w:rsidRPr="002F086C">
        <w:rPr>
          <w:sz w:val="23"/>
          <w:szCs w:val="23"/>
          <w:lang w:val="fr-CH"/>
        </w:rPr>
        <w:t xml:space="preserve">, </w:t>
      </w:r>
      <w:r w:rsidR="00746A73" w:rsidRPr="002F086C">
        <w:rPr>
          <w:sz w:val="23"/>
          <w:szCs w:val="23"/>
          <w:lang w:val="fr-CH"/>
        </w:rPr>
        <w:t>veuillez remplacer le texte du point</w:t>
      </w:r>
      <w:r w:rsidR="006B5079" w:rsidRPr="002F086C">
        <w:rPr>
          <w:sz w:val="23"/>
          <w:szCs w:val="23"/>
          <w:lang w:val="fr-CH"/>
        </w:rPr>
        <w:t xml:space="preserve"> </w:t>
      </w:r>
      <w:r w:rsidR="00746A73" w:rsidRPr="002F086C">
        <w:rPr>
          <w:sz w:val="23"/>
          <w:szCs w:val="23"/>
          <w:lang w:val="fr-CH"/>
        </w:rPr>
        <w:t>2.13 par le texte ci-après</w:t>
      </w:r>
      <w:r w:rsidR="009E1E9E" w:rsidRPr="002F086C">
        <w:rPr>
          <w:sz w:val="23"/>
          <w:szCs w:val="23"/>
          <w:lang w:val="fr-CH"/>
        </w:rPr>
        <w:t>:</w:t>
      </w:r>
      <w:r w:rsidR="006B5079" w:rsidRPr="002F086C">
        <w:rPr>
          <w:sz w:val="23"/>
          <w:szCs w:val="23"/>
          <w:lang w:val="fr-CH"/>
        </w:rPr>
        <w:t xml:space="preserve"> </w:t>
      </w:r>
    </w:p>
    <w:tbl>
      <w:tblPr>
        <w:tblStyle w:val="TableGrid"/>
        <w:tblW w:w="0" w:type="auto"/>
        <w:tblLook w:val="04A0" w:firstRow="1" w:lastRow="0" w:firstColumn="1" w:lastColumn="0" w:noHBand="0" w:noVBand="1"/>
      </w:tblPr>
      <w:tblGrid>
        <w:gridCol w:w="9629"/>
      </w:tblGrid>
      <w:tr w:rsidR="00F53B1B" w:rsidRPr="00995324" w14:paraId="1FB3D5D1" w14:textId="77777777" w:rsidTr="00F53B1B">
        <w:tc>
          <w:tcPr>
            <w:tcW w:w="9629" w:type="dxa"/>
          </w:tcPr>
          <w:p w14:paraId="27346282" w14:textId="047C6F92" w:rsidR="00F53B1B" w:rsidRPr="00F901F0" w:rsidRDefault="00F53B1B" w:rsidP="002F086C">
            <w:pPr>
              <w:spacing w:before="120" w:after="120" w:line="240" w:lineRule="auto"/>
              <w:rPr>
                <w:lang w:val="fr-CH"/>
              </w:rPr>
            </w:pPr>
            <w:r w:rsidRPr="00A67495">
              <w:rPr>
                <w:lang w:val="fr-FR"/>
              </w:rPr>
              <w:t>2.13</w:t>
            </w:r>
            <w:r w:rsidRPr="00A67495">
              <w:rPr>
                <w:lang w:val="fr-FR"/>
              </w:rPr>
              <w:tab/>
              <w:t xml:space="preserve">envisager une éventuelle attribution à l'échelle mondiale au service mobile par satellite, en vue du développement futur des systèmes mobiles à satellites à bande étroite dans les bandes de fréquences comprises entre [1,5 et 5 GHz], conformément à la Résolution </w:t>
            </w:r>
            <w:r w:rsidRPr="00A67495">
              <w:rPr>
                <w:b/>
                <w:bCs/>
                <w:lang w:val="fr-FR"/>
              </w:rPr>
              <w:t>248 (CMR</w:t>
            </w:r>
            <w:r w:rsidRPr="00A67495">
              <w:rPr>
                <w:b/>
                <w:bCs/>
                <w:lang w:val="fr-FR"/>
              </w:rPr>
              <w:noBreakHyphen/>
              <w:t>19)</w:t>
            </w:r>
            <w:r w:rsidR="00995324">
              <w:rPr>
                <w:lang w:val="fr-FR"/>
              </w:rPr>
              <w:t>,</w:t>
            </w:r>
          </w:p>
        </w:tc>
      </w:tr>
    </w:tbl>
    <w:p w14:paraId="4FE78537" w14:textId="2B8BD3B6" w:rsidR="00746A73" w:rsidRPr="002B23DB" w:rsidRDefault="00DE5E1D" w:rsidP="002F086C">
      <w:pPr>
        <w:spacing w:line="240" w:lineRule="auto"/>
        <w:rPr>
          <w:sz w:val="23"/>
          <w:szCs w:val="23"/>
          <w:lang w:val="fr-CH"/>
        </w:rPr>
      </w:pPr>
      <w:r>
        <w:rPr>
          <w:sz w:val="23"/>
          <w:szCs w:val="23"/>
          <w:lang w:val="fr-CH"/>
        </w:rPr>
        <w:t>3.</w:t>
      </w:r>
      <w:r w:rsidR="00F53B1B" w:rsidRPr="002B23DB">
        <w:rPr>
          <w:sz w:val="23"/>
          <w:szCs w:val="23"/>
          <w:lang w:val="fr-CH"/>
        </w:rPr>
        <w:tab/>
      </w:r>
      <w:r w:rsidR="00746A73" w:rsidRPr="002B23DB">
        <w:rPr>
          <w:sz w:val="23"/>
          <w:szCs w:val="23"/>
          <w:lang w:val="fr-CH"/>
        </w:rPr>
        <w:t>Dans le tableau de l</w:t>
      </w:r>
      <w:r w:rsidR="006B5079" w:rsidRPr="002B23DB">
        <w:rPr>
          <w:sz w:val="23"/>
          <w:szCs w:val="23"/>
          <w:lang w:val="fr-CH"/>
        </w:rPr>
        <w:t>'</w:t>
      </w:r>
      <w:r w:rsidR="00746A73" w:rsidRPr="002B23DB">
        <w:rPr>
          <w:sz w:val="23"/>
          <w:szCs w:val="23"/>
          <w:lang w:val="fr-CH"/>
        </w:rPr>
        <w:t>Annexe 10 de la Circulaire administrative</w:t>
      </w:r>
      <w:r w:rsidR="006B5079" w:rsidRPr="002B23DB">
        <w:rPr>
          <w:sz w:val="23"/>
          <w:szCs w:val="23"/>
          <w:lang w:val="fr-CH"/>
        </w:rPr>
        <w:t xml:space="preserve"> </w:t>
      </w:r>
      <w:r w:rsidR="00746A73" w:rsidRPr="002B23DB">
        <w:rPr>
          <w:sz w:val="23"/>
          <w:szCs w:val="23"/>
          <w:lang w:val="fr-CH"/>
        </w:rPr>
        <w:t>CA/251, intitulé</w:t>
      </w:r>
      <w:proofErr w:type="gramStart"/>
      <w:r w:rsidR="00746A73" w:rsidRPr="002B23DB">
        <w:rPr>
          <w:sz w:val="23"/>
          <w:szCs w:val="23"/>
          <w:lang w:val="fr-CH"/>
        </w:rPr>
        <w:t xml:space="preserve"> </w:t>
      </w:r>
      <w:r w:rsidR="009E1E9E" w:rsidRPr="00B04A27">
        <w:rPr>
          <w:szCs w:val="23"/>
          <w:lang w:val="fr-CH"/>
        </w:rPr>
        <w:t>«</w:t>
      </w:r>
      <w:r w:rsidR="00746A73" w:rsidRPr="00B04A27">
        <w:rPr>
          <w:szCs w:val="23"/>
          <w:lang w:val="fr-CH"/>
        </w:rPr>
        <w:t>Plan</w:t>
      </w:r>
      <w:proofErr w:type="gramEnd"/>
      <w:r w:rsidR="00746A73" w:rsidRPr="00B04A27">
        <w:rPr>
          <w:szCs w:val="23"/>
          <w:lang w:val="fr-CH"/>
        </w:rPr>
        <w:t xml:space="preserve"> du projet de Rapport de la RPC à la CMR-23</w:t>
      </w:r>
      <w:r w:rsidR="009E1E9E" w:rsidRPr="00B04A27">
        <w:rPr>
          <w:szCs w:val="23"/>
          <w:lang w:val="fr-CH"/>
        </w:rPr>
        <w:t>»</w:t>
      </w:r>
      <w:r w:rsidR="00746A73" w:rsidRPr="002B23DB">
        <w:rPr>
          <w:sz w:val="23"/>
          <w:szCs w:val="23"/>
          <w:lang w:val="fr-CH"/>
        </w:rPr>
        <w:t>, veuillez remplacer le texte du point</w:t>
      </w:r>
      <w:r w:rsidR="006B5079" w:rsidRPr="002B23DB">
        <w:rPr>
          <w:sz w:val="23"/>
          <w:szCs w:val="23"/>
          <w:lang w:val="fr-CH"/>
        </w:rPr>
        <w:t xml:space="preserve"> </w:t>
      </w:r>
      <w:r w:rsidR="00746A73" w:rsidRPr="002B23DB">
        <w:rPr>
          <w:sz w:val="23"/>
          <w:szCs w:val="23"/>
          <w:lang w:val="fr-CH"/>
        </w:rPr>
        <w:t>2.13 par le texte ci</w:t>
      </w:r>
      <w:r w:rsidR="00C60C30" w:rsidRPr="002B23DB">
        <w:rPr>
          <w:sz w:val="23"/>
          <w:szCs w:val="23"/>
          <w:lang w:val="fr-CH"/>
        </w:rPr>
        <w:noBreakHyphen/>
      </w:r>
      <w:r w:rsidR="00746A73" w:rsidRPr="002B23DB">
        <w:rPr>
          <w:sz w:val="23"/>
          <w:szCs w:val="23"/>
          <w:lang w:val="fr-CH"/>
        </w:rPr>
        <w:t>après</w:t>
      </w:r>
      <w:r w:rsidR="009E1E9E" w:rsidRPr="002B23DB">
        <w:rPr>
          <w:sz w:val="23"/>
          <w:szCs w:val="23"/>
          <w:lang w:val="fr-CH"/>
        </w:rPr>
        <w:t>:</w:t>
      </w:r>
      <w:r w:rsidR="006B5079" w:rsidRPr="002B23DB">
        <w:rPr>
          <w:sz w:val="23"/>
          <w:szCs w:val="23"/>
          <w:lang w:val="fr-CH"/>
        </w:rPr>
        <w:t xml:space="preserve"> </w:t>
      </w:r>
    </w:p>
    <w:p w14:paraId="2CCB7847" w14:textId="77777777" w:rsidR="00746A73" w:rsidRDefault="00746A73" w:rsidP="00110E6F">
      <w:pPr>
        <w:pStyle w:val="ListParagraph"/>
        <w:ind w:left="1152"/>
        <w:rPr>
          <w:sz w:val="23"/>
          <w:szCs w:val="23"/>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65"/>
        <w:gridCol w:w="4241"/>
        <w:gridCol w:w="1828"/>
        <w:gridCol w:w="1516"/>
      </w:tblGrid>
      <w:tr w:rsidR="00746A73" w14:paraId="3CA15F5F" w14:textId="77777777" w:rsidTr="002F086C">
        <w:tc>
          <w:tcPr>
            <w:tcW w:w="619" w:type="pct"/>
            <w:tcBorders>
              <w:top w:val="single" w:sz="4" w:space="0" w:color="auto"/>
              <w:left w:val="single" w:sz="4" w:space="0" w:color="auto"/>
              <w:bottom w:val="single" w:sz="4" w:space="0" w:color="auto"/>
              <w:right w:val="single" w:sz="4" w:space="0" w:color="auto"/>
            </w:tcBorders>
            <w:hideMark/>
          </w:tcPr>
          <w:p w14:paraId="545E5291" w14:textId="77777777" w:rsidR="00746A73" w:rsidRDefault="00746A73" w:rsidP="00110E6F">
            <w:pPr>
              <w:pStyle w:val="Tabletext"/>
              <w:jc w:val="center"/>
              <w:rPr>
                <w:lang w:val="fr-FR"/>
              </w:rPr>
            </w:pPr>
            <w:r>
              <w:rPr>
                <w:lang w:val="fr-FR"/>
              </w:rPr>
              <w:t>10</w:t>
            </w:r>
          </w:p>
        </w:tc>
        <w:tc>
          <w:tcPr>
            <w:tcW w:w="422" w:type="pct"/>
            <w:tcBorders>
              <w:top w:val="single" w:sz="4" w:space="0" w:color="auto"/>
              <w:left w:val="single" w:sz="4" w:space="0" w:color="auto"/>
              <w:bottom w:val="single" w:sz="4" w:space="0" w:color="auto"/>
              <w:right w:val="single" w:sz="4" w:space="0" w:color="auto"/>
            </w:tcBorders>
            <w:hideMark/>
          </w:tcPr>
          <w:p w14:paraId="4192596B" w14:textId="77777777" w:rsidR="00746A73" w:rsidRDefault="00746A73" w:rsidP="00110E6F">
            <w:pPr>
              <w:pStyle w:val="Tabletext"/>
              <w:jc w:val="center"/>
              <w:rPr>
                <w:lang w:val="fr-FR"/>
              </w:rPr>
            </w:pPr>
            <w:r>
              <w:rPr>
                <w:lang w:val="fr-FR"/>
              </w:rPr>
              <w:t>A1/2.13</w:t>
            </w:r>
          </w:p>
        </w:tc>
        <w:tc>
          <w:tcPr>
            <w:tcW w:w="2209" w:type="pct"/>
            <w:tcBorders>
              <w:top w:val="single" w:sz="4" w:space="0" w:color="auto"/>
              <w:left w:val="single" w:sz="4" w:space="0" w:color="auto"/>
              <w:bottom w:val="single" w:sz="4" w:space="0" w:color="auto"/>
              <w:right w:val="single" w:sz="4" w:space="0" w:color="auto"/>
            </w:tcBorders>
            <w:hideMark/>
          </w:tcPr>
          <w:p w14:paraId="267D486C" w14:textId="0A0E8B31" w:rsidR="00746A73" w:rsidRDefault="00746A73" w:rsidP="002F086C">
            <w:pPr>
              <w:pStyle w:val="Tabletext"/>
              <w:jc w:val="both"/>
              <w:rPr>
                <w:lang w:val="fr-FR"/>
              </w:rPr>
            </w:pPr>
            <w:r>
              <w:rPr>
                <w:lang w:val="fr-FR"/>
              </w:rPr>
              <w:t xml:space="preserve">envisager une éventuelle attribution, à l'échelle mondiale, au service mobile par satellite en vue du développement futur des systèmes mobiles à satellites à bande étroite dans les bandes de fréquences comprises entre [1,5 et 5 GHz], conformément à la Résolution </w:t>
            </w:r>
            <w:r>
              <w:rPr>
                <w:b/>
                <w:bCs/>
                <w:lang w:val="fr-FR"/>
              </w:rPr>
              <w:t>248 (CMR</w:t>
            </w:r>
            <w:r>
              <w:rPr>
                <w:b/>
                <w:bCs/>
                <w:lang w:val="fr-FR"/>
              </w:rPr>
              <w:noBreakHyphen/>
              <w:t>19)</w:t>
            </w:r>
            <w:r>
              <w:rPr>
                <w:lang w:val="fr-FR"/>
              </w:rPr>
              <w:t>;</w:t>
            </w:r>
          </w:p>
        </w:tc>
        <w:tc>
          <w:tcPr>
            <w:tcW w:w="956" w:type="pct"/>
            <w:tcBorders>
              <w:top w:val="single" w:sz="4" w:space="0" w:color="auto"/>
              <w:left w:val="single" w:sz="4" w:space="0" w:color="auto"/>
              <w:bottom w:val="single" w:sz="4" w:space="0" w:color="auto"/>
              <w:right w:val="single" w:sz="4" w:space="0" w:color="auto"/>
            </w:tcBorders>
            <w:hideMark/>
          </w:tcPr>
          <w:p w14:paraId="2F5015F3" w14:textId="77777777" w:rsidR="00746A73" w:rsidRDefault="00746A73" w:rsidP="00110E6F">
            <w:pPr>
              <w:pStyle w:val="Tabletext"/>
              <w:jc w:val="center"/>
              <w:rPr>
                <w:lang w:val="fr-FR"/>
              </w:rPr>
            </w:pPr>
            <w:r>
              <w:rPr>
                <w:lang w:val="fr-FR"/>
              </w:rPr>
              <w:t>Résolution </w:t>
            </w:r>
            <w:r>
              <w:rPr>
                <w:b/>
                <w:lang w:val="fr-FR"/>
              </w:rPr>
              <w:t>248 (CMR</w:t>
            </w:r>
            <w:r>
              <w:rPr>
                <w:b/>
                <w:lang w:val="fr-FR"/>
              </w:rPr>
              <w:noBreakHyphen/>
              <w:t>19)</w:t>
            </w:r>
          </w:p>
        </w:tc>
        <w:tc>
          <w:tcPr>
            <w:tcW w:w="794" w:type="pct"/>
            <w:tcBorders>
              <w:top w:val="single" w:sz="4" w:space="0" w:color="auto"/>
              <w:left w:val="single" w:sz="4" w:space="0" w:color="auto"/>
              <w:bottom w:val="single" w:sz="4" w:space="0" w:color="auto"/>
              <w:right w:val="single" w:sz="4" w:space="0" w:color="auto"/>
            </w:tcBorders>
            <w:hideMark/>
          </w:tcPr>
          <w:p w14:paraId="2E66E664" w14:textId="77777777" w:rsidR="00746A73" w:rsidRDefault="00746A73" w:rsidP="00110E6F">
            <w:pPr>
              <w:pStyle w:val="Tabletext"/>
              <w:jc w:val="center"/>
              <w:rPr>
                <w:b/>
                <w:lang w:val="fr-FR"/>
              </w:rPr>
            </w:pPr>
            <w:r>
              <w:rPr>
                <w:b/>
                <w:lang w:val="fr-FR"/>
              </w:rPr>
              <w:t>CE 4</w:t>
            </w:r>
          </w:p>
        </w:tc>
      </w:tr>
    </w:tbl>
    <w:p w14:paraId="5618AF6F" w14:textId="02764787" w:rsidR="009C21C7" w:rsidRPr="00DA5FDE" w:rsidRDefault="009C21C7" w:rsidP="00110E6F">
      <w:pPr>
        <w:spacing w:line="240" w:lineRule="auto"/>
        <w:rPr>
          <w:lang w:val="fr-FR"/>
        </w:rPr>
      </w:pPr>
    </w:p>
    <w:p w14:paraId="0E825608" w14:textId="77777777" w:rsidR="004C42E1" w:rsidRDefault="004C42E1" w:rsidP="00110E6F">
      <w:pPr>
        <w:keepNext/>
        <w:keepLines/>
        <w:tabs>
          <w:tab w:val="clear" w:pos="794"/>
          <w:tab w:val="clear" w:pos="1191"/>
          <w:tab w:val="clear" w:pos="1588"/>
          <w:tab w:val="clear" w:pos="1985"/>
          <w:tab w:val="left" w:pos="1134"/>
          <w:tab w:val="left" w:pos="1871"/>
          <w:tab w:val="left" w:pos="2268"/>
        </w:tabs>
        <w:spacing w:before="480" w:after="80" w:line="240" w:lineRule="auto"/>
        <w:jc w:val="center"/>
        <w:rPr>
          <w:rFonts w:asciiTheme="minorHAnsi" w:hAnsiTheme="minorHAnsi" w:cs="Times New Roman"/>
          <w:caps/>
          <w:sz w:val="28"/>
          <w:szCs w:val="20"/>
          <w:lang w:val="en-GB"/>
        </w:rPr>
        <w:sectPr w:rsidR="004C42E1" w:rsidSect="003F2F3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docGrid w:linePitch="326"/>
        </w:sectPr>
      </w:pPr>
    </w:p>
    <w:p w14:paraId="3843AA70" w14:textId="3B374C85" w:rsidR="001949E0" w:rsidRPr="00F64D7C" w:rsidRDefault="00BE48F9" w:rsidP="00C60C30">
      <w:pPr>
        <w:pStyle w:val="AnnexNotitleBodyCalibri"/>
        <w:spacing w:before="240"/>
      </w:pPr>
      <w:r w:rsidRPr="00F64D7C">
        <w:lastRenderedPageBreak/>
        <w:t>ANNEX</w:t>
      </w:r>
      <w:r>
        <w:t>E</w:t>
      </w:r>
      <w:r w:rsidRPr="00F64D7C">
        <w:t xml:space="preserve"> 2</w:t>
      </w:r>
    </w:p>
    <w:p w14:paraId="16EE5BFD" w14:textId="16FDC6BA" w:rsidR="001949E0" w:rsidRPr="00BE48F9" w:rsidRDefault="001949E0" w:rsidP="00C60C30">
      <w:pPr>
        <w:pStyle w:val="AnnexNotitleBodyCalibri"/>
        <w:spacing w:before="120"/>
        <w:rPr>
          <w:b/>
          <w:bCs w:val="0"/>
        </w:rPr>
      </w:pPr>
      <w:r w:rsidRPr="00BE48F9">
        <w:rPr>
          <w:b/>
          <w:bCs w:val="0"/>
        </w:rPr>
        <w:t>Modifications apportées à l</w:t>
      </w:r>
      <w:r w:rsidR="006B5079" w:rsidRPr="00BE48F9">
        <w:rPr>
          <w:b/>
          <w:bCs w:val="0"/>
        </w:rPr>
        <w:t>'</w:t>
      </w:r>
      <w:r w:rsidRPr="00BE48F9">
        <w:rPr>
          <w:b/>
          <w:bCs w:val="0"/>
        </w:rPr>
        <w:t>Annexe 7 de la Circulaire administrative CA/251</w:t>
      </w:r>
    </w:p>
    <w:p w14:paraId="514BAF75" w14:textId="3FF11D7E" w:rsidR="001949E0" w:rsidRPr="00C40F4D" w:rsidRDefault="00C40F4D" w:rsidP="00C60C30">
      <w:pPr>
        <w:spacing w:before="240" w:after="240" w:line="240" w:lineRule="auto"/>
        <w:rPr>
          <w:lang w:val="fr-CH"/>
        </w:rPr>
      </w:pPr>
      <w:r w:rsidRPr="00C40F4D">
        <w:rPr>
          <w:lang w:val="fr-CH"/>
        </w:rPr>
        <w:t>Dans le tableau de l</w:t>
      </w:r>
      <w:r w:rsidR="006B5079">
        <w:rPr>
          <w:lang w:val="fr-CH"/>
        </w:rPr>
        <w:t>'</w:t>
      </w:r>
      <w:r w:rsidRPr="00C40F4D">
        <w:rPr>
          <w:lang w:val="fr-CH"/>
        </w:rPr>
        <w:t>Annexe 7 de la Circulaire administrative</w:t>
      </w:r>
      <w:r w:rsidR="006B5079">
        <w:rPr>
          <w:lang w:val="fr-CH"/>
        </w:rPr>
        <w:t xml:space="preserve"> </w:t>
      </w:r>
      <w:r w:rsidR="001949E0" w:rsidRPr="00C40F4D">
        <w:rPr>
          <w:lang w:val="fr-CH"/>
        </w:rPr>
        <w:t>CA/251</w:t>
      </w:r>
      <w:r w:rsidRPr="00C40F4D">
        <w:rPr>
          <w:lang w:val="fr-CH"/>
        </w:rPr>
        <w:t xml:space="preserve">, intitulé </w:t>
      </w:r>
      <w:r w:rsidR="009E1E9E">
        <w:rPr>
          <w:lang w:val="fr-CH"/>
        </w:rPr>
        <w:t>«</w:t>
      </w:r>
      <w:r w:rsidRPr="00DA5FDE">
        <w:rPr>
          <w:lang w:val="fr-FR"/>
        </w:rPr>
        <w:t>Répartition des travaux préparatoires de l'UIT-R pour la CMR-23</w:t>
      </w:r>
      <w:r w:rsidR="009E1E9E">
        <w:rPr>
          <w:lang w:val="fr-FR"/>
        </w:rPr>
        <w:t>»</w:t>
      </w:r>
      <w:r>
        <w:rPr>
          <w:lang w:val="fr-FR"/>
        </w:rPr>
        <w:t>,</w:t>
      </w:r>
      <w:r w:rsidR="001949E0" w:rsidRPr="00C40F4D">
        <w:rPr>
          <w:lang w:val="fr-CH"/>
        </w:rPr>
        <w:t xml:space="preserve"> </w:t>
      </w:r>
      <w:r>
        <w:rPr>
          <w:lang w:val="fr-CH"/>
        </w:rPr>
        <w:t>veuillez remplacer le texte relatif aux Résolutions</w:t>
      </w:r>
      <w:r w:rsidR="006B5079">
        <w:rPr>
          <w:lang w:val="fr-CH"/>
        </w:rPr>
        <w:t xml:space="preserve"> </w:t>
      </w:r>
      <w:r w:rsidR="001949E0" w:rsidRPr="00C40F4D">
        <w:rPr>
          <w:lang w:val="fr-CH"/>
        </w:rPr>
        <w:t>172 (</w:t>
      </w:r>
      <w:r>
        <w:rPr>
          <w:lang w:val="fr-CH"/>
        </w:rPr>
        <w:t>CMR</w:t>
      </w:r>
      <w:r w:rsidR="001949E0" w:rsidRPr="00C40F4D">
        <w:rPr>
          <w:lang w:val="fr-CH"/>
        </w:rPr>
        <w:t xml:space="preserve">-19) </w:t>
      </w:r>
      <w:r>
        <w:rPr>
          <w:lang w:val="fr-CH"/>
        </w:rPr>
        <w:t>et</w:t>
      </w:r>
      <w:r w:rsidR="001949E0" w:rsidRPr="00C40F4D">
        <w:rPr>
          <w:lang w:val="fr-CH"/>
        </w:rPr>
        <w:t xml:space="preserve"> 173 (</w:t>
      </w:r>
      <w:r>
        <w:rPr>
          <w:lang w:val="fr-CH"/>
        </w:rPr>
        <w:t>CMR</w:t>
      </w:r>
      <w:r w:rsidR="001949E0" w:rsidRPr="00C40F4D">
        <w:rPr>
          <w:lang w:val="fr-CH"/>
        </w:rPr>
        <w:t xml:space="preserve">-19) </w:t>
      </w:r>
      <w:r>
        <w:rPr>
          <w:lang w:val="fr-CH"/>
        </w:rPr>
        <w:t>par le texte suivant</w:t>
      </w:r>
      <w:r w:rsidR="009E1E9E">
        <w:rPr>
          <w:lang w:val="fr-CH"/>
        </w:rPr>
        <w:t>:</w:t>
      </w:r>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1560"/>
        <w:gridCol w:w="7652"/>
        <w:gridCol w:w="1418"/>
      </w:tblGrid>
      <w:tr w:rsidR="0053110A" w:rsidRPr="00995324" w14:paraId="27E299B3" w14:textId="77777777" w:rsidTr="003A2095">
        <w:trPr>
          <w:cantSplit/>
          <w:tblHeader/>
          <w:jc w:val="center"/>
        </w:trPr>
        <w:tc>
          <w:tcPr>
            <w:tcW w:w="14031" w:type="dxa"/>
            <w:gridSpan w:val="4"/>
            <w:tcBorders>
              <w:top w:val="nil"/>
              <w:left w:val="nil"/>
              <w:right w:val="nil"/>
            </w:tcBorders>
          </w:tcPr>
          <w:p w14:paraId="66FD8BA1" w14:textId="5167E20B" w:rsidR="0053110A" w:rsidRPr="00DA5FDE" w:rsidRDefault="00CA5699" w:rsidP="00C60C30">
            <w:pPr>
              <w:pStyle w:val="Tablehead"/>
              <w:spacing w:before="0"/>
              <w:rPr>
                <w:lang w:val="fr-FR"/>
              </w:rPr>
            </w:pPr>
            <w:r w:rsidRPr="00DA5FDE">
              <w:rPr>
                <w:lang w:val="fr-FR"/>
              </w:rPr>
              <w:t>Répartition des travaux</w:t>
            </w:r>
            <w:r w:rsidR="0053110A" w:rsidRPr="00DA5FDE">
              <w:rPr>
                <w:lang w:val="fr-FR"/>
              </w:rPr>
              <w:t xml:space="preserve"> préparatoires de l'UIT-R pour la CMR-23</w:t>
            </w:r>
          </w:p>
        </w:tc>
      </w:tr>
      <w:tr w:rsidR="0053110A" w:rsidRPr="00DA5FDE" w14:paraId="12C8DF5B" w14:textId="77777777" w:rsidTr="003A2095">
        <w:trPr>
          <w:cantSplit/>
          <w:tblHeader/>
          <w:jc w:val="center"/>
        </w:trPr>
        <w:tc>
          <w:tcPr>
            <w:tcW w:w="3401" w:type="dxa"/>
            <w:vAlign w:val="center"/>
          </w:tcPr>
          <w:p w14:paraId="3B2F2552" w14:textId="3EB5F358" w:rsidR="0053110A" w:rsidRPr="00DA5FDE" w:rsidRDefault="006D2DDD" w:rsidP="00110E6F">
            <w:pPr>
              <w:pStyle w:val="Tablehead"/>
              <w:rPr>
                <w:lang w:val="fr-FR"/>
              </w:rPr>
            </w:pPr>
            <w:r>
              <w:rPr>
                <w:lang w:val="fr-FR"/>
              </w:rPr>
              <w:t>Thèmes d</w:t>
            </w:r>
            <w:r w:rsidR="006B5079">
              <w:rPr>
                <w:lang w:val="fr-FR"/>
              </w:rPr>
              <w:t>'</w:t>
            </w:r>
            <w:r>
              <w:rPr>
                <w:lang w:val="fr-FR"/>
              </w:rPr>
              <w:t>étude</w:t>
            </w:r>
          </w:p>
        </w:tc>
        <w:tc>
          <w:tcPr>
            <w:tcW w:w="1560" w:type="dxa"/>
            <w:vAlign w:val="center"/>
          </w:tcPr>
          <w:p w14:paraId="1AB78499" w14:textId="638703CA" w:rsidR="0053110A" w:rsidRPr="00DA5FDE" w:rsidRDefault="0053110A" w:rsidP="00110E6F">
            <w:pPr>
              <w:pStyle w:val="Tablehead"/>
              <w:rPr>
                <w:lang w:val="fr-FR"/>
              </w:rPr>
            </w:pPr>
            <w:r w:rsidRPr="00DA5FDE">
              <w:rPr>
                <w:lang w:val="fr-FR"/>
              </w:rPr>
              <w:t>Groupe responsable</w:t>
            </w:r>
          </w:p>
        </w:tc>
        <w:tc>
          <w:tcPr>
            <w:tcW w:w="7652" w:type="dxa"/>
            <w:vAlign w:val="center"/>
          </w:tcPr>
          <w:p w14:paraId="0D6691D7" w14:textId="5E2A2055" w:rsidR="0053110A" w:rsidRPr="00DA5FDE" w:rsidRDefault="0053110A" w:rsidP="00110E6F">
            <w:pPr>
              <w:pStyle w:val="Tablehead"/>
              <w:rPr>
                <w:lang w:val="fr-FR"/>
              </w:rPr>
            </w:pPr>
            <w:r w:rsidRPr="00DA5FDE">
              <w:rPr>
                <w:lang w:val="fr-FR"/>
              </w:rPr>
              <w:t xml:space="preserve">Mesure </w:t>
            </w:r>
            <w:r w:rsidR="005E352E" w:rsidRPr="00DA5FDE">
              <w:rPr>
                <w:color w:val="000000"/>
                <w:lang w:val="fr-FR"/>
              </w:rPr>
              <w:t>devant être prise</w:t>
            </w:r>
            <w:r w:rsidR="005D388A" w:rsidRPr="00DA5FDE">
              <w:rPr>
                <w:color w:val="000000"/>
                <w:lang w:val="fr-FR"/>
              </w:rPr>
              <w:t xml:space="preserve"> </w:t>
            </w:r>
            <w:r w:rsidRPr="00DA5FDE">
              <w:rPr>
                <w:lang w:val="fr-FR"/>
              </w:rPr>
              <w:t>par le groupe</w:t>
            </w:r>
          </w:p>
        </w:tc>
        <w:tc>
          <w:tcPr>
            <w:tcW w:w="1418" w:type="dxa"/>
            <w:vAlign w:val="center"/>
          </w:tcPr>
          <w:p w14:paraId="32F597AF" w14:textId="43C236F2" w:rsidR="0053110A" w:rsidRPr="00DA5FDE" w:rsidRDefault="0053110A" w:rsidP="00110E6F">
            <w:pPr>
              <w:pStyle w:val="Tablehead"/>
              <w:rPr>
                <w:lang w:val="fr-FR"/>
              </w:rPr>
            </w:pPr>
            <w:r w:rsidRPr="00DA5FDE">
              <w:rPr>
                <w:lang w:val="fr-FR"/>
              </w:rPr>
              <w:t>Groupe c</w:t>
            </w:r>
            <w:r w:rsidR="00285E3C" w:rsidRPr="00DA5FDE">
              <w:rPr>
                <w:lang w:val="fr-FR"/>
              </w:rPr>
              <w:t>ontributeur</w:t>
            </w:r>
          </w:p>
        </w:tc>
      </w:tr>
      <w:tr w:rsidR="00BE48F9" w:rsidRPr="009630F9" w14:paraId="6B2279C4" w14:textId="77777777" w:rsidTr="003A2095">
        <w:trPr>
          <w:cantSplit/>
          <w:jc w:val="center"/>
        </w:trPr>
        <w:tc>
          <w:tcPr>
            <w:tcW w:w="14031" w:type="dxa"/>
            <w:gridSpan w:val="4"/>
          </w:tcPr>
          <w:p w14:paraId="3B4BEF27" w14:textId="2FB2663A" w:rsidR="00BE48F9" w:rsidRPr="00DA5FDE" w:rsidRDefault="00BE48F9" w:rsidP="00110E6F">
            <w:pPr>
              <w:pStyle w:val="Tabletext"/>
              <w:jc w:val="both"/>
              <w:rPr>
                <w:lang w:val="fr-FR"/>
              </w:rPr>
            </w:pPr>
            <w:r>
              <w:rPr>
                <w:lang w:val="fr-FR"/>
              </w:rPr>
              <w:t>...</w:t>
            </w:r>
          </w:p>
        </w:tc>
      </w:tr>
      <w:tr w:rsidR="00F14C79" w:rsidRPr="009630F9" w14:paraId="4F3F361F" w14:textId="77777777" w:rsidTr="003A2095">
        <w:trPr>
          <w:cantSplit/>
          <w:jc w:val="center"/>
        </w:trPr>
        <w:tc>
          <w:tcPr>
            <w:tcW w:w="14031" w:type="dxa"/>
            <w:gridSpan w:val="4"/>
          </w:tcPr>
          <w:p w14:paraId="73383B13" w14:textId="77777777" w:rsidR="00F14C79" w:rsidRPr="00DA5FDE" w:rsidRDefault="00F14C79" w:rsidP="002F086C">
            <w:pPr>
              <w:pStyle w:val="Tabletext"/>
              <w:jc w:val="both"/>
              <w:rPr>
                <w:lang w:val="fr-FR"/>
              </w:rPr>
            </w:pPr>
            <w:r w:rsidRPr="00DA5FDE">
              <w:rPr>
                <w:lang w:val="fr-FR"/>
              </w:rPr>
              <w:t>1.15</w:t>
            </w:r>
            <w:r w:rsidRPr="00DA5FDE">
              <w:rPr>
                <w:lang w:val="fr-FR"/>
              </w:rPr>
              <w:tab/>
              <w:t xml:space="preserve">harmoniser l'utilisation de la bande de fréquences 12,75-13,25 GHz (Terre vers espace) par les stations terriennes à bord d'aéronefs et de navires communiquant avec des stations spatiales géostationnaires du service fixe par satellite partout dans le monde, conformément à la Résolution </w:t>
            </w:r>
            <w:r w:rsidRPr="00DA5FDE">
              <w:rPr>
                <w:b/>
                <w:bCs/>
                <w:lang w:val="fr-FR"/>
              </w:rPr>
              <w:t>172 (CMR-19)</w:t>
            </w:r>
            <w:r w:rsidRPr="00DA5FDE">
              <w:rPr>
                <w:lang w:val="fr-FR"/>
              </w:rPr>
              <w:t>;</w:t>
            </w:r>
          </w:p>
        </w:tc>
      </w:tr>
      <w:tr w:rsidR="00F14C79" w:rsidRPr="009630F9" w14:paraId="0E744CFB" w14:textId="77777777" w:rsidTr="003A2095">
        <w:trPr>
          <w:jc w:val="center"/>
        </w:trPr>
        <w:tc>
          <w:tcPr>
            <w:tcW w:w="3401" w:type="dxa"/>
          </w:tcPr>
          <w:p w14:paraId="470C2498" w14:textId="77777777" w:rsidR="00F14C79" w:rsidRPr="00DA5FDE" w:rsidRDefault="00F14C79" w:rsidP="00110E6F">
            <w:pPr>
              <w:pStyle w:val="Tabletext"/>
              <w:rPr>
                <w:b/>
                <w:lang w:val="fr-FR"/>
              </w:rPr>
            </w:pPr>
            <w:r w:rsidRPr="00DA5FDE">
              <w:rPr>
                <w:lang w:val="fr-FR"/>
              </w:rPr>
              <w:t>Résolution</w:t>
            </w:r>
            <w:r w:rsidRPr="00DA5FDE">
              <w:rPr>
                <w:b/>
                <w:lang w:val="fr-FR"/>
              </w:rPr>
              <w:t> 172 (CMR</w:t>
            </w:r>
            <w:r w:rsidRPr="00DA5FDE">
              <w:rPr>
                <w:b/>
                <w:lang w:val="fr-FR"/>
              </w:rPr>
              <w:noBreakHyphen/>
              <w:t>19)</w:t>
            </w:r>
          </w:p>
          <w:p w14:paraId="37E4B32F" w14:textId="77777777" w:rsidR="00F14C79" w:rsidRPr="00DA5FDE" w:rsidRDefault="00F14C79" w:rsidP="00110E6F">
            <w:pPr>
              <w:pStyle w:val="Tabletext"/>
              <w:rPr>
                <w:lang w:val="fr-FR"/>
              </w:rPr>
            </w:pPr>
            <w:r w:rsidRPr="00DA5FDE">
              <w:rPr>
                <w:lang w:val="fr-FR"/>
              </w:rPr>
              <w:t>Exploitation des stations terriennes à bord d'aéronefs et de navires communiquant avec des stations spatiales géostationnaires du service fixe par satellite dans la bande de fréquences 12,75-13,25 GHz (Terre vers espace)</w:t>
            </w:r>
          </w:p>
        </w:tc>
        <w:tc>
          <w:tcPr>
            <w:tcW w:w="1560" w:type="dxa"/>
          </w:tcPr>
          <w:p w14:paraId="5BBAF55A" w14:textId="3B8A1FCA" w:rsidR="00F14C79" w:rsidRPr="00DA5FDE" w:rsidRDefault="00E17707" w:rsidP="00110E6F">
            <w:pPr>
              <w:pStyle w:val="Tabletext"/>
              <w:jc w:val="center"/>
              <w:rPr>
                <w:lang w:val="fr-FR"/>
              </w:rPr>
            </w:pPr>
            <w:r w:rsidRPr="00DA5FDE">
              <w:rPr>
                <w:b/>
                <w:bCs/>
                <w:lang w:val="fr-FR"/>
              </w:rPr>
              <w:t>GT </w:t>
            </w:r>
            <w:r w:rsidR="00F14C79" w:rsidRPr="00DA5FDE">
              <w:rPr>
                <w:b/>
                <w:bCs/>
                <w:lang w:val="fr-FR"/>
              </w:rPr>
              <w:t>4A</w:t>
            </w:r>
          </w:p>
        </w:tc>
        <w:tc>
          <w:tcPr>
            <w:tcW w:w="7652" w:type="dxa"/>
          </w:tcPr>
          <w:p w14:paraId="2E637163" w14:textId="77777777" w:rsidR="00F14C79" w:rsidRPr="00DA5FDE" w:rsidRDefault="00F14C79" w:rsidP="00C60C30">
            <w:pPr>
              <w:pStyle w:val="Call"/>
              <w:keepNext w:val="0"/>
              <w:keepLines w:val="0"/>
              <w:spacing w:before="40" w:after="40" w:line="240" w:lineRule="auto"/>
              <w:rPr>
                <w:iCs/>
                <w:sz w:val="20"/>
                <w:lang w:val="fr-FR"/>
              </w:rPr>
            </w:pPr>
            <w:r w:rsidRPr="00DA5FDE">
              <w:rPr>
                <w:iCs/>
                <w:sz w:val="20"/>
                <w:lang w:val="fr-FR"/>
              </w:rPr>
              <w:t>décide d'inviter l'UIT-R</w:t>
            </w:r>
          </w:p>
          <w:p w14:paraId="3801A7D3" w14:textId="5B13D7E4" w:rsidR="00F14C79" w:rsidRPr="00DA5FDE" w:rsidRDefault="00F14C79" w:rsidP="002F086C">
            <w:pPr>
              <w:pStyle w:val="Tabletext"/>
              <w:tabs>
                <w:tab w:val="clear" w:pos="284"/>
                <w:tab w:val="clear" w:pos="567"/>
                <w:tab w:val="left" w:pos="741"/>
              </w:tabs>
              <w:jc w:val="both"/>
              <w:rPr>
                <w:lang w:val="fr-FR"/>
              </w:rPr>
            </w:pPr>
            <w:r w:rsidRPr="00DA5FDE">
              <w:rPr>
                <w:lang w:val="fr-FR"/>
              </w:rPr>
              <w:t>1</w:t>
            </w:r>
            <w:r w:rsidRPr="00DA5FDE">
              <w:rPr>
                <w:lang w:val="fr-FR"/>
              </w:rPr>
              <w:tab/>
              <w:t>à étudier les caractéristiques techniques et opérationnelles ainsi que les besoins des utilisateurs des stations terriennes à bord d'aéronefs et de navires communiquant ou prévoyant de communiquer avec des stations spatiales OSG du SFS dans la bande de fréquences 12,75</w:t>
            </w:r>
            <w:r w:rsidRPr="00DA5FDE">
              <w:rPr>
                <w:lang w:val="fr-FR"/>
              </w:rPr>
              <w:noBreakHyphen/>
              <w:t xml:space="preserve">13,25 GHz (Terre vers espace) conformément à l'enveloppe définie dans l'Article 6 de l'Appendice </w:t>
            </w:r>
            <w:r w:rsidRPr="00DA5FDE">
              <w:rPr>
                <w:b/>
                <w:lang w:val="fr-FR"/>
              </w:rPr>
              <w:t>30B</w:t>
            </w:r>
            <w:r w:rsidRPr="00DA5FDE">
              <w:rPr>
                <w:lang w:val="fr-FR"/>
              </w:rPr>
              <w:t xml:space="preserve"> </w:t>
            </w:r>
            <w:r w:rsidR="00E74388" w:rsidRPr="00DA5FDE">
              <w:rPr>
                <w:lang w:val="fr-FR"/>
              </w:rPr>
              <w:t xml:space="preserve">qui sont </w:t>
            </w:r>
            <w:r w:rsidRPr="00DA5FDE">
              <w:rPr>
                <w:lang w:val="fr-FR"/>
              </w:rPr>
              <w:t xml:space="preserve">inscrites dans la Liste ou dans le Fichier de référence international des fréquences avec une conclusion favorable uniquement et à examiner les dispositions réglementaires existantes connexes, sous réserve du point </w:t>
            </w:r>
            <w:r w:rsidRPr="00DA5FDE">
              <w:rPr>
                <w:i/>
                <w:iCs/>
                <w:lang w:val="fr-FR"/>
              </w:rPr>
              <w:t>a)</w:t>
            </w:r>
            <w:r w:rsidRPr="00DA5FDE">
              <w:rPr>
                <w:lang w:val="fr-FR"/>
              </w:rPr>
              <w:t xml:space="preserve"> du </w:t>
            </w:r>
            <w:r w:rsidRPr="00DA5FDE">
              <w:rPr>
                <w:i/>
                <w:lang w:val="fr-FR"/>
              </w:rPr>
              <w:t>reconnaissant</w:t>
            </w:r>
            <w:r w:rsidRPr="00DA5FDE">
              <w:rPr>
                <w:lang w:val="fr-FR"/>
              </w:rPr>
              <w:t>;</w:t>
            </w:r>
          </w:p>
          <w:p w14:paraId="329020B8" w14:textId="77777777" w:rsidR="00F14C79" w:rsidRPr="00DA5FDE" w:rsidRDefault="00F14C79" w:rsidP="002F086C">
            <w:pPr>
              <w:pStyle w:val="Tabletext"/>
              <w:tabs>
                <w:tab w:val="clear" w:pos="284"/>
                <w:tab w:val="clear" w:pos="567"/>
                <w:tab w:val="left" w:pos="741"/>
              </w:tabs>
              <w:jc w:val="both"/>
              <w:rPr>
                <w:lang w:val="fr-FR"/>
              </w:rPr>
            </w:pPr>
            <w:r w:rsidRPr="00DA5FDE">
              <w:rPr>
                <w:lang w:val="fr-FR"/>
              </w:rPr>
              <w:t>2</w:t>
            </w:r>
            <w:r w:rsidRPr="00DA5FDE">
              <w:rPr>
                <w:lang w:val="fr-FR"/>
              </w:rPr>
              <w:tab/>
              <w:t xml:space="preserve">à étudier les problèmes de partage et de compatibilité entre les stations terriennes à bord d'aéronefs et de navires communiquant avec des stations spatiales OSG du SFS et les stations, actuelles ou en projet, des services existants visés au point </w:t>
            </w:r>
            <w:r w:rsidRPr="00DA5FDE">
              <w:rPr>
                <w:i/>
                <w:iCs/>
                <w:lang w:val="fr-FR"/>
              </w:rPr>
              <w:t>a)</w:t>
            </w:r>
            <w:r w:rsidRPr="00DA5FDE">
              <w:rPr>
                <w:lang w:val="fr-FR"/>
              </w:rPr>
              <w:t xml:space="preserve"> du </w:t>
            </w:r>
            <w:r w:rsidRPr="00DA5FDE">
              <w:rPr>
                <w:i/>
                <w:lang w:val="fr-FR"/>
              </w:rPr>
              <w:t>considérant</w:t>
            </w:r>
            <w:r w:rsidRPr="00DA5FDE">
              <w:rPr>
                <w:lang w:val="fr-FR"/>
              </w:rPr>
              <w:t xml:space="preserve">, ainsi que des services dans les bandes adjacentes, pour assurer la protection de ces services et de leur développement futur, sans que des contraintes inutiles leur soient imposées, compte tenu des dispositions de l'Appendice </w:t>
            </w:r>
            <w:r w:rsidRPr="00DA5FDE">
              <w:rPr>
                <w:b/>
                <w:lang w:val="fr-FR"/>
              </w:rPr>
              <w:t>30B</w:t>
            </w:r>
            <w:r w:rsidRPr="00DA5FDE">
              <w:rPr>
                <w:lang w:val="fr-FR"/>
              </w:rPr>
              <w:t>;</w:t>
            </w:r>
          </w:p>
          <w:p w14:paraId="5E440F3B" w14:textId="77777777" w:rsidR="00F14C79" w:rsidRPr="00DA5FDE" w:rsidRDefault="00F14C79" w:rsidP="002F086C">
            <w:pPr>
              <w:pStyle w:val="Tabletext"/>
              <w:tabs>
                <w:tab w:val="clear" w:pos="284"/>
                <w:tab w:val="clear" w:pos="567"/>
                <w:tab w:val="left" w:pos="741"/>
              </w:tabs>
              <w:jc w:val="both"/>
              <w:rPr>
                <w:lang w:val="fr-FR"/>
              </w:rPr>
            </w:pPr>
            <w:r w:rsidRPr="00DA5FDE">
              <w:rPr>
                <w:lang w:val="fr-FR"/>
              </w:rPr>
              <w:t>3</w:t>
            </w:r>
            <w:r w:rsidRPr="00DA5FDE">
              <w:rPr>
                <w:lang w:val="fr-FR"/>
              </w:rPr>
              <w:tab/>
              <w:t>à étudier la responsabilité des entités intervenant dans l'exploitation des stations terriennes à bord d'aéronefs et de navires dont il est question dans la présente Résolution;</w:t>
            </w:r>
          </w:p>
          <w:p w14:paraId="740922D9" w14:textId="77777777" w:rsidR="00F14C79" w:rsidRPr="00DA5FDE" w:rsidRDefault="00F14C79" w:rsidP="002F086C">
            <w:pPr>
              <w:pStyle w:val="Tabletext"/>
              <w:tabs>
                <w:tab w:val="clear" w:pos="284"/>
                <w:tab w:val="clear" w:pos="567"/>
                <w:tab w:val="left" w:pos="741"/>
              </w:tabs>
              <w:jc w:val="both"/>
              <w:rPr>
                <w:lang w:val="fr-FR"/>
              </w:rPr>
            </w:pPr>
            <w:r w:rsidRPr="00DA5FDE">
              <w:rPr>
                <w:lang w:val="fr-FR"/>
              </w:rPr>
              <w:t>3</w:t>
            </w:r>
            <w:r w:rsidRPr="00DA5FDE">
              <w:rPr>
                <w:i/>
                <w:iCs/>
                <w:lang w:val="fr-FR"/>
              </w:rPr>
              <w:t>bis</w:t>
            </w:r>
            <w:r w:rsidRPr="00DA5FDE">
              <w:rPr>
                <w:lang w:val="fr-FR"/>
              </w:rPr>
              <w:tab/>
              <w:t xml:space="preserve">à élaborer des critères pour faire en sorte que les stations terriennes à bord d'aéronefs et de navires en tant que nouvelle application du SFS dans cette bande de fréquences ne demandent pas à bénéficier d'une protection plus grande, ni ne causent plus de brouillages que les stations terriennes notifiées visées dans l'Appendice </w:t>
            </w:r>
            <w:r w:rsidRPr="00DA5FDE">
              <w:rPr>
                <w:b/>
                <w:lang w:val="fr-FR"/>
              </w:rPr>
              <w:t>30B</w:t>
            </w:r>
            <w:r w:rsidRPr="00DA5FDE">
              <w:rPr>
                <w:lang w:val="fr-FR"/>
              </w:rPr>
              <w:t>;</w:t>
            </w:r>
          </w:p>
          <w:p w14:paraId="1D8AC590" w14:textId="77777777" w:rsidR="00F14C79" w:rsidRPr="00DA5FDE" w:rsidRDefault="00F14C79" w:rsidP="002F086C">
            <w:pPr>
              <w:pStyle w:val="Tabletext"/>
              <w:tabs>
                <w:tab w:val="clear" w:pos="284"/>
                <w:tab w:val="clear" w:pos="567"/>
                <w:tab w:val="left" w:pos="741"/>
              </w:tabs>
              <w:jc w:val="both"/>
              <w:rPr>
                <w:lang w:val="fr-FR"/>
              </w:rPr>
            </w:pPr>
            <w:r w:rsidRPr="00DA5FDE">
              <w:rPr>
                <w:lang w:val="fr-FR"/>
              </w:rPr>
              <w:t>4</w:t>
            </w:r>
            <w:r w:rsidRPr="00DA5FDE">
              <w:rPr>
                <w:lang w:val="fr-FR"/>
              </w:rPr>
              <w:tab/>
              <w:t xml:space="preserve">à définir les conditions techniques et les dispositions réglementaires applicables à l'exploitation harmonisée des stations terriennes à bord d'aéronefs et de navires </w:t>
            </w:r>
            <w:r w:rsidRPr="00DA5FDE">
              <w:rPr>
                <w:lang w:val="fr-FR"/>
              </w:rPr>
              <w:lastRenderedPageBreak/>
              <w:t xml:space="preserve">communiquant avec des stations spatiales OSG du SFS exploitées dans la bande de fréquences 12,75-13,25 GHz (Terre vers espace), en tenant compte des résultats des études visées aux points 1 et 2 du </w:t>
            </w:r>
            <w:r w:rsidRPr="00DA5FDE">
              <w:rPr>
                <w:i/>
                <w:lang w:val="fr-FR"/>
              </w:rPr>
              <w:t>décide d'inviter l'UIT-R</w:t>
            </w:r>
            <w:r w:rsidRPr="00DA5FDE">
              <w:rPr>
                <w:lang w:val="fr-FR"/>
              </w:rPr>
              <w:t xml:space="preserve"> et, en particulier, en veillant à ce que cette exploitation n'ait aucune incidence sur le Plan de l'Appendice </w:t>
            </w:r>
            <w:r w:rsidRPr="00DA5FDE">
              <w:rPr>
                <w:b/>
                <w:lang w:val="fr-FR"/>
              </w:rPr>
              <w:t>30B</w:t>
            </w:r>
            <w:r w:rsidRPr="00DA5FDE">
              <w:rPr>
                <w:lang w:val="fr-FR"/>
              </w:rPr>
              <w:t>;</w:t>
            </w:r>
          </w:p>
          <w:p w14:paraId="6FC9D9FC" w14:textId="77777777" w:rsidR="00F14C79" w:rsidRPr="00DA5FDE" w:rsidRDefault="00F14C79" w:rsidP="002F086C">
            <w:pPr>
              <w:pStyle w:val="Tabletext"/>
              <w:tabs>
                <w:tab w:val="clear" w:pos="284"/>
                <w:tab w:val="clear" w:pos="567"/>
                <w:tab w:val="left" w:pos="741"/>
              </w:tabs>
              <w:jc w:val="both"/>
              <w:rPr>
                <w:lang w:val="fr-FR"/>
              </w:rPr>
            </w:pPr>
            <w:r w:rsidRPr="00DA5FDE">
              <w:rPr>
                <w:lang w:val="fr-FR"/>
              </w:rPr>
              <w:t>5</w:t>
            </w:r>
            <w:r w:rsidRPr="00DA5FDE">
              <w:rPr>
                <w:lang w:val="fr-FR"/>
              </w:rPr>
              <w:tab/>
              <w:t xml:space="preserve">à veiller à ce que l'exploitation des stations terriennes à bord d'aéronefs et de navires dans la bande de fréquences 12,75-13,25 GHz au titre de l'Appendice </w:t>
            </w:r>
            <w:r w:rsidRPr="00DA5FDE">
              <w:rPr>
                <w:b/>
                <w:lang w:val="fr-FR"/>
              </w:rPr>
              <w:t>30B</w:t>
            </w:r>
            <w:r w:rsidRPr="00DA5FDE">
              <w:rPr>
                <w:lang w:val="fr-FR"/>
              </w:rPr>
              <w:t xml:space="preserve"> n'ait pas d'effet négatif sur les critères visés au point </w:t>
            </w:r>
            <w:r w:rsidRPr="00DA5FDE">
              <w:rPr>
                <w:i/>
                <w:iCs/>
                <w:lang w:val="fr-FR"/>
              </w:rPr>
              <w:t>j)</w:t>
            </w:r>
            <w:r w:rsidRPr="00DA5FDE">
              <w:rPr>
                <w:lang w:val="fr-FR"/>
              </w:rPr>
              <w:t xml:space="preserve"> du </w:t>
            </w:r>
            <w:r w:rsidRPr="00DA5FDE">
              <w:rPr>
                <w:i/>
                <w:lang w:val="fr-FR"/>
              </w:rPr>
              <w:t>reconnaissant</w:t>
            </w:r>
            <w:r w:rsidRPr="00DA5FDE">
              <w:rPr>
                <w:lang w:val="fr-FR"/>
              </w:rPr>
              <w:t>, y compris l'effet cumulatif de plusieurs stations terriennes à bord d'aéronefs et de navires;</w:t>
            </w:r>
          </w:p>
          <w:p w14:paraId="2DBC8CFD" w14:textId="37BC61CB" w:rsidR="00F14C79" w:rsidRPr="00DA5FDE" w:rsidRDefault="00F14C79" w:rsidP="002F086C">
            <w:pPr>
              <w:pStyle w:val="Tabletext"/>
              <w:tabs>
                <w:tab w:val="clear" w:pos="284"/>
                <w:tab w:val="clear" w:pos="567"/>
                <w:tab w:val="left" w:pos="741"/>
              </w:tabs>
              <w:jc w:val="both"/>
              <w:rPr>
                <w:lang w:val="fr-FR"/>
              </w:rPr>
            </w:pPr>
            <w:r w:rsidRPr="00DA5FDE">
              <w:rPr>
                <w:lang w:val="fr-FR"/>
              </w:rPr>
              <w:t>6</w:t>
            </w:r>
            <w:r w:rsidRPr="00DA5FDE">
              <w:rPr>
                <w:lang w:val="fr-FR"/>
              </w:rPr>
              <w:tab/>
              <w:t xml:space="preserve">à faire en sorte que l'utilisation de la bande de fréquences 12,75-13,25 GHz (Terre vers espace) par les stations terriennes à bord d'aéronefs et de navires ne limite pas l'accès d'autres administrations à leurs ressources nationales figurant dans l'Appendice </w:t>
            </w:r>
            <w:r w:rsidRPr="00DA5FDE">
              <w:rPr>
                <w:b/>
                <w:lang w:val="fr-FR"/>
              </w:rPr>
              <w:t>30B</w:t>
            </w:r>
            <w:r w:rsidRPr="00DA5FDE">
              <w:rPr>
                <w:lang w:val="fr-FR"/>
              </w:rPr>
              <w:t xml:space="preserve"> et à veiller à la mise en œuvre de la Résolution </w:t>
            </w:r>
            <w:r w:rsidR="00E74388" w:rsidRPr="00DA5FDE">
              <w:rPr>
                <w:b/>
                <w:lang w:val="fr-FR"/>
              </w:rPr>
              <w:t>170</w:t>
            </w:r>
            <w:r w:rsidRPr="00DA5FDE">
              <w:rPr>
                <w:b/>
                <w:lang w:val="fr-FR"/>
              </w:rPr>
              <w:t xml:space="preserve"> </w:t>
            </w:r>
            <w:r w:rsidRPr="00DA5FDE">
              <w:rPr>
                <w:b/>
                <w:bCs/>
                <w:lang w:val="fr-FR"/>
              </w:rPr>
              <w:t>(CMR-19)</w:t>
            </w:r>
            <w:r w:rsidRPr="00DA5FDE">
              <w:rPr>
                <w:bCs/>
                <w:lang w:val="fr-FR"/>
              </w:rPr>
              <w:t>;</w:t>
            </w:r>
          </w:p>
          <w:p w14:paraId="357983E0" w14:textId="77777777" w:rsidR="00F14C79" w:rsidRPr="00DA5FDE" w:rsidRDefault="00F14C79" w:rsidP="002F086C">
            <w:pPr>
              <w:pStyle w:val="Tabletext"/>
              <w:tabs>
                <w:tab w:val="clear" w:pos="284"/>
                <w:tab w:val="clear" w:pos="567"/>
                <w:tab w:val="left" w:pos="741"/>
              </w:tabs>
              <w:jc w:val="both"/>
              <w:rPr>
                <w:lang w:val="fr-FR"/>
              </w:rPr>
            </w:pPr>
            <w:r w:rsidRPr="00DA5FDE">
              <w:rPr>
                <w:lang w:val="fr-FR"/>
              </w:rPr>
              <w:t>7</w:t>
            </w:r>
            <w:r w:rsidRPr="00DA5FDE">
              <w:rPr>
                <w:lang w:val="fr-FR"/>
              </w:rPr>
              <w:tab/>
              <w:t>à faire en sorte que l'utilisation de stations terriennes à bord d'aéronefs et de navires dont il est question dans la présente Résolution ne se traduise pas par un statut autre que celui du réseau OSG avec lequel ces stations communiquent;</w:t>
            </w:r>
          </w:p>
          <w:p w14:paraId="3E8979DB" w14:textId="77777777" w:rsidR="00C40F4D" w:rsidRDefault="00F14C79" w:rsidP="002F086C">
            <w:pPr>
              <w:pStyle w:val="Tabletext"/>
              <w:tabs>
                <w:tab w:val="clear" w:pos="284"/>
                <w:tab w:val="clear" w:pos="567"/>
                <w:tab w:val="left" w:pos="741"/>
              </w:tabs>
              <w:jc w:val="both"/>
              <w:rPr>
                <w:lang w:val="fr-FR"/>
              </w:rPr>
            </w:pPr>
            <w:r w:rsidRPr="00DA5FDE">
              <w:rPr>
                <w:lang w:val="fr-FR"/>
              </w:rPr>
              <w:t>8</w:t>
            </w:r>
            <w:r w:rsidRPr="00DA5FDE">
              <w:rPr>
                <w:lang w:val="fr-FR"/>
              </w:rPr>
              <w:tab/>
            </w:r>
            <w:r w:rsidR="00C40F4D" w:rsidRPr="00DA5FDE">
              <w:rPr>
                <w:lang w:val="fr-FR"/>
              </w:rPr>
              <w:t>à faire en sorte que les résultats des études menées par l'UIT-R soient approuvés par les États Membres en tenant compte du consensus requis sur cette question;</w:t>
            </w:r>
          </w:p>
          <w:p w14:paraId="4F31DB4C" w14:textId="77777777" w:rsidR="00F14C79" w:rsidRPr="00DA5FDE" w:rsidRDefault="00F14C79" w:rsidP="002F086C">
            <w:pPr>
              <w:pStyle w:val="Tabletext"/>
              <w:tabs>
                <w:tab w:val="clear" w:pos="284"/>
                <w:tab w:val="clear" w:pos="567"/>
                <w:tab w:val="left" w:pos="741"/>
              </w:tabs>
              <w:jc w:val="both"/>
              <w:rPr>
                <w:lang w:val="fr-FR"/>
              </w:rPr>
            </w:pPr>
            <w:r w:rsidRPr="00DA5FDE">
              <w:rPr>
                <w:lang w:val="fr-FR"/>
              </w:rPr>
              <w:t>9</w:t>
            </w:r>
            <w:r w:rsidRPr="00DA5FDE">
              <w:rPr>
                <w:lang w:val="fr-FR"/>
              </w:rPr>
              <w:tab/>
              <w:t>à achever les études à temps pour la CMR-23,</w:t>
            </w:r>
          </w:p>
          <w:p w14:paraId="46B6CEEC" w14:textId="77777777" w:rsidR="00F14C79" w:rsidRPr="00DA5FDE" w:rsidRDefault="00F14C79" w:rsidP="002F086C">
            <w:pPr>
              <w:pStyle w:val="Call"/>
              <w:keepNext w:val="0"/>
              <w:keepLines w:val="0"/>
              <w:spacing w:before="40" w:after="40" w:line="240" w:lineRule="auto"/>
              <w:jc w:val="both"/>
              <w:rPr>
                <w:iCs/>
                <w:sz w:val="20"/>
                <w:lang w:val="fr-FR"/>
              </w:rPr>
            </w:pPr>
            <w:r w:rsidRPr="00DA5FDE">
              <w:rPr>
                <w:iCs/>
                <w:sz w:val="20"/>
                <w:lang w:val="fr-FR"/>
              </w:rPr>
              <w:t>décide en outre</w:t>
            </w:r>
          </w:p>
          <w:p w14:paraId="6E2D052E" w14:textId="77777777" w:rsidR="00F14C79" w:rsidRPr="00DA5FDE" w:rsidRDefault="00F14C79" w:rsidP="002F086C">
            <w:pPr>
              <w:pStyle w:val="Tabletext"/>
              <w:jc w:val="both"/>
              <w:rPr>
                <w:lang w:val="fr-FR"/>
              </w:rPr>
            </w:pPr>
            <w:r w:rsidRPr="00DA5FDE">
              <w:rPr>
                <w:lang w:val="fr-FR"/>
              </w:rPr>
              <w:t>que les stations terriennes à bord d'aéronefs et de navires dont il est question dans la présente Résolution:</w:t>
            </w:r>
          </w:p>
          <w:p w14:paraId="502CA08F" w14:textId="77777777" w:rsidR="00F14C79" w:rsidRPr="00DA5FDE" w:rsidRDefault="00F14C79" w:rsidP="002F086C">
            <w:pPr>
              <w:pStyle w:val="Tabletext"/>
              <w:tabs>
                <w:tab w:val="clear" w:pos="284"/>
                <w:tab w:val="clear" w:pos="567"/>
                <w:tab w:val="left" w:pos="741"/>
              </w:tabs>
              <w:jc w:val="both"/>
              <w:rPr>
                <w:lang w:val="fr-FR"/>
              </w:rPr>
            </w:pPr>
            <w:r w:rsidRPr="00DA5FDE">
              <w:rPr>
                <w:i/>
                <w:lang w:val="fr-FR"/>
              </w:rPr>
              <w:br w:type="page"/>
              <w:t>a)</w:t>
            </w:r>
            <w:r w:rsidRPr="00DA5FDE">
              <w:rPr>
                <w:lang w:val="fr-FR"/>
              </w:rPr>
              <w:tab/>
              <w:t>ne sont pas destinées à être utilisées ou à servir pour les applications liées à la sécurité de la vie humaine;</w:t>
            </w:r>
          </w:p>
          <w:p w14:paraId="5B1868B0" w14:textId="77777777" w:rsidR="00F14C79" w:rsidRPr="00DA5FDE" w:rsidRDefault="00F14C79" w:rsidP="002F086C">
            <w:pPr>
              <w:pStyle w:val="Tabletext"/>
              <w:tabs>
                <w:tab w:val="clear" w:pos="284"/>
                <w:tab w:val="clear" w:pos="567"/>
                <w:tab w:val="left" w:pos="741"/>
              </w:tabs>
              <w:jc w:val="both"/>
              <w:rPr>
                <w:lang w:val="fr-FR"/>
              </w:rPr>
            </w:pPr>
            <w:r w:rsidRPr="00DA5FDE">
              <w:rPr>
                <w:i/>
                <w:iCs/>
                <w:lang w:val="fr-FR"/>
              </w:rPr>
              <w:t>b)</w:t>
            </w:r>
            <w:r w:rsidRPr="00DA5FDE">
              <w:rPr>
                <w:lang w:val="fr-FR"/>
              </w:rPr>
              <w:tab/>
              <w:t xml:space="preserve">ne doivent pas donner lieu à des modifications ou à des restrictions concernant les allotissements existants du Plan et les assignations existantes de la Liste au titre de l'Appendice </w:t>
            </w:r>
            <w:r w:rsidRPr="00DA5FDE">
              <w:rPr>
                <w:b/>
                <w:lang w:val="fr-FR"/>
              </w:rPr>
              <w:t xml:space="preserve">30B </w:t>
            </w:r>
            <w:r w:rsidRPr="00DA5FDE">
              <w:rPr>
                <w:lang w:val="fr-FR"/>
              </w:rPr>
              <w:t>ou leur développement futur,</w:t>
            </w:r>
          </w:p>
          <w:p w14:paraId="52750080" w14:textId="77777777" w:rsidR="00F14C79" w:rsidRPr="00DA5FDE" w:rsidRDefault="00F14C79" w:rsidP="00C60C30">
            <w:pPr>
              <w:pStyle w:val="Call"/>
              <w:keepNext w:val="0"/>
              <w:keepLines w:val="0"/>
              <w:spacing w:before="40" w:after="40" w:line="240" w:lineRule="auto"/>
              <w:rPr>
                <w:iCs/>
                <w:sz w:val="20"/>
                <w:lang w:val="fr-FR"/>
              </w:rPr>
            </w:pPr>
            <w:r w:rsidRPr="00DA5FDE">
              <w:rPr>
                <w:iCs/>
                <w:sz w:val="20"/>
                <w:lang w:val="fr-FR"/>
              </w:rPr>
              <w:t>décide d'inviter la CMR-23</w:t>
            </w:r>
          </w:p>
          <w:p w14:paraId="6DA12329" w14:textId="77777777" w:rsidR="00F14C79" w:rsidRPr="00DA5FDE" w:rsidRDefault="00F14C79" w:rsidP="00C60C30">
            <w:pPr>
              <w:pStyle w:val="Tabletext"/>
              <w:rPr>
                <w:lang w:val="fr-FR"/>
              </w:rPr>
            </w:pPr>
            <w:r w:rsidRPr="00DA5FDE">
              <w:rPr>
                <w:lang w:val="fr-FR"/>
              </w:rPr>
              <w:t xml:space="preserve">à examiner les résultats des études mentionnées dans le </w:t>
            </w:r>
            <w:r w:rsidRPr="00DA5FDE">
              <w:rPr>
                <w:i/>
                <w:lang w:val="fr-FR"/>
              </w:rPr>
              <w:t>décide d'inviter l'UIT-R</w:t>
            </w:r>
            <w:r w:rsidRPr="00DA5FDE">
              <w:rPr>
                <w:lang w:val="fr-FR"/>
              </w:rPr>
              <w:t xml:space="preserve"> ci-dessus et à prendre les mesures nécessaires, le cas échéant,</w:t>
            </w:r>
          </w:p>
          <w:p w14:paraId="59CED4FA" w14:textId="77777777" w:rsidR="00F14C79" w:rsidRPr="00DA5FDE" w:rsidRDefault="00F14C79" w:rsidP="00C60C30">
            <w:pPr>
              <w:pStyle w:val="Call"/>
              <w:spacing w:before="40" w:after="40" w:line="240" w:lineRule="auto"/>
              <w:rPr>
                <w:iCs/>
                <w:sz w:val="20"/>
                <w:lang w:val="fr-FR"/>
              </w:rPr>
            </w:pPr>
            <w:r w:rsidRPr="00DA5FDE">
              <w:rPr>
                <w:iCs/>
                <w:sz w:val="20"/>
                <w:lang w:val="fr-FR"/>
              </w:rPr>
              <w:t>invite les administrations</w:t>
            </w:r>
          </w:p>
          <w:p w14:paraId="6ECD690A" w14:textId="77777777" w:rsidR="00F14C79" w:rsidRPr="00DA5FDE" w:rsidRDefault="00F14C79" w:rsidP="00C60C30">
            <w:pPr>
              <w:pStyle w:val="Tabletext"/>
              <w:keepNext/>
              <w:keepLines/>
              <w:rPr>
                <w:lang w:val="fr-FR"/>
              </w:rPr>
            </w:pPr>
            <w:r w:rsidRPr="00DA5FDE">
              <w:rPr>
                <w:lang w:val="fr-FR"/>
              </w:rPr>
              <w:t>à participer activement à ces études en soumettant des contributions à l'UIT-R.</w:t>
            </w:r>
          </w:p>
        </w:tc>
        <w:tc>
          <w:tcPr>
            <w:tcW w:w="1418" w:type="dxa"/>
          </w:tcPr>
          <w:p w14:paraId="594385E3" w14:textId="77777777" w:rsidR="00F14C79" w:rsidRPr="00DA5FDE" w:rsidRDefault="00F14C79" w:rsidP="00110E6F">
            <w:pPr>
              <w:pStyle w:val="Tabletext"/>
              <w:jc w:val="center"/>
              <w:rPr>
                <w:lang w:val="fr-FR"/>
              </w:rPr>
            </w:pPr>
            <w:r w:rsidRPr="00DA5FDE">
              <w:rPr>
                <w:b/>
                <w:bCs/>
                <w:lang w:val="fr-FR"/>
              </w:rPr>
              <w:lastRenderedPageBreak/>
              <w:t>GT 3M,</w:t>
            </w:r>
            <w:r w:rsidRPr="00DA5FDE">
              <w:rPr>
                <w:b/>
                <w:bCs/>
                <w:lang w:val="fr-FR"/>
              </w:rPr>
              <w:br/>
              <w:t>GT 5A,</w:t>
            </w:r>
            <w:r w:rsidRPr="00DA5FDE">
              <w:rPr>
                <w:b/>
                <w:bCs/>
                <w:lang w:val="fr-FR"/>
              </w:rPr>
              <w:br/>
              <w:t>GT 5B,</w:t>
            </w:r>
            <w:r w:rsidRPr="00DA5FDE">
              <w:rPr>
                <w:b/>
                <w:bCs/>
                <w:lang w:val="fr-FR"/>
              </w:rPr>
              <w:br/>
              <w:t>GT 5C</w:t>
            </w:r>
          </w:p>
        </w:tc>
      </w:tr>
      <w:tr w:rsidR="00F14C79" w:rsidRPr="009630F9" w14:paraId="22BD286C" w14:textId="77777777" w:rsidTr="003A2095">
        <w:trPr>
          <w:cantSplit/>
          <w:jc w:val="center"/>
        </w:trPr>
        <w:tc>
          <w:tcPr>
            <w:tcW w:w="14031" w:type="dxa"/>
            <w:gridSpan w:val="4"/>
          </w:tcPr>
          <w:p w14:paraId="5C1813D1" w14:textId="27C79107" w:rsidR="00F14C79" w:rsidRPr="00DA5FDE" w:rsidRDefault="00F14C79" w:rsidP="006322B0">
            <w:pPr>
              <w:pStyle w:val="Tabletext"/>
              <w:jc w:val="both"/>
              <w:rPr>
                <w:lang w:val="fr-FR"/>
              </w:rPr>
            </w:pPr>
            <w:r w:rsidRPr="00DA5FDE">
              <w:rPr>
                <w:rFonts w:eastAsia="MS Mincho"/>
                <w:kern w:val="2"/>
                <w:lang w:val="fr-FR" w:eastAsia="ja-JP"/>
              </w:rPr>
              <w:lastRenderedPageBreak/>
              <w:t>1.16</w:t>
            </w:r>
            <w:r w:rsidRPr="00DA5FDE">
              <w:rPr>
                <w:rFonts w:eastAsia="SimSun"/>
                <w:lang w:val="fr-FR"/>
              </w:rPr>
              <w:tab/>
              <w:t>étudier et définir les mesures techniques, opérationnelles et réglementaires, selon le cas, propres à faciliter l'utilisation des bandes de fréquences 17,7-18,6 GHz, 18,8-19,3 GHz et 19,7</w:t>
            </w:r>
            <w:r w:rsidR="006322B0">
              <w:rPr>
                <w:rFonts w:eastAsia="SimSun"/>
                <w:lang w:val="fr-FR"/>
              </w:rPr>
              <w:t>-</w:t>
            </w:r>
            <w:bookmarkStart w:id="0" w:name="_GoBack"/>
            <w:bookmarkEnd w:id="0"/>
            <w:r w:rsidRPr="00DA5FDE">
              <w:rPr>
                <w:rFonts w:eastAsia="SimSun"/>
                <w:lang w:val="fr-FR"/>
              </w:rPr>
              <w:t xml:space="preserve">20,2 GHz (espace vers Terre), ainsi que 27,5-29,1 GHz et 29,5-30 GHz (Terre vers espace) par les stations ESIM du SFS non OSG, tout en assurant la protection voulue des services existants dans ces bandes de fréquences conformément à la Résolution </w:t>
            </w:r>
            <w:r w:rsidRPr="00DA5FDE">
              <w:rPr>
                <w:rFonts w:eastAsia="SimSun"/>
                <w:b/>
                <w:bCs/>
                <w:lang w:val="fr-FR"/>
              </w:rPr>
              <w:t>173 (CMR-19)</w:t>
            </w:r>
            <w:r w:rsidRPr="00DA5FDE">
              <w:rPr>
                <w:rFonts w:eastAsia="SimSun"/>
                <w:lang w:val="fr-FR"/>
              </w:rPr>
              <w:t>;</w:t>
            </w:r>
          </w:p>
        </w:tc>
      </w:tr>
      <w:tr w:rsidR="00F14C79" w:rsidRPr="009630F9" w14:paraId="030F1070" w14:textId="77777777" w:rsidTr="003A2095">
        <w:trPr>
          <w:jc w:val="center"/>
        </w:trPr>
        <w:tc>
          <w:tcPr>
            <w:tcW w:w="3401" w:type="dxa"/>
          </w:tcPr>
          <w:p w14:paraId="4DC47580" w14:textId="77777777" w:rsidR="00F14C79" w:rsidRPr="00DA5FDE" w:rsidRDefault="00F14C79" w:rsidP="00110E6F">
            <w:pPr>
              <w:pStyle w:val="Tabletext"/>
              <w:rPr>
                <w:b/>
                <w:lang w:val="fr-FR"/>
              </w:rPr>
            </w:pPr>
            <w:r w:rsidRPr="00DA5FDE">
              <w:rPr>
                <w:lang w:val="fr-FR"/>
              </w:rPr>
              <w:t>Résolution</w:t>
            </w:r>
            <w:r w:rsidRPr="00DA5FDE">
              <w:rPr>
                <w:b/>
                <w:lang w:val="fr-FR"/>
              </w:rPr>
              <w:t> 173 (CMR</w:t>
            </w:r>
            <w:r w:rsidRPr="00DA5FDE">
              <w:rPr>
                <w:b/>
                <w:lang w:val="fr-FR"/>
              </w:rPr>
              <w:noBreakHyphen/>
              <w:t>19)</w:t>
            </w:r>
          </w:p>
          <w:p w14:paraId="04DC872C" w14:textId="77777777" w:rsidR="00F14C79" w:rsidRPr="00DA5FDE" w:rsidRDefault="00F14C79" w:rsidP="00110E6F">
            <w:pPr>
              <w:pStyle w:val="Tabletext"/>
              <w:rPr>
                <w:lang w:val="fr-FR"/>
              </w:rPr>
            </w:pPr>
            <w:r w:rsidRPr="00DA5FDE">
              <w:rPr>
                <w:lang w:val="fr-FR"/>
              </w:rPr>
              <w:t>Utilisation des bandes de fréquences 17,7-18,6 GHz, 18,8-19,3 GHz et 19,7</w:t>
            </w:r>
            <w:r w:rsidRPr="00DA5FDE">
              <w:rPr>
                <w:lang w:val="fr-FR"/>
              </w:rPr>
              <w:noBreakHyphen/>
              <w:t>20,2 GHz (espace vers Terre) et 27,5-29,1 GHz et 29,5-30 GHz (Terre vers espace) par les stations terriennes en mouvement communiquant avec des stations spatiales non géostationnaires du service fixe par satellite</w:t>
            </w:r>
          </w:p>
        </w:tc>
        <w:tc>
          <w:tcPr>
            <w:tcW w:w="1560" w:type="dxa"/>
          </w:tcPr>
          <w:p w14:paraId="1B3A4408" w14:textId="37C64C5D" w:rsidR="00F14C79" w:rsidRPr="00DA5FDE" w:rsidRDefault="00E17707" w:rsidP="00110E6F">
            <w:pPr>
              <w:pStyle w:val="Tabletext"/>
              <w:jc w:val="center"/>
              <w:rPr>
                <w:lang w:val="fr-FR"/>
              </w:rPr>
            </w:pPr>
            <w:r w:rsidRPr="00DA5FDE">
              <w:rPr>
                <w:b/>
                <w:bCs/>
                <w:lang w:val="fr-FR"/>
              </w:rPr>
              <w:t>GT </w:t>
            </w:r>
            <w:r w:rsidR="00F14C79" w:rsidRPr="00DA5FDE">
              <w:rPr>
                <w:b/>
                <w:bCs/>
                <w:lang w:val="fr-FR"/>
              </w:rPr>
              <w:t>4A</w:t>
            </w:r>
          </w:p>
        </w:tc>
        <w:tc>
          <w:tcPr>
            <w:tcW w:w="7652" w:type="dxa"/>
          </w:tcPr>
          <w:p w14:paraId="25509E5B" w14:textId="77777777" w:rsidR="00F14C79" w:rsidRPr="00DA5FDE" w:rsidRDefault="00F14C79" w:rsidP="002F086C">
            <w:pPr>
              <w:pStyle w:val="Call"/>
              <w:keepNext w:val="0"/>
              <w:keepLines w:val="0"/>
              <w:spacing w:before="40" w:after="40" w:line="240" w:lineRule="auto"/>
              <w:jc w:val="both"/>
              <w:rPr>
                <w:iCs/>
                <w:sz w:val="20"/>
                <w:lang w:val="fr-FR"/>
              </w:rPr>
            </w:pPr>
            <w:r w:rsidRPr="00DA5FDE">
              <w:rPr>
                <w:iCs/>
                <w:sz w:val="20"/>
                <w:lang w:val="fr-FR"/>
              </w:rPr>
              <w:t>décide d'inviter l'UIT-R</w:t>
            </w:r>
          </w:p>
          <w:p w14:paraId="20D7CC6C" w14:textId="77777777" w:rsidR="00F14C79" w:rsidRPr="00DA5FDE" w:rsidRDefault="00F14C79" w:rsidP="002F086C">
            <w:pPr>
              <w:pStyle w:val="Tabletext"/>
              <w:tabs>
                <w:tab w:val="clear" w:pos="284"/>
                <w:tab w:val="clear" w:pos="567"/>
                <w:tab w:val="left" w:pos="741"/>
              </w:tabs>
              <w:jc w:val="both"/>
              <w:rPr>
                <w:lang w:val="fr-FR"/>
              </w:rPr>
            </w:pPr>
            <w:r w:rsidRPr="00DA5FDE">
              <w:rPr>
                <w:lang w:val="fr-FR"/>
              </w:rPr>
              <w:t>1</w:t>
            </w:r>
            <w:r w:rsidRPr="00DA5FDE">
              <w:rPr>
                <w:iCs/>
                <w:lang w:val="fr-FR"/>
              </w:rPr>
              <w:tab/>
            </w:r>
            <w:r w:rsidRPr="00DA5FDE">
              <w:rPr>
                <w:lang w:val="fr-FR"/>
              </w:rPr>
              <w:t>à étudier les caractéristiques techniques et opérationnelles et les besoins des utilisateurs des différents types de stations terriennes en mouvement qu'il est prévu d'exploiter dans le cadre de systèmes du SFS non OSG dans les bandes de fréquences 17,7</w:t>
            </w:r>
            <w:r w:rsidRPr="00DA5FDE">
              <w:rPr>
                <w:lang w:val="fr-FR"/>
              </w:rPr>
              <w:noBreakHyphen/>
              <w:t>18,6 GHz, 18,8</w:t>
            </w:r>
            <w:r w:rsidRPr="00DA5FDE">
              <w:rPr>
                <w:lang w:val="fr-FR"/>
              </w:rPr>
              <w:noBreakHyphen/>
              <w:t>19,3 GHz et 19,7</w:t>
            </w:r>
            <w:r w:rsidRPr="00DA5FDE">
              <w:rPr>
                <w:lang w:val="fr-FR"/>
              </w:rPr>
              <w:noBreakHyphen/>
              <w:t>20,2 GHz (espace vers Terre) et 27,5-29,1 GHz et 29,5</w:t>
            </w:r>
            <w:r w:rsidRPr="00DA5FDE">
              <w:rPr>
                <w:lang w:val="fr-FR"/>
              </w:rPr>
              <w:noBreakHyphen/>
              <w:t>30 GHz (Terre vers espace), ou des parties de ces bandes;</w:t>
            </w:r>
          </w:p>
          <w:p w14:paraId="11CA0A07" w14:textId="61A7AC43" w:rsidR="00F14C79" w:rsidRPr="00DA5FDE" w:rsidRDefault="00F14C79" w:rsidP="002F086C">
            <w:pPr>
              <w:pStyle w:val="Tabletext"/>
              <w:tabs>
                <w:tab w:val="clear" w:pos="284"/>
                <w:tab w:val="clear" w:pos="567"/>
                <w:tab w:val="left" w:pos="741"/>
              </w:tabs>
              <w:jc w:val="both"/>
              <w:rPr>
                <w:lang w:val="fr-FR"/>
              </w:rPr>
            </w:pPr>
            <w:r w:rsidRPr="00DA5FDE">
              <w:rPr>
                <w:lang w:val="fr-FR"/>
              </w:rPr>
              <w:br w:type="page"/>
              <w:t>2</w:t>
            </w:r>
            <w:r w:rsidRPr="00DA5FDE">
              <w:rPr>
                <w:lang w:val="fr-FR"/>
              </w:rPr>
              <w:tab/>
              <w:t>à étudier le partage et la compatibilité entre les stations terriennes en mouvement fonctionnant avec des systèmes du SFS non OSG et les stations, actuelles ou en projet, des</w:t>
            </w:r>
            <w:r w:rsidR="00FB0C4A" w:rsidRPr="00DA5FDE">
              <w:rPr>
                <w:lang w:val="fr-FR"/>
              </w:rPr>
              <w:t> </w:t>
            </w:r>
            <w:r w:rsidRPr="00DA5FDE">
              <w:rPr>
                <w:lang w:val="fr-FR"/>
              </w:rPr>
              <w:t>services bénéficiant d'attributions à titre primaire dans les bandes de fréquences 17,7</w:t>
            </w:r>
            <w:r w:rsidR="00FB0C4A" w:rsidRPr="00DA5FDE">
              <w:rPr>
                <w:lang w:val="fr-FR"/>
              </w:rPr>
              <w:noBreakHyphen/>
            </w:r>
            <w:r w:rsidRPr="00DA5FDE">
              <w:rPr>
                <w:lang w:val="fr-FR"/>
              </w:rPr>
              <w:t>18,6 GHz, 18,8</w:t>
            </w:r>
            <w:r w:rsidRPr="00DA5FDE">
              <w:rPr>
                <w:lang w:val="fr-FR"/>
              </w:rPr>
              <w:noBreakHyphen/>
              <w:t>19,3 GHz et 19,7</w:t>
            </w:r>
            <w:r w:rsidRPr="00DA5FDE">
              <w:rPr>
                <w:lang w:val="fr-FR"/>
              </w:rPr>
              <w:noBreakHyphen/>
              <w:t>20,2 GHz (espace vers Terre), ainsi que 27,5-29,1 GHz et 29,5</w:t>
            </w:r>
            <w:r w:rsidRPr="00DA5FDE">
              <w:rPr>
                <w:lang w:val="fr-FR"/>
              </w:rPr>
              <w:noBreakHyphen/>
              <w:t>30 GHz (Terre vers espace), ou des parties de ces bandes, pour assurer la protection des systèmes OSG et des autres services, y compris les services de Terre, dans ces bandes de fréquences et dans les bandes adjacentes, y compris les services passifs, et éviter de leur imposer des contraintes additionnelles;</w:t>
            </w:r>
          </w:p>
          <w:p w14:paraId="0EEF6A44" w14:textId="072FAC1E" w:rsidR="00F14C79" w:rsidRPr="00DA5FDE" w:rsidRDefault="00F14C79" w:rsidP="002F086C">
            <w:pPr>
              <w:pStyle w:val="Tabletext"/>
              <w:tabs>
                <w:tab w:val="clear" w:pos="284"/>
                <w:tab w:val="clear" w:pos="567"/>
                <w:tab w:val="left" w:pos="741"/>
              </w:tabs>
              <w:jc w:val="both"/>
              <w:rPr>
                <w:lang w:val="fr-FR"/>
              </w:rPr>
            </w:pPr>
            <w:r w:rsidRPr="00DA5FDE">
              <w:rPr>
                <w:lang w:val="fr-FR"/>
              </w:rPr>
              <w:t>3</w:t>
            </w:r>
            <w:r w:rsidRPr="00DA5FDE">
              <w:rPr>
                <w:iCs/>
                <w:lang w:val="fr-FR"/>
              </w:rPr>
              <w:tab/>
            </w:r>
            <w:r w:rsidRPr="00DA5FDE">
              <w:rPr>
                <w:lang w:val="fr-FR"/>
              </w:rPr>
              <w:t xml:space="preserve">à définir les dispositions techniques et réglementaires applicables à l'exploitation des stations terriennes aéronautiques et maritimes en mouvement fonctionnant avec des systèmes du SFS non OSG, en tenant compte des résultats des études visées aux points 1 et 2 du </w:t>
            </w:r>
            <w:r w:rsidRPr="00DA5FDE">
              <w:rPr>
                <w:i/>
                <w:iCs/>
                <w:lang w:val="fr-FR"/>
              </w:rPr>
              <w:t>décide d'inviter l'UIT-R</w:t>
            </w:r>
            <w:r w:rsidR="005D388A" w:rsidRPr="00DA5FDE">
              <w:rPr>
                <w:i/>
                <w:iCs/>
                <w:lang w:val="fr-FR"/>
              </w:rPr>
              <w:t xml:space="preserve"> </w:t>
            </w:r>
            <w:r w:rsidRPr="00DA5FDE">
              <w:rPr>
                <w:lang w:val="fr-FR"/>
              </w:rPr>
              <w:t>ci-dessus;</w:t>
            </w:r>
          </w:p>
          <w:p w14:paraId="11CC5D44" w14:textId="2D9BA66D" w:rsidR="00F14C79" w:rsidRPr="00DA5FDE" w:rsidRDefault="00F14C79" w:rsidP="002F086C">
            <w:pPr>
              <w:pStyle w:val="Tabletext"/>
              <w:tabs>
                <w:tab w:val="clear" w:pos="284"/>
                <w:tab w:val="clear" w:pos="567"/>
                <w:tab w:val="left" w:pos="741"/>
              </w:tabs>
              <w:jc w:val="both"/>
              <w:rPr>
                <w:lang w:val="fr-FR"/>
              </w:rPr>
            </w:pPr>
            <w:r w:rsidRPr="00DA5FDE">
              <w:rPr>
                <w:lang w:val="fr-FR"/>
              </w:rPr>
              <w:t>4</w:t>
            </w:r>
            <w:r w:rsidRPr="00DA5FDE">
              <w:rPr>
                <w:iCs/>
                <w:lang w:val="fr-FR"/>
              </w:rPr>
              <w:tab/>
            </w:r>
            <w:r w:rsidRPr="00DA5FDE">
              <w:rPr>
                <w:lang w:val="fr-FR"/>
              </w:rPr>
              <w:t>à veiller à ce que les mesures techniques et opérationnelles ainsi que les modifications réglementaires éventuelles établies conformément à la présente Résolution n'aient pas d'incidence</w:t>
            </w:r>
            <w:r w:rsidR="00FB0C4A" w:rsidRPr="00DA5FDE">
              <w:rPr>
                <w:lang w:val="fr-FR"/>
              </w:rPr>
              <w:t>s</w:t>
            </w:r>
            <w:r w:rsidRPr="00DA5FDE">
              <w:rPr>
                <w:lang w:val="fr-FR"/>
              </w:rPr>
              <w:t xml:space="preserve"> sur les dispositions pertinentes relatives à la protection des réseaux OSG vis-à-vis des systèmes du SFS non OSG;</w:t>
            </w:r>
          </w:p>
          <w:p w14:paraId="15409E89" w14:textId="77777777" w:rsidR="00C40F4D" w:rsidRPr="00DA5FDE" w:rsidRDefault="00F14C79" w:rsidP="002F086C">
            <w:pPr>
              <w:pStyle w:val="Tabletext"/>
              <w:tabs>
                <w:tab w:val="clear" w:pos="284"/>
                <w:tab w:val="clear" w:pos="567"/>
                <w:tab w:val="left" w:pos="741"/>
              </w:tabs>
              <w:jc w:val="both"/>
              <w:rPr>
                <w:lang w:val="fr-FR"/>
              </w:rPr>
            </w:pPr>
            <w:r w:rsidRPr="00DA5FDE">
              <w:rPr>
                <w:lang w:val="fr-FR"/>
              </w:rPr>
              <w:t>5</w:t>
            </w:r>
            <w:r w:rsidRPr="00DA5FDE">
              <w:rPr>
                <w:lang w:val="fr-FR"/>
              </w:rPr>
              <w:tab/>
            </w:r>
            <w:r w:rsidR="00C40F4D" w:rsidRPr="00DA5FDE">
              <w:rPr>
                <w:lang w:val="fr-FR"/>
              </w:rPr>
              <w:t>à faire en sorte que les résultats des études de l'UIT-R soient approuvés par consensus par les États Membres;</w:t>
            </w:r>
          </w:p>
          <w:p w14:paraId="16578401" w14:textId="77777777" w:rsidR="00F14C79" w:rsidRPr="00DA5FDE" w:rsidRDefault="00F14C79" w:rsidP="002F086C">
            <w:pPr>
              <w:pStyle w:val="Tabletext"/>
              <w:tabs>
                <w:tab w:val="clear" w:pos="284"/>
                <w:tab w:val="clear" w:pos="567"/>
                <w:tab w:val="left" w:pos="741"/>
              </w:tabs>
              <w:jc w:val="both"/>
              <w:rPr>
                <w:lang w:val="fr-FR"/>
              </w:rPr>
            </w:pPr>
            <w:r w:rsidRPr="00DA5FDE">
              <w:rPr>
                <w:lang w:val="fr-FR"/>
              </w:rPr>
              <w:t>6</w:t>
            </w:r>
            <w:r w:rsidRPr="00DA5FDE">
              <w:rPr>
                <w:lang w:val="fr-FR"/>
              </w:rPr>
              <w:tab/>
              <w:t>à achever ces études à temps pour la CMR-23,</w:t>
            </w:r>
          </w:p>
          <w:p w14:paraId="366FE25F" w14:textId="77777777" w:rsidR="00F14C79" w:rsidRPr="00DA5FDE" w:rsidRDefault="00F14C79" w:rsidP="002F086C">
            <w:pPr>
              <w:pStyle w:val="Call"/>
              <w:keepNext w:val="0"/>
              <w:keepLines w:val="0"/>
              <w:spacing w:before="40" w:after="40" w:line="240" w:lineRule="auto"/>
              <w:jc w:val="both"/>
              <w:rPr>
                <w:iCs/>
                <w:sz w:val="20"/>
                <w:lang w:val="fr-FR"/>
              </w:rPr>
            </w:pPr>
            <w:r w:rsidRPr="00DA5FDE">
              <w:rPr>
                <w:iCs/>
                <w:sz w:val="20"/>
                <w:lang w:val="fr-FR"/>
              </w:rPr>
              <w:t>décide d'inviter la CMR-23</w:t>
            </w:r>
          </w:p>
          <w:p w14:paraId="7D4C1F57" w14:textId="77777777" w:rsidR="00F14C79" w:rsidRPr="00DA5FDE" w:rsidRDefault="00F14C79" w:rsidP="002F086C">
            <w:pPr>
              <w:pStyle w:val="Tabletext"/>
              <w:jc w:val="both"/>
              <w:rPr>
                <w:lang w:val="fr-FR"/>
              </w:rPr>
            </w:pPr>
            <w:r w:rsidRPr="00DA5FDE">
              <w:rPr>
                <w:lang w:val="fr-FR"/>
              </w:rPr>
              <w:t>à examiner les résultats de ces études et à prendre les mesures appropriées.</w:t>
            </w:r>
          </w:p>
        </w:tc>
        <w:tc>
          <w:tcPr>
            <w:tcW w:w="1418" w:type="dxa"/>
          </w:tcPr>
          <w:p w14:paraId="6C5B3BB9" w14:textId="77777777" w:rsidR="00F14C79" w:rsidRPr="00DA5FDE" w:rsidRDefault="00F14C79" w:rsidP="00110E6F">
            <w:pPr>
              <w:pStyle w:val="Tabletext"/>
              <w:jc w:val="center"/>
              <w:rPr>
                <w:lang w:val="fr-FR"/>
              </w:rPr>
            </w:pPr>
            <w:r w:rsidRPr="00DA5FDE">
              <w:rPr>
                <w:b/>
                <w:bCs/>
                <w:lang w:val="fr-FR"/>
              </w:rPr>
              <w:t>GT 3M,</w:t>
            </w:r>
            <w:r w:rsidRPr="00DA5FDE">
              <w:rPr>
                <w:b/>
                <w:bCs/>
                <w:lang w:val="fr-FR"/>
              </w:rPr>
              <w:br/>
              <w:t>GT 4C,</w:t>
            </w:r>
            <w:r w:rsidRPr="00DA5FDE">
              <w:rPr>
                <w:b/>
                <w:bCs/>
                <w:lang w:val="fr-FR"/>
              </w:rPr>
              <w:br/>
              <w:t>GT 5A,</w:t>
            </w:r>
            <w:r w:rsidRPr="00DA5FDE">
              <w:rPr>
                <w:b/>
                <w:bCs/>
                <w:lang w:val="fr-FR"/>
              </w:rPr>
              <w:br/>
              <w:t>GT 5B,</w:t>
            </w:r>
            <w:r w:rsidRPr="00DA5FDE">
              <w:rPr>
                <w:b/>
                <w:bCs/>
                <w:lang w:val="fr-FR"/>
              </w:rPr>
              <w:br/>
              <w:t>GT 5C,</w:t>
            </w:r>
            <w:r w:rsidRPr="00DA5FDE">
              <w:rPr>
                <w:b/>
                <w:bCs/>
                <w:lang w:val="fr-FR"/>
              </w:rPr>
              <w:br/>
              <w:t>GT 7B</w:t>
            </w:r>
          </w:p>
        </w:tc>
      </w:tr>
    </w:tbl>
    <w:p w14:paraId="77FFD8BE" w14:textId="77777777" w:rsidR="002D4E53" w:rsidRDefault="002D4E53" w:rsidP="002D4E53">
      <w:pPr>
        <w:pStyle w:val="Tablefin"/>
      </w:pPr>
    </w:p>
    <w:p w14:paraId="2884D155" w14:textId="4DDED0DF" w:rsidR="009C21C7" w:rsidRPr="00C6617B" w:rsidRDefault="003D64BD" w:rsidP="001F35E2">
      <w:pPr>
        <w:spacing w:before="120" w:line="240" w:lineRule="auto"/>
        <w:jc w:val="center"/>
      </w:pPr>
      <w:r>
        <w:t>______________</w:t>
      </w:r>
    </w:p>
    <w:sectPr w:rsidR="009C21C7" w:rsidRPr="00C6617B" w:rsidSect="004C42E1">
      <w:headerReference w:type="default" r:id="rId12"/>
      <w:pgSz w:w="16834" w:h="11907" w:orient="landscape" w:code="9"/>
      <w:pgMar w:top="1134" w:right="1134" w:bottom="1134" w:left="993"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749BE" w14:textId="77777777" w:rsidR="009630F9" w:rsidRDefault="009630F9">
      <w:r>
        <w:separator/>
      </w:r>
    </w:p>
  </w:endnote>
  <w:endnote w:type="continuationSeparator" w:id="0">
    <w:p w14:paraId="74BE9C06" w14:textId="77777777" w:rsidR="009630F9" w:rsidRDefault="0096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4981" w14:textId="77777777" w:rsidR="002F086C" w:rsidRPr="009B2EC3" w:rsidRDefault="002F086C" w:rsidP="002F086C">
    <w:pPr>
      <w:pStyle w:val="FirstFooter"/>
      <w:spacing w:line="240" w:lineRule="auto"/>
      <w:ind w:left="-397" w:right="-397"/>
      <w:jc w:val="center"/>
      <w:rPr>
        <w:color w:val="4F81BD" w:themeColor="accent1"/>
        <w:sz w:val="19"/>
        <w:szCs w:val="19"/>
        <w:lang w:val="fr-CH"/>
      </w:rPr>
    </w:pPr>
    <w:r w:rsidRPr="009B2EC3">
      <w:rPr>
        <w:color w:val="4F81BD" w:themeColor="accent1"/>
        <w:sz w:val="19"/>
        <w:szCs w:val="19"/>
        <w:lang w:val="fr-CH"/>
      </w:rPr>
      <w:t xml:space="preserve">International </w:t>
    </w:r>
    <w:proofErr w:type="spellStart"/>
    <w:r w:rsidRPr="009B2EC3">
      <w:rPr>
        <w:color w:val="4F81BD" w:themeColor="accent1"/>
        <w:sz w:val="19"/>
        <w:szCs w:val="19"/>
        <w:lang w:val="fr-CH"/>
      </w:rPr>
      <w:t>Telecommunication</w:t>
    </w:r>
    <w:proofErr w:type="spellEnd"/>
    <w:r w:rsidRPr="009B2EC3">
      <w:rPr>
        <w:color w:val="4F81BD" w:themeColor="accent1"/>
        <w:sz w:val="19"/>
        <w:szCs w:val="19"/>
        <w:lang w:val="fr-CH"/>
      </w:rPr>
      <w:t xml:space="preserve"> Union • Place des Nations, CH</w:t>
    </w:r>
    <w:r w:rsidRPr="009B2EC3">
      <w:rPr>
        <w:color w:val="4F81BD" w:themeColor="accent1"/>
        <w:sz w:val="19"/>
        <w:szCs w:val="19"/>
        <w:lang w:val="fr-CH"/>
      </w:rPr>
      <w:noBreakHyphen/>
      <w:t xml:space="preserve">1211 Geneva 20, </w:t>
    </w:r>
    <w:proofErr w:type="spellStart"/>
    <w:r w:rsidRPr="009B2EC3">
      <w:rPr>
        <w:color w:val="4F81BD" w:themeColor="accent1"/>
        <w:sz w:val="19"/>
        <w:szCs w:val="19"/>
        <w:lang w:val="fr-CH"/>
      </w:rPr>
      <w:t>Switzerland</w:t>
    </w:r>
    <w:proofErr w:type="spellEnd"/>
    <w:r w:rsidRPr="009B2EC3">
      <w:rPr>
        <w:color w:val="4F81BD" w:themeColor="accent1"/>
        <w:sz w:val="19"/>
        <w:szCs w:val="19"/>
        <w:lang w:val="fr-CH"/>
      </w:rPr>
      <w:t xml:space="preserve"> • </w:t>
    </w:r>
    <w:r w:rsidRPr="009B2EC3">
      <w:rPr>
        <w:color w:val="4F81BD" w:themeColor="accent1"/>
        <w:sz w:val="19"/>
        <w:szCs w:val="19"/>
        <w:lang w:val="fr-CH"/>
      </w:rPr>
      <w:br/>
      <w:t>Tel: +41 22 730 5</w:t>
    </w:r>
    <w:r>
      <w:rPr>
        <w:color w:val="4F81BD" w:themeColor="accent1"/>
        <w:sz w:val="19"/>
        <w:szCs w:val="19"/>
        <w:lang w:val="fr-CH"/>
      </w:rPr>
      <w:t>111</w:t>
    </w:r>
    <w:r w:rsidRPr="009B2EC3">
      <w:rPr>
        <w:color w:val="4F81BD" w:themeColor="accent1"/>
        <w:sz w:val="19"/>
        <w:szCs w:val="19"/>
        <w:lang w:val="fr-CH"/>
      </w:rPr>
      <w:t xml:space="preserve"> • E-mail: </w:t>
    </w:r>
    <w:hyperlink r:id="rId1" w:history="1">
      <w:r w:rsidRPr="00316640">
        <w:rPr>
          <w:rStyle w:val="Hyperlink"/>
          <w:sz w:val="19"/>
          <w:szCs w:val="19"/>
          <w:lang w:val="fr-CH"/>
        </w:rPr>
        <w:t>itumail@itu.int</w:t>
      </w:r>
    </w:hyperlink>
    <w:r w:rsidRPr="009B2EC3">
      <w:rPr>
        <w:color w:val="4F81BD" w:themeColor="accent1"/>
        <w:sz w:val="19"/>
        <w:szCs w:val="19"/>
        <w:lang w:val="fr-CH"/>
      </w:rPr>
      <w:t xml:space="preserve"> • </w:t>
    </w:r>
    <w:r w:rsidRPr="00FB65BC">
      <w:rPr>
        <w:color w:val="3E8EDE"/>
        <w:sz w:val="18"/>
        <w:szCs w:val="18"/>
        <w:lang w:val="fr-CH"/>
      </w:rPr>
      <w:t xml:space="preserve">Fax: +41 22 733 7256 </w:t>
    </w:r>
    <w:r w:rsidRPr="009B2EC3">
      <w:rPr>
        <w:color w:val="4F81BD" w:themeColor="accent1"/>
        <w:sz w:val="19"/>
        <w:szCs w:val="19"/>
        <w:lang w:val="fr-CH"/>
      </w:rPr>
      <w:t xml:space="preserve">• </w:t>
    </w:r>
    <w:r>
      <w:rPr>
        <w:color w:val="4F81BD" w:themeColor="accent1"/>
        <w:sz w:val="19"/>
        <w:szCs w:val="19"/>
        <w:lang w:val="fr-CH"/>
      </w:rPr>
      <w:t>www.itu.int</w:t>
    </w:r>
  </w:p>
  <w:p w14:paraId="72DDEA43" w14:textId="6914D939" w:rsidR="009630F9" w:rsidRPr="002F086C" w:rsidRDefault="009630F9" w:rsidP="002F0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AB8B3" w14:textId="77777777" w:rsidR="009630F9" w:rsidRDefault="009630F9">
      <w:r>
        <w:t>____________________</w:t>
      </w:r>
    </w:p>
  </w:footnote>
  <w:footnote w:type="continuationSeparator" w:id="0">
    <w:p w14:paraId="5EC4A3B9" w14:textId="77777777" w:rsidR="009630F9" w:rsidRDefault="00963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424E" w14:textId="77777777" w:rsidR="009630F9" w:rsidRPr="002569F7" w:rsidRDefault="009630F9" w:rsidP="003F2F34">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532C" w14:textId="44FBD384" w:rsidR="009630F9" w:rsidRPr="003F2F34" w:rsidRDefault="009630F9" w:rsidP="003F2F34">
    <w:pPr>
      <w:pStyle w:val="Header"/>
      <w:jc w:val="center"/>
      <w:rPr>
        <w:sz w:val="18"/>
        <w:szCs w:val="16"/>
      </w:rPr>
    </w:pPr>
    <w:r>
      <w:rPr>
        <w:sz w:val="18"/>
        <w:szCs w:val="16"/>
      </w:rPr>
      <w:t xml:space="preserve">- </w:t>
    </w: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6322B0">
      <w:rPr>
        <w:noProof/>
        <w:sz w:val="18"/>
        <w:szCs w:val="16"/>
      </w:rPr>
      <w:t>3</w:t>
    </w:r>
    <w:r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8"/>
      <w:gridCol w:w="1072"/>
    </w:tblGrid>
    <w:tr w:rsidR="002F086C" w14:paraId="2A49C003" w14:textId="77777777" w:rsidTr="00164409">
      <w:tc>
        <w:tcPr>
          <w:tcW w:w="9690" w:type="dxa"/>
          <w:noWrap/>
          <w:tcMar>
            <w:left w:w="0" w:type="dxa"/>
          </w:tcMar>
        </w:tcPr>
        <w:p w14:paraId="27171D6D" w14:textId="77777777" w:rsidR="002F086C" w:rsidRDefault="002F086C" w:rsidP="002F086C">
          <w:pPr>
            <w:pStyle w:val="Header"/>
            <w:spacing w:before="120" w:line="360" w:lineRule="auto"/>
            <w:jc w:val="center"/>
          </w:pPr>
          <w:r>
            <w:rPr>
              <w:noProof/>
              <w:lang w:val="en-GB" w:eastAsia="en-GB"/>
            </w:rPr>
            <w:drawing>
              <wp:inline distT="0" distB="0" distL="0" distR="0" wp14:anchorId="6A580968" wp14:editId="4E6DBE3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1072" w:type="dxa"/>
          <w:noWrap/>
        </w:tcPr>
        <w:p w14:paraId="3CD09DFD" w14:textId="77777777" w:rsidR="002F086C" w:rsidRDefault="002F086C" w:rsidP="002F086C">
          <w:pPr>
            <w:pStyle w:val="Header"/>
            <w:spacing w:before="240" w:line="360" w:lineRule="auto"/>
            <w:ind w:left="4100"/>
            <w:jc w:val="right"/>
          </w:pPr>
        </w:p>
      </w:tc>
    </w:tr>
  </w:tbl>
  <w:p w14:paraId="27ACB007" w14:textId="77777777" w:rsidR="009630F9" w:rsidRPr="004F47EA" w:rsidRDefault="009630F9" w:rsidP="004F4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1151" w14:textId="4DB66002" w:rsidR="009630F9" w:rsidRPr="00446956" w:rsidRDefault="009630F9" w:rsidP="00DB1648">
    <w:pPr>
      <w:pStyle w:val="Header"/>
      <w:jc w:val="center"/>
      <w:rPr>
        <w:sz w:val="18"/>
        <w:szCs w:val="16"/>
      </w:rPr>
    </w:pPr>
    <w:r w:rsidRPr="00446956">
      <w:rPr>
        <w:sz w:val="18"/>
        <w:szCs w:val="16"/>
      </w:rPr>
      <w:t xml:space="preserve">- </w:t>
    </w:r>
    <w:sdt>
      <w:sdtPr>
        <w:rPr>
          <w:sz w:val="18"/>
          <w:szCs w:val="16"/>
        </w:rPr>
        <w:id w:val="570238402"/>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6322B0">
          <w:rPr>
            <w:noProof/>
            <w:sz w:val="18"/>
            <w:szCs w:val="16"/>
          </w:rPr>
          <w:t>5</w:t>
        </w:r>
        <w:r w:rsidRPr="00446956">
          <w:rPr>
            <w:noProof/>
            <w:sz w:val="18"/>
            <w:szCs w:val="16"/>
          </w:rPr>
          <w:fldChar w:fldCharType="end"/>
        </w:r>
        <w:r w:rsidRPr="00446956">
          <w:rPr>
            <w:noProof/>
            <w:sz w:val="18"/>
            <w:szCs w:val="16"/>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C2F68F8"/>
    <w:multiLevelType w:val="hybridMultilevel"/>
    <w:tmpl w:val="AAC49C18"/>
    <w:lvl w:ilvl="0" w:tplc="03DC56CE">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8CFD4BF2-D8AF-4D6C-B70F-064E80269881}"/>
    <w:docVar w:name="dgnword-eventsink" w:val="2257641408000"/>
  </w:docVars>
  <w:rsids>
    <w:rsidRoot w:val="00FA12CC"/>
    <w:rsid w:val="00006A31"/>
    <w:rsid w:val="00006C82"/>
    <w:rsid w:val="00007705"/>
    <w:rsid w:val="00010E30"/>
    <w:rsid w:val="000140E7"/>
    <w:rsid w:val="00015C76"/>
    <w:rsid w:val="00026CF8"/>
    <w:rsid w:val="00030BD7"/>
    <w:rsid w:val="00031E64"/>
    <w:rsid w:val="00034340"/>
    <w:rsid w:val="00035CB3"/>
    <w:rsid w:val="00045A8D"/>
    <w:rsid w:val="0005167A"/>
    <w:rsid w:val="00054E5D"/>
    <w:rsid w:val="00070258"/>
    <w:rsid w:val="0007323C"/>
    <w:rsid w:val="000804FB"/>
    <w:rsid w:val="00083972"/>
    <w:rsid w:val="00086D03"/>
    <w:rsid w:val="000A096A"/>
    <w:rsid w:val="000A34EA"/>
    <w:rsid w:val="000A375E"/>
    <w:rsid w:val="000A7051"/>
    <w:rsid w:val="000B0AF6"/>
    <w:rsid w:val="000B0E9B"/>
    <w:rsid w:val="000B2CAE"/>
    <w:rsid w:val="000B35F5"/>
    <w:rsid w:val="000C03C7"/>
    <w:rsid w:val="000C2AD0"/>
    <w:rsid w:val="000C40D1"/>
    <w:rsid w:val="000D4985"/>
    <w:rsid w:val="000E3DEE"/>
    <w:rsid w:val="000E443D"/>
    <w:rsid w:val="000F2278"/>
    <w:rsid w:val="00100B72"/>
    <w:rsid w:val="00101F7D"/>
    <w:rsid w:val="00103C76"/>
    <w:rsid w:val="00104100"/>
    <w:rsid w:val="00106BAA"/>
    <w:rsid w:val="00110E6F"/>
    <w:rsid w:val="0011265F"/>
    <w:rsid w:val="00117282"/>
    <w:rsid w:val="00117389"/>
    <w:rsid w:val="00121C2D"/>
    <w:rsid w:val="00134404"/>
    <w:rsid w:val="00144DFB"/>
    <w:rsid w:val="00163C33"/>
    <w:rsid w:val="00172A57"/>
    <w:rsid w:val="001814B5"/>
    <w:rsid w:val="00187CA3"/>
    <w:rsid w:val="00190742"/>
    <w:rsid w:val="001949E0"/>
    <w:rsid w:val="00196710"/>
    <w:rsid w:val="00196770"/>
    <w:rsid w:val="00197324"/>
    <w:rsid w:val="001976A1"/>
    <w:rsid w:val="001A2959"/>
    <w:rsid w:val="001A75EC"/>
    <w:rsid w:val="001B0391"/>
    <w:rsid w:val="001B351B"/>
    <w:rsid w:val="001B3FE4"/>
    <w:rsid w:val="001B42C9"/>
    <w:rsid w:val="001B6FBB"/>
    <w:rsid w:val="001C06DB"/>
    <w:rsid w:val="001C1AC3"/>
    <w:rsid w:val="001C59E2"/>
    <w:rsid w:val="001C6971"/>
    <w:rsid w:val="001D2785"/>
    <w:rsid w:val="001D6644"/>
    <w:rsid w:val="001D7070"/>
    <w:rsid w:val="001F02EC"/>
    <w:rsid w:val="001F2170"/>
    <w:rsid w:val="001F35E2"/>
    <w:rsid w:val="001F3948"/>
    <w:rsid w:val="001F4D81"/>
    <w:rsid w:val="001F5A49"/>
    <w:rsid w:val="00201097"/>
    <w:rsid w:val="00201B6E"/>
    <w:rsid w:val="0021129A"/>
    <w:rsid w:val="0022372D"/>
    <w:rsid w:val="002302B3"/>
    <w:rsid w:val="00230C66"/>
    <w:rsid w:val="00233684"/>
    <w:rsid w:val="00235A29"/>
    <w:rsid w:val="00235E32"/>
    <w:rsid w:val="00241526"/>
    <w:rsid w:val="002443A2"/>
    <w:rsid w:val="00245451"/>
    <w:rsid w:val="00250E23"/>
    <w:rsid w:val="002569F7"/>
    <w:rsid w:val="002576F6"/>
    <w:rsid w:val="00266E74"/>
    <w:rsid w:val="0027337F"/>
    <w:rsid w:val="00283C3B"/>
    <w:rsid w:val="00285E3C"/>
    <w:rsid w:val="002861E6"/>
    <w:rsid w:val="00287D18"/>
    <w:rsid w:val="002A2618"/>
    <w:rsid w:val="002A5DD7"/>
    <w:rsid w:val="002B0CAC"/>
    <w:rsid w:val="002B23DB"/>
    <w:rsid w:val="002D4E53"/>
    <w:rsid w:val="002D5A15"/>
    <w:rsid w:val="002D5BDD"/>
    <w:rsid w:val="002D683C"/>
    <w:rsid w:val="002E12CC"/>
    <w:rsid w:val="002E25D7"/>
    <w:rsid w:val="002E3D27"/>
    <w:rsid w:val="002E5697"/>
    <w:rsid w:val="002E69BE"/>
    <w:rsid w:val="002F086C"/>
    <w:rsid w:val="002F0890"/>
    <w:rsid w:val="002F15AE"/>
    <w:rsid w:val="002F2531"/>
    <w:rsid w:val="002F4967"/>
    <w:rsid w:val="002F5841"/>
    <w:rsid w:val="002F5AA5"/>
    <w:rsid w:val="00316935"/>
    <w:rsid w:val="003266ED"/>
    <w:rsid w:val="00326C68"/>
    <w:rsid w:val="00331A9D"/>
    <w:rsid w:val="003370B8"/>
    <w:rsid w:val="00345D38"/>
    <w:rsid w:val="00346A6F"/>
    <w:rsid w:val="003471C9"/>
    <w:rsid w:val="00347C88"/>
    <w:rsid w:val="00352097"/>
    <w:rsid w:val="003528EC"/>
    <w:rsid w:val="003666FF"/>
    <w:rsid w:val="003674EE"/>
    <w:rsid w:val="0037031A"/>
    <w:rsid w:val="0037309C"/>
    <w:rsid w:val="00380A6E"/>
    <w:rsid w:val="003836D4"/>
    <w:rsid w:val="0038444C"/>
    <w:rsid w:val="0038722E"/>
    <w:rsid w:val="00387AE4"/>
    <w:rsid w:val="003A1F49"/>
    <w:rsid w:val="003A2095"/>
    <w:rsid w:val="003A55ED"/>
    <w:rsid w:val="003A5D52"/>
    <w:rsid w:val="003B2BDA"/>
    <w:rsid w:val="003B2D39"/>
    <w:rsid w:val="003B55EC"/>
    <w:rsid w:val="003C2EA7"/>
    <w:rsid w:val="003C4471"/>
    <w:rsid w:val="003C7D41"/>
    <w:rsid w:val="003D0627"/>
    <w:rsid w:val="003D4418"/>
    <w:rsid w:val="003D4A69"/>
    <w:rsid w:val="003D64BD"/>
    <w:rsid w:val="003E479D"/>
    <w:rsid w:val="003E504F"/>
    <w:rsid w:val="003E78D6"/>
    <w:rsid w:val="003F2F34"/>
    <w:rsid w:val="00400573"/>
    <w:rsid w:val="004007A3"/>
    <w:rsid w:val="00406D71"/>
    <w:rsid w:val="00411CB3"/>
    <w:rsid w:val="004143A2"/>
    <w:rsid w:val="00420D91"/>
    <w:rsid w:val="004228FA"/>
    <w:rsid w:val="0042529F"/>
    <w:rsid w:val="004326DB"/>
    <w:rsid w:val="0043682E"/>
    <w:rsid w:val="004454B2"/>
    <w:rsid w:val="00447ECB"/>
    <w:rsid w:val="00452956"/>
    <w:rsid w:val="00453BD5"/>
    <w:rsid w:val="00453DE8"/>
    <w:rsid w:val="004570E0"/>
    <w:rsid w:val="004623F7"/>
    <w:rsid w:val="004672F8"/>
    <w:rsid w:val="00467AB5"/>
    <w:rsid w:val="00472C5D"/>
    <w:rsid w:val="00480F51"/>
    <w:rsid w:val="00481124"/>
    <w:rsid w:val="004815EB"/>
    <w:rsid w:val="00487569"/>
    <w:rsid w:val="00496864"/>
    <w:rsid w:val="00496920"/>
    <w:rsid w:val="00496E06"/>
    <w:rsid w:val="004A4496"/>
    <w:rsid w:val="004B11AB"/>
    <w:rsid w:val="004B13D6"/>
    <w:rsid w:val="004B7C9A"/>
    <w:rsid w:val="004C246E"/>
    <w:rsid w:val="004C42E1"/>
    <w:rsid w:val="004C5016"/>
    <w:rsid w:val="004C6779"/>
    <w:rsid w:val="004D733B"/>
    <w:rsid w:val="004E0DC4"/>
    <w:rsid w:val="004E0FB5"/>
    <w:rsid w:val="004E4398"/>
    <w:rsid w:val="004E43BB"/>
    <w:rsid w:val="004E460D"/>
    <w:rsid w:val="004E744D"/>
    <w:rsid w:val="004F178E"/>
    <w:rsid w:val="004F4543"/>
    <w:rsid w:val="004F47EA"/>
    <w:rsid w:val="004F57BB"/>
    <w:rsid w:val="00501379"/>
    <w:rsid w:val="00505309"/>
    <w:rsid w:val="0050789B"/>
    <w:rsid w:val="005131A6"/>
    <w:rsid w:val="005224A1"/>
    <w:rsid w:val="0053110A"/>
    <w:rsid w:val="005311A2"/>
    <w:rsid w:val="00532D23"/>
    <w:rsid w:val="00534372"/>
    <w:rsid w:val="00543DF8"/>
    <w:rsid w:val="00546101"/>
    <w:rsid w:val="00553DD7"/>
    <w:rsid w:val="00562045"/>
    <w:rsid w:val="005638CF"/>
    <w:rsid w:val="0056741E"/>
    <w:rsid w:val="00571807"/>
    <w:rsid w:val="0057325A"/>
    <w:rsid w:val="0057469A"/>
    <w:rsid w:val="00580814"/>
    <w:rsid w:val="00583A0B"/>
    <w:rsid w:val="0058688A"/>
    <w:rsid w:val="005A03A3"/>
    <w:rsid w:val="005A2B92"/>
    <w:rsid w:val="005A3F66"/>
    <w:rsid w:val="005A3F7C"/>
    <w:rsid w:val="005A79E9"/>
    <w:rsid w:val="005B214C"/>
    <w:rsid w:val="005B3AD3"/>
    <w:rsid w:val="005B4CDA"/>
    <w:rsid w:val="005B62F0"/>
    <w:rsid w:val="005C2890"/>
    <w:rsid w:val="005D3669"/>
    <w:rsid w:val="005D388A"/>
    <w:rsid w:val="005D41E1"/>
    <w:rsid w:val="005E3387"/>
    <w:rsid w:val="005E352E"/>
    <w:rsid w:val="005E42F8"/>
    <w:rsid w:val="005E5EB3"/>
    <w:rsid w:val="005F06E5"/>
    <w:rsid w:val="005F1812"/>
    <w:rsid w:val="005F3CB6"/>
    <w:rsid w:val="005F657C"/>
    <w:rsid w:val="00602D53"/>
    <w:rsid w:val="006047E5"/>
    <w:rsid w:val="0062356E"/>
    <w:rsid w:val="00625B48"/>
    <w:rsid w:val="006322B0"/>
    <w:rsid w:val="00642050"/>
    <w:rsid w:val="0064371D"/>
    <w:rsid w:val="00650543"/>
    <w:rsid w:val="00650B2A"/>
    <w:rsid w:val="00651777"/>
    <w:rsid w:val="006550F8"/>
    <w:rsid w:val="006829F3"/>
    <w:rsid w:val="006A0216"/>
    <w:rsid w:val="006A15BA"/>
    <w:rsid w:val="006A518B"/>
    <w:rsid w:val="006A604F"/>
    <w:rsid w:val="006A7753"/>
    <w:rsid w:val="006B0441"/>
    <w:rsid w:val="006B0590"/>
    <w:rsid w:val="006B49DA"/>
    <w:rsid w:val="006B5079"/>
    <w:rsid w:val="006C5056"/>
    <w:rsid w:val="006C53F8"/>
    <w:rsid w:val="006C7CDE"/>
    <w:rsid w:val="006D2DDD"/>
    <w:rsid w:val="006D3ACF"/>
    <w:rsid w:val="006E7E6D"/>
    <w:rsid w:val="006F1AF1"/>
    <w:rsid w:val="006F7166"/>
    <w:rsid w:val="00701450"/>
    <w:rsid w:val="00713100"/>
    <w:rsid w:val="0071690A"/>
    <w:rsid w:val="007234B1"/>
    <w:rsid w:val="00723D08"/>
    <w:rsid w:val="00723E86"/>
    <w:rsid w:val="007253C6"/>
    <w:rsid w:val="00725FDA"/>
    <w:rsid w:val="00727816"/>
    <w:rsid w:val="00730B9A"/>
    <w:rsid w:val="00735553"/>
    <w:rsid w:val="00746A73"/>
    <w:rsid w:val="00750CFA"/>
    <w:rsid w:val="007553DA"/>
    <w:rsid w:val="007705EF"/>
    <w:rsid w:val="00773962"/>
    <w:rsid w:val="00773F7E"/>
    <w:rsid w:val="00775708"/>
    <w:rsid w:val="00775DB8"/>
    <w:rsid w:val="007768CB"/>
    <w:rsid w:val="00782354"/>
    <w:rsid w:val="007921A7"/>
    <w:rsid w:val="007A61B9"/>
    <w:rsid w:val="007B36AF"/>
    <w:rsid w:val="007B3DB1"/>
    <w:rsid w:val="007C0565"/>
    <w:rsid w:val="007C2E1E"/>
    <w:rsid w:val="007C3FA4"/>
    <w:rsid w:val="007C74C4"/>
    <w:rsid w:val="007D183E"/>
    <w:rsid w:val="007D43D0"/>
    <w:rsid w:val="007D5D87"/>
    <w:rsid w:val="007E1833"/>
    <w:rsid w:val="007E3F13"/>
    <w:rsid w:val="007F751A"/>
    <w:rsid w:val="00800012"/>
    <w:rsid w:val="0080261F"/>
    <w:rsid w:val="00806160"/>
    <w:rsid w:val="008064A5"/>
    <w:rsid w:val="00811C79"/>
    <w:rsid w:val="008143A4"/>
    <w:rsid w:val="0081513E"/>
    <w:rsid w:val="00846E43"/>
    <w:rsid w:val="00854131"/>
    <w:rsid w:val="0085652D"/>
    <w:rsid w:val="00860E9C"/>
    <w:rsid w:val="00872901"/>
    <w:rsid w:val="0087532B"/>
    <w:rsid w:val="0087604E"/>
    <w:rsid w:val="0087694B"/>
    <w:rsid w:val="00880F4D"/>
    <w:rsid w:val="00882D48"/>
    <w:rsid w:val="0088443B"/>
    <w:rsid w:val="00895B5D"/>
    <w:rsid w:val="008B35A3"/>
    <w:rsid w:val="008B37E1"/>
    <w:rsid w:val="008B45F8"/>
    <w:rsid w:val="008C2E74"/>
    <w:rsid w:val="008D03D5"/>
    <w:rsid w:val="008D5409"/>
    <w:rsid w:val="008E006D"/>
    <w:rsid w:val="008E38B4"/>
    <w:rsid w:val="008F2003"/>
    <w:rsid w:val="008F3B23"/>
    <w:rsid w:val="008F4F21"/>
    <w:rsid w:val="008F6D22"/>
    <w:rsid w:val="008F73F1"/>
    <w:rsid w:val="009005A1"/>
    <w:rsid w:val="00904D4A"/>
    <w:rsid w:val="009076D7"/>
    <w:rsid w:val="009151BA"/>
    <w:rsid w:val="00925023"/>
    <w:rsid w:val="00925B37"/>
    <w:rsid w:val="009277BC"/>
    <w:rsid w:val="00927D57"/>
    <w:rsid w:val="00931A51"/>
    <w:rsid w:val="00935384"/>
    <w:rsid w:val="00947185"/>
    <w:rsid w:val="009518B3"/>
    <w:rsid w:val="0095297D"/>
    <w:rsid w:val="009554D0"/>
    <w:rsid w:val="009630F9"/>
    <w:rsid w:val="00963D9D"/>
    <w:rsid w:val="009663A4"/>
    <w:rsid w:val="00974887"/>
    <w:rsid w:val="0098013E"/>
    <w:rsid w:val="00981B54"/>
    <w:rsid w:val="009842C3"/>
    <w:rsid w:val="00995324"/>
    <w:rsid w:val="009A009A"/>
    <w:rsid w:val="009A6BB6"/>
    <w:rsid w:val="009B3F43"/>
    <w:rsid w:val="009B5CFA"/>
    <w:rsid w:val="009C161F"/>
    <w:rsid w:val="009C21C7"/>
    <w:rsid w:val="009C3B28"/>
    <w:rsid w:val="009C56B4"/>
    <w:rsid w:val="009D51A2"/>
    <w:rsid w:val="009D7B3F"/>
    <w:rsid w:val="009E04A8"/>
    <w:rsid w:val="009E1D4A"/>
    <w:rsid w:val="009E1E9E"/>
    <w:rsid w:val="009E4AEC"/>
    <w:rsid w:val="009E5BD8"/>
    <w:rsid w:val="009E681E"/>
    <w:rsid w:val="009E76E7"/>
    <w:rsid w:val="009E7D46"/>
    <w:rsid w:val="009F5CC2"/>
    <w:rsid w:val="00A119E6"/>
    <w:rsid w:val="00A20FBC"/>
    <w:rsid w:val="00A231BC"/>
    <w:rsid w:val="00A23D73"/>
    <w:rsid w:val="00A2549F"/>
    <w:rsid w:val="00A27522"/>
    <w:rsid w:val="00A31370"/>
    <w:rsid w:val="00A34D6F"/>
    <w:rsid w:val="00A41F91"/>
    <w:rsid w:val="00A47560"/>
    <w:rsid w:val="00A63355"/>
    <w:rsid w:val="00A67495"/>
    <w:rsid w:val="00A71A6D"/>
    <w:rsid w:val="00A7596D"/>
    <w:rsid w:val="00A75D1F"/>
    <w:rsid w:val="00A7644B"/>
    <w:rsid w:val="00A807F6"/>
    <w:rsid w:val="00A95229"/>
    <w:rsid w:val="00A963DF"/>
    <w:rsid w:val="00AA211B"/>
    <w:rsid w:val="00AA781A"/>
    <w:rsid w:val="00AC0C22"/>
    <w:rsid w:val="00AC3896"/>
    <w:rsid w:val="00AD2CF2"/>
    <w:rsid w:val="00AD5923"/>
    <w:rsid w:val="00AE2D88"/>
    <w:rsid w:val="00AE6F6F"/>
    <w:rsid w:val="00AF23B5"/>
    <w:rsid w:val="00AF2A17"/>
    <w:rsid w:val="00AF3325"/>
    <w:rsid w:val="00AF34D9"/>
    <w:rsid w:val="00AF36BC"/>
    <w:rsid w:val="00AF70DA"/>
    <w:rsid w:val="00B019D3"/>
    <w:rsid w:val="00B04A27"/>
    <w:rsid w:val="00B34CF9"/>
    <w:rsid w:val="00B37559"/>
    <w:rsid w:val="00B4054B"/>
    <w:rsid w:val="00B579B0"/>
    <w:rsid w:val="00B57D11"/>
    <w:rsid w:val="00B649D7"/>
    <w:rsid w:val="00B81C2F"/>
    <w:rsid w:val="00B90743"/>
    <w:rsid w:val="00B90C45"/>
    <w:rsid w:val="00B933BE"/>
    <w:rsid w:val="00B96475"/>
    <w:rsid w:val="00BA084A"/>
    <w:rsid w:val="00BD6738"/>
    <w:rsid w:val="00BD7E5E"/>
    <w:rsid w:val="00BE48F9"/>
    <w:rsid w:val="00BE63DB"/>
    <w:rsid w:val="00BE6574"/>
    <w:rsid w:val="00C07319"/>
    <w:rsid w:val="00C16FD2"/>
    <w:rsid w:val="00C176AA"/>
    <w:rsid w:val="00C236AF"/>
    <w:rsid w:val="00C3556B"/>
    <w:rsid w:val="00C400D3"/>
    <w:rsid w:val="00C40F4D"/>
    <w:rsid w:val="00C4395E"/>
    <w:rsid w:val="00C47FFD"/>
    <w:rsid w:val="00C51E92"/>
    <w:rsid w:val="00C57E2C"/>
    <w:rsid w:val="00C608B7"/>
    <w:rsid w:val="00C60C30"/>
    <w:rsid w:val="00C6617B"/>
    <w:rsid w:val="00C66F24"/>
    <w:rsid w:val="00C73AD1"/>
    <w:rsid w:val="00C76D7F"/>
    <w:rsid w:val="00C813AA"/>
    <w:rsid w:val="00C853C0"/>
    <w:rsid w:val="00C9291E"/>
    <w:rsid w:val="00CA3F44"/>
    <w:rsid w:val="00CA4B1E"/>
    <w:rsid w:val="00CA4E58"/>
    <w:rsid w:val="00CA5699"/>
    <w:rsid w:val="00CB3771"/>
    <w:rsid w:val="00CB44BF"/>
    <w:rsid w:val="00CB5153"/>
    <w:rsid w:val="00CB684F"/>
    <w:rsid w:val="00CC7549"/>
    <w:rsid w:val="00CC7E66"/>
    <w:rsid w:val="00CD1AD1"/>
    <w:rsid w:val="00CE076A"/>
    <w:rsid w:val="00CE463D"/>
    <w:rsid w:val="00CF3295"/>
    <w:rsid w:val="00CF48D4"/>
    <w:rsid w:val="00D055F8"/>
    <w:rsid w:val="00D10BA0"/>
    <w:rsid w:val="00D12ED4"/>
    <w:rsid w:val="00D146FC"/>
    <w:rsid w:val="00D15F95"/>
    <w:rsid w:val="00D17E90"/>
    <w:rsid w:val="00D21694"/>
    <w:rsid w:val="00D21A4D"/>
    <w:rsid w:val="00D22000"/>
    <w:rsid w:val="00D24EB5"/>
    <w:rsid w:val="00D30833"/>
    <w:rsid w:val="00D35AB9"/>
    <w:rsid w:val="00D41571"/>
    <w:rsid w:val="00D416A0"/>
    <w:rsid w:val="00D47672"/>
    <w:rsid w:val="00D5123C"/>
    <w:rsid w:val="00D55560"/>
    <w:rsid w:val="00D61C5A"/>
    <w:rsid w:val="00D62111"/>
    <w:rsid w:val="00D6287C"/>
    <w:rsid w:val="00D6790C"/>
    <w:rsid w:val="00D7168D"/>
    <w:rsid w:val="00D73277"/>
    <w:rsid w:val="00D76586"/>
    <w:rsid w:val="00D82657"/>
    <w:rsid w:val="00D87E20"/>
    <w:rsid w:val="00D979EF"/>
    <w:rsid w:val="00DA4037"/>
    <w:rsid w:val="00DA489E"/>
    <w:rsid w:val="00DA5FDE"/>
    <w:rsid w:val="00DA77B9"/>
    <w:rsid w:val="00DB1648"/>
    <w:rsid w:val="00DB1F51"/>
    <w:rsid w:val="00DC5DD0"/>
    <w:rsid w:val="00DD18F0"/>
    <w:rsid w:val="00DE5E1D"/>
    <w:rsid w:val="00DE66A5"/>
    <w:rsid w:val="00DF06D6"/>
    <w:rsid w:val="00DF1434"/>
    <w:rsid w:val="00DF2B50"/>
    <w:rsid w:val="00DF53A7"/>
    <w:rsid w:val="00DF6406"/>
    <w:rsid w:val="00E01059"/>
    <w:rsid w:val="00E04C86"/>
    <w:rsid w:val="00E17344"/>
    <w:rsid w:val="00E17707"/>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29BE"/>
    <w:rsid w:val="00E72B7E"/>
    <w:rsid w:val="00E74388"/>
    <w:rsid w:val="00E915AF"/>
    <w:rsid w:val="00E96415"/>
    <w:rsid w:val="00EA15B3"/>
    <w:rsid w:val="00EA2C83"/>
    <w:rsid w:val="00EA4701"/>
    <w:rsid w:val="00EA4E41"/>
    <w:rsid w:val="00EB2358"/>
    <w:rsid w:val="00EB3EB8"/>
    <w:rsid w:val="00EC00EF"/>
    <w:rsid w:val="00EC02FE"/>
    <w:rsid w:val="00EC0999"/>
    <w:rsid w:val="00EC4A96"/>
    <w:rsid w:val="00EC4AD9"/>
    <w:rsid w:val="00ED3830"/>
    <w:rsid w:val="00ED41EB"/>
    <w:rsid w:val="00EE03A0"/>
    <w:rsid w:val="00EE1A57"/>
    <w:rsid w:val="00EE44F7"/>
    <w:rsid w:val="00EF115F"/>
    <w:rsid w:val="00EF3727"/>
    <w:rsid w:val="00F14C79"/>
    <w:rsid w:val="00F1795C"/>
    <w:rsid w:val="00F201BC"/>
    <w:rsid w:val="00F424BF"/>
    <w:rsid w:val="00F44FC3"/>
    <w:rsid w:val="00F46107"/>
    <w:rsid w:val="00F46871"/>
    <w:rsid w:val="00F468C5"/>
    <w:rsid w:val="00F52F39"/>
    <w:rsid w:val="00F53B1B"/>
    <w:rsid w:val="00F6184F"/>
    <w:rsid w:val="00F62013"/>
    <w:rsid w:val="00F7293B"/>
    <w:rsid w:val="00F73DBD"/>
    <w:rsid w:val="00F8310E"/>
    <w:rsid w:val="00F901F0"/>
    <w:rsid w:val="00F914DD"/>
    <w:rsid w:val="00FA12CC"/>
    <w:rsid w:val="00FA2358"/>
    <w:rsid w:val="00FB0C4A"/>
    <w:rsid w:val="00FB2592"/>
    <w:rsid w:val="00FB2810"/>
    <w:rsid w:val="00FB4480"/>
    <w:rsid w:val="00FB7A2C"/>
    <w:rsid w:val="00FB7CD4"/>
    <w:rsid w:val="00FC2947"/>
    <w:rsid w:val="00FC675F"/>
    <w:rsid w:val="00FE0818"/>
    <w:rsid w:val="00FE44AC"/>
    <w:rsid w:val="00FE5C4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DF4D0E"/>
  <w15:docId w15:val="{9C6E4C17-DE42-4A8B-8476-3FDE285B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h1,Section of paper"/>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
    <w:basedOn w:val="DefaultParagraphFont"/>
    <w:link w:val="Header"/>
    <w:rsid w:val="003F2F34"/>
    <w:rPr>
      <w:sz w:val="24"/>
      <w:szCs w:val="22"/>
      <w:lang w:val="en-US" w:eastAsia="en-US"/>
    </w:rPr>
  </w:style>
  <w:style w:type="character" w:customStyle="1" w:styleId="UnresolvedMention1">
    <w:name w:val="Unresolved Mention1"/>
    <w:basedOn w:val="DefaultParagraphFont"/>
    <w:uiPriority w:val="99"/>
    <w:semiHidden/>
    <w:unhideWhenUsed/>
    <w:rsid w:val="00FA12CC"/>
    <w:rPr>
      <w:color w:val="605E5C"/>
      <w:shd w:val="clear" w:color="auto" w:fill="E1DFDD"/>
    </w:rPr>
  </w:style>
  <w:style w:type="character" w:styleId="FollowedHyperlink">
    <w:name w:val="FollowedHyperlink"/>
    <w:basedOn w:val="DefaultParagraphFont"/>
    <w:uiPriority w:val="99"/>
    <w:unhideWhenUsed/>
    <w:rsid w:val="008F73F1"/>
    <w:rPr>
      <w:color w:val="800080" w:themeColor="followedHyperlink"/>
      <w:u w:val="single"/>
    </w:rPr>
  </w:style>
  <w:style w:type="character" w:customStyle="1" w:styleId="enumlev1Char">
    <w:name w:val="enumlev1 Char"/>
    <w:basedOn w:val="DefaultParagraphFont"/>
    <w:link w:val="enumlev1"/>
    <w:locked/>
    <w:rsid w:val="0058688A"/>
    <w:rPr>
      <w:sz w:val="24"/>
      <w:szCs w:val="22"/>
      <w:lang w:val="en-US" w:eastAsia="en-US"/>
    </w:rPr>
  </w:style>
  <w:style w:type="paragraph" w:customStyle="1" w:styleId="Normalaftertitle0">
    <w:name w:val="Normal after title"/>
    <w:basedOn w:val="Normal"/>
    <w:next w:val="Normal"/>
    <w:link w:val="NormalaftertitleChar0"/>
    <w:rsid w:val="00A71A6D"/>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fr-FR"/>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qFormat/>
    <w:rsid w:val="00A71A6D"/>
    <w:rPr>
      <w:szCs w:val="22"/>
      <w:lang w:val="en-US" w:eastAsia="en-US"/>
    </w:rPr>
  </w:style>
  <w:style w:type="character" w:customStyle="1" w:styleId="CallChar">
    <w:name w:val="Call Char"/>
    <w:basedOn w:val="DefaultParagraphFont"/>
    <w:link w:val="Call"/>
    <w:locked/>
    <w:rsid w:val="00A71A6D"/>
    <w:rPr>
      <w:i/>
      <w:sz w:val="24"/>
      <w:szCs w:val="22"/>
      <w:lang w:val="en-US" w:eastAsia="en-US"/>
    </w:rPr>
  </w:style>
  <w:style w:type="character" w:customStyle="1" w:styleId="TabletextChar">
    <w:name w:val="Table_text Char"/>
    <w:basedOn w:val="DefaultParagraphFont"/>
    <w:link w:val="Tabletext"/>
    <w:locked/>
    <w:rsid w:val="002576F6"/>
    <w:rPr>
      <w:szCs w:val="22"/>
      <w:lang w:val="en-US" w:eastAsia="en-US"/>
    </w:rPr>
  </w:style>
  <w:style w:type="paragraph" w:customStyle="1" w:styleId="Annextitle">
    <w:name w:val="Annex_title"/>
    <w:basedOn w:val="Normal"/>
    <w:next w:val="Normal"/>
    <w:rsid w:val="002576F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NormalaftertitleChar">
    <w:name w:val="Normal_after_title Char"/>
    <w:basedOn w:val="DefaultParagraphFont"/>
    <w:link w:val="Normalaftertitle"/>
    <w:locked/>
    <w:rsid w:val="00B96475"/>
    <w:rPr>
      <w:sz w:val="24"/>
      <w:szCs w:val="22"/>
      <w:lang w:val="en-US" w:eastAsia="en-US"/>
    </w:rPr>
  </w:style>
  <w:style w:type="paragraph" w:customStyle="1" w:styleId="AnnexNo">
    <w:name w:val="Annex_No"/>
    <w:basedOn w:val="Normal"/>
    <w:next w:val="Normal"/>
    <w:uiPriority w:val="99"/>
    <w:rsid w:val="00B96475"/>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Notitle0">
    <w:name w:val="Annex_No &amp; title"/>
    <w:basedOn w:val="Normal"/>
    <w:next w:val="Normalaftertitle"/>
    <w:uiPriority w:val="99"/>
    <w:rsid w:val="00B96475"/>
    <w:pPr>
      <w:keepNext/>
      <w:keepLines/>
      <w:spacing w:before="480" w:line="240" w:lineRule="auto"/>
      <w:jc w:val="center"/>
    </w:pPr>
    <w:rPr>
      <w:rFonts w:ascii="Times New Roman" w:hAnsi="Times New Roman" w:cs="Times New Roman"/>
      <w:b/>
      <w:sz w:val="28"/>
      <w:szCs w:val="20"/>
      <w:lang w:val="fr-FR"/>
    </w:rPr>
  </w:style>
  <w:style w:type="paragraph" w:customStyle="1" w:styleId="Annex">
    <w:name w:val="Annex_"/>
    <w:basedOn w:val="AnnexNotitle0"/>
    <w:rsid w:val="00B96475"/>
    <w:rPr>
      <w:rFonts w:asciiTheme="minorHAnsi" w:hAnsiTheme="minorHAnsi"/>
      <w:lang w:val="fr-CH"/>
    </w:rPr>
  </w:style>
  <w:style w:type="paragraph" w:customStyle="1" w:styleId="TableNo">
    <w:name w:val="Table_No"/>
    <w:basedOn w:val="Normal"/>
    <w:next w:val="Normal"/>
    <w:link w:val="TableNoChar"/>
    <w:rsid w:val="007768CB"/>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7768CB"/>
    <w:rPr>
      <w:rFonts w:ascii="Times New Roman" w:hAnsi="Times New Roman" w:cs="Times New Roman"/>
      <w:caps/>
      <w:lang w:val="en-GB" w:eastAsia="en-US"/>
    </w:rPr>
  </w:style>
  <w:style w:type="paragraph" w:customStyle="1" w:styleId="Anne">
    <w:name w:val="Anne"/>
    <w:basedOn w:val="Normal"/>
    <w:rsid w:val="0062356E"/>
    <w:pPr>
      <w:spacing w:before="0" w:line="240" w:lineRule="auto"/>
      <w:jc w:val="left"/>
    </w:pPr>
    <w:rPr>
      <w:rFonts w:ascii="Times New Roman" w:hAnsi="Times New Roman" w:cs="Times New Roman"/>
      <w:szCs w:val="24"/>
      <w:lang w:val="fr-CH"/>
    </w:rPr>
  </w:style>
  <w:style w:type="character" w:customStyle="1" w:styleId="HeadingbChar">
    <w:name w:val="Heading_b Char"/>
    <w:link w:val="Headingb"/>
    <w:locked/>
    <w:rsid w:val="005F06E5"/>
    <w:rPr>
      <w:b/>
      <w:sz w:val="24"/>
      <w:szCs w:val="22"/>
      <w:lang w:val="en-US" w:eastAsia="en-US"/>
    </w:rPr>
  </w:style>
  <w:style w:type="paragraph" w:customStyle="1" w:styleId="Agendaitem">
    <w:name w:val="Agenda_item"/>
    <w:basedOn w:val="Normal"/>
    <w:next w:val="Normal"/>
    <w:qFormat/>
    <w:rsid w:val="005F06E5"/>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s-ES_tradnl"/>
    </w:rPr>
  </w:style>
  <w:style w:type="paragraph" w:customStyle="1" w:styleId="AnnexNotitleBodyCalibri">
    <w:name w:val="Annex_No &amp; title + +Body (Calibri)"/>
    <w:aliases w:val="Not Bold"/>
    <w:basedOn w:val="AnnexNotitle0"/>
    <w:rsid w:val="002F5841"/>
    <w:rPr>
      <w:rFonts w:asciiTheme="minorHAnsi" w:hAnsiTheme="minorHAnsi"/>
      <w:b w:val="0"/>
      <w:bCs/>
      <w:lang w:val="fr-CH"/>
    </w:rPr>
  </w:style>
  <w:style w:type="character" w:customStyle="1" w:styleId="Heading1Char">
    <w:name w:val="Heading 1 Char"/>
    <w:aliases w:val="h1 Char,Section of paper Char"/>
    <w:basedOn w:val="DefaultParagraphFont"/>
    <w:link w:val="Heading1"/>
    <w:rsid w:val="005311A2"/>
    <w:rPr>
      <w:b/>
      <w:sz w:val="24"/>
      <w:szCs w:val="22"/>
      <w:lang w:val="en-US" w:eastAsia="en-US"/>
    </w:rPr>
  </w:style>
  <w:style w:type="character" w:customStyle="1" w:styleId="Heading2Char">
    <w:name w:val="Heading 2 Char"/>
    <w:basedOn w:val="DefaultParagraphFont"/>
    <w:link w:val="Heading2"/>
    <w:rsid w:val="005311A2"/>
    <w:rPr>
      <w:b/>
      <w:sz w:val="24"/>
      <w:szCs w:val="22"/>
      <w:lang w:val="en-US" w:eastAsia="en-US"/>
    </w:rPr>
  </w:style>
  <w:style w:type="character" w:customStyle="1" w:styleId="Heading3Char">
    <w:name w:val="Heading 3 Char"/>
    <w:basedOn w:val="DefaultParagraphFont"/>
    <w:link w:val="Heading3"/>
    <w:rsid w:val="005311A2"/>
    <w:rPr>
      <w:b/>
      <w:sz w:val="24"/>
      <w:szCs w:val="22"/>
      <w:lang w:val="en-US" w:eastAsia="en-US"/>
    </w:rPr>
  </w:style>
  <w:style w:type="character" w:customStyle="1" w:styleId="Heading4Char">
    <w:name w:val="Heading 4 Char"/>
    <w:basedOn w:val="DefaultParagraphFont"/>
    <w:link w:val="Heading4"/>
    <w:rsid w:val="005311A2"/>
    <w:rPr>
      <w:b/>
      <w:sz w:val="24"/>
      <w:szCs w:val="22"/>
      <w:lang w:val="en-US" w:eastAsia="en-US"/>
    </w:rPr>
  </w:style>
  <w:style w:type="character" w:customStyle="1" w:styleId="Heading5Char">
    <w:name w:val="Heading 5 Char"/>
    <w:basedOn w:val="DefaultParagraphFont"/>
    <w:link w:val="Heading5"/>
    <w:rsid w:val="005311A2"/>
    <w:rPr>
      <w:b/>
      <w:sz w:val="24"/>
      <w:szCs w:val="22"/>
      <w:lang w:val="en-US" w:eastAsia="en-US"/>
    </w:rPr>
  </w:style>
  <w:style w:type="character" w:customStyle="1" w:styleId="Heading6Char">
    <w:name w:val="Heading 6 Char"/>
    <w:basedOn w:val="DefaultParagraphFont"/>
    <w:link w:val="Heading6"/>
    <w:rsid w:val="005311A2"/>
    <w:rPr>
      <w:b/>
      <w:sz w:val="24"/>
      <w:szCs w:val="22"/>
      <w:lang w:val="en-US" w:eastAsia="en-US"/>
    </w:rPr>
  </w:style>
  <w:style w:type="character" w:customStyle="1" w:styleId="Heading7Char">
    <w:name w:val="Heading 7 Char"/>
    <w:basedOn w:val="DefaultParagraphFont"/>
    <w:link w:val="Heading7"/>
    <w:rsid w:val="005311A2"/>
    <w:rPr>
      <w:b/>
      <w:sz w:val="24"/>
      <w:szCs w:val="22"/>
      <w:lang w:val="en-US" w:eastAsia="en-US"/>
    </w:rPr>
  </w:style>
  <w:style w:type="character" w:customStyle="1" w:styleId="Heading8Char">
    <w:name w:val="Heading 8 Char"/>
    <w:basedOn w:val="DefaultParagraphFont"/>
    <w:link w:val="Heading8"/>
    <w:rsid w:val="005311A2"/>
    <w:rPr>
      <w:b/>
      <w:sz w:val="24"/>
      <w:szCs w:val="22"/>
      <w:lang w:val="en-US" w:eastAsia="en-US"/>
    </w:rPr>
  </w:style>
  <w:style w:type="character" w:customStyle="1" w:styleId="Heading9Char">
    <w:name w:val="Heading 9 Char"/>
    <w:basedOn w:val="DefaultParagraphFont"/>
    <w:link w:val="Heading9"/>
    <w:rsid w:val="005311A2"/>
    <w:rPr>
      <w:b/>
      <w:sz w:val="24"/>
      <w:szCs w:val="22"/>
      <w:lang w:val="en-US" w:eastAsia="en-US"/>
    </w:rPr>
  </w:style>
  <w:style w:type="character" w:customStyle="1" w:styleId="FooterChar">
    <w:name w:val="Footer Char"/>
    <w:aliases w:val="pie de página Char"/>
    <w:basedOn w:val="DefaultParagraphFont"/>
    <w:link w:val="Footer"/>
    <w:rsid w:val="005311A2"/>
    <w:rPr>
      <w:sz w:val="24"/>
      <w:szCs w:val="22"/>
      <w:lang w:val="en-US" w:eastAsia="en-US"/>
    </w:rPr>
  </w:style>
  <w:style w:type="character" w:customStyle="1" w:styleId="RestitleChar">
    <w:name w:val="Res_title Char"/>
    <w:link w:val="Restitle"/>
    <w:locked/>
    <w:rsid w:val="005311A2"/>
    <w:rPr>
      <w:b/>
      <w:sz w:val="28"/>
      <w:szCs w:val="22"/>
      <w:lang w:val="en-US" w:eastAsia="en-US"/>
    </w:rPr>
  </w:style>
  <w:style w:type="character" w:customStyle="1" w:styleId="NormalaftertitleChar0">
    <w:name w:val="Normal after title Char"/>
    <w:basedOn w:val="DefaultParagraphFont"/>
    <w:link w:val="Normalaftertitle0"/>
    <w:rsid w:val="005311A2"/>
    <w:rPr>
      <w:rFonts w:ascii="Times New Roman" w:hAnsi="Times New Roman" w:cs="Times New Roman"/>
      <w:sz w:val="24"/>
      <w:lang w:val="fr-FR" w:eastAsia="en-US"/>
    </w:rPr>
  </w:style>
  <w:style w:type="paragraph" w:customStyle="1" w:styleId="Reasons">
    <w:name w:val="Reasons"/>
    <w:basedOn w:val="Normal"/>
    <w:qFormat/>
    <w:rsid w:val="005311A2"/>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FigureNo">
    <w:name w:val="Figure_No"/>
    <w:basedOn w:val="Normal"/>
    <w:next w:val="Normal"/>
    <w:link w:val="FigureNoChar"/>
    <w:rsid w:val="005311A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locked/>
    <w:rsid w:val="005311A2"/>
    <w:rPr>
      <w:rFonts w:ascii="Times New Roman" w:hAnsi="Times New Roman" w:cs="Times New Roman"/>
      <w:caps/>
      <w:lang w:val="en-GB" w:eastAsia="en-US"/>
    </w:rPr>
  </w:style>
  <w:style w:type="paragraph" w:customStyle="1" w:styleId="Figuretitle">
    <w:name w:val="Figure_title"/>
    <w:basedOn w:val="Normal"/>
    <w:next w:val="Normal"/>
    <w:link w:val="FiguretitleChar"/>
    <w:rsid w:val="005311A2"/>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locked/>
    <w:rsid w:val="005311A2"/>
    <w:rPr>
      <w:rFonts w:ascii="Times New Roman Bold" w:hAnsi="Times New Roman Bold" w:cs="Times New Roman"/>
      <w:b/>
      <w:lang w:val="en-GB" w:eastAsia="en-US"/>
    </w:rPr>
  </w:style>
  <w:style w:type="character" w:customStyle="1" w:styleId="hps">
    <w:name w:val="hps"/>
    <w:basedOn w:val="DefaultParagraphFont"/>
    <w:rsid w:val="005311A2"/>
  </w:style>
  <w:style w:type="character" w:customStyle="1" w:styleId="Appdef">
    <w:name w:val="App_def"/>
    <w:basedOn w:val="DefaultParagraphFont"/>
    <w:rsid w:val="005311A2"/>
    <w:rPr>
      <w:rFonts w:ascii="Times New Roman" w:hAnsi="Times New Roman"/>
      <w:b/>
    </w:rPr>
  </w:style>
  <w:style w:type="character" w:customStyle="1" w:styleId="Appref">
    <w:name w:val="App_ref"/>
    <w:basedOn w:val="DefaultParagraphFont"/>
    <w:rsid w:val="005311A2"/>
  </w:style>
  <w:style w:type="paragraph" w:customStyle="1" w:styleId="AppendixNotitle0">
    <w:name w:val="Appendix_No &amp; title"/>
    <w:basedOn w:val="AnnexNotitle0"/>
    <w:next w:val="Normal"/>
    <w:uiPriority w:val="99"/>
    <w:rsid w:val="005311A2"/>
    <w:rPr>
      <w:lang w:val="en-GB"/>
    </w:rPr>
  </w:style>
  <w:style w:type="character" w:customStyle="1" w:styleId="Artdef">
    <w:name w:val="Art_def"/>
    <w:basedOn w:val="DefaultParagraphFont"/>
    <w:rsid w:val="005311A2"/>
    <w:rPr>
      <w:rFonts w:ascii="Times New Roman" w:hAnsi="Times New Roman"/>
      <w:b/>
    </w:rPr>
  </w:style>
  <w:style w:type="character" w:customStyle="1" w:styleId="Artref">
    <w:name w:val="Art_ref"/>
    <w:basedOn w:val="DefaultParagraphFont"/>
    <w:rsid w:val="005311A2"/>
  </w:style>
  <w:style w:type="character" w:styleId="EndnoteReference">
    <w:name w:val="endnote reference"/>
    <w:basedOn w:val="DefaultParagraphFont"/>
    <w:rsid w:val="005311A2"/>
    <w:rPr>
      <w:vertAlign w:val="superscript"/>
    </w:rPr>
  </w:style>
  <w:style w:type="paragraph" w:customStyle="1" w:styleId="FigureNotitle0">
    <w:name w:val="Figure_No &amp; title"/>
    <w:basedOn w:val="Normal"/>
    <w:next w:val="Normal"/>
    <w:rsid w:val="005311A2"/>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uiPriority w:val="99"/>
    <w:rsid w:val="005311A2"/>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uiPriority w:val="99"/>
    <w:rsid w:val="005311A2"/>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uiPriority w:val="99"/>
    <w:rsid w:val="005311A2"/>
    <w:pPr>
      <w:keepNext w:val="0"/>
      <w:spacing w:after="480"/>
    </w:pPr>
  </w:style>
  <w:style w:type="paragraph" w:customStyle="1" w:styleId="RecNoBR">
    <w:name w:val="Rec_No_BR"/>
    <w:basedOn w:val="Normal"/>
    <w:next w:val="Normal"/>
    <w:uiPriority w:val="99"/>
    <w:rsid w:val="005311A2"/>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uiPriority w:val="99"/>
    <w:rsid w:val="005311A2"/>
  </w:style>
  <w:style w:type="character" w:customStyle="1" w:styleId="Recdef">
    <w:name w:val="Rec_def"/>
    <w:basedOn w:val="DefaultParagraphFont"/>
    <w:rsid w:val="005311A2"/>
    <w:rPr>
      <w:b/>
    </w:rPr>
  </w:style>
  <w:style w:type="paragraph" w:customStyle="1" w:styleId="RepNoBR">
    <w:name w:val="Rep_No_BR"/>
    <w:basedOn w:val="RecNoBR"/>
    <w:next w:val="Normal"/>
    <w:uiPriority w:val="99"/>
    <w:rsid w:val="005311A2"/>
  </w:style>
  <w:style w:type="character" w:customStyle="1" w:styleId="Resdef">
    <w:name w:val="Res_def"/>
    <w:basedOn w:val="DefaultParagraphFont"/>
    <w:rsid w:val="005311A2"/>
    <w:rPr>
      <w:rFonts w:ascii="Times New Roman" w:hAnsi="Times New Roman"/>
      <w:b/>
    </w:rPr>
  </w:style>
  <w:style w:type="paragraph" w:customStyle="1" w:styleId="ResNoBR">
    <w:name w:val="Res_No_BR"/>
    <w:basedOn w:val="RecNoBR"/>
    <w:next w:val="Normal"/>
    <w:rsid w:val="005311A2"/>
  </w:style>
  <w:style w:type="character" w:customStyle="1" w:styleId="Tablefreq">
    <w:name w:val="Table_freq"/>
    <w:basedOn w:val="DefaultParagraphFont"/>
    <w:rsid w:val="005311A2"/>
    <w:rPr>
      <w:b/>
      <w:color w:val="auto"/>
    </w:rPr>
  </w:style>
  <w:style w:type="paragraph" w:customStyle="1" w:styleId="TableNotitle0">
    <w:name w:val="Table_No &amp; title"/>
    <w:basedOn w:val="Normal"/>
    <w:next w:val="Tablehead"/>
    <w:rsid w:val="005311A2"/>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uiPriority w:val="99"/>
    <w:rsid w:val="005311A2"/>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5311A2"/>
    <w:pPr>
      <w:keepNext/>
      <w:spacing w:before="0" w:after="120" w:line="240" w:lineRule="auto"/>
      <w:jc w:val="center"/>
    </w:pPr>
    <w:rPr>
      <w:rFonts w:ascii="Times New Roman" w:hAnsi="Times New Roman" w:cs="Times New Roman"/>
      <w:szCs w:val="20"/>
      <w:lang w:val="en-GB"/>
    </w:rPr>
  </w:style>
  <w:style w:type="paragraph" w:customStyle="1" w:styleId="Tabletitle">
    <w:name w:val="Table_title"/>
    <w:basedOn w:val="Normal"/>
    <w:next w:val="Tabletext"/>
    <w:link w:val="TabletitleChar"/>
    <w:uiPriority w:val="99"/>
    <w:rsid w:val="005311A2"/>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uiPriority w:val="99"/>
    <w:locked/>
    <w:rsid w:val="005311A2"/>
    <w:rPr>
      <w:rFonts w:ascii="Times New Roman Bold" w:hAnsi="Times New Roman Bold" w:cs="Times New Roman"/>
      <w:b/>
      <w:lang w:val="en-GB" w:eastAsia="en-US"/>
    </w:rPr>
  </w:style>
  <w:style w:type="paragraph" w:customStyle="1" w:styleId="2">
    <w:name w:val="2"/>
    <w:basedOn w:val="Heading1"/>
    <w:rsid w:val="005311A2"/>
    <w:pPr>
      <w:spacing w:before="360" w:line="240" w:lineRule="auto"/>
      <w:jc w:val="left"/>
    </w:pPr>
    <w:rPr>
      <w:rFonts w:ascii="Times New Roman" w:hAnsi="Times New Roman" w:cs="Times New Roman"/>
      <w:szCs w:val="20"/>
      <w:lang w:val="en-GB"/>
    </w:rPr>
  </w:style>
  <w:style w:type="paragraph" w:styleId="ListBullet">
    <w:name w:val="List Bullet"/>
    <w:basedOn w:val="Normal"/>
    <w:rsid w:val="005311A2"/>
    <w:pPr>
      <w:tabs>
        <w:tab w:val="num" w:pos="360"/>
      </w:tabs>
      <w:spacing w:before="120" w:line="240" w:lineRule="auto"/>
      <w:ind w:left="360" w:hanging="360"/>
      <w:contextualSpacing/>
      <w:jc w:val="left"/>
    </w:pPr>
    <w:rPr>
      <w:rFonts w:ascii="Times New Roman" w:hAnsi="Times New Roman" w:cs="Times New Roman"/>
      <w:szCs w:val="20"/>
      <w:lang w:val="en-GB"/>
    </w:rPr>
  </w:style>
  <w:style w:type="character" w:customStyle="1" w:styleId="EndnoteTextChar">
    <w:name w:val="Endnote Text Char"/>
    <w:basedOn w:val="DefaultParagraphFont"/>
    <w:link w:val="EndnoteText"/>
    <w:semiHidden/>
    <w:rsid w:val="005311A2"/>
    <w:rPr>
      <w:rFonts w:ascii="Times New Roman" w:hAnsi="Times New Roman" w:cs="Times New Roman"/>
      <w:lang w:val="en-GB" w:eastAsia="en-US"/>
    </w:rPr>
  </w:style>
  <w:style w:type="paragraph" w:styleId="EndnoteText">
    <w:name w:val="endnote text"/>
    <w:basedOn w:val="Normal"/>
    <w:link w:val="EndnoteTextChar"/>
    <w:semiHidden/>
    <w:unhideWhenUsed/>
    <w:rsid w:val="005311A2"/>
    <w:pPr>
      <w:spacing w:before="0" w:line="240" w:lineRule="auto"/>
      <w:jc w:val="left"/>
    </w:pPr>
    <w:rPr>
      <w:rFonts w:ascii="Times New Roman" w:hAnsi="Times New Roman" w:cs="Times New Roman"/>
      <w:sz w:val="20"/>
      <w:szCs w:val="20"/>
      <w:lang w:val="en-GB"/>
    </w:rPr>
  </w:style>
  <w:style w:type="character" w:customStyle="1" w:styleId="EndnoteTextChar1">
    <w:name w:val="Endnote Text Char1"/>
    <w:basedOn w:val="DefaultParagraphFont"/>
    <w:semiHidden/>
    <w:rsid w:val="005311A2"/>
    <w:rPr>
      <w:lang w:val="en-US" w:eastAsia="en-US"/>
    </w:rPr>
  </w:style>
  <w:style w:type="paragraph" w:customStyle="1" w:styleId="Annexref">
    <w:name w:val="Annex_ref"/>
    <w:basedOn w:val="Normal"/>
    <w:next w:val="Normal"/>
    <w:rsid w:val="005311A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5311A2"/>
  </w:style>
  <w:style w:type="paragraph" w:customStyle="1" w:styleId="Appendixref">
    <w:name w:val="Appendix_ref"/>
    <w:basedOn w:val="Annexref"/>
    <w:next w:val="Annextitle"/>
    <w:rsid w:val="005311A2"/>
  </w:style>
  <w:style w:type="paragraph" w:customStyle="1" w:styleId="Appendixtitle">
    <w:name w:val="Appendix_title"/>
    <w:basedOn w:val="Annextitle"/>
    <w:next w:val="Normal"/>
    <w:rsid w:val="005311A2"/>
  </w:style>
  <w:style w:type="paragraph" w:customStyle="1" w:styleId="Border">
    <w:name w:val="Border"/>
    <w:basedOn w:val="Tabletext"/>
    <w:rsid w:val="005311A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styleId="NormalIndent0">
    <w:name w:val="Normal Indent"/>
    <w:basedOn w:val="Normal"/>
    <w:rsid w:val="005311A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5311A2"/>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5311A2"/>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5311A2"/>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5311A2"/>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5311A2"/>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5311A2"/>
  </w:style>
  <w:style w:type="paragraph" w:customStyle="1" w:styleId="Proposal">
    <w:name w:val="Proposal"/>
    <w:basedOn w:val="Normal"/>
    <w:next w:val="Normal"/>
    <w:rsid w:val="005311A2"/>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paragraph" w:customStyle="1" w:styleId="Section3">
    <w:name w:val="Section_3"/>
    <w:basedOn w:val="Section1"/>
    <w:rsid w:val="005311A2"/>
    <w:pPr>
      <w:tabs>
        <w:tab w:val="center" w:pos="4820"/>
      </w:tabs>
      <w:spacing w:before="360" w:line="240" w:lineRule="auto"/>
    </w:pPr>
    <w:rPr>
      <w:rFonts w:ascii="Times New Roman" w:hAnsi="Times New Roman" w:cs="Times New Roman"/>
      <w:b w:val="0"/>
      <w:szCs w:val="20"/>
      <w:lang w:val="en-GB"/>
    </w:rPr>
  </w:style>
  <w:style w:type="paragraph" w:customStyle="1" w:styleId="TableTextS5">
    <w:name w:val="Table_TextS5"/>
    <w:basedOn w:val="Normal"/>
    <w:rsid w:val="005311A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teannexappBR">
    <w:name w:val="Note_annex_app_BR"/>
    <w:basedOn w:val="Note"/>
    <w:uiPriority w:val="99"/>
    <w:rsid w:val="005311A2"/>
    <w:pPr>
      <w:spacing w:line="240" w:lineRule="auto"/>
      <w:jc w:val="left"/>
    </w:pPr>
    <w:rPr>
      <w:rFonts w:ascii="Times New Roman" w:hAnsi="Times New Roman" w:cs="Times New Roman"/>
      <w:sz w:val="22"/>
      <w:szCs w:val="20"/>
      <w:lang w:val="en-GB"/>
    </w:rPr>
  </w:style>
  <w:style w:type="paragraph" w:styleId="BlockText">
    <w:name w:val="Block Text"/>
    <w:basedOn w:val="Normal"/>
    <w:rsid w:val="005311A2"/>
    <w:pPr>
      <w:spacing w:before="0" w:after="60" w:line="240" w:lineRule="auto"/>
      <w:ind w:left="567" w:right="567"/>
      <w:jc w:val="left"/>
    </w:pPr>
    <w:rPr>
      <w:rFonts w:ascii="Times New Roman" w:hAnsi="Times New Roman" w:cs="Times New Roman"/>
      <w:bCs/>
      <w:i/>
      <w:iCs/>
      <w:szCs w:val="20"/>
      <w:lang w:val="en-GB"/>
    </w:rPr>
  </w:style>
  <w:style w:type="paragraph" w:styleId="BodyText">
    <w:name w:val="Body Text"/>
    <w:basedOn w:val="Normal"/>
    <w:link w:val="BodyTextChar"/>
    <w:rsid w:val="005311A2"/>
    <w:pPr>
      <w:spacing w:before="120" w:line="240" w:lineRule="auto"/>
    </w:pPr>
    <w:rPr>
      <w:rFonts w:ascii="Times New Roman" w:hAnsi="Times New Roman" w:cs="Times New Roman"/>
      <w:szCs w:val="20"/>
      <w:lang w:val="en-GB"/>
    </w:rPr>
  </w:style>
  <w:style w:type="character" w:customStyle="1" w:styleId="BodyTextChar">
    <w:name w:val="Body Text Char"/>
    <w:basedOn w:val="DefaultParagraphFont"/>
    <w:link w:val="BodyText"/>
    <w:rsid w:val="005311A2"/>
    <w:rPr>
      <w:rFonts w:ascii="Times New Roman" w:hAnsi="Times New Roman" w:cs="Times New Roman"/>
      <w:sz w:val="24"/>
      <w:lang w:val="en-GB" w:eastAsia="en-US"/>
    </w:rPr>
  </w:style>
  <w:style w:type="paragraph" w:customStyle="1" w:styleId="Line">
    <w:name w:val="Line"/>
    <w:basedOn w:val="Normal"/>
    <w:next w:val="Normal"/>
    <w:rsid w:val="005311A2"/>
    <w:pPr>
      <w:tabs>
        <w:tab w:val="clear" w:pos="794"/>
        <w:tab w:val="clear" w:pos="1191"/>
        <w:tab w:val="clear" w:pos="1588"/>
        <w:tab w:val="clear" w:pos="1985"/>
      </w:tabs>
      <w:spacing w:before="159" w:line="240" w:lineRule="auto"/>
      <w:jc w:val="center"/>
      <w:textAlignment w:val="auto"/>
    </w:pPr>
    <w:rPr>
      <w:rFonts w:ascii="Times New Roman" w:hAnsi="Times New Roman" w:cs="Times New Roman"/>
      <w:sz w:val="20"/>
      <w:szCs w:val="20"/>
      <w:lang w:val="es-ES_tradnl"/>
    </w:rPr>
  </w:style>
  <w:style w:type="paragraph" w:styleId="BodyTextIndent">
    <w:name w:val="Body Text Indent"/>
    <w:basedOn w:val="Normal"/>
    <w:link w:val="BodyTextIndentChar"/>
    <w:rsid w:val="005311A2"/>
    <w:pPr>
      <w:spacing w:before="120" w:line="240" w:lineRule="auto"/>
      <w:ind w:left="360"/>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5311A2"/>
    <w:rPr>
      <w:rFonts w:ascii="Times New Roman" w:hAnsi="Times New Roman" w:cs="Times New Roman"/>
      <w:sz w:val="24"/>
      <w:lang w:val="en-GB" w:eastAsia="en-US"/>
    </w:rPr>
  </w:style>
  <w:style w:type="paragraph" w:styleId="BodyTextIndent2">
    <w:name w:val="Body Text Indent 2"/>
    <w:basedOn w:val="Normal"/>
    <w:link w:val="BodyTextIndent2Char"/>
    <w:uiPriority w:val="99"/>
    <w:rsid w:val="005311A2"/>
    <w:pPr>
      <w:spacing w:before="120" w:line="240" w:lineRule="auto"/>
      <w:ind w:left="357"/>
      <w:jc w:val="left"/>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uiPriority w:val="99"/>
    <w:rsid w:val="005311A2"/>
    <w:rPr>
      <w:rFonts w:ascii="Times New Roman" w:hAnsi="Times New Roman" w:cs="Times New Roman"/>
      <w:sz w:val="24"/>
      <w:lang w:val="en-GB" w:eastAsia="en-US"/>
    </w:rPr>
  </w:style>
  <w:style w:type="paragraph" w:customStyle="1" w:styleId="call0">
    <w:name w:val="call"/>
    <w:basedOn w:val="Normal"/>
    <w:next w:val="Normal"/>
    <w:rsid w:val="005311A2"/>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customStyle="1" w:styleId="headfoot">
    <w:name w:val="head_foot"/>
    <w:basedOn w:val="Normal"/>
    <w:next w:val="Normalaftertitle0"/>
    <w:rsid w:val="005311A2"/>
    <w:pPr>
      <w:tabs>
        <w:tab w:val="clear" w:pos="794"/>
        <w:tab w:val="clear" w:pos="1191"/>
        <w:tab w:val="clear" w:pos="1588"/>
        <w:tab w:val="clear" w:pos="1985"/>
      </w:tabs>
      <w:spacing w:before="0" w:line="240" w:lineRule="auto"/>
    </w:pPr>
    <w:rPr>
      <w:rFonts w:ascii="Times New Roman" w:hAnsi="Times New Roman" w:cs="Times New Roman"/>
      <w:color w:val="FFFFFF"/>
      <w:sz w:val="8"/>
      <w:szCs w:val="20"/>
      <w:lang w:val="es-ES_tradnl"/>
    </w:rPr>
  </w:style>
  <w:style w:type="paragraph" w:customStyle="1" w:styleId="TableText0">
    <w:name w:val="Table_Text"/>
    <w:basedOn w:val="Normal"/>
    <w:rsid w:val="005311A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TableHead0">
    <w:name w:val="Table_Head"/>
    <w:basedOn w:val="TableText0"/>
    <w:rsid w:val="005311A2"/>
    <w:pPr>
      <w:spacing w:before="113" w:after="113"/>
      <w:jc w:val="center"/>
    </w:pPr>
    <w:rPr>
      <w:b/>
    </w:rPr>
  </w:style>
  <w:style w:type="character" w:customStyle="1" w:styleId="CharChar">
    <w:name w:val="Char Char"/>
    <w:basedOn w:val="DefaultParagraphFont"/>
    <w:rsid w:val="005311A2"/>
    <w:rPr>
      <w:sz w:val="22"/>
      <w:lang w:val="en-GB" w:eastAsia="en-US" w:bidi="ar-SA"/>
    </w:rPr>
  </w:style>
  <w:style w:type="paragraph" w:customStyle="1" w:styleId="toctemp">
    <w:name w:val="toctemp"/>
    <w:basedOn w:val="Normal"/>
    <w:next w:val="FootnoteText"/>
    <w:rsid w:val="005311A2"/>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hAnsi="Times" w:cs="Times New Roman"/>
      <w:sz w:val="20"/>
      <w:szCs w:val="20"/>
      <w:lang w:val="en-GB"/>
    </w:rPr>
  </w:style>
  <w:style w:type="table" w:customStyle="1" w:styleId="GridTable4-Accent122">
    <w:name w:val="Grid Table 4 - Accent 122"/>
    <w:basedOn w:val="TableNormal"/>
    <w:uiPriority w:val="49"/>
    <w:rsid w:val="005311A2"/>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5311A2"/>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apple-converted-space">
    <w:name w:val="apple-converted-space"/>
    <w:basedOn w:val="DefaultParagraphFont"/>
    <w:rsid w:val="005311A2"/>
  </w:style>
  <w:style w:type="paragraph" w:customStyle="1" w:styleId="headingb0">
    <w:name w:val="heading_b"/>
    <w:basedOn w:val="Heading3"/>
    <w:next w:val="Normal"/>
    <w:uiPriority w:val="99"/>
    <w:rsid w:val="005311A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BRNormal">
    <w:name w:val="BR_Normal"/>
    <w:basedOn w:val="DefaultParagraphFont"/>
    <w:uiPriority w:val="1"/>
    <w:qFormat/>
    <w:rsid w:val="005311A2"/>
  </w:style>
  <w:style w:type="paragraph" w:customStyle="1" w:styleId="ApptoAnnex">
    <w:name w:val="App_to_Annex"/>
    <w:basedOn w:val="AppendixNo"/>
    <w:next w:val="Normal"/>
    <w:qFormat/>
    <w:rsid w:val="005311A2"/>
  </w:style>
  <w:style w:type="paragraph" w:customStyle="1" w:styleId="Subsection1">
    <w:name w:val="Subsection_1"/>
    <w:basedOn w:val="Section1"/>
    <w:next w:val="Normalaftertitle0"/>
    <w:qFormat/>
    <w:rsid w:val="005311A2"/>
    <w:pPr>
      <w:tabs>
        <w:tab w:val="center" w:pos="4820"/>
      </w:tabs>
      <w:spacing w:before="360" w:line="240" w:lineRule="auto"/>
    </w:pPr>
    <w:rPr>
      <w:rFonts w:ascii="Times New Roman" w:hAnsi="Times New Roman" w:cs="Times New Roman"/>
      <w:szCs w:val="20"/>
      <w:lang w:val="en-GB"/>
    </w:rPr>
  </w:style>
  <w:style w:type="paragraph" w:customStyle="1" w:styleId="Normalend">
    <w:name w:val="Normal_end"/>
    <w:basedOn w:val="Normal"/>
    <w:next w:val="Normal"/>
    <w:qFormat/>
    <w:rsid w:val="005311A2"/>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5311A2"/>
    <w:pPr>
      <w:tabs>
        <w:tab w:val="center" w:pos="4820"/>
      </w:tabs>
      <w:spacing w:before="360" w:line="240" w:lineRule="auto"/>
    </w:pPr>
    <w:rPr>
      <w:rFonts w:ascii="Times New Roman" w:hAnsi="Times New Roman" w:cs="Times New Roman"/>
      <w:szCs w:val="20"/>
      <w:lang w:val="en-GB"/>
    </w:rPr>
  </w:style>
  <w:style w:type="paragraph" w:customStyle="1" w:styleId="AppArtNo">
    <w:name w:val="App_Art_No"/>
    <w:basedOn w:val="ArtNo"/>
    <w:qFormat/>
    <w:rsid w:val="005311A2"/>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AppArttitle">
    <w:name w:val="App_Art_title"/>
    <w:basedOn w:val="Arttitle"/>
    <w:qFormat/>
    <w:rsid w:val="005311A2"/>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Committee">
    <w:name w:val="Committee"/>
    <w:basedOn w:val="Normal"/>
    <w:qFormat/>
    <w:rsid w:val="005311A2"/>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imes New Roman" w:hAnsi="Times New Roman" w:cstheme="minorHAnsi"/>
      <w:b/>
      <w:szCs w:val="24"/>
      <w:lang w:val="en-GB"/>
    </w:rPr>
  </w:style>
  <w:style w:type="paragraph" w:customStyle="1" w:styleId="Volumetitle">
    <w:name w:val="Volume_title"/>
    <w:basedOn w:val="Normal"/>
    <w:qFormat/>
    <w:rsid w:val="005311A2"/>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character" w:customStyle="1" w:styleId="ArtrefBold">
    <w:name w:val="Art_ref + Bold"/>
    <w:basedOn w:val="Artref"/>
    <w:rsid w:val="005311A2"/>
    <w:rPr>
      <w:b/>
      <w:bCs/>
      <w:color w:val="auto"/>
    </w:rPr>
  </w:style>
  <w:style w:type="character" w:customStyle="1" w:styleId="ApprefBold">
    <w:name w:val="App_ref + Bold"/>
    <w:basedOn w:val="Appref"/>
    <w:qFormat/>
    <w:rsid w:val="005311A2"/>
    <w:rPr>
      <w:b/>
      <w:bCs/>
      <w:color w:val="000000"/>
    </w:rPr>
  </w:style>
  <w:style w:type="character" w:customStyle="1" w:styleId="ECCHLsuperscript">
    <w:name w:val="ECC HL super script"/>
    <w:basedOn w:val="DefaultParagraphFont"/>
    <w:uiPriority w:val="1"/>
    <w:qFormat/>
    <w:rsid w:val="005311A2"/>
    <w:rPr>
      <w:vertAlign w:val="superscript"/>
    </w:rPr>
  </w:style>
  <w:style w:type="character" w:customStyle="1" w:styleId="ECCHLunderlined">
    <w:name w:val="ECC HL underlined"/>
    <w:uiPriority w:val="1"/>
    <w:qFormat/>
    <w:rsid w:val="005311A2"/>
    <w:rPr>
      <w:u w:val="single"/>
    </w:rPr>
  </w:style>
  <w:style w:type="paragraph" w:customStyle="1" w:styleId="TabletextHanging0">
    <w:name w:val="Table_text + Hanging:  0"/>
    <w:aliases w:val="5 cm"/>
    <w:basedOn w:val="Tabletext"/>
    <w:rsid w:val="005311A2"/>
    <w:pPr>
      <w:tabs>
        <w:tab w:val="left" w:pos="1871"/>
      </w:tabs>
      <w:ind w:left="284" w:hanging="284"/>
    </w:pPr>
    <w:rPr>
      <w:rFonts w:ascii="Times New Roman" w:hAnsi="Times New Roman" w:cs="Times New Roman"/>
      <w:szCs w:val="20"/>
    </w:rPr>
  </w:style>
  <w:style w:type="paragraph" w:customStyle="1" w:styleId="Tablefin">
    <w:name w:val="Table_fin"/>
    <w:basedOn w:val="Normal"/>
    <w:rsid w:val="005311A2"/>
    <w:pPr>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sz w:val="20"/>
      <w:szCs w:val="20"/>
      <w:lang w:val="en-GB" w:eastAsia="zh-CN"/>
    </w:rPr>
  </w:style>
  <w:style w:type="character" w:customStyle="1" w:styleId="TableitalicZchn">
    <w:name w:val="Table_italic Zchn"/>
    <w:basedOn w:val="DefaultParagraphFont"/>
    <w:rsid w:val="005311A2"/>
    <w:rPr>
      <w:rFonts w:ascii="Times New Roman" w:hAnsi="Times New Roman"/>
      <w:b/>
      <w:i/>
      <w:sz w:val="24"/>
      <w:lang w:val="en-GB" w:eastAsia="en-US"/>
    </w:rPr>
  </w:style>
  <w:style w:type="character" w:styleId="Emphasis">
    <w:name w:val="Emphasis"/>
    <w:basedOn w:val="DefaultParagraphFont"/>
    <w:uiPriority w:val="20"/>
    <w:qFormat/>
    <w:rsid w:val="005311A2"/>
    <w:rPr>
      <w:i/>
      <w:iC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
    <w:basedOn w:val="DefaultParagraphFont"/>
    <w:uiPriority w:val="99"/>
    <w:locked/>
    <w:rsid w:val="005311A2"/>
    <w:rPr>
      <w:rFonts w:cs="Times New Roman"/>
      <w:sz w:val="24"/>
      <w:lang w:val="en-GB" w:eastAsia="en-US" w:bidi="ar-SA"/>
    </w:rPr>
  </w:style>
  <w:style w:type="paragraph" w:styleId="CommentSubject">
    <w:name w:val="annotation subject"/>
    <w:basedOn w:val="CommentText"/>
    <w:next w:val="CommentText"/>
    <w:link w:val="CommentSubjectChar"/>
    <w:semiHidden/>
    <w:unhideWhenUsed/>
    <w:rsid w:val="0053110A"/>
    <w:pPr>
      <w:spacing w:line="240" w:lineRule="auto"/>
    </w:pPr>
    <w:rPr>
      <w:b/>
      <w:bCs/>
      <w:szCs w:val="20"/>
    </w:rPr>
  </w:style>
  <w:style w:type="character" w:customStyle="1" w:styleId="CommentTextChar">
    <w:name w:val="Comment Text Char"/>
    <w:basedOn w:val="DefaultParagraphFont"/>
    <w:link w:val="CommentText"/>
    <w:semiHidden/>
    <w:rsid w:val="0053110A"/>
    <w:rPr>
      <w:szCs w:val="22"/>
      <w:lang w:val="en-US" w:eastAsia="en-US"/>
    </w:rPr>
  </w:style>
  <w:style w:type="character" w:customStyle="1" w:styleId="CommentSubjectChar">
    <w:name w:val="Comment Subject Char"/>
    <w:basedOn w:val="CommentTextChar"/>
    <w:link w:val="CommentSubject"/>
    <w:semiHidden/>
    <w:rsid w:val="0053110A"/>
    <w:rPr>
      <w:b/>
      <w:bCs/>
      <w:szCs w:val="22"/>
      <w:lang w:val="en-US" w:eastAsia="en-US"/>
    </w:rPr>
  </w:style>
  <w:style w:type="paragraph" w:styleId="Revision">
    <w:name w:val="Revision"/>
    <w:hidden/>
    <w:uiPriority w:val="99"/>
    <w:semiHidden/>
    <w:rsid w:val="0053110A"/>
    <w:rPr>
      <w:sz w:val="24"/>
      <w:szCs w:val="22"/>
      <w:lang w:val="en-US" w:eastAsia="en-US"/>
    </w:rPr>
  </w:style>
  <w:style w:type="paragraph" w:customStyle="1" w:styleId="Headingsplit">
    <w:name w:val="Heading_split"/>
    <w:basedOn w:val="Headingi"/>
    <w:qFormat/>
    <w:rsid w:val="0053110A"/>
    <w:pPr>
      <w:keepNext w:val="0"/>
      <w:tabs>
        <w:tab w:val="clear" w:pos="794"/>
        <w:tab w:val="clear" w:pos="1191"/>
        <w:tab w:val="clear" w:pos="1588"/>
        <w:tab w:val="clear" w:pos="1985"/>
        <w:tab w:val="left" w:pos="1134"/>
        <w:tab w:val="left" w:pos="1871"/>
        <w:tab w:val="left" w:pos="2268"/>
      </w:tabs>
      <w:spacing w:before="160" w:line="240" w:lineRule="auto"/>
    </w:pPr>
    <w:rPr>
      <w:rFonts w:ascii="Times New Roman" w:hAnsi="Times New Roman" w:cs="Times New Roman"/>
      <w:szCs w:val="20"/>
    </w:rPr>
  </w:style>
  <w:style w:type="paragraph" w:customStyle="1" w:styleId="Normalsplit">
    <w:name w:val="Normal_split"/>
    <w:basedOn w:val="Normal"/>
    <w:qFormat/>
    <w:rsid w:val="0053110A"/>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Provsplit">
    <w:name w:val="Prov_split"/>
    <w:basedOn w:val="DefaultParagraphFont"/>
    <w:qFormat/>
    <w:rsid w:val="0053110A"/>
    <w:rPr>
      <w:rFonts w:ascii="Times New Roman" w:hAnsi="Times New Roman"/>
      <w:b w:val="0"/>
    </w:rPr>
  </w:style>
  <w:style w:type="paragraph" w:customStyle="1" w:styleId="Tablesplit">
    <w:name w:val="Table_split"/>
    <w:basedOn w:val="Tabletext"/>
    <w:qFormat/>
    <w:rsid w:val="0053110A"/>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ascii="Times New Roman" w:hAnsi="Times New Roman" w:cs="Times New Roman"/>
      <w:b/>
      <w:szCs w:val="20"/>
      <w:lang w:val="en-GB" w:eastAsia="nl-NL"/>
    </w:rPr>
  </w:style>
  <w:style w:type="paragraph" w:customStyle="1" w:styleId="Methodheading1">
    <w:name w:val="Method_heading1"/>
    <w:basedOn w:val="Heading1"/>
    <w:next w:val="Normal"/>
    <w:qFormat/>
    <w:rsid w:val="0053110A"/>
    <w:pPr>
      <w:tabs>
        <w:tab w:val="clear" w:pos="794"/>
        <w:tab w:val="clear" w:pos="1191"/>
        <w:tab w:val="clear" w:pos="1588"/>
        <w:tab w:val="clear" w:pos="1985"/>
        <w:tab w:val="left" w:pos="1134"/>
        <w:tab w:val="left" w:pos="1871"/>
        <w:tab w:val="left" w:pos="2268"/>
      </w:tabs>
      <w:spacing w:before="280" w:line="240" w:lineRule="auto"/>
      <w:ind w:left="1134" w:hanging="1134"/>
      <w:jc w:val="left"/>
    </w:pPr>
    <w:rPr>
      <w:rFonts w:ascii="Times New Roman" w:hAnsi="Times New Roman" w:cs="Times New Roman"/>
      <w:sz w:val="28"/>
      <w:szCs w:val="20"/>
      <w:lang w:val="en-GB"/>
    </w:rPr>
  </w:style>
  <w:style w:type="paragraph" w:customStyle="1" w:styleId="Methodheading2">
    <w:name w:val="Method_heading2"/>
    <w:basedOn w:val="Heading2"/>
    <w:next w:val="Normal"/>
    <w:qFormat/>
    <w:rsid w:val="0053110A"/>
    <w:pPr>
      <w:tabs>
        <w:tab w:val="clear" w:pos="794"/>
        <w:tab w:val="clear" w:pos="1191"/>
        <w:tab w:val="clear" w:pos="1588"/>
        <w:tab w:val="clear" w:pos="1985"/>
        <w:tab w:val="left" w:pos="1134"/>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3">
    <w:name w:val="Method_heading3"/>
    <w:basedOn w:val="Heading3"/>
    <w:next w:val="Normal"/>
    <w:qFormat/>
    <w:rsid w:val="0053110A"/>
    <w:pPr>
      <w:tabs>
        <w:tab w:val="clear" w:pos="794"/>
        <w:tab w:val="clear" w:pos="1191"/>
        <w:tab w:val="clear" w:pos="1588"/>
        <w:tab w:val="clear" w:pos="1985"/>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4">
    <w:name w:val="Method_heading4"/>
    <w:basedOn w:val="Heading4"/>
    <w:next w:val="Normal"/>
    <w:qFormat/>
    <w:rsid w:val="0053110A"/>
    <w:pPr>
      <w:tabs>
        <w:tab w:val="clear" w:pos="1021"/>
        <w:tab w:val="clear" w:pos="1191"/>
        <w:tab w:val="clear" w:pos="1588"/>
        <w:tab w:val="clear" w:pos="1985"/>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b">
    <w:name w:val="Method_Headingb"/>
    <w:basedOn w:val="Headingb"/>
    <w:qFormat/>
    <w:rsid w:val="0053110A"/>
    <w:pPr>
      <w:keepLines/>
      <w:tabs>
        <w:tab w:val="clear" w:pos="794"/>
        <w:tab w:val="clear" w:pos="1191"/>
        <w:tab w:val="clear" w:pos="1588"/>
        <w:tab w:val="clear" w:pos="1985"/>
      </w:tabs>
      <w:overflowPunct/>
      <w:autoSpaceDE/>
      <w:autoSpaceDN/>
      <w:adjustRightInd/>
      <w:spacing w:before="160" w:line="240" w:lineRule="auto"/>
      <w:ind w:left="0" w:firstLine="0"/>
      <w:jc w:val="left"/>
      <w:textAlignment w:val="auto"/>
    </w:pPr>
    <w:rPr>
      <w:rFonts w:ascii="Times New Roman Bold" w:hAnsi="Times New Roman Bold" w:cs="Times New Roman Bold"/>
      <w:szCs w:val="20"/>
      <w:lang w:val="fr-CH"/>
    </w:rPr>
  </w:style>
  <w:style w:type="numbering" w:customStyle="1" w:styleId="NoList1">
    <w:name w:val="No List1"/>
    <w:next w:val="NoList"/>
    <w:uiPriority w:val="99"/>
    <w:semiHidden/>
    <w:unhideWhenUsed/>
    <w:rsid w:val="0053110A"/>
  </w:style>
  <w:style w:type="paragraph" w:styleId="BodyText2">
    <w:name w:val="Body Text 2"/>
    <w:basedOn w:val="Normal"/>
    <w:link w:val="BodyText2Char"/>
    <w:uiPriority w:val="99"/>
    <w:rsid w:val="0053110A"/>
    <w:pPr>
      <w:spacing w:before="120" w:line="240" w:lineRule="auto"/>
      <w:jc w:val="left"/>
    </w:pPr>
    <w:rPr>
      <w:rFonts w:ascii="Times New Roman" w:hAnsi="Times New Roman" w:cs="Times New Roman"/>
      <w:color w:val="0000FF"/>
      <w:szCs w:val="20"/>
      <w:lang w:val="en-GB"/>
    </w:rPr>
  </w:style>
  <w:style w:type="character" w:customStyle="1" w:styleId="BodyText2Char">
    <w:name w:val="Body Text 2 Char"/>
    <w:basedOn w:val="DefaultParagraphFont"/>
    <w:link w:val="BodyText2"/>
    <w:uiPriority w:val="99"/>
    <w:rsid w:val="0053110A"/>
    <w:rPr>
      <w:rFonts w:ascii="Times New Roman" w:hAnsi="Times New Roman" w:cs="Times New Roman"/>
      <w:color w:val="0000FF"/>
      <w:sz w:val="24"/>
      <w:lang w:val="en-GB" w:eastAsia="en-US"/>
    </w:rPr>
  </w:style>
  <w:style w:type="paragraph" w:customStyle="1" w:styleId="RecTitle0">
    <w:name w:val="Rec Title"/>
    <w:basedOn w:val="Normal"/>
    <w:next w:val="Heading1"/>
    <w:uiPriority w:val="99"/>
    <w:rsid w:val="0053110A"/>
    <w:pPr>
      <w:spacing w:before="240" w:line="240" w:lineRule="auto"/>
      <w:jc w:val="center"/>
    </w:pPr>
    <w:rPr>
      <w:rFonts w:ascii="Times New Roman" w:hAnsi="Times New Roman" w:cs="Times New Roman"/>
      <w:b/>
      <w:sz w:val="22"/>
      <w:szCs w:val="20"/>
      <w:lang w:val="en-GB"/>
    </w:rPr>
  </w:style>
  <w:style w:type="paragraph" w:customStyle="1" w:styleId="Annex0">
    <w:name w:val="Annex_#"/>
    <w:basedOn w:val="Normal"/>
    <w:next w:val="AnnexRef0"/>
    <w:uiPriority w:val="99"/>
    <w:rsid w:val="0053110A"/>
    <w:pPr>
      <w:keepNext/>
      <w:keepLines/>
      <w:spacing w:before="480" w:after="80" w:line="240" w:lineRule="auto"/>
      <w:jc w:val="center"/>
    </w:pPr>
    <w:rPr>
      <w:rFonts w:ascii="Times New Roman" w:hAnsi="Times New Roman" w:cs="Times New Roman"/>
      <w:caps/>
      <w:sz w:val="28"/>
      <w:szCs w:val="20"/>
      <w:lang w:val="en-GB"/>
    </w:rPr>
  </w:style>
  <w:style w:type="paragraph" w:customStyle="1" w:styleId="AnnexRef0">
    <w:name w:val="Annex_Ref"/>
    <w:basedOn w:val="Normal"/>
    <w:next w:val="Normal"/>
    <w:uiPriority w:val="99"/>
    <w:rsid w:val="0053110A"/>
    <w:pPr>
      <w:keepNext/>
      <w:keepLines/>
      <w:spacing w:before="120" w:line="240" w:lineRule="auto"/>
      <w:jc w:val="center"/>
    </w:pPr>
    <w:rPr>
      <w:rFonts w:ascii="Times New Roman" w:hAnsi="Times New Roman" w:cs="Times New Roman"/>
      <w:szCs w:val="20"/>
      <w:lang w:val="en-GB"/>
    </w:rPr>
  </w:style>
  <w:style w:type="paragraph" w:customStyle="1" w:styleId="dpstylecall">
    <w:name w:val="dpstylecall"/>
    <w:basedOn w:val="Normal"/>
    <w:rsid w:val="0053110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zh-CN"/>
    </w:rPr>
  </w:style>
  <w:style w:type="paragraph" w:styleId="NormalWeb">
    <w:name w:val="Normal (Web)"/>
    <w:basedOn w:val="Normal"/>
    <w:uiPriority w:val="99"/>
    <w:unhideWhenUsed/>
    <w:rsid w:val="0053110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zh-CN"/>
    </w:rPr>
  </w:style>
  <w:style w:type="paragraph" w:customStyle="1" w:styleId="StyleCall10pt">
    <w:name w:val="Style Call + 10 pt"/>
    <w:basedOn w:val="Call"/>
    <w:rsid w:val="0053110A"/>
    <w:pPr>
      <w:spacing w:before="40" w:after="40"/>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653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29262FFC44CB48875E0B62067E458"/>
        <w:category>
          <w:name w:val="General"/>
          <w:gallery w:val="placeholder"/>
        </w:category>
        <w:types>
          <w:type w:val="bbPlcHdr"/>
        </w:types>
        <w:behaviors>
          <w:behavior w:val="content"/>
        </w:behaviors>
        <w:guid w:val="{98FCA781-FFB8-45C0-9906-B74B4A4B25F5}"/>
      </w:docPartPr>
      <w:docPartBody>
        <w:p w:rsidR="00FA5E85" w:rsidRDefault="00FA5E85">
          <w:pPr>
            <w:pStyle w:val="70229262FFC44CB48875E0B62067E458"/>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85"/>
    <w:rsid w:val="000C3D01"/>
    <w:rsid w:val="00177535"/>
    <w:rsid w:val="001966CD"/>
    <w:rsid w:val="00774DED"/>
    <w:rsid w:val="00BA330B"/>
    <w:rsid w:val="00E923CE"/>
    <w:rsid w:val="00EF7A49"/>
    <w:rsid w:val="00FA5E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229262FFC44CB48875E0B62067E458">
    <w:name w:val="70229262FFC44CB48875E0B62067E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0C2D-551B-4912-8AC1-3DEF03FA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60</TotalTime>
  <Pages>6</Pages>
  <Words>1781</Words>
  <Characters>9554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11313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French89</dc:creator>
  <cp:lastModifiedBy>Soto Romero, Alicia</cp:lastModifiedBy>
  <cp:revision>27</cp:revision>
  <cp:lastPrinted>2020-01-22T09:41:00Z</cp:lastPrinted>
  <dcterms:created xsi:type="dcterms:W3CDTF">2020-01-21T09:09:00Z</dcterms:created>
  <dcterms:modified xsi:type="dcterms:W3CDTF">2020-01-28T12:51:00Z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