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A15B3" w:rsidRPr="00554E13" w:rsidTr="006A1921">
        <w:trPr>
          <w:jc w:val="center"/>
        </w:trPr>
        <w:tc>
          <w:tcPr>
            <w:tcW w:w="9889" w:type="dxa"/>
            <w:gridSpan w:val="3"/>
            <w:shd w:val="clear" w:color="auto" w:fill="auto"/>
          </w:tcPr>
          <w:p w:rsidR="00EA15B3" w:rsidRPr="00554E13" w:rsidRDefault="008E38B4" w:rsidP="00117282">
            <w:pPr>
              <w:spacing w:before="0"/>
              <w:jc w:val="left"/>
              <w:rPr>
                <w:rFonts w:cstheme="minorHAnsi"/>
                <w:b/>
                <w:bCs/>
                <w:color w:val="808080"/>
                <w:sz w:val="28"/>
                <w:szCs w:val="28"/>
                <w:lang w:val="en-GB"/>
              </w:rPr>
            </w:pPr>
            <w:proofErr w:type="spellStart"/>
            <w:r w:rsidRPr="00554E13">
              <w:rPr>
                <w:rFonts w:cstheme="minorHAnsi"/>
                <w:b/>
                <w:bCs/>
                <w:color w:val="808080"/>
                <w:sz w:val="28"/>
                <w:szCs w:val="28"/>
                <w:lang w:val="en-GB"/>
              </w:rPr>
              <w:t>Radiocommunication</w:t>
            </w:r>
            <w:proofErr w:type="spellEnd"/>
            <w:r w:rsidRPr="00554E13">
              <w:rPr>
                <w:rFonts w:cstheme="minorHAnsi"/>
                <w:b/>
                <w:bCs/>
                <w:color w:val="808080"/>
                <w:sz w:val="28"/>
                <w:szCs w:val="28"/>
                <w:lang w:val="en-GB"/>
              </w:rPr>
              <w:t xml:space="preserve"> </w:t>
            </w:r>
            <w:r w:rsidR="00AF70DA" w:rsidRPr="00554E13">
              <w:rPr>
                <w:rFonts w:cstheme="minorHAnsi"/>
                <w:b/>
                <w:bCs/>
                <w:color w:val="808080"/>
                <w:sz w:val="28"/>
                <w:szCs w:val="28"/>
                <w:lang w:val="en-GB"/>
              </w:rPr>
              <w:t>Bureau (BR)</w:t>
            </w:r>
          </w:p>
          <w:p w:rsidR="008E38B4" w:rsidRPr="00554E13" w:rsidRDefault="008E38B4" w:rsidP="00117282">
            <w:pPr>
              <w:spacing w:before="0"/>
              <w:jc w:val="left"/>
              <w:rPr>
                <w:rFonts w:cstheme="minorHAnsi"/>
                <w:b/>
                <w:bCs/>
                <w:color w:val="808080"/>
                <w:sz w:val="28"/>
                <w:szCs w:val="28"/>
                <w:lang w:val="en-GB"/>
              </w:rPr>
            </w:pPr>
          </w:p>
          <w:p w:rsidR="008E38B4" w:rsidRPr="00554E13" w:rsidRDefault="008E38B4" w:rsidP="00117282">
            <w:pPr>
              <w:spacing w:before="0"/>
              <w:jc w:val="left"/>
              <w:rPr>
                <w:rFonts w:cs="Times New Roman Bold"/>
                <w:b/>
                <w:bCs/>
                <w:color w:val="808080"/>
                <w:sz w:val="28"/>
                <w:szCs w:val="28"/>
                <w:lang w:val="en-GB"/>
              </w:rPr>
            </w:pPr>
          </w:p>
        </w:tc>
      </w:tr>
      <w:tr w:rsidR="00651777" w:rsidRPr="00554E13" w:rsidTr="006A1921">
        <w:trPr>
          <w:jc w:val="center"/>
        </w:trPr>
        <w:tc>
          <w:tcPr>
            <w:tcW w:w="7054" w:type="dxa"/>
            <w:gridSpan w:val="2"/>
            <w:shd w:val="clear" w:color="auto" w:fill="auto"/>
          </w:tcPr>
          <w:p w:rsidR="00687E8D" w:rsidRPr="00554E13" w:rsidRDefault="00687E8D" w:rsidP="00687E8D">
            <w:pPr>
              <w:spacing w:before="0"/>
              <w:jc w:val="left"/>
              <w:rPr>
                <w:sz w:val="28"/>
                <w:szCs w:val="28"/>
                <w:lang w:val="fr-CH"/>
              </w:rPr>
            </w:pPr>
            <w:r w:rsidRPr="00554E13">
              <w:rPr>
                <w:szCs w:val="24"/>
              </w:rPr>
              <w:t>Corrigendum 1 to</w:t>
            </w:r>
            <w:r w:rsidRPr="00554E13">
              <w:rPr>
                <w:szCs w:val="24"/>
              </w:rPr>
              <w:br/>
            </w:r>
            <w:r w:rsidRPr="00554E13">
              <w:rPr>
                <w:szCs w:val="24"/>
                <w:lang w:val="fr-CH"/>
              </w:rPr>
              <w:t xml:space="preserve">Administrative </w:t>
            </w:r>
            <w:proofErr w:type="spellStart"/>
            <w:r w:rsidRPr="00554E13">
              <w:rPr>
                <w:szCs w:val="24"/>
                <w:lang w:val="fr-CH"/>
              </w:rPr>
              <w:t>Circular</w:t>
            </w:r>
            <w:proofErr w:type="spellEnd"/>
          </w:p>
          <w:p w:rsidR="00651777" w:rsidRPr="00554E13" w:rsidRDefault="00687E8D" w:rsidP="00687E8D">
            <w:pPr>
              <w:spacing w:before="0"/>
              <w:jc w:val="left"/>
              <w:rPr>
                <w:b/>
                <w:bCs/>
                <w:szCs w:val="24"/>
                <w:lang w:val="fr-CH"/>
              </w:rPr>
            </w:pPr>
            <w:r w:rsidRPr="00554E13">
              <w:rPr>
                <w:b/>
                <w:bCs/>
                <w:szCs w:val="24"/>
                <w:lang w:val="fr-CH"/>
              </w:rPr>
              <w:t>CA/251</w:t>
            </w:r>
          </w:p>
        </w:tc>
        <w:tc>
          <w:tcPr>
            <w:tcW w:w="2835" w:type="dxa"/>
            <w:shd w:val="clear" w:color="auto" w:fill="auto"/>
          </w:tcPr>
          <w:p w:rsidR="00651777" w:rsidRPr="00554E13" w:rsidRDefault="00687E8D" w:rsidP="00034340">
            <w:pPr>
              <w:spacing w:before="0"/>
              <w:jc w:val="right"/>
              <w:rPr>
                <w:szCs w:val="24"/>
                <w:lang w:val="en-GB"/>
              </w:rPr>
            </w:pPr>
            <w:r w:rsidRPr="00554E13">
              <w:rPr>
                <w:szCs w:val="24"/>
                <w:lang w:val="en-GB"/>
              </w:rPr>
              <w:t>28 January 2020</w:t>
            </w:r>
          </w:p>
        </w:tc>
      </w:tr>
      <w:tr w:rsidR="0037309C" w:rsidRPr="00554E13" w:rsidTr="006A1921">
        <w:trPr>
          <w:jc w:val="center"/>
        </w:trPr>
        <w:tc>
          <w:tcPr>
            <w:tcW w:w="9889" w:type="dxa"/>
            <w:gridSpan w:val="3"/>
            <w:shd w:val="clear" w:color="auto" w:fill="auto"/>
          </w:tcPr>
          <w:p w:rsidR="0037309C" w:rsidRPr="00554E13" w:rsidRDefault="0037309C" w:rsidP="006047E5">
            <w:pPr>
              <w:spacing w:before="0"/>
              <w:jc w:val="left"/>
              <w:rPr>
                <w:rFonts w:cs="Arial"/>
                <w:szCs w:val="24"/>
                <w:lang w:val="en-GB"/>
              </w:rPr>
            </w:pPr>
          </w:p>
        </w:tc>
      </w:tr>
      <w:tr w:rsidR="0037309C" w:rsidRPr="00554E13" w:rsidTr="006A1921">
        <w:trPr>
          <w:jc w:val="center"/>
        </w:trPr>
        <w:tc>
          <w:tcPr>
            <w:tcW w:w="9889" w:type="dxa"/>
            <w:gridSpan w:val="3"/>
            <w:shd w:val="clear" w:color="auto" w:fill="auto"/>
          </w:tcPr>
          <w:p w:rsidR="0037309C" w:rsidRPr="00554E13" w:rsidRDefault="0037309C" w:rsidP="00D374CD">
            <w:pPr>
              <w:spacing w:before="0"/>
              <w:jc w:val="left"/>
              <w:rPr>
                <w:szCs w:val="24"/>
              </w:rPr>
            </w:pPr>
          </w:p>
        </w:tc>
      </w:tr>
      <w:tr w:rsidR="0037309C" w:rsidRPr="00554E13" w:rsidTr="006A1921">
        <w:trPr>
          <w:jc w:val="center"/>
        </w:trPr>
        <w:tc>
          <w:tcPr>
            <w:tcW w:w="9889" w:type="dxa"/>
            <w:gridSpan w:val="3"/>
            <w:shd w:val="clear" w:color="auto" w:fill="auto"/>
          </w:tcPr>
          <w:p w:rsidR="0037309C" w:rsidRPr="00554E13" w:rsidRDefault="0037309C" w:rsidP="006047E5">
            <w:pPr>
              <w:spacing w:before="0"/>
              <w:jc w:val="left"/>
              <w:rPr>
                <w:b/>
                <w:bCs/>
                <w:szCs w:val="24"/>
              </w:rPr>
            </w:pPr>
            <w:r w:rsidRPr="00554E13">
              <w:rPr>
                <w:b/>
                <w:bCs/>
                <w:szCs w:val="24"/>
              </w:rPr>
              <w:t>To Administrations of Member States of the ITU,</w:t>
            </w:r>
            <w:r w:rsidR="00687E8D" w:rsidRPr="00554E13">
              <w:rPr>
                <w:b/>
                <w:bCs/>
                <w:szCs w:val="24"/>
              </w:rPr>
              <w:t xml:space="preserve"> and </w:t>
            </w:r>
            <w:proofErr w:type="spellStart"/>
            <w:r w:rsidR="00687E8D" w:rsidRPr="00554E13">
              <w:rPr>
                <w:b/>
                <w:bCs/>
                <w:szCs w:val="24"/>
              </w:rPr>
              <w:t>Radiocommunication</w:t>
            </w:r>
            <w:proofErr w:type="spellEnd"/>
            <w:r w:rsidR="00687E8D" w:rsidRPr="00554E13">
              <w:rPr>
                <w:b/>
                <w:bCs/>
                <w:szCs w:val="24"/>
              </w:rPr>
              <w:t xml:space="preserve"> Sector Members</w:t>
            </w:r>
          </w:p>
          <w:p w:rsidR="00D21694" w:rsidRPr="00554E13" w:rsidRDefault="00D21694" w:rsidP="006047E5">
            <w:pPr>
              <w:spacing w:before="0"/>
              <w:jc w:val="left"/>
              <w:rPr>
                <w:b/>
                <w:bCs/>
                <w:szCs w:val="24"/>
              </w:rPr>
            </w:pPr>
          </w:p>
          <w:p w:rsidR="00D21694" w:rsidRPr="00554E13" w:rsidRDefault="00D21694" w:rsidP="006047E5">
            <w:pPr>
              <w:spacing w:before="0"/>
              <w:jc w:val="left"/>
              <w:rPr>
                <w:b/>
                <w:bCs/>
                <w:szCs w:val="24"/>
              </w:rPr>
            </w:pPr>
          </w:p>
        </w:tc>
      </w:tr>
      <w:tr w:rsidR="0037309C" w:rsidRPr="00554E13" w:rsidTr="006A1921">
        <w:trPr>
          <w:jc w:val="center"/>
        </w:trPr>
        <w:tc>
          <w:tcPr>
            <w:tcW w:w="9889" w:type="dxa"/>
            <w:gridSpan w:val="3"/>
            <w:shd w:val="clear" w:color="auto" w:fill="auto"/>
          </w:tcPr>
          <w:p w:rsidR="0037309C" w:rsidRPr="00554E13" w:rsidRDefault="0037309C" w:rsidP="006047E5">
            <w:pPr>
              <w:spacing w:before="0"/>
              <w:jc w:val="left"/>
              <w:rPr>
                <w:szCs w:val="24"/>
              </w:rPr>
            </w:pPr>
          </w:p>
        </w:tc>
      </w:tr>
      <w:tr w:rsidR="0037309C" w:rsidRPr="00554E13" w:rsidTr="006A1921">
        <w:trPr>
          <w:jc w:val="center"/>
        </w:trPr>
        <w:tc>
          <w:tcPr>
            <w:tcW w:w="9889" w:type="dxa"/>
            <w:gridSpan w:val="3"/>
            <w:shd w:val="clear" w:color="auto" w:fill="auto"/>
          </w:tcPr>
          <w:p w:rsidR="0037309C" w:rsidRPr="00554E13" w:rsidRDefault="0037309C" w:rsidP="006047E5">
            <w:pPr>
              <w:spacing w:before="0"/>
              <w:jc w:val="left"/>
              <w:rPr>
                <w:szCs w:val="24"/>
              </w:rPr>
            </w:pPr>
          </w:p>
        </w:tc>
      </w:tr>
      <w:tr w:rsidR="00B4054B" w:rsidRPr="00554E13" w:rsidTr="006A1921">
        <w:trPr>
          <w:jc w:val="center"/>
        </w:trPr>
        <w:tc>
          <w:tcPr>
            <w:tcW w:w="1526" w:type="dxa"/>
            <w:shd w:val="clear" w:color="auto" w:fill="auto"/>
          </w:tcPr>
          <w:p w:rsidR="00B4054B" w:rsidRPr="00554E13" w:rsidRDefault="00B4054B" w:rsidP="006A0053">
            <w:pPr>
              <w:spacing w:before="0"/>
              <w:jc w:val="left"/>
              <w:rPr>
                <w:szCs w:val="24"/>
                <w:lang w:val="en-GB"/>
              </w:rPr>
            </w:pPr>
            <w:r w:rsidRPr="00554E13">
              <w:rPr>
                <w:szCs w:val="24"/>
              </w:rPr>
              <w:t>Subject:</w:t>
            </w:r>
          </w:p>
        </w:tc>
        <w:tc>
          <w:tcPr>
            <w:tcW w:w="8363" w:type="dxa"/>
            <w:gridSpan w:val="2"/>
            <w:vMerge w:val="restart"/>
            <w:shd w:val="clear" w:color="auto" w:fill="auto"/>
          </w:tcPr>
          <w:p w:rsidR="00687E8D" w:rsidRPr="00554E13" w:rsidRDefault="00687E8D" w:rsidP="00687E8D">
            <w:pPr>
              <w:spacing w:before="0"/>
              <w:rPr>
                <w:b/>
                <w:bCs/>
                <w:szCs w:val="24"/>
                <w:lang w:val="en-GB"/>
              </w:rPr>
            </w:pPr>
            <w:r w:rsidRPr="00554E13">
              <w:rPr>
                <w:b/>
                <w:bCs/>
                <w:szCs w:val="24"/>
                <w:lang w:val="en-GB"/>
              </w:rPr>
              <w:t>Results of the first session of the Conference Preparatory Meeting for WRC</w:t>
            </w:r>
            <w:r w:rsidR="00CA2FB8" w:rsidRPr="00554E13">
              <w:rPr>
                <w:b/>
                <w:bCs/>
                <w:szCs w:val="24"/>
                <w:lang w:val="en-GB"/>
              </w:rPr>
              <w:t>-</w:t>
            </w:r>
            <w:r w:rsidRPr="00554E13">
              <w:rPr>
                <w:b/>
                <w:bCs/>
                <w:szCs w:val="24"/>
                <w:lang w:val="en-GB"/>
              </w:rPr>
              <w:t>23</w:t>
            </w:r>
          </w:p>
          <w:p w:rsidR="00B4054B" w:rsidRPr="00554E13" w:rsidRDefault="00687E8D" w:rsidP="00CA2FB8">
            <w:pPr>
              <w:spacing w:before="0"/>
              <w:rPr>
                <w:b/>
                <w:bCs/>
                <w:szCs w:val="24"/>
                <w:lang w:val="en-GB"/>
              </w:rPr>
            </w:pPr>
            <w:r w:rsidRPr="00554E13">
              <w:rPr>
                <w:b/>
                <w:bCs/>
                <w:szCs w:val="24"/>
                <w:lang w:val="en-GB"/>
              </w:rPr>
              <w:t>(CPM23</w:t>
            </w:r>
            <w:r w:rsidR="00CA2FB8" w:rsidRPr="00554E13">
              <w:rPr>
                <w:b/>
                <w:bCs/>
                <w:szCs w:val="24"/>
                <w:lang w:val="en-GB"/>
              </w:rPr>
              <w:t>-</w:t>
            </w:r>
            <w:r w:rsidRPr="00554E13">
              <w:rPr>
                <w:b/>
                <w:bCs/>
                <w:szCs w:val="24"/>
                <w:lang w:val="en-GB"/>
              </w:rPr>
              <w:t>1)</w:t>
            </w:r>
          </w:p>
        </w:tc>
      </w:tr>
      <w:tr w:rsidR="00B4054B" w:rsidRPr="00554E13" w:rsidTr="006A1921">
        <w:trPr>
          <w:jc w:val="center"/>
        </w:trPr>
        <w:tc>
          <w:tcPr>
            <w:tcW w:w="1526" w:type="dxa"/>
            <w:shd w:val="clear" w:color="auto" w:fill="auto"/>
          </w:tcPr>
          <w:p w:rsidR="00B4054B" w:rsidRPr="00554E13" w:rsidRDefault="00B4054B" w:rsidP="006A0053">
            <w:pPr>
              <w:spacing w:before="0"/>
              <w:jc w:val="left"/>
              <w:rPr>
                <w:b/>
                <w:bCs/>
                <w:szCs w:val="24"/>
                <w:lang w:val="en-GB"/>
              </w:rPr>
            </w:pPr>
          </w:p>
        </w:tc>
        <w:tc>
          <w:tcPr>
            <w:tcW w:w="8363" w:type="dxa"/>
            <w:gridSpan w:val="2"/>
            <w:vMerge/>
            <w:shd w:val="clear" w:color="auto" w:fill="auto"/>
          </w:tcPr>
          <w:p w:rsidR="00B4054B" w:rsidRPr="00554E13" w:rsidRDefault="00B4054B" w:rsidP="006A0053">
            <w:pPr>
              <w:spacing w:before="0"/>
              <w:rPr>
                <w:b/>
                <w:bCs/>
                <w:szCs w:val="24"/>
                <w:lang w:val="en-GB"/>
              </w:rPr>
            </w:pPr>
          </w:p>
        </w:tc>
      </w:tr>
      <w:tr w:rsidR="00B4054B" w:rsidRPr="00554E13" w:rsidTr="006A1921">
        <w:trPr>
          <w:jc w:val="center"/>
        </w:trPr>
        <w:tc>
          <w:tcPr>
            <w:tcW w:w="1526" w:type="dxa"/>
            <w:shd w:val="clear" w:color="auto" w:fill="auto"/>
          </w:tcPr>
          <w:p w:rsidR="00B4054B" w:rsidRPr="00554E13" w:rsidRDefault="00B4054B" w:rsidP="006A0053">
            <w:pPr>
              <w:spacing w:before="0"/>
              <w:jc w:val="left"/>
              <w:rPr>
                <w:b/>
                <w:bCs/>
                <w:szCs w:val="24"/>
                <w:lang w:val="en-GB"/>
              </w:rPr>
            </w:pPr>
          </w:p>
        </w:tc>
        <w:tc>
          <w:tcPr>
            <w:tcW w:w="8363" w:type="dxa"/>
            <w:gridSpan w:val="2"/>
            <w:vMerge/>
            <w:shd w:val="clear" w:color="auto" w:fill="auto"/>
          </w:tcPr>
          <w:p w:rsidR="00B4054B" w:rsidRPr="00554E13" w:rsidRDefault="00B4054B" w:rsidP="006A0053">
            <w:pPr>
              <w:spacing w:before="0"/>
              <w:rPr>
                <w:b/>
                <w:bCs/>
                <w:szCs w:val="24"/>
                <w:lang w:val="en-GB"/>
              </w:rPr>
            </w:pPr>
          </w:p>
        </w:tc>
      </w:tr>
      <w:tr w:rsidR="00C51E92" w:rsidRPr="00554E13" w:rsidTr="006A1921">
        <w:trPr>
          <w:jc w:val="center"/>
        </w:trPr>
        <w:tc>
          <w:tcPr>
            <w:tcW w:w="9889" w:type="dxa"/>
            <w:gridSpan w:val="3"/>
            <w:shd w:val="clear" w:color="auto" w:fill="auto"/>
          </w:tcPr>
          <w:p w:rsidR="00C51E92" w:rsidRPr="00554E13" w:rsidRDefault="00C51E92" w:rsidP="00F72DBF">
            <w:pPr>
              <w:spacing w:before="0"/>
              <w:jc w:val="left"/>
              <w:rPr>
                <w:b/>
                <w:bCs/>
                <w:szCs w:val="24"/>
              </w:rPr>
            </w:pPr>
          </w:p>
        </w:tc>
      </w:tr>
      <w:tr w:rsidR="00C51E92" w:rsidRPr="00554E13" w:rsidTr="006A1921">
        <w:trPr>
          <w:jc w:val="center"/>
        </w:trPr>
        <w:tc>
          <w:tcPr>
            <w:tcW w:w="9889" w:type="dxa"/>
            <w:gridSpan w:val="3"/>
            <w:shd w:val="clear" w:color="auto" w:fill="auto"/>
          </w:tcPr>
          <w:p w:rsidR="00C51E92" w:rsidRPr="00554E13" w:rsidRDefault="00C51E92" w:rsidP="00F72DBF">
            <w:pPr>
              <w:spacing w:before="0"/>
              <w:jc w:val="left"/>
              <w:rPr>
                <w:b/>
                <w:bCs/>
                <w:szCs w:val="24"/>
              </w:rPr>
            </w:pPr>
          </w:p>
        </w:tc>
      </w:tr>
    </w:tbl>
    <w:p w:rsidR="002A5DD7" w:rsidRPr="00554E13" w:rsidRDefault="002A5DD7" w:rsidP="002A5DD7">
      <w:pPr>
        <w:spacing w:before="0"/>
        <w:rPr>
          <w:szCs w:val="24"/>
        </w:rPr>
      </w:pPr>
    </w:p>
    <w:p w:rsidR="00687E8D" w:rsidRPr="00554E13" w:rsidRDefault="00687E8D" w:rsidP="00687E8D">
      <w:pPr>
        <w:spacing w:line="240" w:lineRule="auto"/>
        <w:rPr>
          <w:sz w:val="23"/>
          <w:szCs w:val="23"/>
        </w:rPr>
      </w:pPr>
      <w:r w:rsidRPr="00554E13">
        <w:rPr>
          <w:sz w:val="23"/>
          <w:szCs w:val="23"/>
        </w:rPr>
        <w:t>Please replace Table 1 of Annex 4 to Administrative Circular CA/251, dated 19 December 2019, with the following:</w:t>
      </w:r>
    </w:p>
    <w:p w:rsidR="00687E8D" w:rsidRPr="00554E13" w:rsidRDefault="00687E8D" w:rsidP="00687E8D">
      <w:pPr>
        <w:keepNext/>
        <w:tabs>
          <w:tab w:val="clear" w:pos="794"/>
          <w:tab w:val="clear" w:pos="1191"/>
          <w:tab w:val="clear" w:pos="1588"/>
          <w:tab w:val="clear" w:pos="1985"/>
          <w:tab w:val="left" w:pos="1134"/>
          <w:tab w:val="left" w:pos="1871"/>
          <w:tab w:val="left" w:pos="2268"/>
        </w:tabs>
        <w:spacing w:before="560" w:after="120" w:line="240" w:lineRule="auto"/>
        <w:jc w:val="center"/>
        <w:rPr>
          <w:rFonts w:asciiTheme="minorHAnsi" w:hAnsiTheme="minorHAnsi" w:cstheme="minorHAnsi"/>
          <w:caps/>
          <w:sz w:val="20"/>
          <w:szCs w:val="20"/>
          <w:lang w:val="en-GB"/>
        </w:rPr>
      </w:pPr>
      <w:r w:rsidRPr="00554E13">
        <w:rPr>
          <w:rFonts w:asciiTheme="minorHAnsi" w:hAnsiTheme="minorHAnsi" w:cstheme="minorHAnsi"/>
          <w:caps/>
          <w:sz w:val="20"/>
          <w:szCs w:val="20"/>
          <w:lang w:val="en-GB"/>
        </w:rPr>
        <w:t>Table 1</w:t>
      </w:r>
    </w:p>
    <w:tbl>
      <w:tblPr>
        <w:tblStyle w:val="TableGrid"/>
        <w:tblW w:w="9634" w:type="dxa"/>
        <w:tblLook w:val="04A0" w:firstRow="1" w:lastRow="0" w:firstColumn="1" w:lastColumn="0" w:noHBand="0" w:noVBand="1"/>
      </w:tblPr>
      <w:tblGrid>
        <w:gridCol w:w="2263"/>
        <w:gridCol w:w="2410"/>
        <w:gridCol w:w="2268"/>
        <w:gridCol w:w="2693"/>
      </w:tblGrid>
      <w:tr w:rsidR="00687E8D" w:rsidRPr="00554E13" w:rsidTr="00827744">
        <w:tc>
          <w:tcPr>
            <w:tcW w:w="2263" w:type="dxa"/>
          </w:tcPr>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1.2 (IMT)</w:t>
            </w:r>
          </w:p>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WP 5D</w:t>
            </w:r>
          </w:p>
        </w:tc>
        <w:tc>
          <w:tcPr>
            <w:tcW w:w="2410" w:type="dxa"/>
          </w:tcPr>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1.16 (non-GSO FSS ESIMs)</w:t>
            </w:r>
          </w:p>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WP 4A</w:t>
            </w:r>
          </w:p>
        </w:tc>
        <w:tc>
          <w:tcPr>
            <w:tcW w:w="2268" w:type="dxa"/>
          </w:tcPr>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1.17 (ISL)</w:t>
            </w:r>
          </w:p>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WP 4A</w:t>
            </w:r>
          </w:p>
        </w:tc>
        <w:tc>
          <w:tcPr>
            <w:tcW w:w="2693" w:type="dxa"/>
          </w:tcPr>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1.18 (narrowband MSS)</w:t>
            </w:r>
          </w:p>
          <w:p w:rsidR="00687E8D" w:rsidRPr="00554E13" w:rsidRDefault="00687E8D" w:rsidP="00687E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WP 4C</w:t>
            </w:r>
          </w:p>
        </w:tc>
      </w:tr>
      <w:tr w:rsidR="00687E8D" w:rsidRPr="00554E13" w:rsidTr="00827744">
        <w:tc>
          <w:tcPr>
            <w:tcW w:w="2263"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 xml:space="preserve">3 300-3 400 MHz </w:t>
            </w:r>
          </w:p>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(Region 1&amp;2)</w:t>
            </w:r>
          </w:p>
        </w:tc>
        <w:tc>
          <w:tcPr>
            <w:tcW w:w="2410"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p>
        </w:tc>
        <w:tc>
          <w:tcPr>
            <w:tcW w:w="2268"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p>
        </w:tc>
        <w:tc>
          <w:tcPr>
            <w:tcW w:w="2693"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3 300-3 400 MHz</w:t>
            </w:r>
            <w:r w:rsidRPr="00554E13">
              <w:rPr>
                <w:sz w:val="20"/>
                <w:lang w:eastAsia="nl-NL"/>
              </w:rPr>
              <w:br/>
              <w:t>(Region 2)</w:t>
            </w:r>
          </w:p>
        </w:tc>
      </w:tr>
      <w:tr w:rsidR="00687E8D" w:rsidRPr="00554E13" w:rsidTr="00827744">
        <w:tc>
          <w:tcPr>
            <w:tcW w:w="2263"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p>
        </w:tc>
        <w:tc>
          <w:tcPr>
            <w:tcW w:w="2410"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27.5-29.1 GHz (E-s)</w:t>
            </w:r>
            <w:r w:rsidRPr="00554E13">
              <w:rPr>
                <w:sz w:val="20"/>
                <w:lang w:eastAsia="nl-NL"/>
              </w:rPr>
              <w:br/>
              <w:t>29.5-30 GHz (E-s)</w:t>
            </w:r>
          </w:p>
        </w:tc>
        <w:tc>
          <w:tcPr>
            <w:tcW w:w="2268"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27.5-30 GHz (s-s)</w:t>
            </w:r>
          </w:p>
        </w:tc>
        <w:tc>
          <w:tcPr>
            <w:tcW w:w="2693" w:type="dxa"/>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p>
        </w:tc>
      </w:tr>
    </w:tbl>
    <w:p w:rsidR="00687E8D" w:rsidRPr="00554E13" w:rsidRDefault="00687E8D" w:rsidP="00687E8D">
      <w:pPr>
        <w:spacing w:line="240" w:lineRule="auto"/>
        <w:rPr>
          <w:sz w:val="23"/>
          <w:szCs w:val="23"/>
        </w:rPr>
      </w:pPr>
    </w:p>
    <w:p w:rsidR="00687E8D" w:rsidRPr="00554E13" w:rsidRDefault="00687E8D" w:rsidP="00687E8D">
      <w:pPr>
        <w:spacing w:line="240" w:lineRule="auto"/>
        <w:rPr>
          <w:sz w:val="23"/>
          <w:szCs w:val="23"/>
        </w:rPr>
      </w:pPr>
      <w:r w:rsidRPr="00554E13">
        <w:rPr>
          <w:sz w:val="23"/>
          <w:szCs w:val="23"/>
        </w:rPr>
        <w:t>Please note also that, as a result of the review of the WRC-19 Provisional Final Acts based on the Minutes of the twelfth WRC-19 Plenary meeting, the following changes have also to be made to the relevant parts of Annexes 2, 7, 8 and 10 of CA/251:</w:t>
      </w:r>
    </w:p>
    <w:p w:rsidR="00687E8D" w:rsidRPr="00554E13" w:rsidRDefault="00222800" w:rsidP="00843B3F">
      <w:pPr>
        <w:tabs>
          <w:tab w:val="clear" w:pos="794"/>
          <w:tab w:val="clear" w:pos="1191"/>
          <w:tab w:val="clear" w:pos="1588"/>
          <w:tab w:val="clear" w:pos="1985"/>
        </w:tabs>
        <w:overflowPunct/>
        <w:autoSpaceDE/>
        <w:autoSpaceDN/>
        <w:adjustRightInd/>
        <w:spacing w:before="0" w:line="240" w:lineRule="auto"/>
        <w:ind w:left="567" w:hanging="567"/>
        <w:contextualSpacing/>
        <w:textAlignment w:val="auto"/>
        <w:rPr>
          <w:rFonts w:eastAsia="SimSun" w:cs="Times New Roman"/>
          <w:sz w:val="23"/>
          <w:szCs w:val="23"/>
          <w:lang w:eastAsia="zh-CN"/>
        </w:rPr>
      </w:pPr>
      <w:r w:rsidRPr="00554E13">
        <w:rPr>
          <w:rFonts w:eastAsia="SimSun" w:cs="Times New Roman"/>
          <w:sz w:val="23"/>
          <w:szCs w:val="23"/>
          <w:lang w:eastAsia="zh-CN"/>
        </w:rPr>
        <w:t>–</w:t>
      </w:r>
      <w:r w:rsidRPr="00554E13">
        <w:rPr>
          <w:rFonts w:eastAsia="SimSun" w:cs="Times New Roman"/>
          <w:sz w:val="23"/>
          <w:szCs w:val="23"/>
          <w:lang w:eastAsia="zh-CN"/>
        </w:rPr>
        <w:tab/>
      </w:r>
      <w:r w:rsidR="00687E8D" w:rsidRPr="00554E13">
        <w:rPr>
          <w:rFonts w:eastAsia="SimSun" w:cs="Times New Roman"/>
          <w:sz w:val="23"/>
          <w:szCs w:val="23"/>
          <w:lang w:eastAsia="zh-CN"/>
        </w:rPr>
        <w:t xml:space="preserve">In Resolution 812 (WRC-19), the text of </w:t>
      </w:r>
      <w:r w:rsidR="00687E8D" w:rsidRPr="00554E13">
        <w:rPr>
          <w:rFonts w:eastAsia="SimSun" w:cs="Times New Roman"/>
          <w:i/>
          <w:iCs/>
          <w:sz w:val="23"/>
          <w:szCs w:val="23"/>
          <w:lang w:eastAsia="zh-CN"/>
        </w:rPr>
        <w:t>resolves to give the view</w:t>
      </w:r>
      <w:r w:rsidR="00687E8D" w:rsidRPr="00554E13">
        <w:rPr>
          <w:rFonts w:eastAsia="SimSun" w:cs="Times New Roman"/>
          <w:sz w:val="23"/>
          <w:szCs w:val="23"/>
          <w:lang w:eastAsia="zh-CN"/>
        </w:rPr>
        <w:t xml:space="preserve"> 2.13 should include squared brackets around the frequency range 1.5-5 GHz (see the relevant corrections to Annexes 2, 8 and 10 of CA/251 indicated in Annex 1 to this Corrigendum 1);</w:t>
      </w:r>
    </w:p>
    <w:p w:rsidR="00687E8D" w:rsidRPr="00554E13" w:rsidRDefault="00687E8D" w:rsidP="00687E8D">
      <w:pPr>
        <w:tabs>
          <w:tab w:val="clear" w:pos="794"/>
          <w:tab w:val="clear" w:pos="1191"/>
          <w:tab w:val="clear" w:pos="1588"/>
          <w:tab w:val="clear" w:pos="1985"/>
        </w:tabs>
        <w:overflowPunct/>
        <w:autoSpaceDE/>
        <w:autoSpaceDN/>
        <w:adjustRightInd/>
        <w:spacing w:before="0" w:line="240" w:lineRule="auto"/>
        <w:textAlignment w:val="auto"/>
        <w:rPr>
          <w:rFonts w:eastAsia="SimSun" w:cs="Times New Roman"/>
          <w:sz w:val="23"/>
          <w:szCs w:val="23"/>
          <w:lang w:eastAsia="zh-CN"/>
        </w:rPr>
      </w:pPr>
      <w:r w:rsidRPr="00554E13">
        <w:rPr>
          <w:sz w:val="23"/>
          <w:szCs w:val="23"/>
        </w:rPr>
        <w:br w:type="page"/>
      </w:r>
    </w:p>
    <w:p w:rsidR="00687E8D" w:rsidRPr="00554E13" w:rsidRDefault="00222800" w:rsidP="00843B3F">
      <w:pPr>
        <w:tabs>
          <w:tab w:val="clear" w:pos="794"/>
          <w:tab w:val="clear" w:pos="1191"/>
          <w:tab w:val="clear" w:pos="1588"/>
          <w:tab w:val="clear" w:pos="1985"/>
        </w:tabs>
        <w:overflowPunct/>
        <w:autoSpaceDE/>
        <w:autoSpaceDN/>
        <w:adjustRightInd/>
        <w:spacing w:before="0" w:line="240" w:lineRule="auto"/>
        <w:ind w:left="567" w:hanging="567"/>
        <w:contextualSpacing/>
        <w:textAlignment w:val="auto"/>
        <w:rPr>
          <w:rFonts w:eastAsia="SimSun" w:cs="Times New Roman"/>
          <w:sz w:val="23"/>
          <w:szCs w:val="23"/>
          <w:lang w:eastAsia="zh-CN"/>
        </w:rPr>
      </w:pPr>
      <w:r w:rsidRPr="00554E13">
        <w:rPr>
          <w:rFonts w:eastAsia="SimSun" w:cs="Times New Roman"/>
          <w:spacing w:val="-2"/>
          <w:sz w:val="23"/>
          <w:szCs w:val="23"/>
          <w:lang w:eastAsia="zh-CN"/>
        </w:rPr>
        <w:lastRenderedPageBreak/>
        <w:t>–</w:t>
      </w:r>
      <w:r w:rsidRPr="00554E13">
        <w:rPr>
          <w:rFonts w:eastAsia="SimSun" w:cs="Times New Roman"/>
          <w:spacing w:val="-2"/>
          <w:sz w:val="23"/>
          <w:szCs w:val="23"/>
          <w:lang w:eastAsia="zh-CN"/>
        </w:rPr>
        <w:tab/>
      </w:r>
      <w:r w:rsidR="00687E8D" w:rsidRPr="00554E13">
        <w:rPr>
          <w:rFonts w:eastAsia="SimSun" w:cs="Times New Roman"/>
          <w:spacing w:val="-2"/>
          <w:sz w:val="23"/>
          <w:szCs w:val="23"/>
          <w:lang w:eastAsia="zh-CN"/>
        </w:rPr>
        <w:t xml:space="preserve">The texts of </w:t>
      </w:r>
      <w:r w:rsidR="00687E8D" w:rsidRPr="00554E13">
        <w:rPr>
          <w:rFonts w:eastAsia="SimSun" w:cs="Times New Roman"/>
          <w:i/>
          <w:iCs/>
          <w:spacing w:val="-2"/>
          <w:sz w:val="23"/>
          <w:szCs w:val="23"/>
          <w:lang w:eastAsia="zh-CN"/>
        </w:rPr>
        <w:t>resolves to invite ITU-R</w:t>
      </w:r>
      <w:r w:rsidR="00687E8D" w:rsidRPr="00554E13">
        <w:rPr>
          <w:rFonts w:eastAsia="SimSun" w:cs="Times New Roman"/>
          <w:spacing w:val="-2"/>
          <w:sz w:val="23"/>
          <w:szCs w:val="23"/>
          <w:lang w:eastAsia="zh-CN"/>
        </w:rPr>
        <w:t xml:space="preserve"> 8 of Resolution 172 (WRC-19) and of </w:t>
      </w:r>
      <w:r w:rsidR="00687E8D" w:rsidRPr="00554E13">
        <w:rPr>
          <w:rFonts w:eastAsia="SimSun" w:cs="Times New Roman"/>
          <w:i/>
          <w:iCs/>
          <w:spacing w:val="-2"/>
          <w:sz w:val="23"/>
          <w:szCs w:val="23"/>
          <w:lang w:eastAsia="zh-CN"/>
        </w:rPr>
        <w:t>resolves to invite ITU</w:t>
      </w:r>
      <w:r w:rsidR="00687E8D" w:rsidRPr="00554E13">
        <w:rPr>
          <w:rFonts w:eastAsia="SimSun" w:cs="Times New Roman"/>
          <w:i/>
          <w:iCs/>
          <w:spacing w:val="-2"/>
          <w:sz w:val="23"/>
          <w:szCs w:val="23"/>
          <w:lang w:eastAsia="zh-CN"/>
        </w:rPr>
        <w:noBreakHyphen/>
        <w:t>R</w:t>
      </w:r>
      <w:r w:rsidR="00687E8D" w:rsidRPr="00554E13">
        <w:rPr>
          <w:rFonts w:eastAsia="SimSun" w:cs="Times New Roman"/>
          <w:spacing w:val="-2"/>
          <w:sz w:val="23"/>
          <w:szCs w:val="23"/>
          <w:lang w:eastAsia="zh-CN"/>
        </w:rPr>
        <w:t xml:space="preserve"> 5</w:t>
      </w:r>
      <w:r w:rsidR="00687E8D" w:rsidRPr="00554E13">
        <w:rPr>
          <w:rFonts w:eastAsia="SimSun" w:cs="Times New Roman"/>
          <w:sz w:val="23"/>
          <w:szCs w:val="23"/>
          <w:lang w:eastAsia="zh-CN"/>
        </w:rPr>
        <w:t xml:space="preserve"> of Resolution 173 (WRC-19) should be </w:t>
      </w:r>
      <w:r w:rsidR="00687E8D" w:rsidRPr="00554E13">
        <w:rPr>
          <w:rFonts w:eastAsia="SimSun" w:cs="Times New Roman"/>
          <w:sz w:val="22"/>
          <w:lang w:eastAsia="zh-CN"/>
        </w:rPr>
        <w:t xml:space="preserve">replaced by each other </w:t>
      </w:r>
      <w:r w:rsidR="00687E8D" w:rsidRPr="00554E13">
        <w:rPr>
          <w:rFonts w:eastAsia="SimSun" w:cs="Times New Roman"/>
          <w:sz w:val="23"/>
          <w:szCs w:val="23"/>
          <w:lang w:eastAsia="zh-CN"/>
        </w:rPr>
        <w:t>(see the relevant corrections to Annex</w:t>
      </w:r>
      <w:r w:rsidR="00E05AFF" w:rsidRPr="00554E13">
        <w:rPr>
          <w:rFonts w:eastAsia="SimSun" w:cs="Times New Roman"/>
          <w:sz w:val="23"/>
          <w:szCs w:val="23"/>
          <w:lang w:eastAsia="zh-CN"/>
        </w:rPr>
        <w:t xml:space="preserve"> </w:t>
      </w:r>
      <w:r w:rsidR="00687E8D" w:rsidRPr="00554E13">
        <w:rPr>
          <w:rFonts w:eastAsia="SimSun" w:cs="Times New Roman"/>
          <w:sz w:val="23"/>
          <w:szCs w:val="23"/>
          <w:lang w:eastAsia="zh-CN"/>
        </w:rPr>
        <w:t>7 of CA/251 indicated in Annex 2 to this Corrigendum 1).</w:t>
      </w:r>
    </w:p>
    <w:p w:rsidR="00687E8D" w:rsidRPr="00554E13" w:rsidRDefault="00687E8D" w:rsidP="00F64D7C">
      <w:pPr>
        <w:spacing w:before="2280" w:line="240" w:lineRule="auto"/>
        <w:jc w:val="left"/>
        <w:rPr>
          <w:rFonts w:asciiTheme="minorHAnsi" w:hAnsiTheme="minorHAnsi" w:cstheme="minorHAnsi"/>
          <w:szCs w:val="24"/>
          <w:lang w:val="en-GB"/>
        </w:rPr>
      </w:pPr>
      <w:r w:rsidRPr="00554E13">
        <w:rPr>
          <w:rFonts w:asciiTheme="minorHAnsi" w:hAnsiTheme="minorHAnsi" w:cstheme="minorHAnsi"/>
          <w:szCs w:val="24"/>
          <w:lang w:val="en-GB"/>
        </w:rPr>
        <w:t xml:space="preserve">Mario </w:t>
      </w:r>
      <w:proofErr w:type="spellStart"/>
      <w:r w:rsidRPr="00554E13">
        <w:rPr>
          <w:rFonts w:asciiTheme="minorHAnsi" w:hAnsiTheme="minorHAnsi" w:cstheme="minorHAnsi"/>
          <w:szCs w:val="24"/>
          <w:lang w:val="en-GB"/>
        </w:rPr>
        <w:t>Maniewicz</w:t>
      </w:r>
      <w:proofErr w:type="spellEnd"/>
    </w:p>
    <w:p w:rsidR="00687E8D" w:rsidRPr="00554E13" w:rsidRDefault="00687E8D" w:rsidP="00687E8D">
      <w:pPr>
        <w:spacing w:before="0" w:line="240" w:lineRule="auto"/>
        <w:jc w:val="left"/>
        <w:rPr>
          <w:rFonts w:asciiTheme="minorHAnsi" w:hAnsiTheme="minorHAnsi" w:cstheme="minorHAnsi"/>
          <w:szCs w:val="24"/>
          <w:lang w:val="en-GB"/>
        </w:rPr>
      </w:pPr>
      <w:r w:rsidRPr="00554E13">
        <w:rPr>
          <w:rFonts w:asciiTheme="minorHAnsi" w:hAnsiTheme="minorHAnsi" w:cstheme="minorHAnsi"/>
          <w:szCs w:val="24"/>
          <w:lang w:val="en-GB"/>
        </w:rPr>
        <w:t>Director</w:t>
      </w:r>
    </w:p>
    <w:p w:rsidR="00687E8D" w:rsidRPr="00554E13" w:rsidRDefault="00687E8D" w:rsidP="00687E8D">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sidRPr="00554E13">
        <w:rPr>
          <w:sz w:val="18"/>
          <w:szCs w:val="18"/>
        </w:rPr>
        <w:br w:type="page"/>
      </w:r>
    </w:p>
    <w:p w:rsidR="00687E8D" w:rsidRPr="00554E13" w:rsidRDefault="00687E8D" w:rsidP="00687E8D">
      <w:pPr>
        <w:keepNext/>
        <w:keepLines/>
        <w:tabs>
          <w:tab w:val="clear" w:pos="794"/>
          <w:tab w:val="clear" w:pos="1191"/>
          <w:tab w:val="clear" w:pos="1588"/>
          <w:tab w:val="clear" w:pos="1985"/>
          <w:tab w:val="left" w:pos="1134"/>
          <w:tab w:val="left" w:pos="1871"/>
          <w:tab w:val="left" w:pos="2268"/>
        </w:tabs>
        <w:spacing w:before="480" w:after="80" w:line="240" w:lineRule="auto"/>
        <w:jc w:val="center"/>
        <w:rPr>
          <w:rFonts w:asciiTheme="minorHAnsi" w:hAnsiTheme="minorHAnsi" w:cs="Times New Roman"/>
          <w:caps/>
          <w:sz w:val="28"/>
          <w:szCs w:val="20"/>
          <w:lang w:val="en-GB"/>
        </w:rPr>
      </w:pPr>
      <w:r w:rsidRPr="00554E13">
        <w:rPr>
          <w:rFonts w:asciiTheme="minorHAnsi" w:hAnsiTheme="minorHAnsi" w:cs="Times New Roman"/>
          <w:caps/>
          <w:sz w:val="28"/>
          <w:szCs w:val="20"/>
          <w:lang w:val="en-GB"/>
        </w:rPr>
        <w:lastRenderedPageBreak/>
        <w:t>Annex 1</w:t>
      </w:r>
    </w:p>
    <w:p w:rsidR="00687E8D" w:rsidRPr="00554E13" w:rsidRDefault="00687E8D" w:rsidP="00E05AFF">
      <w:pPr>
        <w:pStyle w:val="AnnexNotitle0"/>
        <w:spacing w:before="160" w:after="120"/>
        <w:rPr>
          <w:rFonts w:asciiTheme="minorHAnsi" w:hAnsiTheme="minorHAnsi"/>
        </w:rPr>
      </w:pPr>
      <w:r w:rsidRPr="00554E13">
        <w:rPr>
          <w:rFonts w:asciiTheme="minorHAnsi" w:hAnsiTheme="minorHAnsi"/>
        </w:rPr>
        <w:t>Corrections to Annexes 2, 8 and 10 of Administrative Circular CA/251</w:t>
      </w:r>
    </w:p>
    <w:p w:rsidR="00687E8D" w:rsidRPr="00554E13" w:rsidRDefault="00687E8D" w:rsidP="00687E8D">
      <w:pPr>
        <w:spacing w:line="240" w:lineRule="auto"/>
        <w:rPr>
          <w:sz w:val="23"/>
          <w:szCs w:val="23"/>
        </w:rPr>
      </w:pPr>
      <w:r w:rsidRPr="00554E13">
        <w:rPr>
          <w:sz w:val="23"/>
          <w:szCs w:val="23"/>
        </w:rPr>
        <w:t>1.</w:t>
      </w:r>
      <w:r w:rsidRPr="00554E13">
        <w:rPr>
          <w:sz w:val="23"/>
          <w:szCs w:val="23"/>
        </w:rPr>
        <w:tab/>
        <w:t xml:space="preserve">In CA/251 Annex 2, please replace the text of </w:t>
      </w:r>
      <w:r w:rsidRPr="00554E13">
        <w:rPr>
          <w:i/>
          <w:iCs/>
          <w:sz w:val="23"/>
          <w:szCs w:val="23"/>
        </w:rPr>
        <w:t>resolves to give the view</w:t>
      </w:r>
      <w:r w:rsidRPr="00554E13">
        <w:rPr>
          <w:sz w:val="23"/>
          <w:szCs w:val="23"/>
        </w:rPr>
        <w:t xml:space="preserve"> 2.13 of Resolution 812 (WRC</w:t>
      </w:r>
      <w:r w:rsidRPr="00554E13">
        <w:rPr>
          <w:sz w:val="23"/>
          <w:szCs w:val="23"/>
        </w:rPr>
        <w:noBreakHyphen/>
        <w:t>19) with the following text:</w:t>
      </w:r>
    </w:p>
    <w:p w:rsidR="00687E8D" w:rsidRPr="00554E13" w:rsidRDefault="00687E8D" w:rsidP="00687E8D">
      <w:pPr>
        <w:spacing w:line="240" w:lineRule="auto"/>
        <w:rPr>
          <w:rFonts w:asciiTheme="minorHAnsi" w:hAnsiTheme="minorHAnsi" w:cstheme="minorHAnsi"/>
          <w:sz w:val="23"/>
          <w:szCs w:val="23"/>
        </w:rPr>
      </w:pPr>
      <w:r w:rsidRPr="00554E13">
        <w:rPr>
          <w:rFonts w:asciiTheme="minorHAnsi" w:hAnsiTheme="minorHAnsi" w:cstheme="minorHAnsi"/>
          <w:sz w:val="23"/>
          <w:szCs w:val="23"/>
        </w:rPr>
        <w:t>“</w:t>
      </w:r>
      <w:r w:rsidRPr="00554E13">
        <w:rPr>
          <w:rFonts w:asciiTheme="minorHAnsi" w:hAnsiTheme="minorHAnsi" w:cstheme="minorHAnsi"/>
          <w:szCs w:val="24"/>
        </w:rPr>
        <w:t>2.13</w:t>
      </w:r>
      <w:r w:rsidRPr="00554E13">
        <w:rPr>
          <w:rFonts w:asciiTheme="minorHAnsi" w:hAnsiTheme="minorHAnsi" w:cstheme="minorHAnsi"/>
          <w:szCs w:val="24"/>
        </w:rPr>
        <w:tab/>
        <w:t>to consider a possible worldwide allocation to the mobile-satellite service for the future development of narrowband mobile-satellite systems in frequency bands between the range [1.5</w:t>
      </w:r>
      <w:r w:rsidRPr="00554E13">
        <w:rPr>
          <w:rFonts w:asciiTheme="minorHAnsi" w:hAnsiTheme="minorHAnsi" w:cstheme="minorHAnsi"/>
          <w:szCs w:val="24"/>
        </w:rPr>
        <w:noBreakHyphen/>
        <w:t xml:space="preserve">5 GHz], in accordance with Resolution </w:t>
      </w:r>
      <w:r w:rsidRPr="00554E13">
        <w:rPr>
          <w:rFonts w:asciiTheme="minorHAnsi" w:hAnsiTheme="minorHAnsi" w:cstheme="minorHAnsi"/>
          <w:b/>
          <w:bCs/>
          <w:szCs w:val="24"/>
        </w:rPr>
        <w:t>248</w:t>
      </w:r>
      <w:r w:rsidRPr="00554E13">
        <w:rPr>
          <w:rFonts w:asciiTheme="minorHAnsi" w:hAnsiTheme="minorHAnsi" w:cstheme="minorHAnsi"/>
          <w:szCs w:val="24"/>
        </w:rPr>
        <w:t xml:space="preserve"> </w:t>
      </w:r>
      <w:r w:rsidRPr="00554E13">
        <w:rPr>
          <w:rFonts w:asciiTheme="minorHAnsi" w:hAnsiTheme="minorHAnsi" w:cstheme="minorHAnsi"/>
          <w:b/>
          <w:bCs/>
          <w:szCs w:val="24"/>
        </w:rPr>
        <w:t>(WRC-19)</w:t>
      </w:r>
      <w:r w:rsidRPr="00554E13">
        <w:rPr>
          <w:rFonts w:asciiTheme="minorHAnsi" w:hAnsiTheme="minorHAnsi" w:cstheme="minorHAnsi"/>
          <w:szCs w:val="24"/>
        </w:rPr>
        <w:t>,”</w:t>
      </w:r>
    </w:p>
    <w:p w:rsidR="00687E8D" w:rsidRPr="00554E13" w:rsidRDefault="00687E8D" w:rsidP="00687E8D">
      <w:pPr>
        <w:spacing w:line="240" w:lineRule="auto"/>
        <w:rPr>
          <w:sz w:val="23"/>
          <w:szCs w:val="23"/>
        </w:rPr>
      </w:pPr>
      <w:r w:rsidRPr="00554E13">
        <w:rPr>
          <w:sz w:val="23"/>
          <w:szCs w:val="23"/>
        </w:rPr>
        <w:t>2.</w:t>
      </w:r>
      <w:r w:rsidRPr="00554E13">
        <w:rPr>
          <w:sz w:val="23"/>
          <w:szCs w:val="23"/>
        </w:rPr>
        <w:tab/>
        <w:t>In the table of CA/251 Annex 8 on the “</w:t>
      </w:r>
      <w:r w:rsidRPr="00554E13">
        <w:t>Allocation of ITU-R preparatory work for WRC</w:t>
      </w:r>
      <w:r w:rsidRPr="00554E13">
        <w:noBreakHyphen/>
        <w:t>27</w:t>
      </w:r>
      <w:r w:rsidRPr="00554E13">
        <w:rPr>
          <w:sz w:val="23"/>
          <w:szCs w:val="23"/>
        </w:rPr>
        <w:t>”, please replace the text of the table entry 2.13 with the following:</w:t>
      </w:r>
    </w:p>
    <w:p w:rsidR="00687E8D" w:rsidRPr="00554E13" w:rsidRDefault="00687E8D" w:rsidP="00687E8D">
      <w:pPr>
        <w:spacing w:line="240" w:lineRule="auto"/>
        <w:rPr>
          <w:sz w:val="23"/>
          <w:szCs w:val="23"/>
        </w:rPr>
      </w:pPr>
    </w:p>
    <w:tbl>
      <w:tblPr>
        <w:tblStyle w:val="TableGrid"/>
        <w:tblW w:w="0" w:type="auto"/>
        <w:tblLook w:val="04A0" w:firstRow="1" w:lastRow="0" w:firstColumn="1" w:lastColumn="0" w:noHBand="0" w:noVBand="1"/>
      </w:tblPr>
      <w:tblGrid>
        <w:gridCol w:w="9629"/>
      </w:tblGrid>
      <w:tr w:rsidR="00687E8D" w:rsidRPr="00554E13" w:rsidTr="00827744">
        <w:tc>
          <w:tcPr>
            <w:tcW w:w="9629" w:type="dxa"/>
          </w:tcPr>
          <w:p w:rsidR="00687E8D" w:rsidRPr="00554E13" w:rsidRDefault="00687E8D" w:rsidP="00E05AFF">
            <w:pPr>
              <w:spacing w:before="40" w:after="40" w:line="240" w:lineRule="auto"/>
              <w:rPr>
                <w:sz w:val="23"/>
                <w:szCs w:val="23"/>
              </w:rPr>
            </w:pPr>
            <w:r w:rsidRPr="00554E13">
              <w:t>2.13</w:t>
            </w:r>
            <w:r w:rsidRPr="00554E13">
              <w:tab/>
              <w:t>to consider a possible worldwide allocation to the mobile-satellite service for the future development of narrowband mobile-satellite systems in frequency bands between the range [1.5</w:t>
            </w:r>
            <w:r w:rsidR="00E05AFF" w:rsidRPr="00554E13">
              <w:noBreakHyphen/>
            </w:r>
            <w:r w:rsidRPr="00554E13">
              <w:t xml:space="preserve">5 GHz], in accordance with Resolution </w:t>
            </w:r>
            <w:r w:rsidRPr="00554E13">
              <w:rPr>
                <w:b/>
                <w:bCs/>
              </w:rPr>
              <w:t>248 (WRC-19)</w:t>
            </w:r>
            <w:r w:rsidRPr="00554E13">
              <w:t>,</w:t>
            </w:r>
          </w:p>
        </w:tc>
      </w:tr>
    </w:tbl>
    <w:p w:rsidR="00687E8D" w:rsidRPr="00554E13" w:rsidRDefault="00687E8D" w:rsidP="00687E8D">
      <w:pPr>
        <w:spacing w:line="240" w:lineRule="auto"/>
        <w:rPr>
          <w:sz w:val="23"/>
          <w:szCs w:val="23"/>
        </w:rPr>
      </w:pPr>
      <w:r w:rsidRPr="00554E13">
        <w:rPr>
          <w:sz w:val="23"/>
          <w:szCs w:val="23"/>
        </w:rPr>
        <w:t>3.</w:t>
      </w:r>
      <w:r w:rsidRPr="00554E13">
        <w:rPr>
          <w:sz w:val="23"/>
          <w:szCs w:val="23"/>
        </w:rPr>
        <w:tab/>
        <w:t>In the table of CA/251 Annex 10 on the “</w:t>
      </w:r>
      <w:r w:rsidRPr="00554E13">
        <w:rPr>
          <w:rFonts w:asciiTheme="minorHAnsi" w:hAnsiTheme="minorHAnsi" w:cstheme="minorHAnsi"/>
        </w:rPr>
        <w:t>Outline of the draft CPM Report to WRC</w:t>
      </w:r>
      <w:r w:rsidRPr="00554E13">
        <w:rPr>
          <w:rFonts w:asciiTheme="minorHAnsi" w:hAnsiTheme="minorHAnsi" w:cstheme="minorHAnsi"/>
        </w:rPr>
        <w:noBreakHyphen/>
        <w:t>23”</w:t>
      </w:r>
      <w:r w:rsidRPr="00554E13">
        <w:rPr>
          <w:sz w:val="23"/>
          <w:szCs w:val="23"/>
        </w:rPr>
        <w:t>, please replace the text of the table entry 2.13 with the following:</w:t>
      </w:r>
    </w:p>
    <w:p w:rsidR="00687E8D" w:rsidRPr="00554E13" w:rsidRDefault="00687E8D" w:rsidP="00687E8D">
      <w:pPr>
        <w:spacing w:line="240" w:lineRule="auto"/>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865"/>
        <w:gridCol w:w="4241"/>
        <w:gridCol w:w="1828"/>
        <w:gridCol w:w="1516"/>
      </w:tblGrid>
      <w:tr w:rsidR="00687E8D" w:rsidRPr="00554E13" w:rsidTr="007466A6">
        <w:tc>
          <w:tcPr>
            <w:tcW w:w="619" w:type="pct"/>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10</w:t>
            </w:r>
          </w:p>
        </w:tc>
        <w:tc>
          <w:tcPr>
            <w:tcW w:w="422" w:type="pct"/>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A1/2.13</w:t>
            </w:r>
          </w:p>
        </w:tc>
        <w:tc>
          <w:tcPr>
            <w:tcW w:w="2209" w:type="pct"/>
          </w:tcPr>
          <w:p w:rsidR="00687E8D" w:rsidRPr="00554E13" w:rsidRDefault="00687E8D" w:rsidP="007466A6">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 xml:space="preserve">to consider a possible worldwide allocation to the mobile-satellite service for the future development of narrowband mobile-satellite systems in frequency bands between the range [1.5-5 GHz], in accordance with Resolution </w:t>
            </w:r>
            <w:r w:rsidRPr="00554E13">
              <w:rPr>
                <w:b/>
                <w:sz w:val="20"/>
                <w:lang w:eastAsia="nl-NL"/>
              </w:rPr>
              <w:t>248 (WRC-19)</w:t>
            </w:r>
            <w:r w:rsidRPr="00554E13">
              <w:rPr>
                <w:sz w:val="20"/>
                <w:lang w:eastAsia="nl-NL"/>
              </w:rPr>
              <w:t>,</w:t>
            </w:r>
          </w:p>
        </w:tc>
        <w:tc>
          <w:tcPr>
            <w:tcW w:w="956" w:type="pct"/>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sz w:val="20"/>
                <w:lang w:eastAsia="nl-NL"/>
              </w:rPr>
              <w:t>Resolution </w:t>
            </w:r>
            <w:r w:rsidRPr="00554E13">
              <w:rPr>
                <w:b/>
                <w:sz w:val="20"/>
                <w:lang w:eastAsia="nl-NL"/>
              </w:rPr>
              <w:t>248 (WRC</w:t>
            </w:r>
            <w:r w:rsidRPr="00554E13">
              <w:rPr>
                <w:b/>
                <w:sz w:val="20"/>
                <w:lang w:eastAsia="nl-NL"/>
              </w:rPr>
              <w:noBreakHyphen/>
              <w:t>19)</w:t>
            </w:r>
          </w:p>
        </w:tc>
        <w:tc>
          <w:tcPr>
            <w:tcW w:w="794" w:type="pct"/>
          </w:tcPr>
          <w:p w:rsidR="00687E8D" w:rsidRPr="00554E13" w:rsidRDefault="00687E8D" w:rsidP="00687E8D">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lang w:eastAsia="nl-NL"/>
              </w:rPr>
            </w:pPr>
            <w:r w:rsidRPr="00554E13">
              <w:rPr>
                <w:b/>
                <w:sz w:val="20"/>
                <w:lang w:eastAsia="nl-NL"/>
              </w:rPr>
              <w:t>SG 4</w:t>
            </w:r>
          </w:p>
        </w:tc>
      </w:tr>
    </w:tbl>
    <w:p w:rsidR="00F64D7C" w:rsidRPr="00554E13" w:rsidRDefault="00F64D7C" w:rsidP="00687E8D">
      <w:pPr>
        <w:rPr>
          <w:rFonts w:asciiTheme="minorHAnsi" w:hAnsiTheme="minorHAnsi" w:cstheme="minorHAnsi"/>
          <w:szCs w:val="24"/>
          <w:lang w:val="fr-CH"/>
        </w:rPr>
        <w:sectPr w:rsidR="00F64D7C" w:rsidRPr="00554E13"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pPr>
    </w:p>
    <w:p w:rsidR="00F64D7C" w:rsidRPr="00554E13" w:rsidRDefault="00F64D7C" w:rsidP="00F64D7C">
      <w:pPr>
        <w:keepNext/>
        <w:keepLines/>
        <w:tabs>
          <w:tab w:val="clear" w:pos="794"/>
          <w:tab w:val="clear" w:pos="1191"/>
          <w:tab w:val="clear" w:pos="1588"/>
          <w:tab w:val="clear" w:pos="1985"/>
          <w:tab w:val="left" w:pos="1134"/>
          <w:tab w:val="left" w:pos="1871"/>
          <w:tab w:val="left" w:pos="2268"/>
        </w:tabs>
        <w:spacing w:before="480" w:after="80" w:line="240" w:lineRule="auto"/>
        <w:jc w:val="center"/>
        <w:rPr>
          <w:rFonts w:asciiTheme="minorHAnsi" w:hAnsiTheme="minorHAnsi" w:cs="Times New Roman"/>
          <w:caps/>
          <w:sz w:val="28"/>
          <w:szCs w:val="20"/>
          <w:lang w:val="en-GB"/>
        </w:rPr>
      </w:pPr>
      <w:r w:rsidRPr="00554E13">
        <w:rPr>
          <w:rFonts w:asciiTheme="minorHAnsi" w:hAnsiTheme="minorHAnsi" w:cs="Times New Roman"/>
          <w:caps/>
          <w:sz w:val="28"/>
          <w:szCs w:val="20"/>
          <w:lang w:val="en-GB"/>
        </w:rPr>
        <w:lastRenderedPageBreak/>
        <w:t>Annex 2</w:t>
      </w:r>
    </w:p>
    <w:p w:rsidR="00F64D7C" w:rsidRPr="00554E13" w:rsidRDefault="00F64D7C" w:rsidP="00222800">
      <w:pPr>
        <w:pStyle w:val="AnnexNotitle0"/>
        <w:spacing w:before="160" w:after="120"/>
        <w:rPr>
          <w:rFonts w:asciiTheme="minorHAnsi" w:hAnsiTheme="minorHAnsi" w:cstheme="minorHAnsi"/>
        </w:rPr>
      </w:pPr>
      <w:r w:rsidRPr="00554E13">
        <w:rPr>
          <w:rFonts w:asciiTheme="minorHAnsi" w:hAnsiTheme="minorHAnsi" w:cstheme="minorHAnsi"/>
        </w:rPr>
        <w:t>Corrections to Annex 7 of Administrative Circular CA/251</w:t>
      </w:r>
    </w:p>
    <w:p w:rsidR="00F64D7C" w:rsidRPr="00554E13" w:rsidRDefault="00F64D7C" w:rsidP="00F64D7C">
      <w:pPr>
        <w:spacing w:line="240" w:lineRule="auto"/>
        <w:rPr>
          <w:sz w:val="23"/>
          <w:szCs w:val="23"/>
        </w:rPr>
      </w:pPr>
      <w:r w:rsidRPr="00554E13">
        <w:rPr>
          <w:sz w:val="23"/>
          <w:szCs w:val="23"/>
        </w:rPr>
        <w:t>In the table of CA/251 Annex 7 on the “</w:t>
      </w:r>
      <w:r w:rsidRPr="00554E13">
        <w:rPr>
          <w:rFonts w:asciiTheme="minorHAnsi" w:hAnsiTheme="minorHAnsi"/>
        </w:rPr>
        <w:t>Allocation of ITU-R preparatory work for WRC</w:t>
      </w:r>
      <w:r w:rsidRPr="00554E13">
        <w:rPr>
          <w:rFonts w:asciiTheme="minorHAnsi" w:hAnsiTheme="minorHAnsi"/>
        </w:rPr>
        <w:noBreakHyphen/>
        <w:t>23</w:t>
      </w:r>
      <w:r w:rsidRPr="00554E13">
        <w:rPr>
          <w:sz w:val="23"/>
          <w:szCs w:val="23"/>
        </w:rPr>
        <w:t>”, please replace the text of the table entry for Resolutions 172 (WRC-19) and 173 (WRC-19) with the following:</w:t>
      </w:r>
    </w:p>
    <w:p w:rsidR="00F64D7C" w:rsidRPr="00554E13" w:rsidRDefault="00F64D7C" w:rsidP="00F64D7C">
      <w:pPr>
        <w:spacing w:line="240" w:lineRule="auto"/>
        <w:rPr>
          <w:sz w:val="23"/>
          <w:szCs w:val="23"/>
        </w:rPr>
      </w:pPr>
    </w:p>
    <w:tbl>
      <w:tblPr>
        <w:tblW w:w="14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3"/>
        <w:gridCol w:w="1569"/>
        <w:gridCol w:w="7664"/>
        <w:gridCol w:w="1422"/>
        <w:gridCol w:w="10"/>
      </w:tblGrid>
      <w:tr w:rsidR="00F64D7C" w:rsidRPr="00554E13" w:rsidTr="00827744">
        <w:trPr>
          <w:gridAfter w:val="1"/>
          <w:wAfter w:w="10" w:type="dxa"/>
          <w:cantSplit/>
          <w:tblHeader/>
          <w:jc w:val="center"/>
        </w:trPr>
        <w:tc>
          <w:tcPr>
            <w:tcW w:w="14068" w:type="dxa"/>
            <w:gridSpan w:val="4"/>
            <w:tcBorders>
              <w:top w:val="nil"/>
              <w:left w:val="nil"/>
              <w:right w:val="nil"/>
            </w:tcBorders>
          </w:tcPr>
          <w:p w:rsidR="00F64D7C" w:rsidRPr="00554E13" w:rsidRDefault="00F64D7C" w:rsidP="00F64D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bookmarkStart w:id="0" w:name="_GoBack"/>
            <w:r w:rsidRPr="00554E13">
              <w:rPr>
                <w:b/>
                <w:sz w:val="20"/>
              </w:rPr>
              <w:t>Allocation of ITU-R preparatory work for WRC-23</w:t>
            </w:r>
          </w:p>
        </w:tc>
      </w:tr>
      <w:tr w:rsidR="00F64D7C" w:rsidRPr="00554E13" w:rsidTr="00827744">
        <w:trPr>
          <w:gridAfter w:val="1"/>
          <w:wAfter w:w="10" w:type="dxa"/>
          <w:cantSplit/>
          <w:tblHeader/>
          <w:jc w:val="center"/>
        </w:trPr>
        <w:tc>
          <w:tcPr>
            <w:tcW w:w="3413" w:type="dxa"/>
            <w:vAlign w:val="center"/>
          </w:tcPr>
          <w:p w:rsidR="00F64D7C" w:rsidRPr="00554E13" w:rsidRDefault="00F64D7C" w:rsidP="00F64D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Topic</w:t>
            </w:r>
          </w:p>
        </w:tc>
        <w:tc>
          <w:tcPr>
            <w:tcW w:w="1569" w:type="dxa"/>
            <w:vAlign w:val="center"/>
          </w:tcPr>
          <w:p w:rsidR="00F64D7C" w:rsidRPr="00554E13" w:rsidRDefault="00F64D7C" w:rsidP="00F64D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Responsible group</w:t>
            </w:r>
          </w:p>
        </w:tc>
        <w:tc>
          <w:tcPr>
            <w:tcW w:w="7664" w:type="dxa"/>
            <w:vAlign w:val="center"/>
          </w:tcPr>
          <w:p w:rsidR="00F64D7C" w:rsidRPr="00554E13" w:rsidRDefault="00F64D7C" w:rsidP="00F64D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Action to be taken by the group</w:t>
            </w:r>
          </w:p>
        </w:tc>
        <w:tc>
          <w:tcPr>
            <w:tcW w:w="1422" w:type="dxa"/>
            <w:vAlign w:val="center"/>
          </w:tcPr>
          <w:p w:rsidR="00F64D7C" w:rsidRPr="00554E13" w:rsidRDefault="00F64D7C" w:rsidP="00F64D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554E13">
              <w:rPr>
                <w:b/>
                <w:sz w:val="20"/>
              </w:rPr>
              <w:t>Contributing group</w:t>
            </w:r>
          </w:p>
        </w:tc>
      </w:tr>
      <w:bookmarkEnd w:id="0"/>
      <w:tr w:rsidR="00F64D7C" w:rsidRPr="00554E13" w:rsidTr="00827744">
        <w:trPr>
          <w:gridAfter w:val="1"/>
          <w:wAfter w:w="10" w:type="dxa"/>
          <w:cantSplit/>
          <w:jc w:val="center"/>
        </w:trPr>
        <w:tc>
          <w:tcPr>
            <w:tcW w:w="14068" w:type="dxa"/>
            <w:gridSpan w:val="4"/>
            <w:vAlign w:val="center"/>
          </w:tcPr>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w:t>
            </w:r>
          </w:p>
        </w:tc>
      </w:tr>
      <w:tr w:rsidR="00F64D7C" w:rsidRPr="00554E13" w:rsidTr="00827744">
        <w:trPr>
          <w:cantSplit/>
          <w:jc w:val="center"/>
        </w:trPr>
        <w:tc>
          <w:tcPr>
            <w:tcW w:w="14078" w:type="dxa"/>
            <w:gridSpan w:val="5"/>
          </w:tcPr>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1.15</w:t>
            </w:r>
            <w:r w:rsidRPr="00554E13">
              <w:rPr>
                <w:sz w:val="20"/>
                <w:lang w:eastAsia="nl-NL"/>
              </w:rPr>
              <w:tab/>
              <w:t xml:space="preserve">to harmonize the use of the frequency band 12.75-13.25 GHz (Earth-to-space) by earth stations on aircraft and vessels communicating with geostationary space stations in the fixed-satellite service globally, in accordance with Resolution </w:t>
            </w:r>
            <w:r w:rsidRPr="00554E13">
              <w:rPr>
                <w:b/>
                <w:bCs/>
                <w:sz w:val="20"/>
                <w:lang w:eastAsia="nl-NL"/>
              </w:rPr>
              <w:t>172</w:t>
            </w:r>
            <w:r w:rsidRPr="00554E13">
              <w:rPr>
                <w:sz w:val="20"/>
                <w:lang w:eastAsia="nl-NL"/>
              </w:rPr>
              <w:t> </w:t>
            </w:r>
            <w:r w:rsidRPr="00554E13">
              <w:rPr>
                <w:b/>
                <w:sz w:val="20"/>
                <w:lang w:eastAsia="nl-NL"/>
              </w:rPr>
              <w:t>(WRC</w:t>
            </w:r>
            <w:r w:rsidRPr="00554E13">
              <w:rPr>
                <w:b/>
                <w:sz w:val="20"/>
                <w:lang w:eastAsia="nl-NL"/>
              </w:rPr>
              <w:noBreakHyphen/>
              <w:t>19)</w:t>
            </w:r>
            <w:r w:rsidRPr="00554E13">
              <w:rPr>
                <w:sz w:val="20"/>
                <w:lang w:eastAsia="nl-NL"/>
              </w:rPr>
              <w:t>;</w:t>
            </w:r>
          </w:p>
        </w:tc>
      </w:tr>
      <w:tr w:rsidR="00F64D7C" w:rsidRPr="00554E13" w:rsidTr="00827744">
        <w:trPr>
          <w:jc w:val="center"/>
        </w:trPr>
        <w:tc>
          <w:tcPr>
            <w:tcW w:w="3413" w:type="dxa"/>
          </w:tcPr>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sz w:val="20"/>
                <w:lang w:eastAsia="nl-NL"/>
              </w:rPr>
            </w:pPr>
            <w:r w:rsidRPr="00554E13">
              <w:rPr>
                <w:sz w:val="20"/>
                <w:lang w:eastAsia="nl-NL"/>
              </w:rPr>
              <w:t>Resolution</w:t>
            </w:r>
            <w:r w:rsidRPr="00554E13">
              <w:rPr>
                <w:b/>
                <w:sz w:val="20"/>
                <w:lang w:eastAsia="nl-NL"/>
              </w:rPr>
              <w:t> 172 (WRC</w:t>
            </w:r>
            <w:r w:rsidRPr="00554E13">
              <w:rPr>
                <w:b/>
                <w:sz w:val="20"/>
                <w:lang w:eastAsia="nl-NL"/>
              </w:rPr>
              <w:noBreakHyphen/>
              <w:t>19)</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eastAsia="nl-NL"/>
              </w:rPr>
            </w:pPr>
            <w:bookmarkStart w:id="1" w:name="_Toc444507534"/>
            <w:bookmarkStart w:id="2" w:name="_Toc460331693"/>
            <w:r w:rsidRPr="00554E13">
              <w:rPr>
                <w:sz w:val="20"/>
                <w:lang w:eastAsia="nl-NL"/>
              </w:rPr>
              <w:t>Operation of earth stations on aircraft and vessels communicating with geostationary space stations in the fixed-satellite service</w:t>
            </w:r>
            <w:bookmarkEnd w:id="1"/>
            <w:bookmarkEnd w:id="2"/>
            <w:r w:rsidRPr="00554E13">
              <w:rPr>
                <w:sz w:val="20"/>
                <w:lang w:eastAsia="nl-NL"/>
              </w:rPr>
              <w:t xml:space="preserve"> in the frequency band 12.75-13.25 GHz (Earth-to-space)</w:t>
            </w:r>
          </w:p>
        </w:tc>
        <w:tc>
          <w:tcPr>
            <w:tcW w:w="1569" w:type="dxa"/>
          </w:tcPr>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b/>
                <w:bCs/>
                <w:sz w:val="20"/>
                <w:lang w:eastAsia="nl-NL"/>
              </w:rPr>
              <w:t>WP 4A</w:t>
            </w:r>
          </w:p>
        </w:tc>
        <w:tc>
          <w:tcPr>
            <w:tcW w:w="7664" w:type="dxa"/>
          </w:tcPr>
          <w:p w:rsidR="00F64D7C" w:rsidRPr="00554E13" w:rsidRDefault="00F64D7C" w:rsidP="00F64D7C">
            <w:pPr>
              <w:keepNext/>
              <w:keepLines/>
              <w:spacing w:before="40" w:after="40"/>
              <w:ind w:left="794"/>
              <w:jc w:val="left"/>
              <w:rPr>
                <w:i/>
                <w:iCs/>
                <w:sz w:val="20"/>
              </w:rPr>
            </w:pPr>
            <w:r w:rsidRPr="00554E13">
              <w:rPr>
                <w:i/>
                <w:iCs/>
                <w:sz w:val="20"/>
              </w:rPr>
              <w:t>resolves to invite ITU</w:t>
            </w:r>
            <w:r w:rsidRPr="00554E13">
              <w:rPr>
                <w:i/>
                <w:iCs/>
                <w:sz w:val="20"/>
              </w:rPr>
              <w:noBreakHyphen/>
              <w:t>R</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1</w:t>
            </w:r>
            <w:r w:rsidRPr="00554E13">
              <w:rPr>
                <w:sz w:val="20"/>
                <w:lang w:eastAsia="nl-NL"/>
              </w:rPr>
              <w:tab/>
            </w:r>
            <w:bookmarkStart w:id="3" w:name="_Hlk23323097"/>
            <w:r w:rsidRPr="00554E13">
              <w:rPr>
                <w:sz w:val="20"/>
                <w:lang w:eastAsia="nl-NL"/>
              </w:rPr>
              <w:t xml:space="preserve">to study the technical and operational characteristics and user requirements of earth </w:t>
            </w:r>
            <w:bookmarkEnd w:id="3"/>
            <w:r w:rsidRPr="00554E13">
              <w:rPr>
                <w:sz w:val="20"/>
                <w:lang w:eastAsia="nl-NL"/>
              </w:rPr>
              <w:t>stations on aircraft and vessels that communicate or plan to communicate with GSO space stations in the FSS in the frequency band 12.75-13.25 GHz (Earth-to-space) under the envelope of Appendix </w:t>
            </w:r>
            <w:r w:rsidRPr="00554E13">
              <w:rPr>
                <w:b/>
                <w:sz w:val="20"/>
                <w:lang w:eastAsia="nl-NL"/>
              </w:rPr>
              <w:t xml:space="preserve">30B </w:t>
            </w:r>
            <w:r w:rsidRPr="00554E13">
              <w:rPr>
                <w:sz w:val="20"/>
                <w:lang w:eastAsia="nl-NL"/>
              </w:rPr>
              <w:t xml:space="preserve">Article 6 recorded in the List or MIFR with </w:t>
            </w:r>
            <w:proofErr w:type="spellStart"/>
            <w:r w:rsidRPr="00554E13">
              <w:rPr>
                <w:sz w:val="20"/>
                <w:lang w:eastAsia="nl-NL"/>
              </w:rPr>
              <w:t>favourable</w:t>
            </w:r>
            <w:proofErr w:type="spellEnd"/>
            <w:r w:rsidRPr="00554E13">
              <w:rPr>
                <w:sz w:val="20"/>
                <w:lang w:eastAsia="nl-NL"/>
              </w:rPr>
              <w:t xml:space="preserve"> finding only and examination of related existing regulatory provisions, subject to </w:t>
            </w:r>
            <w:r w:rsidRPr="00554E13">
              <w:rPr>
                <w:i/>
                <w:sz w:val="20"/>
                <w:lang w:eastAsia="nl-NL"/>
              </w:rPr>
              <w:t>recognizing a)</w:t>
            </w:r>
            <w:r w:rsidRPr="00554E13">
              <w:rPr>
                <w:sz w:val="20"/>
                <w:lang w:eastAsia="nl-NL"/>
              </w:rPr>
              <w:t>;</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2</w:t>
            </w:r>
            <w:r w:rsidRPr="00554E13">
              <w:rPr>
                <w:sz w:val="20"/>
                <w:lang w:eastAsia="nl-NL"/>
              </w:rPr>
              <w:tab/>
              <w:t xml:space="preserve">to study the sharing and compatibility issues between </w:t>
            </w:r>
            <w:bookmarkStart w:id="4" w:name="_Hlk24794679"/>
            <w:r w:rsidRPr="00554E13">
              <w:rPr>
                <w:sz w:val="20"/>
                <w:lang w:eastAsia="nl-NL"/>
              </w:rPr>
              <w:t>earth stations on aircraft</w:t>
            </w:r>
            <w:r w:rsidRPr="00554E13" w:rsidDel="00465848">
              <w:rPr>
                <w:sz w:val="20"/>
                <w:lang w:eastAsia="nl-NL"/>
              </w:rPr>
              <w:t xml:space="preserve"> </w:t>
            </w:r>
            <w:r w:rsidRPr="00554E13">
              <w:rPr>
                <w:sz w:val="20"/>
                <w:lang w:eastAsia="nl-NL"/>
              </w:rPr>
              <w:t xml:space="preserve">and vessels </w:t>
            </w:r>
            <w:bookmarkEnd w:id="4"/>
            <w:r w:rsidRPr="00554E13">
              <w:rPr>
                <w:sz w:val="20"/>
                <w:lang w:eastAsia="nl-NL"/>
              </w:rPr>
              <w:t xml:space="preserve">communicating with GSO space stations in the FSS and current and planned stations of existing services in </w:t>
            </w:r>
            <w:r w:rsidRPr="00554E13">
              <w:rPr>
                <w:i/>
                <w:sz w:val="20"/>
                <w:lang w:eastAsia="nl-NL"/>
              </w:rPr>
              <w:t>considering</w:t>
            </w:r>
            <w:r w:rsidRPr="00554E13">
              <w:rPr>
                <w:sz w:val="20"/>
                <w:lang w:eastAsia="nl-NL"/>
              </w:rPr>
              <w:t> </w:t>
            </w:r>
            <w:r w:rsidRPr="00554E13">
              <w:rPr>
                <w:i/>
                <w:sz w:val="20"/>
                <w:lang w:eastAsia="nl-NL"/>
              </w:rPr>
              <w:t xml:space="preserve">a) </w:t>
            </w:r>
            <w:r w:rsidRPr="00554E13">
              <w:rPr>
                <w:sz w:val="20"/>
                <w:lang w:eastAsia="nl-NL"/>
              </w:rPr>
              <w:t>as well as services in bands adjacent to those, to ensure protection of, and not impose undue constraints on, those services and their future development, taking into account the provisions of Appendix </w:t>
            </w:r>
            <w:r w:rsidRPr="00554E13">
              <w:rPr>
                <w:b/>
                <w:sz w:val="20"/>
                <w:lang w:eastAsia="nl-NL"/>
              </w:rPr>
              <w:t>30B</w:t>
            </w:r>
            <w:r w:rsidRPr="00554E13">
              <w:rPr>
                <w:sz w:val="20"/>
                <w:lang w:eastAsia="nl-NL"/>
              </w:rPr>
              <w:t>;</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3</w:t>
            </w:r>
            <w:r w:rsidRPr="00554E13">
              <w:rPr>
                <w:sz w:val="20"/>
                <w:lang w:eastAsia="nl-NL"/>
              </w:rPr>
              <w:tab/>
              <w:t>to study the responsibility of the entities involved in the operation of the earth stations on aircraft</w:t>
            </w:r>
            <w:r w:rsidRPr="00554E13" w:rsidDel="00465848">
              <w:rPr>
                <w:sz w:val="20"/>
                <w:lang w:eastAsia="nl-NL"/>
              </w:rPr>
              <w:t xml:space="preserve"> </w:t>
            </w:r>
            <w:r w:rsidRPr="00554E13">
              <w:rPr>
                <w:sz w:val="20"/>
                <w:lang w:eastAsia="nl-NL"/>
              </w:rPr>
              <w:t>and vessels in this Resolution;</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3</w:t>
            </w:r>
            <w:r w:rsidRPr="00554E13">
              <w:rPr>
                <w:i/>
                <w:iCs/>
                <w:sz w:val="20"/>
                <w:lang w:eastAsia="nl-NL"/>
              </w:rPr>
              <w:t>bis</w:t>
            </w:r>
            <w:r w:rsidRPr="00554E13">
              <w:rPr>
                <w:sz w:val="20"/>
                <w:lang w:eastAsia="nl-NL"/>
              </w:rPr>
              <w:tab/>
              <w:t>to develop the criteria to ensure that earth stations on aircraft and vessels as a new application of FSS in this frequency band shall not claim more protection or cause more interference than filed earth stations in Appendix </w:t>
            </w:r>
            <w:r w:rsidRPr="00554E13">
              <w:rPr>
                <w:b/>
                <w:sz w:val="20"/>
                <w:lang w:eastAsia="nl-NL"/>
              </w:rPr>
              <w:t>30B</w:t>
            </w:r>
            <w:r w:rsidRPr="00554E13">
              <w:rPr>
                <w:sz w:val="20"/>
                <w:lang w:eastAsia="nl-NL"/>
              </w:rPr>
              <w:t>;</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4</w:t>
            </w:r>
            <w:r w:rsidRPr="00554E13">
              <w:rPr>
                <w:sz w:val="20"/>
                <w:lang w:eastAsia="nl-NL"/>
              </w:rPr>
              <w:tab/>
              <w:t xml:space="preserve">to develop the technical conditions and regulatory provisions for the harmonized operation of earth stations on aircraft and vessels communicating with GSO space stations in the FSS operating in the frequency band 12.75-13.25 GHz (Earth-to-space), considering the </w:t>
            </w:r>
            <w:r w:rsidRPr="00554E13">
              <w:rPr>
                <w:sz w:val="20"/>
                <w:lang w:eastAsia="nl-NL"/>
              </w:rPr>
              <w:lastRenderedPageBreak/>
              <w:t xml:space="preserve">results of the studies outlined in </w:t>
            </w:r>
            <w:r w:rsidRPr="00554E13">
              <w:rPr>
                <w:i/>
                <w:iCs/>
                <w:sz w:val="20"/>
                <w:lang w:eastAsia="nl-NL"/>
              </w:rPr>
              <w:t>resolves to invite ITU</w:t>
            </w:r>
            <w:r w:rsidRPr="00554E13">
              <w:rPr>
                <w:i/>
                <w:iCs/>
                <w:sz w:val="20"/>
                <w:lang w:eastAsia="nl-NL"/>
              </w:rPr>
              <w:noBreakHyphen/>
              <w:t>R</w:t>
            </w:r>
            <w:r w:rsidRPr="00554E13">
              <w:rPr>
                <w:i/>
                <w:sz w:val="20"/>
                <w:lang w:eastAsia="nl-NL"/>
              </w:rPr>
              <w:t> </w:t>
            </w:r>
            <w:r w:rsidRPr="00554E13">
              <w:rPr>
                <w:sz w:val="20"/>
                <w:lang w:eastAsia="nl-NL"/>
              </w:rPr>
              <w:t>1 and 2, and in particular without affecting the Appendix </w:t>
            </w:r>
            <w:r w:rsidRPr="00554E13">
              <w:rPr>
                <w:b/>
                <w:sz w:val="20"/>
                <w:lang w:eastAsia="nl-NL"/>
              </w:rPr>
              <w:t xml:space="preserve">30B </w:t>
            </w:r>
            <w:r w:rsidRPr="00554E13">
              <w:rPr>
                <w:sz w:val="20"/>
                <w:lang w:eastAsia="nl-NL"/>
              </w:rPr>
              <w:t>Plan;</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5</w:t>
            </w:r>
            <w:r w:rsidRPr="00554E13">
              <w:rPr>
                <w:sz w:val="20"/>
                <w:lang w:eastAsia="nl-NL"/>
              </w:rPr>
              <w:tab/>
              <w:t>to ensure that the operation of earth stations on aircraft and vessels in the frequency band 12.75-13.25 GHz under Appendix </w:t>
            </w:r>
            <w:r w:rsidRPr="00554E13">
              <w:rPr>
                <w:b/>
                <w:sz w:val="20"/>
                <w:lang w:eastAsia="nl-NL"/>
              </w:rPr>
              <w:t>30B</w:t>
            </w:r>
            <w:r w:rsidRPr="00554E13">
              <w:rPr>
                <w:sz w:val="20"/>
                <w:lang w:eastAsia="nl-NL"/>
              </w:rPr>
              <w:t xml:space="preserve"> shall not adversely affect the criteria in </w:t>
            </w:r>
            <w:r w:rsidRPr="00554E13">
              <w:rPr>
                <w:i/>
                <w:sz w:val="20"/>
                <w:lang w:eastAsia="nl-NL"/>
              </w:rPr>
              <w:t>recognizing j)</w:t>
            </w:r>
            <w:r w:rsidRPr="00554E13">
              <w:rPr>
                <w:sz w:val="20"/>
                <w:lang w:eastAsia="nl-NL"/>
              </w:rPr>
              <w:t>, including the cumulative effect of multiple earth stations on aircraft and vessels;</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6</w:t>
            </w:r>
            <w:r w:rsidRPr="00554E13">
              <w:rPr>
                <w:sz w:val="20"/>
                <w:lang w:eastAsia="nl-NL"/>
              </w:rPr>
              <w:tab/>
              <w:t>to ensure that the use of the frequency band 12.75-13.25 GHz (Earth-to-space) by earth stations on aircraft and vessels shall not limit the access of other administrations to their national resources in Appendix </w:t>
            </w:r>
            <w:r w:rsidRPr="00554E13">
              <w:rPr>
                <w:b/>
                <w:sz w:val="20"/>
                <w:lang w:eastAsia="nl-NL"/>
              </w:rPr>
              <w:t>30B</w:t>
            </w:r>
            <w:r w:rsidRPr="00554E13">
              <w:rPr>
                <w:sz w:val="20"/>
                <w:lang w:eastAsia="nl-NL"/>
              </w:rPr>
              <w:t xml:space="preserve"> as well as implementation of Resolution </w:t>
            </w:r>
            <w:r w:rsidRPr="00554E13">
              <w:rPr>
                <w:b/>
                <w:bCs/>
                <w:sz w:val="20"/>
                <w:lang w:eastAsia="nl-NL"/>
              </w:rPr>
              <w:t>170</w:t>
            </w:r>
            <w:r w:rsidRPr="00554E13">
              <w:rPr>
                <w:sz w:val="20"/>
                <w:lang w:eastAsia="nl-NL"/>
              </w:rPr>
              <w:t xml:space="preserve"> </w:t>
            </w:r>
            <w:r w:rsidRPr="00554E13">
              <w:rPr>
                <w:b/>
                <w:sz w:val="20"/>
                <w:lang w:eastAsia="nl-NL"/>
              </w:rPr>
              <w:t>(WRC</w:t>
            </w:r>
            <w:r w:rsidRPr="00554E13">
              <w:rPr>
                <w:b/>
                <w:sz w:val="20"/>
                <w:lang w:eastAsia="nl-NL"/>
              </w:rPr>
              <w:noBreakHyphen/>
              <w:t>19)</w:t>
            </w:r>
            <w:r w:rsidRPr="00554E13">
              <w:rPr>
                <w:bCs/>
                <w:sz w:val="20"/>
                <w:lang w:eastAsia="nl-NL"/>
              </w:rPr>
              <w:t>;</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7</w:t>
            </w:r>
            <w:r w:rsidRPr="00554E13">
              <w:rPr>
                <w:sz w:val="20"/>
                <w:lang w:eastAsia="nl-NL"/>
              </w:rPr>
              <w:tab/>
              <w:t>to ensure that the use of earth stations on aircraft and vessels in this Resolution would not result in any additional status than the GSO network with which these stations communicate;</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8</w:t>
            </w:r>
            <w:r w:rsidRPr="00554E13">
              <w:rPr>
                <w:sz w:val="20"/>
                <w:lang w:eastAsia="nl-NL"/>
              </w:rPr>
              <w:tab/>
              <w:t>to ensure that the results of ITU</w:t>
            </w:r>
            <w:r w:rsidRPr="00554E13">
              <w:rPr>
                <w:sz w:val="20"/>
                <w:lang w:eastAsia="nl-NL"/>
              </w:rPr>
              <w:noBreakHyphen/>
              <w:t>R studies are agreed by Member States taking into account the required consensus on this matter;</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9</w:t>
            </w:r>
            <w:r w:rsidRPr="00554E13">
              <w:rPr>
                <w:sz w:val="20"/>
                <w:lang w:eastAsia="nl-NL"/>
              </w:rPr>
              <w:tab/>
              <w:t>to complete studies in time for WRC</w:t>
            </w:r>
            <w:r w:rsidRPr="00554E13">
              <w:rPr>
                <w:sz w:val="20"/>
                <w:lang w:eastAsia="nl-NL"/>
              </w:rPr>
              <w:noBreakHyphen/>
              <w:t>23,</w:t>
            </w:r>
          </w:p>
          <w:p w:rsidR="00F64D7C" w:rsidRPr="00554E13" w:rsidRDefault="00F64D7C" w:rsidP="00F64D7C">
            <w:pPr>
              <w:keepNext/>
              <w:keepLines/>
              <w:spacing w:before="40" w:after="40"/>
              <w:ind w:left="794"/>
              <w:rPr>
                <w:i/>
                <w:iCs/>
                <w:sz w:val="20"/>
              </w:rPr>
            </w:pPr>
            <w:r w:rsidRPr="00554E13">
              <w:rPr>
                <w:i/>
                <w:iCs/>
                <w:sz w:val="20"/>
              </w:rPr>
              <w:t>further resolves</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that earth stations on aircraft and vessels addressed by this Resolution:</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i/>
                <w:sz w:val="20"/>
                <w:lang w:eastAsia="nl-NL"/>
              </w:rPr>
              <w:br w:type="page"/>
              <w:t>a)</w:t>
            </w:r>
            <w:r w:rsidRPr="00554E13">
              <w:rPr>
                <w:sz w:val="20"/>
                <w:lang w:eastAsia="nl-NL"/>
              </w:rPr>
              <w:tab/>
              <w:t>shall not be used or relied upon for safety-of-life applications;</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i/>
                <w:sz w:val="20"/>
                <w:lang w:eastAsia="nl-NL"/>
              </w:rPr>
              <w:t>b)</w:t>
            </w:r>
            <w:r w:rsidRPr="00554E13">
              <w:rPr>
                <w:sz w:val="20"/>
                <w:lang w:eastAsia="nl-NL"/>
              </w:rPr>
              <w:tab/>
              <w:t>shall not result in changes or restrictions to the existing Plan allotments and List assignments made under the Appendix </w:t>
            </w:r>
            <w:r w:rsidRPr="00554E13">
              <w:rPr>
                <w:b/>
                <w:sz w:val="20"/>
                <w:lang w:eastAsia="nl-NL"/>
              </w:rPr>
              <w:t>30B</w:t>
            </w:r>
            <w:r w:rsidRPr="00554E13">
              <w:rPr>
                <w:sz w:val="20"/>
                <w:lang w:eastAsia="nl-NL"/>
              </w:rPr>
              <w:t>, and their future development,</w:t>
            </w:r>
          </w:p>
          <w:p w:rsidR="00F64D7C" w:rsidRPr="00554E13" w:rsidRDefault="00F64D7C" w:rsidP="00F64D7C">
            <w:pPr>
              <w:keepNext/>
              <w:keepLines/>
              <w:spacing w:before="40" w:after="40"/>
              <w:ind w:left="794"/>
              <w:rPr>
                <w:i/>
                <w:iCs/>
                <w:sz w:val="20"/>
              </w:rPr>
            </w:pPr>
            <w:r w:rsidRPr="00554E13">
              <w:rPr>
                <w:i/>
                <w:iCs/>
                <w:sz w:val="20"/>
              </w:rPr>
              <w:t>resolves to invite WRC</w:t>
            </w:r>
            <w:r w:rsidRPr="00554E13">
              <w:rPr>
                <w:i/>
                <w:iCs/>
                <w:sz w:val="20"/>
              </w:rPr>
              <w:noBreakHyphen/>
              <w:t>23</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 xml:space="preserve">to consider the results of the above studies in </w:t>
            </w:r>
            <w:r w:rsidRPr="00554E13">
              <w:rPr>
                <w:i/>
                <w:iCs/>
                <w:sz w:val="20"/>
                <w:lang w:eastAsia="nl-NL"/>
              </w:rPr>
              <w:t>resolves to invite ITU</w:t>
            </w:r>
            <w:r w:rsidRPr="00554E13">
              <w:rPr>
                <w:i/>
                <w:iCs/>
                <w:sz w:val="20"/>
                <w:lang w:eastAsia="nl-NL"/>
              </w:rPr>
              <w:noBreakHyphen/>
              <w:t>R</w:t>
            </w:r>
            <w:r w:rsidRPr="00554E13">
              <w:rPr>
                <w:sz w:val="20"/>
                <w:lang w:eastAsia="nl-NL"/>
              </w:rPr>
              <w:t xml:space="preserve"> and take necessary actions, as appropriate,</w:t>
            </w:r>
          </w:p>
          <w:p w:rsidR="00F64D7C" w:rsidRPr="00554E13" w:rsidRDefault="00F64D7C" w:rsidP="00F64D7C">
            <w:pPr>
              <w:keepNext/>
              <w:keepLines/>
              <w:spacing w:before="40" w:after="40"/>
              <w:ind w:left="794"/>
              <w:rPr>
                <w:i/>
                <w:iCs/>
                <w:sz w:val="20"/>
              </w:rPr>
            </w:pPr>
            <w:r w:rsidRPr="00554E13">
              <w:rPr>
                <w:i/>
                <w:iCs/>
                <w:sz w:val="20"/>
              </w:rPr>
              <w:t>invites administrations</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proofErr w:type="gramStart"/>
            <w:r w:rsidRPr="00554E13">
              <w:rPr>
                <w:sz w:val="20"/>
                <w:lang w:eastAsia="nl-NL"/>
              </w:rPr>
              <w:t>to</w:t>
            </w:r>
            <w:proofErr w:type="gramEnd"/>
            <w:r w:rsidRPr="00554E13">
              <w:rPr>
                <w:sz w:val="20"/>
                <w:lang w:eastAsia="nl-NL"/>
              </w:rPr>
              <w:t xml:space="preserve"> participate actively in the studies by submitting contributions to ITU</w:t>
            </w:r>
            <w:r w:rsidRPr="00554E13">
              <w:rPr>
                <w:sz w:val="20"/>
                <w:lang w:eastAsia="nl-NL"/>
              </w:rPr>
              <w:noBreakHyphen/>
              <w:t>R.</w:t>
            </w:r>
          </w:p>
        </w:tc>
        <w:tc>
          <w:tcPr>
            <w:tcW w:w="1432" w:type="dxa"/>
            <w:gridSpan w:val="2"/>
          </w:tcPr>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b/>
                <w:bCs/>
                <w:sz w:val="20"/>
                <w:lang w:eastAsia="nl-NL"/>
              </w:rPr>
              <w:lastRenderedPageBreak/>
              <w:t xml:space="preserve">WP 3M, WP 5A, WP 5B, </w:t>
            </w:r>
            <w:r w:rsidRPr="00554E13">
              <w:rPr>
                <w:b/>
                <w:bCs/>
                <w:sz w:val="20"/>
                <w:lang w:eastAsia="nl-NL"/>
              </w:rPr>
              <w:br/>
              <w:t>WP 5C</w:t>
            </w:r>
          </w:p>
        </w:tc>
      </w:tr>
      <w:tr w:rsidR="00F64D7C" w:rsidRPr="00554E13" w:rsidTr="00827744">
        <w:trPr>
          <w:cantSplit/>
          <w:jc w:val="center"/>
        </w:trPr>
        <w:tc>
          <w:tcPr>
            <w:tcW w:w="14078" w:type="dxa"/>
            <w:gridSpan w:val="5"/>
          </w:tcPr>
          <w:p w:rsidR="00F64D7C" w:rsidRPr="00554E13" w:rsidRDefault="00F64D7C" w:rsidP="00F64D7C">
            <w:pPr>
              <w:keepNext/>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rFonts w:eastAsia="MS Mincho"/>
                <w:kern w:val="2"/>
                <w:sz w:val="20"/>
                <w:lang w:eastAsia="ja-JP"/>
              </w:rPr>
              <w:lastRenderedPageBreak/>
              <w:t>1.16</w:t>
            </w:r>
            <w:r w:rsidRPr="00554E13">
              <w:rPr>
                <w:rFonts w:eastAsia="SimSun"/>
                <w:sz w:val="20"/>
                <w:lang w:eastAsia="nl-NL"/>
              </w:rPr>
              <w:tab/>
              <w:t>to study and develop technical, operational and regulatory measures, as appropriate, to facilitate the use of the frequency bands 17.7-18.6 GHz and 18.8</w:t>
            </w:r>
            <w:r w:rsidRPr="00554E13">
              <w:rPr>
                <w:rFonts w:eastAsia="SimSun"/>
                <w:sz w:val="20"/>
                <w:lang w:eastAsia="nl-NL"/>
              </w:rPr>
              <w:noBreakHyphen/>
              <w:t xml:space="preserve">19.3 GHz and 19.7-20.2 GHz (space-to-Earth) and 27.5-29.1 GHz and 29.5-30 GHz (Earth-to-space) by non-GSO FSS earth stations in motion, while ensuring due protection of existing services in those frequency bands, in accordance with Resolution </w:t>
            </w:r>
            <w:r w:rsidRPr="00554E13">
              <w:rPr>
                <w:rFonts w:eastAsia="SimSun"/>
                <w:b/>
                <w:bCs/>
                <w:sz w:val="20"/>
                <w:lang w:eastAsia="nl-NL"/>
              </w:rPr>
              <w:t>173</w:t>
            </w:r>
            <w:r w:rsidRPr="00554E13">
              <w:rPr>
                <w:rFonts w:eastAsia="SimSun"/>
                <w:sz w:val="20"/>
                <w:lang w:eastAsia="nl-NL"/>
              </w:rPr>
              <w:t> </w:t>
            </w:r>
            <w:r w:rsidRPr="00554E13">
              <w:rPr>
                <w:rFonts w:eastAsia="SimSun"/>
                <w:b/>
                <w:bCs/>
                <w:sz w:val="20"/>
                <w:lang w:eastAsia="nl-NL"/>
              </w:rPr>
              <w:t>(WRC</w:t>
            </w:r>
            <w:r w:rsidRPr="00554E13">
              <w:rPr>
                <w:rFonts w:eastAsia="SimSun"/>
                <w:b/>
                <w:bCs/>
                <w:sz w:val="20"/>
                <w:lang w:eastAsia="nl-NL"/>
              </w:rPr>
              <w:noBreakHyphen/>
              <w:t>19)</w:t>
            </w:r>
            <w:r w:rsidRPr="00554E13">
              <w:rPr>
                <w:rFonts w:eastAsia="SimSun"/>
                <w:sz w:val="20"/>
                <w:lang w:eastAsia="nl-NL"/>
              </w:rPr>
              <w:t>;</w:t>
            </w:r>
          </w:p>
        </w:tc>
      </w:tr>
      <w:tr w:rsidR="00F64D7C" w:rsidRPr="00F64D7C" w:rsidTr="00827744">
        <w:trPr>
          <w:jc w:val="center"/>
        </w:trPr>
        <w:tc>
          <w:tcPr>
            <w:tcW w:w="3413" w:type="dxa"/>
          </w:tcPr>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sz w:val="20"/>
                <w:lang w:eastAsia="nl-NL"/>
              </w:rPr>
            </w:pPr>
            <w:r w:rsidRPr="00554E13">
              <w:rPr>
                <w:sz w:val="20"/>
                <w:lang w:eastAsia="nl-NL"/>
              </w:rPr>
              <w:t>Resolution</w:t>
            </w:r>
            <w:r w:rsidRPr="00554E13">
              <w:rPr>
                <w:b/>
                <w:sz w:val="20"/>
                <w:lang w:eastAsia="nl-NL"/>
              </w:rPr>
              <w:t> 173 (WRC</w:t>
            </w:r>
            <w:r w:rsidRPr="00554E13">
              <w:rPr>
                <w:b/>
                <w:sz w:val="20"/>
                <w:lang w:eastAsia="nl-NL"/>
              </w:rPr>
              <w:noBreakHyphen/>
              <w:t>19)</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eastAsia="nl-NL"/>
              </w:rPr>
            </w:pPr>
            <w:r w:rsidRPr="00554E13">
              <w:rPr>
                <w:sz w:val="20"/>
                <w:lang w:eastAsia="nl-NL"/>
              </w:rPr>
              <w:t>Use of the frequency bands 17.7</w:t>
            </w:r>
            <w:r w:rsidRPr="00554E13">
              <w:rPr>
                <w:sz w:val="20"/>
                <w:lang w:eastAsia="nl-NL"/>
              </w:rPr>
              <w:noBreakHyphen/>
              <w:t>18.6 GHz and 18.8-19.3 GHz and 19.7-20.2 GHz (space-to-Earth) and 27.5-29.1 GHz and 29.5-30 GHz (Earth-to-space) by earth stations in motion communicating with non-geostationary space stations in the fixed-satellite service</w:t>
            </w:r>
          </w:p>
        </w:tc>
        <w:tc>
          <w:tcPr>
            <w:tcW w:w="1569" w:type="dxa"/>
          </w:tcPr>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b/>
                <w:bCs/>
                <w:sz w:val="20"/>
                <w:lang w:eastAsia="nl-NL"/>
              </w:rPr>
              <w:t>WP 4A</w:t>
            </w:r>
          </w:p>
        </w:tc>
        <w:tc>
          <w:tcPr>
            <w:tcW w:w="7664" w:type="dxa"/>
          </w:tcPr>
          <w:p w:rsidR="00F64D7C" w:rsidRPr="00554E13" w:rsidRDefault="00F64D7C" w:rsidP="00F64D7C">
            <w:pPr>
              <w:keepNext/>
              <w:keepLines/>
              <w:spacing w:before="40" w:after="40"/>
              <w:ind w:left="794"/>
              <w:jc w:val="left"/>
              <w:rPr>
                <w:i/>
                <w:iCs/>
                <w:sz w:val="20"/>
              </w:rPr>
            </w:pPr>
            <w:r w:rsidRPr="00554E13">
              <w:rPr>
                <w:i/>
                <w:iCs/>
                <w:sz w:val="20"/>
              </w:rPr>
              <w:t>resolves to invite ITU-R</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1</w:t>
            </w:r>
            <w:r w:rsidRPr="00554E13">
              <w:rPr>
                <w:iCs/>
                <w:sz w:val="20"/>
                <w:lang w:eastAsia="nl-NL"/>
              </w:rPr>
              <w:tab/>
            </w:r>
            <w:r w:rsidRPr="00554E13">
              <w:rPr>
                <w:sz w:val="20"/>
                <w:lang w:eastAsia="nl-NL"/>
              </w:rPr>
              <w:t>to study the technical and operational characteristics and user requirements of the different types of earth stations in motion that plan to operate within non-GSO FSS systems in the frequency bands 17.7-18.6 GHz and 18.8-19.3 GHz and 19.7-20.2 GHz (space-to-Earth) and 27.5</w:t>
            </w:r>
            <w:r w:rsidRPr="00554E13">
              <w:rPr>
                <w:sz w:val="20"/>
                <w:lang w:eastAsia="nl-NL"/>
              </w:rPr>
              <w:noBreakHyphen/>
              <w:t>29.1 GHz and 29.5-30 GHz (Earth-to-space), or parts thereof;</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br w:type="page"/>
              <w:t>2</w:t>
            </w:r>
            <w:r w:rsidRPr="00554E13">
              <w:rPr>
                <w:sz w:val="20"/>
                <w:lang w:eastAsia="nl-NL"/>
              </w:rPr>
              <w:tab/>
              <w:t>to study sharing and compatibility between earth stations in motion operating with non-GSO FSS systems and current and planned stations of primary services allocated in the frequency bands 17.7-18.6 GHz and 18.8-19.3 GHz and 19.7-20.2 GHz (space-to-Earth) and 27.5-29.1 GHz and 29.5</w:t>
            </w:r>
            <w:r w:rsidRPr="00554E13">
              <w:rPr>
                <w:sz w:val="20"/>
                <w:lang w:eastAsia="nl-NL"/>
              </w:rPr>
              <w:noBreakHyphen/>
              <w:t>30 GHz (Earth-to-space), or parts thereof, to ensure protection of, and not impose additional constraints on, GSO systems and other services, including terrestrial services, in those frequency bands and in adjacent bands, including passive services;</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3</w:t>
            </w:r>
            <w:r w:rsidRPr="00554E13">
              <w:rPr>
                <w:iCs/>
                <w:sz w:val="20"/>
                <w:lang w:eastAsia="nl-NL"/>
              </w:rPr>
              <w:tab/>
            </w:r>
            <w:r w:rsidRPr="00554E13">
              <w:rPr>
                <w:sz w:val="20"/>
                <w:lang w:eastAsia="nl-NL"/>
              </w:rPr>
              <w:t xml:space="preserve">to develop the technical and regulatory provisions for the operation of aeronautical and maritime earth stations in motion with non-GSO FSS systems, taking into account the results of studies under </w:t>
            </w:r>
            <w:r w:rsidRPr="00554E13">
              <w:rPr>
                <w:i/>
                <w:iCs/>
                <w:sz w:val="20"/>
                <w:lang w:eastAsia="nl-NL"/>
              </w:rPr>
              <w:t>resolves to invite ITU-R</w:t>
            </w:r>
            <w:r w:rsidRPr="00554E13">
              <w:rPr>
                <w:sz w:val="20"/>
                <w:lang w:eastAsia="nl-NL"/>
              </w:rPr>
              <w:t> 1 and 2;</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4</w:t>
            </w:r>
            <w:r w:rsidRPr="00554E13">
              <w:rPr>
                <w:iCs/>
                <w:sz w:val="20"/>
                <w:lang w:eastAsia="nl-NL"/>
              </w:rPr>
              <w:tab/>
            </w:r>
            <w:r w:rsidRPr="00554E13">
              <w:rPr>
                <w:sz w:val="20"/>
                <w:lang w:eastAsia="nl-NL"/>
              </w:rPr>
              <w:t>to ensure that the technical and operational measures and the possible regulatory changes established in accordance with this Resolution shall not affect the relevant provisions related to the protection of GSO networks from non-GSO FSS systems;</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5</w:t>
            </w:r>
            <w:r w:rsidRPr="00554E13">
              <w:rPr>
                <w:sz w:val="20"/>
                <w:lang w:eastAsia="nl-NL"/>
              </w:rPr>
              <w:tab/>
              <w:t>to ensure that the results of ITU</w:t>
            </w:r>
            <w:r w:rsidRPr="00554E13">
              <w:rPr>
                <w:sz w:val="20"/>
                <w:lang w:eastAsia="nl-NL"/>
              </w:rPr>
              <w:noBreakHyphen/>
              <w:t>R studies are agreed by Member States by consensus;</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eastAsia="nl-NL"/>
              </w:rPr>
            </w:pPr>
            <w:r w:rsidRPr="00554E13">
              <w:rPr>
                <w:sz w:val="20"/>
                <w:lang w:eastAsia="nl-NL"/>
              </w:rPr>
              <w:t>6</w:t>
            </w:r>
            <w:r w:rsidRPr="00554E13">
              <w:rPr>
                <w:sz w:val="20"/>
                <w:lang w:eastAsia="nl-NL"/>
              </w:rPr>
              <w:tab/>
              <w:t>to complete studies in time for WRC</w:t>
            </w:r>
            <w:r w:rsidRPr="00554E13">
              <w:rPr>
                <w:sz w:val="20"/>
                <w:lang w:eastAsia="nl-NL"/>
              </w:rPr>
              <w:noBreakHyphen/>
              <w:t>23,</w:t>
            </w:r>
          </w:p>
          <w:p w:rsidR="00F64D7C" w:rsidRPr="00554E13" w:rsidRDefault="00F64D7C" w:rsidP="00F64D7C">
            <w:pPr>
              <w:keepNext/>
              <w:keepLines/>
              <w:spacing w:before="40" w:after="40"/>
              <w:ind w:left="794"/>
              <w:rPr>
                <w:i/>
                <w:iCs/>
                <w:sz w:val="20"/>
              </w:rPr>
            </w:pPr>
            <w:r w:rsidRPr="00554E13">
              <w:rPr>
                <w:i/>
                <w:iCs/>
                <w:sz w:val="20"/>
              </w:rPr>
              <w:t>resolves to invite WRC</w:t>
            </w:r>
            <w:r w:rsidRPr="00554E13">
              <w:rPr>
                <w:i/>
                <w:iCs/>
                <w:sz w:val="20"/>
              </w:rPr>
              <w:noBreakHyphen/>
              <w:t>23</w:t>
            </w:r>
          </w:p>
          <w:p w:rsidR="00F64D7C" w:rsidRPr="00554E13"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eastAsia="nl-NL"/>
              </w:rPr>
            </w:pPr>
            <w:proofErr w:type="gramStart"/>
            <w:r w:rsidRPr="00554E13">
              <w:rPr>
                <w:sz w:val="20"/>
                <w:lang w:eastAsia="nl-NL"/>
              </w:rPr>
              <w:t>to</w:t>
            </w:r>
            <w:proofErr w:type="gramEnd"/>
            <w:r w:rsidRPr="00554E13">
              <w:rPr>
                <w:sz w:val="20"/>
                <w:lang w:eastAsia="nl-NL"/>
              </w:rPr>
              <w:t xml:space="preserve"> review the results of these studies and take appropriate action.</w:t>
            </w:r>
          </w:p>
        </w:tc>
        <w:tc>
          <w:tcPr>
            <w:tcW w:w="1432" w:type="dxa"/>
            <w:gridSpan w:val="2"/>
          </w:tcPr>
          <w:p w:rsidR="00F64D7C" w:rsidRPr="00F64D7C" w:rsidRDefault="00F64D7C" w:rsidP="00F64D7C">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554E13">
              <w:rPr>
                <w:b/>
                <w:bCs/>
                <w:sz w:val="20"/>
                <w:lang w:eastAsia="nl-NL"/>
              </w:rPr>
              <w:t xml:space="preserve">WP 3M, WP 4C, WP 5A, WP 5B, WP 5C, </w:t>
            </w:r>
            <w:r w:rsidRPr="00554E13">
              <w:rPr>
                <w:b/>
                <w:bCs/>
                <w:sz w:val="20"/>
                <w:lang w:eastAsia="nl-NL"/>
              </w:rPr>
              <w:br/>
              <w:t>WP 7B</w:t>
            </w:r>
          </w:p>
        </w:tc>
      </w:tr>
    </w:tbl>
    <w:p w:rsidR="00F64D7C" w:rsidRPr="00F64D7C" w:rsidRDefault="00F64D7C" w:rsidP="00F64D7C">
      <w:pPr>
        <w:spacing w:line="240" w:lineRule="auto"/>
        <w:rPr>
          <w:sz w:val="23"/>
          <w:szCs w:val="23"/>
        </w:rPr>
      </w:pPr>
    </w:p>
    <w:p w:rsidR="00031E64" w:rsidRPr="00F64D7C" w:rsidRDefault="00222800" w:rsidP="00222800">
      <w:pPr>
        <w:jc w:val="center"/>
        <w:rPr>
          <w:rFonts w:asciiTheme="minorHAnsi" w:hAnsiTheme="minorHAnsi" w:cstheme="minorHAnsi"/>
          <w:szCs w:val="24"/>
        </w:rPr>
      </w:pPr>
      <w:r>
        <w:rPr>
          <w:rFonts w:asciiTheme="minorHAnsi" w:hAnsiTheme="minorHAnsi" w:cstheme="minorHAnsi"/>
          <w:szCs w:val="24"/>
        </w:rPr>
        <w:t>______________</w:t>
      </w:r>
    </w:p>
    <w:sectPr w:rsidR="00031E64" w:rsidRPr="00F64D7C" w:rsidSect="00693693">
      <w:pgSz w:w="16834" w:h="11907" w:orient="landscape" w:code="9"/>
      <w:pgMar w:top="1134"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6E" w:rsidRDefault="00941E6E">
      <w:r>
        <w:separator/>
      </w:r>
    </w:p>
  </w:endnote>
  <w:endnote w:type="continuationSeparator" w:id="0">
    <w:p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Yu Gothic UI"/>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E" w:rsidRPr="009B2EC3" w:rsidRDefault="00941E6E" w:rsidP="00941E6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t>Tel: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p w:rsidR="00AD4554" w:rsidRPr="00941E6E" w:rsidRDefault="00AD4554" w:rsidP="0094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6E" w:rsidRDefault="00941E6E">
      <w:r>
        <w:t>____________________</w:t>
      </w:r>
    </w:p>
  </w:footnote>
  <w:footnote w:type="continuationSeparator" w:id="0">
    <w:p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B" w:rsidRPr="00FC6F6B" w:rsidRDefault="006231F4" w:rsidP="00687E8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43B3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687E8D" w:rsidRDefault="00687E8D" w:rsidP="00687E8D">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43B3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gridCol w:w="1072"/>
    </w:tblGrid>
    <w:tr w:rsidR="00A52F57" w:rsidTr="00941E6E">
      <w:tc>
        <w:tcPr>
          <w:tcW w:w="9690" w:type="dxa"/>
          <w:noWrap/>
          <w:tcMar>
            <w:left w:w="0" w:type="dxa"/>
          </w:tcMar>
        </w:tcPr>
        <w:p w:rsidR="00A52F57" w:rsidRDefault="00941E6E" w:rsidP="00941E6E">
          <w:pPr>
            <w:pStyle w:val="Header"/>
            <w:spacing w:before="120" w:line="360" w:lineRule="auto"/>
            <w:jc w:val="center"/>
          </w:pPr>
          <w:r>
            <w:rPr>
              <w:noProof/>
              <w:lang w:val="en-GB" w:eastAsia="en-GB"/>
            </w:rPr>
            <w:drawing>
              <wp:inline distT="0" distB="0" distL="0" distR="0" wp14:anchorId="6640150E" wp14:editId="4374989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1072" w:type="dxa"/>
          <w:noWrap/>
        </w:tcPr>
        <w:p w:rsidR="00A52F57" w:rsidRDefault="00A52F57" w:rsidP="00941E6E">
          <w:pPr>
            <w:pStyle w:val="Header"/>
            <w:spacing w:before="240" w:line="360" w:lineRule="auto"/>
            <w:ind w:left="4100"/>
            <w:jc w:val="right"/>
          </w:pPr>
        </w:p>
      </w:tc>
    </w:tr>
  </w:tbl>
  <w:p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48814E9"/>
    <w:multiLevelType w:val="hybridMultilevel"/>
    <w:tmpl w:val="70FE3DC8"/>
    <w:lvl w:ilvl="0" w:tplc="5F9EA1D8">
      <w:start w:val="2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25681"/>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280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54E13"/>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87E8D"/>
    <w:rsid w:val="006A1921"/>
    <w:rsid w:val="006A518B"/>
    <w:rsid w:val="006B0590"/>
    <w:rsid w:val="006B49DA"/>
    <w:rsid w:val="006B4C75"/>
    <w:rsid w:val="006C53F8"/>
    <w:rsid w:val="006C7CDE"/>
    <w:rsid w:val="00714B22"/>
    <w:rsid w:val="007234B1"/>
    <w:rsid w:val="00723D08"/>
    <w:rsid w:val="00725FDA"/>
    <w:rsid w:val="00727816"/>
    <w:rsid w:val="00730B9A"/>
    <w:rsid w:val="007466A6"/>
    <w:rsid w:val="00750CFA"/>
    <w:rsid w:val="007553DA"/>
    <w:rsid w:val="00782354"/>
    <w:rsid w:val="007921A7"/>
    <w:rsid w:val="007B3DB1"/>
    <w:rsid w:val="007C2C76"/>
    <w:rsid w:val="007C4AB2"/>
    <w:rsid w:val="007D183E"/>
    <w:rsid w:val="007D43D0"/>
    <w:rsid w:val="007E1833"/>
    <w:rsid w:val="007E3F13"/>
    <w:rsid w:val="007F751A"/>
    <w:rsid w:val="00800012"/>
    <w:rsid w:val="0080261F"/>
    <w:rsid w:val="00806160"/>
    <w:rsid w:val="008143A4"/>
    <w:rsid w:val="0081513E"/>
    <w:rsid w:val="00843B3F"/>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4815"/>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2FB8"/>
    <w:rsid w:val="00CA3F44"/>
    <w:rsid w:val="00CA4E58"/>
    <w:rsid w:val="00CB3771"/>
    <w:rsid w:val="00CB44BF"/>
    <w:rsid w:val="00CB5153"/>
    <w:rsid w:val="00CB55EA"/>
    <w:rsid w:val="00CD4E44"/>
    <w:rsid w:val="00CE076A"/>
    <w:rsid w:val="00CE463D"/>
    <w:rsid w:val="00D01719"/>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05AFF"/>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1B5"/>
    <w:rsid w:val="00EC02FE"/>
    <w:rsid w:val="00EC4A96"/>
    <w:rsid w:val="00F37FA4"/>
    <w:rsid w:val="00F424BF"/>
    <w:rsid w:val="00F44FC3"/>
    <w:rsid w:val="00F46107"/>
    <w:rsid w:val="00F468C5"/>
    <w:rsid w:val="00F52F39"/>
    <w:rsid w:val="00F6184F"/>
    <w:rsid w:val="00F64D7C"/>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AnnexNotitle0">
    <w:name w:val="Annex_No &amp; title"/>
    <w:basedOn w:val="Normal"/>
    <w:next w:val="Normal"/>
    <w:uiPriority w:val="99"/>
    <w:rsid w:val="00E05AFF"/>
    <w:pPr>
      <w:keepNext/>
      <w:keepLines/>
      <w:spacing w:before="480" w:line="240" w:lineRule="auto"/>
      <w:jc w:val="center"/>
    </w:pPr>
    <w:rPr>
      <w:rFonts w:ascii="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C744-CEBB-454A-902E-592FBC06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1428</Words>
  <Characters>7674</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Soto Romero, Alicia</cp:lastModifiedBy>
  <cp:revision>13</cp:revision>
  <cp:lastPrinted>2020-01-22T09:43:00Z</cp:lastPrinted>
  <dcterms:created xsi:type="dcterms:W3CDTF">2020-01-20T10:40:00Z</dcterms:created>
  <dcterms:modified xsi:type="dcterms:W3CDTF">2020-01-28T13:19:00Z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