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04D56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Pr="00104D56" w:rsidRDefault="00E53DCE" w:rsidP="00C1378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104D56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3D2E292" w14:textId="77777777" w:rsidR="00E53DCE" w:rsidRPr="00104D56" w:rsidRDefault="00E53DCE" w:rsidP="00C1378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6C4AB1F6" w14:textId="77777777" w:rsidR="00E53DCE" w:rsidRPr="00104D56" w:rsidRDefault="00E53DCE" w:rsidP="00C1378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104D56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3F3060" w14:textId="26C386AD" w:rsidR="00950A78" w:rsidRPr="00104D56" w:rsidRDefault="00950A78" w:rsidP="00C1378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104D56">
              <w:rPr>
                <w:szCs w:val="24"/>
                <w:lang w:val="fr-FR"/>
              </w:rPr>
              <w:t>Addendum 2 à la</w:t>
            </w:r>
            <w:r w:rsidRPr="00104D56">
              <w:rPr>
                <w:szCs w:val="24"/>
                <w:lang w:val="fr-FR"/>
              </w:rPr>
              <w:br/>
              <w:t>Circulaire administrative</w:t>
            </w:r>
          </w:p>
          <w:p w14:paraId="6A7C2D81" w14:textId="0A2FB82F" w:rsidR="00E53DCE" w:rsidRPr="00104D56" w:rsidRDefault="00950A78" w:rsidP="00C1378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104D56">
              <w:rPr>
                <w:b/>
                <w:bCs/>
                <w:szCs w:val="24"/>
                <w:lang w:val="fr-FR"/>
              </w:rPr>
              <w:t>CA/251</w:t>
            </w:r>
          </w:p>
        </w:tc>
        <w:tc>
          <w:tcPr>
            <w:tcW w:w="2835" w:type="dxa"/>
            <w:shd w:val="clear" w:color="auto" w:fill="auto"/>
          </w:tcPr>
          <w:p w14:paraId="38EA9770" w14:textId="3E552B9F" w:rsidR="00E53DCE" w:rsidRPr="00104D56" w:rsidRDefault="00AA781A" w:rsidP="00C13786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C82A36">
              <w:rPr>
                <w:szCs w:val="24"/>
                <w:lang w:val="fr-FR"/>
              </w:rPr>
              <w:t xml:space="preserve">Le </w:t>
            </w:r>
            <w:r w:rsidR="00C82A36" w:rsidRPr="00C82A36">
              <w:rPr>
                <w:szCs w:val="24"/>
                <w:lang w:val="fr-FR"/>
              </w:rPr>
              <w:t>1</w:t>
            </w:r>
            <w:r w:rsidR="003F1651">
              <w:rPr>
                <w:szCs w:val="24"/>
                <w:lang w:val="fr-FR"/>
              </w:rPr>
              <w:t>6</w:t>
            </w:r>
            <w:r w:rsidR="00950A78" w:rsidRPr="00C82A36">
              <w:rPr>
                <w:rFonts w:cs="Arial"/>
                <w:szCs w:val="24"/>
                <w:lang w:val="fr-FR"/>
              </w:rPr>
              <w:t xml:space="preserve"> mai</w:t>
            </w:r>
            <w:r w:rsidR="00950A78" w:rsidRPr="00104D56">
              <w:rPr>
                <w:rFonts w:cs="Arial"/>
                <w:szCs w:val="24"/>
                <w:lang w:val="fr-FR"/>
              </w:rPr>
              <w:t xml:space="preserve"> 2022</w:t>
            </w:r>
          </w:p>
        </w:tc>
      </w:tr>
      <w:tr w:rsidR="00E53DCE" w:rsidRPr="00104D56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104D56" w:rsidRDefault="00E53DCE" w:rsidP="00C13786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104D56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104D56" w:rsidRDefault="00E53DCE" w:rsidP="00C1378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E62E2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E9B506" w14:textId="51B2CC05" w:rsidR="00E53DCE" w:rsidRPr="00104D56" w:rsidRDefault="00950A78" w:rsidP="00AB782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104D56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137AF5" w:rsidRPr="00104D56">
              <w:rPr>
                <w:b/>
                <w:bCs/>
                <w:szCs w:val="24"/>
                <w:lang w:val="fr-FR"/>
              </w:rPr>
              <w:t>É</w:t>
            </w:r>
            <w:r w:rsidRPr="00104D56">
              <w:rPr>
                <w:b/>
                <w:bCs/>
                <w:szCs w:val="24"/>
                <w:lang w:val="fr-FR"/>
              </w:rPr>
              <w:t>tats Membres de l</w:t>
            </w:r>
            <w:r w:rsidR="00F57205">
              <w:rPr>
                <w:b/>
                <w:bCs/>
                <w:szCs w:val="24"/>
                <w:lang w:val="fr-FR"/>
              </w:rPr>
              <w:t>'</w:t>
            </w:r>
            <w:r w:rsidRPr="00104D56">
              <w:rPr>
                <w:b/>
                <w:bCs/>
                <w:szCs w:val="24"/>
                <w:lang w:val="fr-FR"/>
              </w:rPr>
              <w:t>UIT et aux Membres du Secteur des</w:t>
            </w:r>
            <w:r w:rsidR="00137AF5" w:rsidRPr="00104D56">
              <w:rPr>
                <w:b/>
                <w:bCs/>
                <w:szCs w:val="24"/>
                <w:lang w:val="fr-FR"/>
              </w:rPr>
              <w:t xml:space="preserve"> </w:t>
            </w:r>
            <w:r w:rsidRPr="00104D56">
              <w:rPr>
                <w:b/>
                <w:bCs/>
                <w:szCs w:val="24"/>
                <w:lang w:val="fr-FR"/>
              </w:rPr>
              <w:t>radiocommunications</w:t>
            </w:r>
          </w:p>
        </w:tc>
      </w:tr>
      <w:tr w:rsidR="00E53DCE" w:rsidRPr="00CE62E2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104D56" w:rsidRDefault="00E53DCE" w:rsidP="00C1378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E62E2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104D56" w:rsidRDefault="00E53DCE" w:rsidP="00C1378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E62E2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104D56" w:rsidRDefault="003471C9" w:rsidP="00C1378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104D56">
              <w:rPr>
                <w:lang w:val="fr-FR"/>
              </w:rPr>
              <w:t>Objet</w:t>
            </w:r>
            <w:r w:rsidR="00E53DCE" w:rsidRPr="00104D56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33109BFE" w:rsidR="00E53DCE" w:rsidRPr="00104D56" w:rsidRDefault="00137AF5" w:rsidP="00C1378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104D56">
              <w:rPr>
                <w:b/>
                <w:bCs/>
                <w:szCs w:val="24"/>
                <w:lang w:val="fr-FR"/>
              </w:rPr>
              <w:t>Informations actualisées relatives à l</w:t>
            </w:r>
            <w:r w:rsidR="00F57205">
              <w:rPr>
                <w:b/>
                <w:bCs/>
                <w:szCs w:val="24"/>
                <w:lang w:val="fr-FR"/>
              </w:rPr>
              <w:t>'</w:t>
            </w:r>
            <w:r w:rsidRPr="00104D56">
              <w:rPr>
                <w:b/>
                <w:bCs/>
                <w:szCs w:val="24"/>
                <w:lang w:val="fr-FR"/>
              </w:rPr>
              <w:t>é</w:t>
            </w:r>
            <w:r w:rsidR="00950A78" w:rsidRPr="00104D56">
              <w:rPr>
                <w:b/>
                <w:bCs/>
                <w:szCs w:val="24"/>
                <w:lang w:val="fr-FR"/>
              </w:rPr>
              <w:t>laboration du projet de Rapport de la RPC à la CMR-23</w:t>
            </w:r>
          </w:p>
        </w:tc>
      </w:tr>
      <w:tr w:rsidR="00E53DCE" w:rsidRPr="00CE62E2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104D56" w:rsidRDefault="00E53DCE" w:rsidP="00C1378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104D56" w:rsidRDefault="00E53DCE" w:rsidP="00C1378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E62E2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104D56" w:rsidRDefault="00E53DCE" w:rsidP="00C1378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104D56" w:rsidRDefault="00E53DCE" w:rsidP="00C1378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04BEC4E8" w14:textId="7AF2BA3C" w:rsidR="00950A78" w:rsidRPr="00FF7B46" w:rsidRDefault="00137AF5" w:rsidP="00AB7825">
      <w:pPr>
        <w:spacing w:before="600" w:line="240" w:lineRule="auto"/>
        <w:rPr>
          <w:lang w:val="fr-FR"/>
        </w:rPr>
      </w:pPr>
      <w:bookmarkStart w:id="0" w:name="lt_pId022"/>
      <w:r w:rsidRPr="00FF7B46">
        <w:rPr>
          <w:lang w:val="fr-FR"/>
        </w:rPr>
        <w:t>Dans l</w:t>
      </w:r>
      <w:r w:rsidR="00F57205" w:rsidRPr="00FF7B46">
        <w:rPr>
          <w:lang w:val="fr-FR"/>
        </w:rPr>
        <w:t>'</w:t>
      </w:r>
      <w:r w:rsidRPr="00FF7B46">
        <w:rPr>
          <w:lang w:val="fr-FR"/>
        </w:rPr>
        <w:t xml:space="preserve">Addendum 1 à la Circulaire administrative </w:t>
      </w:r>
      <w:hyperlink r:id="rId8" w:history="1">
        <w:r w:rsidR="00950A78" w:rsidRPr="00D540A7">
          <w:rPr>
            <w:rStyle w:val="Hyperlink"/>
            <w:lang w:val="fr-FR"/>
          </w:rPr>
          <w:t>CA/251</w:t>
        </w:r>
      </w:hyperlink>
      <w:r w:rsidR="00950A78" w:rsidRPr="00FF7B46">
        <w:rPr>
          <w:lang w:val="fr-FR"/>
        </w:rPr>
        <w:t xml:space="preserve">, </w:t>
      </w:r>
      <w:r w:rsidRPr="00FF7B46">
        <w:rPr>
          <w:lang w:val="fr-FR"/>
        </w:rPr>
        <w:t xml:space="preserve">il </w:t>
      </w:r>
      <w:r w:rsidR="00541320" w:rsidRPr="00FF7B46">
        <w:rPr>
          <w:lang w:val="fr-FR"/>
        </w:rPr>
        <w:t>était</w:t>
      </w:r>
      <w:r w:rsidRPr="00FF7B46">
        <w:rPr>
          <w:lang w:val="fr-FR"/>
        </w:rPr>
        <w:t xml:space="preserve"> indiqué que les dates exactes prévues pour la </w:t>
      </w:r>
      <w:r w:rsidR="00950A78" w:rsidRPr="00FF7B46">
        <w:rPr>
          <w:lang w:val="fr-FR"/>
        </w:rPr>
        <w:t>second</w:t>
      </w:r>
      <w:r w:rsidRPr="00FF7B46">
        <w:rPr>
          <w:lang w:val="fr-FR"/>
        </w:rPr>
        <w:t>e</w:t>
      </w:r>
      <w:r w:rsidR="00950A78" w:rsidRPr="00FF7B46">
        <w:rPr>
          <w:lang w:val="fr-FR"/>
        </w:rPr>
        <w:t xml:space="preserve"> session </w:t>
      </w:r>
      <w:r w:rsidRPr="00FF7B46">
        <w:rPr>
          <w:lang w:val="fr-FR"/>
        </w:rPr>
        <w:t xml:space="preserve">de la Réunion de préparation à la Conférence </w:t>
      </w:r>
      <w:r w:rsidR="00541320" w:rsidRPr="00C13786">
        <w:rPr>
          <w:color w:val="000000"/>
          <w:lang w:val="fr-FR"/>
        </w:rPr>
        <w:t xml:space="preserve">de 2023 </w:t>
      </w:r>
      <w:r w:rsidRPr="00FF7B46">
        <w:rPr>
          <w:lang w:val="fr-FR"/>
        </w:rPr>
        <w:t>(RPC23-2)</w:t>
      </w:r>
      <w:r w:rsidR="00950A78" w:rsidRPr="00FF7B46">
        <w:rPr>
          <w:lang w:val="fr-FR"/>
        </w:rPr>
        <w:t xml:space="preserve"> </w:t>
      </w:r>
      <w:r w:rsidR="00993E6A" w:rsidRPr="00FF7B46">
        <w:rPr>
          <w:lang w:val="fr-FR"/>
        </w:rPr>
        <w:t>ser</w:t>
      </w:r>
      <w:r w:rsidR="00541320" w:rsidRPr="00FF7B46">
        <w:rPr>
          <w:lang w:val="fr-FR"/>
        </w:rPr>
        <w:t xml:space="preserve">aient </w:t>
      </w:r>
      <w:r w:rsidR="00993E6A" w:rsidRPr="00FF7B46">
        <w:rPr>
          <w:lang w:val="fr-FR"/>
        </w:rPr>
        <w:t>fixées en fonction des dates de la Conférence mond</w:t>
      </w:r>
      <w:r w:rsidR="00A6316B">
        <w:rPr>
          <w:lang w:val="fr-FR"/>
        </w:rPr>
        <w:t>iale des radiocommunications de </w:t>
      </w:r>
      <w:r w:rsidR="00993E6A" w:rsidRPr="00FF7B46">
        <w:rPr>
          <w:lang w:val="fr-FR"/>
        </w:rPr>
        <w:t>2023 (CMR-23)</w:t>
      </w:r>
      <w:r w:rsidR="00950A78" w:rsidRPr="00FF7B46">
        <w:rPr>
          <w:lang w:val="fr-FR"/>
        </w:rPr>
        <w:t xml:space="preserve">, </w:t>
      </w:r>
      <w:r w:rsidR="00993E6A" w:rsidRPr="00FF7B46">
        <w:rPr>
          <w:lang w:val="fr-FR"/>
        </w:rPr>
        <w:t>une fois qu</w:t>
      </w:r>
      <w:r w:rsidR="00F57205" w:rsidRPr="00FF7B46">
        <w:rPr>
          <w:lang w:val="fr-FR"/>
        </w:rPr>
        <w:t>'</w:t>
      </w:r>
      <w:r w:rsidR="00993E6A" w:rsidRPr="00FF7B46">
        <w:rPr>
          <w:lang w:val="fr-FR"/>
        </w:rPr>
        <w:t>elles auront été arrêtées</w:t>
      </w:r>
      <w:r w:rsidR="00950A78" w:rsidRPr="00FF7B46">
        <w:rPr>
          <w:lang w:val="fr-FR"/>
        </w:rPr>
        <w:t xml:space="preserve">, </w:t>
      </w:r>
      <w:r w:rsidR="00993E6A" w:rsidRPr="00FF7B46">
        <w:rPr>
          <w:lang w:val="fr-FR"/>
        </w:rPr>
        <w:t>et de la disponibilité du Centre international de conférences de Genève (CICG)</w:t>
      </w:r>
      <w:r w:rsidR="00950A78" w:rsidRPr="00FF7B46">
        <w:rPr>
          <w:lang w:val="fr-FR"/>
        </w:rPr>
        <w:t>.</w:t>
      </w:r>
      <w:bookmarkEnd w:id="0"/>
    </w:p>
    <w:p w14:paraId="2594B4AD" w14:textId="7CC456B9" w:rsidR="00950A78" w:rsidRPr="00FF7B46" w:rsidRDefault="008A254E" w:rsidP="00AB7825">
      <w:pPr>
        <w:rPr>
          <w:lang w:val="fr-FR"/>
        </w:rPr>
      </w:pPr>
      <w:bookmarkStart w:id="1" w:name="lt_pId023"/>
      <w:r w:rsidRPr="00FF7B46">
        <w:rPr>
          <w:lang w:val="fr-FR"/>
        </w:rPr>
        <w:t xml:space="preserve">Conformément à la Décision </w:t>
      </w:r>
      <w:r w:rsidR="00950A78" w:rsidRPr="00FF7B46">
        <w:rPr>
          <w:lang w:val="fr-FR"/>
        </w:rPr>
        <w:t xml:space="preserve">623 </w:t>
      </w:r>
      <w:r w:rsidRPr="00FF7B46">
        <w:rPr>
          <w:lang w:val="fr-FR"/>
        </w:rPr>
        <w:t xml:space="preserve">du Conseil </w:t>
      </w:r>
      <w:r w:rsidR="00950A78" w:rsidRPr="00FF7B46">
        <w:rPr>
          <w:lang w:val="fr-FR"/>
        </w:rPr>
        <w:t>(</w:t>
      </w:r>
      <w:r w:rsidRPr="00FF7B46">
        <w:rPr>
          <w:lang w:val="fr-FR"/>
        </w:rPr>
        <w:t xml:space="preserve">voir le </w:t>
      </w:r>
      <w:r w:rsidR="00950A78" w:rsidRPr="00FF7B46">
        <w:rPr>
          <w:lang w:val="fr-FR"/>
        </w:rPr>
        <w:t>Doc</w:t>
      </w:r>
      <w:r w:rsidRPr="00FF7B46">
        <w:rPr>
          <w:lang w:val="fr-FR"/>
        </w:rPr>
        <w:t>ument</w:t>
      </w:r>
      <w:r w:rsidR="00A84B73" w:rsidRPr="00FF7B46">
        <w:rPr>
          <w:lang w:val="fr-FR"/>
        </w:rPr>
        <w:t xml:space="preserve"> </w:t>
      </w:r>
      <w:hyperlink r:id="rId9" w:history="1">
        <w:r w:rsidR="00A84B73" w:rsidRPr="00AE700F">
          <w:rPr>
            <w:rStyle w:val="Hyperlink"/>
            <w:lang w:val="fr-FR"/>
          </w:rPr>
          <w:t>C21/96</w:t>
        </w:r>
      </w:hyperlink>
      <w:r w:rsidR="00950A78" w:rsidRPr="00FF7B46">
        <w:rPr>
          <w:lang w:val="fr-FR"/>
        </w:rPr>
        <w:t xml:space="preserve">), </w:t>
      </w:r>
      <w:r w:rsidRPr="00FF7B46">
        <w:rPr>
          <w:lang w:val="fr-FR"/>
        </w:rPr>
        <w:t>la CMR</w:t>
      </w:r>
      <w:r w:rsidR="00950A78" w:rsidRPr="00FF7B46">
        <w:rPr>
          <w:lang w:val="fr-FR"/>
        </w:rPr>
        <w:noBreakHyphen/>
        <w:t xml:space="preserve">23 </w:t>
      </w:r>
      <w:r w:rsidR="00A6316B">
        <w:rPr>
          <w:lang w:val="fr-FR"/>
        </w:rPr>
        <w:t>aura lieu du </w:t>
      </w:r>
      <w:r w:rsidR="00950A78" w:rsidRPr="00FF7B46">
        <w:rPr>
          <w:lang w:val="fr-FR"/>
        </w:rPr>
        <w:t>20</w:t>
      </w:r>
      <w:r w:rsidR="00F57205" w:rsidRPr="00FF7B46">
        <w:rPr>
          <w:lang w:val="fr-FR"/>
        </w:rPr>
        <w:t> </w:t>
      </w:r>
      <w:r w:rsidRPr="00FF7B46">
        <w:rPr>
          <w:lang w:val="fr-FR"/>
        </w:rPr>
        <w:t xml:space="preserve">novembre au </w:t>
      </w:r>
      <w:r w:rsidR="00950A78" w:rsidRPr="00FF7B46">
        <w:rPr>
          <w:lang w:val="fr-FR"/>
        </w:rPr>
        <w:t>15</w:t>
      </w:r>
      <w:r w:rsidRPr="00FF7B46">
        <w:rPr>
          <w:lang w:val="fr-FR"/>
        </w:rPr>
        <w:t xml:space="preserve"> décembre </w:t>
      </w:r>
      <w:r w:rsidR="00950A78" w:rsidRPr="00FF7B46">
        <w:rPr>
          <w:lang w:val="fr-FR"/>
        </w:rPr>
        <w:t>2023.</w:t>
      </w:r>
      <w:bookmarkStart w:id="2" w:name="lt_pId024"/>
      <w:bookmarkEnd w:id="1"/>
      <w:r w:rsidRPr="00FF7B46">
        <w:rPr>
          <w:lang w:val="fr-FR"/>
        </w:rPr>
        <w:t xml:space="preserve"> Lors de la Consultation virtuelle des Conseillers </w:t>
      </w:r>
      <w:r w:rsidR="008A478E" w:rsidRPr="00FF7B46">
        <w:rPr>
          <w:lang w:val="fr-FR"/>
        </w:rPr>
        <w:t xml:space="preserve">tenue en </w:t>
      </w:r>
      <w:r w:rsidRPr="00FF7B46">
        <w:rPr>
          <w:lang w:val="fr-FR"/>
        </w:rPr>
        <w:t>juin</w:t>
      </w:r>
      <w:r w:rsidR="00F57205" w:rsidRPr="00FF7B46">
        <w:rPr>
          <w:lang w:val="fr-FR"/>
        </w:rPr>
        <w:t> </w:t>
      </w:r>
      <w:r w:rsidR="00950A78" w:rsidRPr="00FF7B46">
        <w:rPr>
          <w:lang w:val="fr-FR"/>
        </w:rPr>
        <w:t xml:space="preserve">2021, </w:t>
      </w:r>
      <w:r w:rsidRPr="00FF7B46">
        <w:rPr>
          <w:lang w:val="fr-FR"/>
        </w:rPr>
        <w:t xml:space="preserve">il </w:t>
      </w:r>
      <w:r w:rsidR="00104D56" w:rsidRPr="00FF7B46">
        <w:rPr>
          <w:lang w:val="fr-FR"/>
        </w:rPr>
        <w:t>a été</w:t>
      </w:r>
      <w:r w:rsidRPr="00FF7B46">
        <w:rPr>
          <w:lang w:val="fr-FR"/>
        </w:rPr>
        <w:t xml:space="preserve"> </w:t>
      </w:r>
      <w:r w:rsidR="008A478E" w:rsidRPr="00FF7B46">
        <w:rPr>
          <w:lang w:val="fr-FR"/>
        </w:rPr>
        <w:t>noté</w:t>
      </w:r>
      <w:r w:rsidRPr="00FF7B46">
        <w:rPr>
          <w:lang w:val="fr-FR"/>
        </w:rPr>
        <w:t xml:space="preserve">, </w:t>
      </w:r>
      <w:r w:rsidR="008A478E" w:rsidRPr="00FF7B46">
        <w:rPr>
          <w:lang w:val="fr-FR"/>
        </w:rPr>
        <w:t xml:space="preserve">à propos de </w:t>
      </w:r>
      <w:r w:rsidRPr="00FF7B46">
        <w:rPr>
          <w:lang w:val="fr-FR"/>
        </w:rPr>
        <w:t>la RPC23-2</w:t>
      </w:r>
      <w:r w:rsidR="00950A78" w:rsidRPr="00FF7B46">
        <w:rPr>
          <w:lang w:val="fr-FR"/>
        </w:rPr>
        <w:t xml:space="preserve">, </w:t>
      </w:r>
      <w:r w:rsidRPr="00FF7B46">
        <w:rPr>
          <w:lang w:val="fr-FR"/>
        </w:rPr>
        <w:t xml:space="preserve">que </w:t>
      </w:r>
      <w:r w:rsidR="00CF141B" w:rsidRPr="00FF7B46">
        <w:rPr>
          <w:lang w:val="fr-FR"/>
        </w:rPr>
        <w:t xml:space="preserve">le CICG </w:t>
      </w:r>
      <w:r w:rsidR="008A478E" w:rsidRPr="00FF7B46">
        <w:rPr>
          <w:lang w:val="fr-FR"/>
        </w:rPr>
        <w:t xml:space="preserve">était </w:t>
      </w:r>
      <w:r w:rsidR="00CF141B" w:rsidRPr="00FF7B46">
        <w:rPr>
          <w:lang w:val="fr-FR"/>
        </w:rPr>
        <w:t>actuellement réservé pour la fin</w:t>
      </w:r>
      <w:r w:rsidR="00F57205" w:rsidRPr="00FF7B46">
        <w:rPr>
          <w:lang w:val="fr-FR"/>
        </w:rPr>
        <w:t> </w:t>
      </w:r>
      <w:r w:rsidR="00CF141B" w:rsidRPr="00FF7B46">
        <w:rPr>
          <w:lang w:val="fr-FR"/>
        </w:rPr>
        <w:t>mars</w:t>
      </w:r>
      <w:r w:rsidR="008A478E" w:rsidRPr="00FF7B46">
        <w:rPr>
          <w:lang w:val="fr-FR"/>
        </w:rPr>
        <w:t xml:space="preserve"> et </w:t>
      </w:r>
      <w:r w:rsidR="00CF141B" w:rsidRPr="00FF7B46">
        <w:rPr>
          <w:lang w:val="fr-FR"/>
        </w:rPr>
        <w:t xml:space="preserve">que </w:t>
      </w:r>
      <w:r w:rsidR="008A478E" w:rsidRPr="00FF7B46">
        <w:rPr>
          <w:lang w:val="fr-FR"/>
        </w:rPr>
        <w:t>cette manifestation</w:t>
      </w:r>
      <w:r w:rsidR="00CF141B" w:rsidRPr="00FF7B46">
        <w:rPr>
          <w:lang w:val="fr-FR"/>
        </w:rPr>
        <w:t xml:space="preserve"> pourra</w:t>
      </w:r>
      <w:r w:rsidR="008A478E" w:rsidRPr="00FF7B46">
        <w:rPr>
          <w:lang w:val="fr-FR"/>
        </w:rPr>
        <w:t>it</w:t>
      </w:r>
      <w:r w:rsidR="00CF141B" w:rsidRPr="00FF7B46">
        <w:rPr>
          <w:lang w:val="fr-FR"/>
        </w:rPr>
        <w:t xml:space="preserve"> se tenir pendant la première</w:t>
      </w:r>
      <w:r w:rsidR="008A478E" w:rsidRPr="00FF7B46">
        <w:rPr>
          <w:lang w:val="fr-FR"/>
        </w:rPr>
        <w:t xml:space="preserve"> </w:t>
      </w:r>
      <w:r w:rsidR="008A478E" w:rsidRPr="00FF7B46">
        <w:rPr>
          <w:color w:val="000000"/>
          <w:lang w:val="fr-FR"/>
        </w:rPr>
        <w:t>quinzaine</w:t>
      </w:r>
      <w:r w:rsidR="00CF141B" w:rsidRPr="00FF7B46">
        <w:rPr>
          <w:lang w:val="fr-FR"/>
        </w:rPr>
        <w:t xml:space="preserve"> de mai 2023, </w:t>
      </w:r>
      <w:r w:rsidR="008A478E" w:rsidRPr="00FF7B46">
        <w:rPr>
          <w:lang w:val="fr-FR"/>
        </w:rPr>
        <w:t>à</w:t>
      </w:r>
      <w:r w:rsidR="00F57205" w:rsidRPr="00FF7B46">
        <w:rPr>
          <w:lang w:val="fr-FR"/>
        </w:rPr>
        <w:t> </w:t>
      </w:r>
      <w:r w:rsidR="008A478E" w:rsidRPr="00FF7B46">
        <w:rPr>
          <w:lang w:val="fr-FR"/>
        </w:rPr>
        <w:t>condition</w:t>
      </w:r>
      <w:r w:rsidR="00CF141B" w:rsidRPr="00FF7B46">
        <w:rPr>
          <w:lang w:val="fr-FR"/>
        </w:rPr>
        <w:t xml:space="preserve"> qu</w:t>
      </w:r>
      <w:r w:rsidR="00F57205" w:rsidRPr="00FF7B46">
        <w:rPr>
          <w:lang w:val="fr-FR"/>
        </w:rPr>
        <w:t>'</w:t>
      </w:r>
      <w:r w:rsidR="00CF141B" w:rsidRPr="00FF7B46">
        <w:rPr>
          <w:lang w:val="fr-FR"/>
        </w:rPr>
        <w:t>un État Membre souhaite l</w:t>
      </w:r>
      <w:r w:rsidR="00F57205" w:rsidRPr="00FF7B46">
        <w:rPr>
          <w:lang w:val="fr-FR"/>
        </w:rPr>
        <w:t>'</w:t>
      </w:r>
      <w:r w:rsidR="00CF141B" w:rsidRPr="00FF7B46">
        <w:rPr>
          <w:lang w:val="fr-FR"/>
        </w:rPr>
        <w:t xml:space="preserve">accueillir, le CICG </w:t>
      </w:r>
      <w:r w:rsidR="008A478E" w:rsidRPr="00FF7B46">
        <w:rPr>
          <w:lang w:val="fr-FR"/>
        </w:rPr>
        <w:t>n</w:t>
      </w:r>
      <w:r w:rsidR="00F57205" w:rsidRPr="00FF7B46">
        <w:rPr>
          <w:lang w:val="fr-FR"/>
        </w:rPr>
        <w:t>'</w:t>
      </w:r>
      <w:r w:rsidR="008A478E" w:rsidRPr="00FF7B46">
        <w:rPr>
          <w:lang w:val="fr-FR"/>
        </w:rPr>
        <w:t xml:space="preserve">étant </w:t>
      </w:r>
      <w:r w:rsidR="00CF141B" w:rsidRPr="00FF7B46">
        <w:rPr>
          <w:lang w:val="fr-FR"/>
        </w:rPr>
        <w:t>pas disponible en mai</w:t>
      </w:r>
      <w:r w:rsidR="00950A78" w:rsidRPr="00FF7B46">
        <w:rPr>
          <w:lang w:val="fr-FR"/>
        </w:rPr>
        <w:t>.</w:t>
      </w:r>
      <w:bookmarkEnd w:id="2"/>
    </w:p>
    <w:p w14:paraId="54E413C2" w14:textId="4F3D80BC" w:rsidR="00950A78" w:rsidRPr="00D540A7" w:rsidRDefault="00CF141B" w:rsidP="00AB7825">
      <w:pPr>
        <w:rPr>
          <w:lang w:val="fr-FR"/>
        </w:rPr>
      </w:pPr>
      <w:bookmarkStart w:id="3" w:name="lt_pId025"/>
      <w:r w:rsidRPr="00D540A7">
        <w:rPr>
          <w:lang w:val="fr-FR"/>
        </w:rPr>
        <w:t xml:space="preserve">À la suite de ces </w:t>
      </w:r>
      <w:r w:rsidR="008A478E" w:rsidRPr="00D540A7">
        <w:rPr>
          <w:lang w:val="fr-FR"/>
        </w:rPr>
        <w:t>échanges de vues</w:t>
      </w:r>
      <w:r w:rsidR="00950A78" w:rsidRPr="00D540A7">
        <w:rPr>
          <w:lang w:val="fr-FR"/>
        </w:rPr>
        <w:t xml:space="preserve">, </w:t>
      </w:r>
      <w:r w:rsidRPr="00D540A7">
        <w:rPr>
          <w:lang w:val="fr-FR"/>
        </w:rPr>
        <w:t xml:space="preserve">plusieurs </w:t>
      </w:r>
      <w:r w:rsidR="00950A78" w:rsidRPr="00D540A7">
        <w:rPr>
          <w:lang w:val="fr-FR"/>
        </w:rPr>
        <w:t xml:space="preserve">consultations </w:t>
      </w:r>
      <w:r w:rsidRPr="00D540A7">
        <w:rPr>
          <w:lang w:val="fr-FR"/>
        </w:rPr>
        <w:t xml:space="preserve">ont été menées afin </w:t>
      </w:r>
      <w:r w:rsidR="008A478E" w:rsidRPr="00D540A7">
        <w:rPr>
          <w:lang w:val="fr-FR"/>
        </w:rPr>
        <w:t xml:space="preserve">de trouver </w:t>
      </w:r>
      <w:r w:rsidRPr="00D540A7">
        <w:rPr>
          <w:lang w:val="fr-FR"/>
        </w:rPr>
        <w:t xml:space="preserve">un lieu de remplacement </w:t>
      </w:r>
      <w:r w:rsidR="008A478E" w:rsidRPr="00D540A7">
        <w:rPr>
          <w:lang w:val="fr-FR"/>
        </w:rPr>
        <w:t xml:space="preserve">pour </w:t>
      </w:r>
      <w:r w:rsidRPr="00D540A7">
        <w:rPr>
          <w:lang w:val="fr-FR"/>
        </w:rPr>
        <w:t>accueillir la RPC</w:t>
      </w:r>
      <w:r w:rsidR="00950A78" w:rsidRPr="00D540A7">
        <w:rPr>
          <w:lang w:val="fr-FR"/>
        </w:rPr>
        <w:t>23-2</w:t>
      </w:r>
      <w:r w:rsidR="005C522D" w:rsidRPr="00D540A7">
        <w:rPr>
          <w:lang w:val="fr-FR"/>
        </w:rPr>
        <w:t>, qui permettrait d</w:t>
      </w:r>
      <w:r w:rsidR="00F57205" w:rsidRPr="00D540A7">
        <w:rPr>
          <w:lang w:val="fr-FR"/>
        </w:rPr>
        <w:t>'</w:t>
      </w:r>
      <w:r w:rsidR="005C522D" w:rsidRPr="00D540A7">
        <w:rPr>
          <w:lang w:val="fr-FR"/>
        </w:rPr>
        <w:t>organiser cette manifestation</w:t>
      </w:r>
      <w:r w:rsidR="00950A78" w:rsidRPr="00D540A7">
        <w:rPr>
          <w:lang w:val="fr-FR"/>
        </w:rPr>
        <w:t xml:space="preserve"> </w:t>
      </w:r>
      <w:r w:rsidRPr="00D540A7">
        <w:rPr>
          <w:lang w:val="fr-FR"/>
        </w:rPr>
        <w:t>pendant la première</w:t>
      </w:r>
      <w:r w:rsidR="008A478E" w:rsidRPr="00D540A7">
        <w:rPr>
          <w:lang w:val="fr-FR"/>
        </w:rPr>
        <w:t xml:space="preserve"> quinzaine</w:t>
      </w:r>
      <w:r w:rsidRPr="00D540A7">
        <w:rPr>
          <w:lang w:val="fr-FR"/>
        </w:rPr>
        <w:t xml:space="preserve"> de mai 2023</w:t>
      </w:r>
      <w:r w:rsidR="00950A78" w:rsidRPr="00D540A7">
        <w:rPr>
          <w:lang w:val="fr-FR"/>
        </w:rPr>
        <w:t>.</w:t>
      </w:r>
      <w:bookmarkEnd w:id="3"/>
      <w:r w:rsidR="00950A78" w:rsidRPr="00D540A7">
        <w:rPr>
          <w:lang w:val="fr-FR"/>
        </w:rPr>
        <w:t xml:space="preserve"> </w:t>
      </w:r>
      <w:bookmarkStart w:id="4" w:name="lt_pId026"/>
      <w:r w:rsidR="002B7C64">
        <w:rPr>
          <w:lang w:val="fr-FR"/>
        </w:rPr>
        <w:t>É</w:t>
      </w:r>
      <w:r w:rsidR="00EC55E3">
        <w:rPr>
          <w:lang w:val="fr-FR"/>
        </w:rPr>
        <w:t>tant donné que</w:t>
      </w:r>
      <w:r w:rsidR="00600ACE">
        <w:rPr>
          <w:lang w:val="fr-FR"/>
        </w:rPr>
        <w:t xml:space="preserve"> la date limite</w:t>
      </w:r>
      <w:r w:rsidRPr="00D540A7">
        <w:rPr>
          <w:lang w:val="fr-FR"/>
        </w:rPr>
        <w:t xml:space="preserve"> </w:t>
      </w:r>
      <w:r w:rsidR="003C7A0F">
        <w:rPr>
          <w:lang w:val="fr-FR"/>
        </w:rPr>
        <w:t>fixée</w:t>
      </w:r>
      <w:r w:rsidR="003C7A0F" w:rsidRPr="00D540A7">
        <w:rPr>
          <w:lang w:val="fr-FR"/>
        </w:rPr>
        <w:t xml:space="preserve"> </w:t>
      </w:r>
      <w:r w:rsidR="003C7A0F">
        <w:rPr>
          <w:lang w:val="fr-FR"/>
        </w:rPr>
        <w:t xml:space="preserve">pour la </w:t>
      </w:r>
      <w:r w:rsidR="00ED1CEF" w:rsidRPr="00D540A7">
        <w:rPr>
          <w:lang w:val="fr-FR"/>
        </w:rPr>
        <w:t>confirm</w:t>
      </w:r>
      <w:r w:rsidR="00600ACE">
        <w:rPr>
          <w:lang w:val="fr-FR"/>
        </w:rPr>
        <w:t>ation</w:t>
      </w:r>
      <w:r w:rsidR="00803EB7" w:rsidRPr="00D540A7">
        <w:rPr>
          <w:lang w:val="fr-FR"/>
        </w:rPr>
        <w:t xml:space="preserve"> </w:t>
      </w:r>
      <w:r w:rsidR="003C7A0F">
        <w:rPr>
          <w:lang w:val="fr-FR"/>
        </w:rPr>
        <w:t xml:space="preserve">de </w:t>
      </w:r>
      <w:r w:rsidR="00ED1CEF" w:rsidRPr="00D540A7">
        <w:rPr>
          <w:lang w:val="fr-FR"/>
        </w:rPr>
        <w:t xml:space="preserve">la réservation du </w:t>
      </w:r>
      <w:r w:rsidR="00950A78" w:rsidRPr="00D540A7">
        <w:rPr>
          <w:lang w:val="fr-FR"/>
        </w:rPr>
        <w:t>CICG</w:t>
      </w:r>
      <w:r w:rsidR="00EC55E3">
        <w:rPr>
          <w:lang w:val="fr-FR"/>
        </w:rPr>
        <w:t xml:space="preserve"> a expiré</w:t>
      </w:r>
      <w:r w:rsidR="00950A78" w:rsidRPr="00D540A7">
        <w:rPr>
          <w:lang w:val="fr-FR"/>
        </w:rPr>
        <w:t xml:space="preserve">, </w:t>
      </w:r>
      <w:r w:rsidR="00ED1CEF" w:rsidRPr="00D540A7">
        <w:rPr>
          <w:lang w:val="fr-FR"/>
        </w:rPr>
        <w:t>et en l</w:t>
      </w:r>
      <w:r w:rsidR="00F57205" w:rsidRPr="00D540A7">
        <w:rPr>
          <w:lang w:val="fr-FR"/>
        </w:rPr>
        <w:t>'</w:t>
      </w:r>
      <w:r w:rsidR="00ED1CEF" w:rsidRPr="00D540A7">
        <w:rPr>
          <w:lang w:val="fr-FR"/>
        </w:rPr>
        <w:t>absence d</w:t>
      </w:r>
      <w:r w:rsidR="00F57205" w:rsidRPr="00D540A7">
        <w:rPr>
          <w:lang w:val="fr-FR"/>
        </w:rPr>
        <w:t>'</w:t>
      </w:r>
      <w:r w:rsidR="00ED1CEF" w:rsidRPr="00D540A7">
        <w:rPr>
          <w:lang w:val="fr-FR"/>
        </w:rPr>
        <w:t>un engagement ferme à ce stade concern</w:t>
      </w:r>
      <w:r w:rsidR="00104D56" w:rsidRPr="00D540A7">
        <w:rPr>
          <w:lang w:val="fr-FR"/>
        </w:rPr>
        <w:t>ant</w:t>
      </w:r>
      <w:r w:rsidR="00ED1CEF" w:rsidRPr="00D540A7">
        <w:rPr>
          <w:lang w:val="fr-FR"/>
        </w:rPr>
        <w:t xml:space="preserve"> un lieu de remplacement</w:t>
      </w:r>
      <w:r w:rsidR="00950A78" w:rsidRPr="00D540A7">
        <w:rPr>
          <w:lang w:val="fr-FR"/>
        </w:rPr>
        <w:t xml:space="preserve">, </w:t>
      </w:r>
      <w:r w:rsidR="00ED1CEF" w:rsidRPr="00D43623">
        <w:rPr>
          <w:b/>
          <w:bCs/>
          <w:lang w:val="fr-FR"/>
        </w:rPr>
        <w:t xml:space="preserve">la réservation du </w:t>
      </w:r>
      <w:r w:rsidR="00950A78" w:rsidRPr="00D43623">
        <w:rPr>
          <w:b/>
          <w:bCs/>
          <w:lang w:val="fr-FR"/>
        </w:rPr>
        <w:t xml:space="preserve">CICG </w:t>
      </w:r>
      <w:r w:rsidR="00ED1CEF" w:rsidRPr="00D43623">
        <w:rPr>
          <w:b/>
          <w:bCs/>
          <w:lang w:val="fr-FR"/>
        </w:rPr>
        <w:t xml:space="preserve">a été confirmée en vue </w:t>
      </w:r>
      <w:r w:rsidR="005C522D" w:rsidRPr="00D43623">
        <w:rPr>
          <w:b/>
          <w:bCs/>
          <w:lang w:val="fr-FR"/>
        </w:rPr>
        <w:t xml:space="preserve">de tenir </w:t>
      </w:r>
      <w:r w:rsidR="00A6316B" w:rsidRPr="00D43623">
        <w:rPr>
          <w:b/>
          <w:bCs/>
          <w:lang w:val="fr-FR"/>
        </w:rPr>
        <w:t>la </w:t>
      </w:r>
      <w:r w:rsidR="00ED1CEF" w:rsidRPr="00D43623">
        <w:rPr>
          <w:b/>
          <w:bCs/>
          <w:lang w:val="fr-FR"/>
        </w:rPr>
        <w:t>RPC</w:t>
      </w:r>
      <w:r w:rsidR="00950A78" w:rsidRPr="00D43623">
        <w:rPr>
          <w:b/>
          <w:bCs/>
          <w:lang w:val="fr-FR"/>
        </w:rPr>
        <w:t xml:space="preserve">23-2 </w:t>
      </w:r>
      <w:r w:rsidR="00ED1CEF" w:rsidRPr="00D43623">
        <w:rPr>
          <w:b/>
          <w:bCs/>
          <w:lang w:val="fr-FR"/>
        </w:rPr>
        <w:t xml:space="preserve">du </w:t>
      </w:r>
      <w:r w:rsidR="00950A78" w:rsidRPr="00D43623">
        <w:rPr>
          <w:b/>
          <w:bCs/>
          <w:lang w:val="fr-FR"/>
        </w:rPr>
        <w:t>27</w:t>
      </w:r>
      <w:r w:rsidR="00F57205" w:rsidRPr="00D43623">
        <w:rPr>
          <w:b/>
          <w:bCs/>
          <w:lang w:val="fr-FR"/>
        </w:rPr>
        <w:t> </w:t>
      </w:r>
      <w:r w:rsidR="00ED1CEF" w:rsidRPr="00D43623">
        <w:rPr>
          <w:b/>
          <w:bCs/>
          <w:lang w:val="fr-FR"/>
        </w:rPr>
        <w:t xml:space="preserve">mars au </w:t>
      </w:r>
      <w:r w:rsidR="00950A78" w:rsidRPr="00D43623">
        <w:rPr>
          <w:b/>
          <w:bCs/>
          <w:lang w:val="fr-FR"/>
        </w:rPr>
        <w:t xml:space="preserve">6 </w:t>
      </w:r>
      <w:r w:rsidR="00ED1CEF" w:rsidRPr="00D43623">
        <w:rPr>
          <w:b/>
          <w:bCs/>
          <w:lang w:val="fr-FR"/>
        </w:rPr>
        <w:t>av</w:t>
      </w:r>
      <w:r w:rsidR="00950A78" w:rsidRPr="00D43623">
        <w:rPr>
          <w:b/>
          <w:bCs/>
          <w:lang w:val="fr-FR"/>
        </w:rPr>
        <w:t>ril 2023</w:t>
      </w:r>
      <w:r w:rsidR="00950A78" w:rsidRPr="00D540A7">
        <w:rPr>
          <w:lang w:val="fr-FR"/>
        </w:rPr>
        <w:t xml:space="preserve">, </w:t>
      </w:r>
      <w:r w:rsidR="00ED1CEF" w:rsidRPr="00D540A7">
        <w:rPr>
          <w:lang w:val="fr-FR"/>
        </w:rPr>
        <w:t xml:space="preserve">comme </w:t>
      </w:r>
      <w:r w:rsidR="00D42064" w:rsidRPr="00D540A7">
        <w:rPr>
          <w:lang w:val="fr-FR"/>
        </w:rPr>
        <w:t>prévu</w:t>
      </w:r>
      <w:r w:rsidR="00BF6170">
        <w:rPr>
          <w:lang w:val="fr-FR"/>
        </w:rPr>
        <w:t xml:space="preserve"> </w:t>
      </w:r>
      <w:r w:rsidR="006F15D8">
        <w:rPr>
          <w:lang w:val="fr-FR"/>
        </w:rPr>
        <w:t>initialement</w:t>
      </w:r>
      <w:r w:rsidR="00950A78" w:rsidRPr="00D540A7">
        <w:rPr>
          <w:lang w:val="fr-FR"/>
        </w:rPr>
        <w:t>.</w:t>
      </w:r>
      <w:bookmarkEnd w:id="4"/>
    </w:p>
    <w:p w14:paraId="4CD6DB2F" w14:textId="78635D21" w:rsidR="00950A78" w:rsidRPr="00FF7B46" w:rsidRDefault="005E1CAB" w:rsidP="00AB7825">
      <w:pPr>
        <w:rPr>
          <w:lang w:val="fr-FR"/>
        </w:rPr>
      </w:pPr>
      <w:bookmarkStart w:id="5" w:name="lt_pId027"/>
      <w:r w:rsidRPr="00FF7B46">
        <w:rPr>
          <w:lang w:val="fr-FR"/>
        </w:rPr>
        <w:t xml:space="preserve">Si un </w:t>
      </w:r>
      <w:r w:rsidR="00F15BC0" w:rsidRPr="00FF7B46">
        <w:rPr>
          <w:lang w:val="fr-FR"/>
        </w:rPr>
        <w:t xml:space="preserve">engagement ferme de cette nature concernant un lieu de remplacement </w:t>
      </w:r>
      <w:r w:rsidRPr="00FF7B46">
        <w:rPr>
          <w:lang w:val="fr-FR"/>
        </w:rPr>
        <w:t xml:space="preserve">est validé </w:t>
      </w:r>
      <w:r w:rsidR="00F15BC0" w:rsidRPr="00FF7B46">
        <w:rPr>
          <w:lang w:val="fr-FR"/>
        </w:rPr>
        <w:t>au cours des prochain</w:t>
      </w:r>
      <w:r w:rsidR="009F063D">
        <w:rPr>
          <w:lang w:val="fr-FR"/>
        </w:rPr>
        <w:t>e</w:t>
      </w:r>
      <w:r w:rsidR="00F15BC0" w:rsidRPr="00FF7B46">
        <w:rPr>
          <w:lang w:val="fr-FR"/>
        </w:rPr>
        <w:t xml:space="preserve">s </w:t>
      </w:r>
      <w:r w:rsidR="009F063D">
        <w:rPr>
          <w:lang w:val="fr-FR"/>
        </w:rPr>
        <w:t>semaines</w:t>
      </w:r>
      <w:r w:rsidR="00950A78" w:rsidRPr="00FF7B46">
        <w:rPr>
          <w:lang w:val="fr-FR"/>
        </w:rPr>
        <w:t xml:space="preserve">, </w:t>
      </w:r>
      <w:r w:rsidR="00F15BC0" w:rsidRPr="00FF7B46">
        <w:rPr>
          <w:lang w:val="fr-FR"/>
        </w:rPr>
        <w:t>les dates prévues pour la RPC</w:t>
      </w:r>
      <w:r w:rsidR="00950A78" w:rsidRPr="00FF7B46">
        <w:rPr>
          <w:lang w:val="fr-FR"/>
        </w:rPr>
        <w:t xml:space="preserve">23-2 </w:t>
      </w:r>
      <w:r w:rsidR="005C522D" w:rsidRPr="00FF7B46">
        <w:rPr>
          <w:lang w:val="fr-FR"/>
        </w:rPr>
        <w:t>pourront</w:t>
      </w:r>
      <w:r w:rsidR="00F15BC0" w:rsidRPr="00FF7B46">
        <w:rPr>
          <w:lang w:val="fr-FR"/>
        </w:rPr>
        <w:t xml:space="preserve"> être réexaminées</w:t>
      </w:r>
      <w:r w:rsidR="005C522D" w:rsidRPr="00FF7B46">
        <w:rPr>
          <w:lang w:val="fr-FR"/>
        </w:rPr>
        <w:t xml:space="preserve"> en conséquence</w:t>
      </w:r>
      <w:r w:rsidR="00950A78" w:rsidRPr="00FF7B46">
        <w:rPr>
          <w:lang w:val="fr-FR"/>
        </w:rPr>
        <w:t>.</w:t>
      </w:r>
      <w:bookmarkEnd w:id="5"/>
      <w:r w:rsidR="00950A78" w:rsidRPr="00FF7B46">
        <w:rPr>
          <w:lang w:val="fr-FR"/>
        </w:rPr>
        <w:t xml:space="preserve"> </w:t>
      </w:r>
      <w:bookmarkStart w:id="6" w:name="lt_pId028"/>
      <w:r w:rsidR="00F15BC0" w:rsidRPr="00FF7B46">
        <w:rPr>
          <w:lang w:val="fr-FR"/>
        </w:rPr>
        <w:t>En tout état de cause</w:t>
      </w:r>
      <w:r w:rsidR="00950A78" w:rsidRPr="00FF7B46">
        <w:rPr>
          <w:lang w:val="fr-FR"/>
        </w:rPr>
        <w:t xml:space="preserve">, </w:t>
      </w:r>
      <w:r w:rsidR="00F15BC0" w:rsidRPr="00FF7B46">
        <w:rPr>
          <w:lang w:val="fr-FR"/>
        </w:rPr>
        <w:t xml:space="preserve">les dates </w:t>
      </w:r>
      <w:r w:rsidR="005C522D" w:rsidRPr="00FF7B46">
        <w:rPr>
          <w:lang w:val="fr-FR"/>
        </w:rPr>
        <w:t xml:space="preserve">définitives </w:t>
      </w:r>
      <w:r w:rsidR="00F15BC0" w:rsidRPr="00FF7B46">
        <w:rPr>
          <w:lang w:val="fr-FR"/>
        </w:rPr>
        <w:t xml:space="preserve">seront </w:t>
      </w:r>
      <w:r w:rsidR="00950A78" w:rsidRPr="00FF7B46">
        <w:rPr>
          <w:lang w:val="fr-FR"/>
        </w:rPr>
        <w:t>confirm</w:t>
      </w:r>
      <w:r w:rsidR="00F15BC0" w:rsidRPr="00FF7B46">
        <w:rPr>
          <w:lang w:val="fr-FR"/>
        </w:rPr>
        <w:t>ées</w:t>
      </w:r>
      <w:r w:rsidR="00950A78" w:rsidRPr="00FF7B46">
        <w:rPr>
          <w:lang w:val="fr-FR"/>
        </w:rPr>
        <w:t xml:space="preserve"> </w:t>
      </w:r>
      <w:r w:rsidR="00F15BC0" w:rsidRPr="00FF7B46">
        <w:rPr>
          <w:lang w:val="fr-FR"/>
        </w:rPr>
        <w:t>dans la lettre d</w:t>
      </w:r>
      <w:r w:rsidR="00F57205" w:rsidRPr="00FF7B46">
        <w:rPr>
          <w:lang w:val="fr-FR"/>
        </w:rPr>
        <w:t>'</w:t>
      </w:r>
      <w:r w:rsidR="00950A78" w:rsidRPr="00FF7B46">
        <w:rPr>
          <w:lang w:val="fr-FR"/>
        </w:rPr>
        <w:t xml:space="preserve">invitation </w:t>
      </w:r>
      <w:r w:rsidR="00F15BC0" w:rsidRPr="00FF7B46">
        <w:rPr>
          <w:lang w:val="fr-FR"/>
        </w:rPr>
        <w:t xml:space="preserve">qui devrait être </w:t>
      </w:r>
      <w:r w:rsidR="005C522D" w:rsidRPr="00FF7B46">
        <w:rPr>
          <w:lang w:val="fr-FR"/>
        </w:rPr>
        <w:t xml:space="preserve">envoyée </w:t>
      </w:r>
      <w:r w:rsidR="00F15BC0" w:rsidRPr="00FF7B46">
        <w:rPr>
          <w:lang w:val="fr-FR"/>
        </w:rPr>
        <w:t xml:space="preserve">au moins six mois avant la </w:t>
      </w:r>
      <w:r w:rsidR="005C522D" w:rsidRPr="00FF7B46">
        <w:rPr>
          <w:lang w:val="fr-FR"/>
        </w:rPr>
        <w:t>manifestation</w:t>
      </w:r>
      <w:r w:rsidR="00950A78" w:rsidRPr="00FF7B46">
        <w:rPr>
          <w:lang w:val="fr-FR"/>
        </w:rPr>
        <w:t>.</w:t>
      </w:r>
      <w:bookmarkEnd w:id="6"/>
    </w:p>
    <w:p w14:paraId="16988A4E" w14:textId="77777777" w:rsidR="00A6316B" w:rsidRDefault="00A6316B" w:rsidP="00C13786">
      <w:pPr>
        <w:spacing w:before="120" w:line="240" w:lineRule="auto"/>
        <w:jc w:val="left"/>
        <w:rPr>
          <w:lang w:val="fr-FR"/>
        </w:rPr>
      </w:pPr>
      <w:bookmarkStart w:id="7" w:name="lt_pId029"/>
      <w:r>
        <w:rPr>
          <w:lang w:val="fr-FR"/>
        </w:rPr>
        <w:br w:type="page"/>
      </w:r>
    </w:p>
    <w:p w14:paraId="7B39EBAB" w14:textId="209F33F2" w:rsidR="00A21914" w:rsidRPr="00FF7B46" w:rsidRDefault="00F15BC0" w:rsidP="00AB7825">
      <w:pPr>
        <w:rPr>
          <w:lang w:val="fr-FR"/>
        </w:rPr>
      </w:pPr>
      <w:r w:rsidRPr="00FF7B46">
        <w:rPr>
          <w:lang w:val="fr-FR"/>
        </w:rPr>
        <w:lastRenderedPageBreak/>
        <w:t>Compte tenu de ce qui précède</w:t>
      </w:r>
      <w:r w:rsidR="00A21914" w:rsidRPr="00FF7B46">
        <w:rPr>
          <w:lang w:val="fr-FR"/>
        </w:rPr>
        <w:t xml:space="preserve">, </w:t>
      </w:r>
      <w:r w:rsidRPr="00FF7B46">
        <w:rPr>
          <w:lang w:val="fr-FR"/>
        </w:rPr>
        <w:t xml:space="preserve">et afin </w:t>
      </w:r>
      <w:r w:rsidR="00824AD4" w:rsidRPr="00FF7B46">
        <w:rPr>
          <w:lang w:val="fr-FR"/>
        </w:rPr>
        <w:t>d</w:t>
      </w:r>
      <w:r w:rsidR="00F57205" w:rsidRPr="00FF7B46">
        <w:rPr>
          <w:lang w:val="fr-FR"/>
        </w:rPr>
        <w:t>'</w:t>
      </w:r>
      <w:r w:rsidR="00824AD4" w:rsidRPr="00FF7B46">
        <w:rPr>
          <w:color w:val="000000"/>
          <w:lang w:val="fr-FR"/>
        </w:rPr>
        <w:t>assurer la préparation</w:t>
      </w:r>
      <w:r w:rsidR="00824AD4" w:rsidRPr="00FF7B46" w:rsidDel="00824AD4">
        <w:rPr>
          <w:lang w:val="fr-FR"/>
        </w:rPr>
        <w:t xml:space="preserve"> </w:t>
      </w:r>
      <w:r w:rsidR="00824AD4" w:rsidRPr="00FF7B46">
        <w:rPr>
          <w:color w:val="000000"/>
          <w:lang w:val="fr-FR"/>
        </w:rPr>
        <w:t>dans les délais</w:t>
      </w:r>
      <w:r w:rsidR="00824AD4" w:rsidRPr="00FF7B46" w:rsidDel="00824AD4">
        <w:rPr>
          <w:lang w:val="fr-FR"/>
        </w:rPr>
        <w:t xml:space="preserve"> </w:t>
      </w:r>
      <w:r w:rsidR="00824AD4" w:rsidRPr="00FF7B46">
        <w:rPr>
          <w:lang w:val="fr-FR"/>
        </w:rPr>
        <w:t xml:space="preserve">de </w:t>
      </w:r>
      <w:r w:rsidR="008D580F" w:rsidRPr="00FF7B46">
        <w:rPr>
          <w:lang w:val="fr-FR"/>
        </w:rPr>
        <w:t>la RPC</w:t>
      </w:r>
      <w:r w:rsidR="00A21914" w:rsidRPr="00FF7B46">
        <w:rPr>
          <w:lang w:val="fr-FR"/>
        </w:rPr>
        <w:t xml:space="preserve">23-2, </w:t>
      </w:r>
      <w:r w:rsidR="008D580F" w:rsidRPr="00FF7B46">
        <w:rPr>
          <w:lang w:val="fr-FR"/>
        </w:rPr>
        <w:t xml:space="preserve">je souhaite </w:t>
      </w:r>
      <w:r w:rsidR="00824AD4" w:rsidRPr="00FF7B46">
        <w:rPr>
          <w:lang w:val="fr-FR"/>
        </w:rPr>
        <w:t>vous informer de ce qui suit</w:t>
      </w:r>
      <w:r w:rsidR="008D580F" w:rsidRPr="00FF7B46">
        <w:rPr>
          <w:lang w:val="fr-FR"/>
        </w:rPr>
        <w:t>, au nom de l</w:t>
      </w:r>
      <w:r w:rsidR="00F57205" w:rsidRPr="00FF7B46">
        <w:rPr>
          <w:lang w:val="fr-FR"/>
        </w:rPr>
        <w:t>'</w:t>
      </w:r>
      <w:r w:rsidR="008D580F" w:rsidRPr="00FF7B46">
        <w:rPr>
          <w:lang w:val="fr-FR"/>
        </w:rPr>
        <w:t>Équipe de gestion de la RPC-23</w:t>
      </w:r>
      <w:r w:rsidR="00A21914" w:rsidRPr="00FF7B46">
        <w:rPr>
          <w:lang w:val="fr-FR"/>
        </w:rPr>
        <w:t>:</w:t>
      </w:r>
      <w:bookmarkEnd w:id="7"/>
    </w:p>
    <w:p w14:paraId="0EAEE1D8" w14:textId="5142FB69" w:rsidR="00A21914" w:rsidRPr="00D540A7" w:rsidRDefault="00A21914" w:rsidP="00AB7825">
      <w:pPr>
        <w:pStyle w:val="enumlev1"/>
        <w:rPr>
          <w:lang w:val="fr-FR"/>
        </w:rPr>
      </w:pPr>
      <w:r w:rsidRPr="00D540A7">
        <w:rPr>
          <w:lang w:val="fr-FR"/>
        </w:rPr>
        <w:t>–</w:t>
      </w:r>
      <w:r w:rsidRPr="00D540A7">
        <w:rPr>
          <w:lang w:val="fr-FR"/>
        </w:rPr>
        <w:tab/>
      </w:r>
      <w:r w:rsidR="008D580F" w:rsidRPr="00D540A7">
        <w:rPr>
          <w:lang w:val="fr-FR"/>
        </w:rPr>
        <w:t>L</w:t>
      </w:r>
      <w:r w:rsidRPr="00D540A7">
        <w:rPr>
          <w:lang w:val="fr-FR"/>
        </w:rPr>
        <w:t xml:space="preserve">a version finale des projets de texte de la RPC établis par les groupes responsables </w:t>
      </w:r>
      <w:r w:rsidR="00A73BF6" w:rsidRPr="00D540A7">
        <w:rPr>
          <w:lang w:val="fr-FR"/>
        </w:rPr>
        <w:t xml:space="preserve">devrait parvenir aux </w:t>
      </w:r>
      <w:r w:rsidRPr="00D540A7">
        <w:rPr>
          <w:lang w:val="fr-FR"/>
        </w:rPr>
        <w:t>Rapporteurs pour les différents Chapitres du Rapport de la RPC</w:t>
      </w:r>
      <w:r w:rsidR="00F57205" w:rsidRPr="00D540A7">
        <w:rPr>
          <w:lang w:val="fr-FR"/>
        </w:rPr>
        <w:noBreakHyphen/>
      </w:r>
      <w:r w:rsidRPr="00D540A7">
        <w:rPr>
          <w:lang w:val="fr-FR"/>
        </w:rPr>
        <w:t>23, avec copie au Président de la RPC-23 et au</w:t>
      </w:r>
      <w:r w:rsidR="008D580F" w:rsidRPr="00D540A7">
        <w:rPr>
          <w:lang w:val="fr-FR"/>
        </w:rPr>
        <w:t xml:space="preserve"> Conseiller du BR pour la RPC</w:t>
      </w:r>
      <w:r w:rsidRPr="00D540A7">
        <w:rPr>
          <w:lang w:val="fr-FR"/>
        </w:rPr>
        <w:t>, avant le</w:t>
      </w:r>
      <w:r w:rsidR="00A6316B" w:rsidRPr="00D540A7">
        <w:rPr>
          <w:lang w:val="fr-FR"/>
        </w:rPr>
        <w:t> </w:t>
      </w:r>
      <w:r w:rsidRPr="00D43623">
        <w:rPr>
          <w:b/>
          <w:bCs/>
          <w:lang w:val="fr-FR"/>
        </w:rPr>
        <w:t>21</w:t>
      </w:r>
      <w:r w:rsidR="00A6316B" w:rsidRPr="00D43623">
        <w:rPr>
          <w:b/>
          <w:bCs/>
          <w:lang w:val="fr-FR"/>
        </w:rPr>
        <w:t> </w:t>
      </w:r>
      <w:r w:rsidR="008D580F" w:rsidRPr="00D43623">
        <w:rPr>
          <w:b/>
          <w:bCs/>
          <w:lang w:val="fr-FR"/>
        </w:rPr>
        <w:t xml:space="preserve">octobre </w:t>
      </w:r>
      <w:r w:rsidRPr="00D43623">
        <w:rPr>
          <w:b/>
          <w:bCs/>
          <w:lang w:val="fr-FR"/>
        </w:rPr>
        <w:t>2022</w:t>
      </w:r>
      <w:r w:rsidR="00A73BF6" w:rsidRPr="00D540A7">
        <w:rPr>
          <w:lang w:val="fr-FR"/>
        </w:rPr>
        <w:t xml:space="preserve"> au plus tard, </w:t>
      </w:r>
      <w:r w:rsidRPr="00D540A7">
        <w:rPr>
          <w:lang w:val="fr-FR"/>
        </w:rPr>
        <w:t xml:space="preserve">compte </w:t>
      </w:r>
      <w:r w:rsidR="00A73BF6" w:rsidRPr="00D540A7">
        <w:rPr>
          <w:lang w:val="fr-FR"/>
        </w:rPr>
        <w:t xml:space="preserve">tenu </w:t>
      </w:r>
      <w:r w:rsidRPr="00D540A7">
        <w:rPr>
          <w:lang w:val="fr-FR"/>
        </w:rPr>
        <w:t xml:space="preserve">des dates prévues </w:t>
      </w:r>
      <w:r w:rsidR="00A73BF6" w:rsidRPr="00D540A7">
        <w:rPr>
          <w:lang w:val="fr-FR"/>
        </w:rPr>
        <w:t xml:space="preserve">des </w:t>
      </w:r>
      <w:r w:rsidRPr="00D540A7">
        <w:rPr>
          <w:lang w:val="fr-FR"/>
        </w:rPr>
        <w:t>réunions des groupes responsables.</w:t>
      </w:r>
    </w:p>
    <w:p w14:paraId="22ADD3A1" w14:textId="1DC3634B" w:rsidR="00E53DCE" w:rsidRPr="00D540A7" w:rsidRDefault="00A21914" w:rsidP="00AB7825">
      <w:pPr>
        <w:pStyle w:val="enumlev1"/>
        <w:rPr>
          <w:lang w:val="fr-FR"/>
        </w:rPr>
      </w:pPr>
      <w:r w:rsidRPr="00D540A7">
        <w:rPr>
          <w:lang w:val="fr-FR"/>
        </w:rPr>
        <w:t>–</w:t>
      </w:r>
      <w:r w:rsidRPr="00D540A7">
        <w:rPr>
          <w:lang w:val="fr-FR"/>
        </w:rPr>
        <w:tab/>
        <w:t>Il est prévu que l</w:t>
      </w:r>
      <w:r w:rsidR="00F57205" w:rsidRPr="00D540A7">
        <w:rPr>
          <w:lang w:val="fr-FR"/>
        </w:rPr>
        <w:t>'</w:t>
      </w:r>
      <w:r w:rsidRPr="00D540A7">
        <w:rPr>
          <w:lang w:val="fr-FR"/>
        </w:rPr>
        <w:t xml:space="preserve">Équipe de gestion de la RPC-23 se réunisse les </w:t>
      </w:r>
      <w:r w:rsidR="008D580F" w:rsidRPr="00D43623">
        <w:rPr>
          <w:b/>
          <w:bCs/>
          <w:lang w:val="fr-FR"/>
        </w:rPr>
        <w:t>9</w:t>
      </w:r>
      <w:r w:rsidRPr="00D43623">
        <w:rPr>
          <w:b/>
          <w:bCs/>
          <w:lang w:val="fr-FR"/>
        </w:rPr>
        <w:t xml:space="preserve"> et </w:t>
      </w:r>
      <w:r w:rsidR="008D580F" w:rsidRPr="00D43623">
        <w:rPr>
          <w:b/>
          <w:bCs/>
          <w:lang w:val="fr-FR"/>
        </w:rPr>
        <w:t>10</w:t>
      </w:r>
      <w:r w:rsidRPr="00D43623">
        <w:rPr>
          <w:b/>
          <w:bCs/>
          <w:lang w:val="fr-FR"/>
        </w:rPr>
        <w:t xml:space="preserve"> novembre 2022</w:t>
      </w:r>
      <w:r w:rsidRPr="00D540A7">
        <w:rPr>
          <w:lang w:val="fr-FR"/>
        </w:rPr>
        <w:t xml:space="preserve">, pour regrouper </w:t>
      </w:r>
      <w:r w:rsidR="00A73BF6" w:rsidRPr="00D540A7">
        <w:rPr>
          <w:lang w:val="fr-FR"/>
        </w:rPr>
        <w:t xml:space="preserve">dans le projet de Rapport de la RPC </w:t>
      </w:r>
      <w:r w:rsidRPr="00D540A7">
        <w:rPr>
          <w:lang w:val="fr-FR"/>
        </w:rPr>
        <w:t xml:space="preserve">les projets de texte </w:t>
      </w:r>
      <w:r w:rsidR="00A73BF6" w:rsidRPr="00D540A7">
        <w:rPr>
          <w:lang w:val="fr-FR"/>
        </w:rPr>
        <w:t xml:space="preserve">pour </w:t>
      </w:r>
      <w:r w:rsidRPr="00D540A7">
        <w:rPr>
          <w:lang w:val="fr-FR"/>
        </w:rPr>
        <w:t>la RPC établis par les groupes responsables</w:t>
      </w:r>
      <w:r w:rsidR="00F57205" w:rsidRPr="00D540A7">
        <w:rPr>
          <w:lang w:val="fr-FR"/>
        </w:rPr>
        <w:t>.</w:t>
      </w:r>
    </w:p>
    <w:p w14:paraId="6A138029" w14:textId="73167F1B" w:rsidR="00EE1A57" w:rsidRPr="00104D56" w:rsidRDefault="00950A78" w:rsidP="00AB7825">
      <w:pPr>
        <w:spacing w:before="1440"/>
        <w:jc w:val="left"/>
        <w:rPr>
          <w:lang w:val="fr-FR"/>
        </w:rPr>
      </w:pPr>
      <w:r w:rsidRPr="00104D56">
        <w:rPr>
          <w:lang w:val="fr-FR"/>
        </w:rPr>
        <w:t>Mario Maniewicz</w:t>
      </w:r>
      <w:r w:rsidRPr="00104D56">
        <w:rPr>
          <w:lang w:val="fr-FR"/>
        </w:rPr>
        <w:br/>
        <w:t>Directeur</w:t>
      </w:r>
    </w:p>
    <w:sectPr w:rsidR="00EE1A57" w:rsidRPr="00104D56" w:rsidSect="003F2F3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2369" w14:textId="77777777" w:rsidR="002F2BC1" w:rsidRDefault="002F2BC1">
      <w:r>
        <w:separator/>
      </w:r>
    </w:p>
  </w:endnote>
  <w:endnote w:type="continuationSeparator" w:id="0">
    <w:p w14:paraId="4BDE7283" w14:textId="77777777" w:rsidR="002F2BC1" w:rsidRDefault="002F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AE18" w14:textId="26FFA524" w:rsidR="005E42F8" w:rsidRPr="00D540A7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  <w:t>Tél</w:t>
    </w:r>
    <w:r w:rsidR="00950A78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="00A6316B">
      <w:rPr>
        <w:rFonts w:asciiTheme="minorHAnsi" w:hAnsiTheme="minorHAnsi"/>
        <w:color w:val="4F81BD" w:themeColor="accent1"/>
        <w:sz w:val="18"/>
        <w:szCs w:val="18"/>
        <w:lang w:val="fr-CH"/>
      </w:rPr>
      <w:t>: +41 22 730 5111 • C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ourriel: </w:t>
    </w:r>
    <w:hyperlink r:id="rId1" w:history="1">
      <w:r w:rsidR="00D540A7" w:rsidRPr="00D540A7">
        <w:rPr>
          <w:rStyle w:val="Hyperlink"/>
          <w:sz w:val="19"/>
          <w:szCs w:val="19"/>
          <w:lang w:val="fr-FR"/>
        </w:rPr>
        <w:t>itumail@itu.int</w:t>
      </w:r>
    </w:hyperlink>
    <w:r w:rsidR="00D540A7" w:rsidRPr="00D540A7">
      <w:rPr>
        <w:rStyle w:val="Hyperlink"/>
        <w:sz w:val="19"/>
        <w:szCs w:val="19"/>
        <w:lang w:val="fr-FR"/>
      </w:rPr>
      <w:t xml:space="preserve">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• Fax: +41 22 733 7256 • </w:t>
    </w:r>
    <w:hyperlink r:id="rId2" w:history="1">
      <w:r w:rsidR="00D540A7">
        <w:rPr>
          <w:rStyle w:val="Hyperlink"/>
          <w:sz w:val="19"/>
          <w:szCs w:val="19"/>
          <w:lang w:val="fr-FR"/>
        </w:rPr>
        <w:t>http://www.itu.int/</w:t>
      </w:r>
    </w:hyperlink>
    <w:r w:rsidR="00D540A7" w:rsidRPr="00D540A7">
      <w:rPr>
        <w:rStyle w:val="Hyperlink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EF16" w14:textId="77777777" w:rsidR="002F2BC1" w:rsidRDefault="002F2BC1">
      <w:r>
        <w:t>____________________</w:t>
      </w:r>
    </w:p>
  </w:footnote>
  <w:footnote w:type="continuationSeparator" w:id="0">
    <w:p w14:paraId="3F2392B9" w14:textId="77777777" w:rsidR="002F2BC1" w:rsidRDefault="002F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96A" w14:textId="7B5C5A5D" w:rsidR="003F2F34" w:rsidRPr="003F2F34" w:rsidRDefault="00AB7825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AE700F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45FB5953" w14:textId="77777777" w:rsidTr="00304636">
      <w:tc>
        <w:tcPr>
          <w:tcW w:w="10042" w:type="dxa"/>
          <w:tcMar>
            <w:left w:w="0" w:type="dxa"/>
          </w:tcMar>
        </w:tcPr>
        <w:p w14:paraId="165322FD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</w:rPr>
            <w:drawing>
              <wp:inline distT="0" distB="0" distL="0" distR="0" wp14:anchorId="5D89A7FD" wp14:editId="04FE832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0E71FCC9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B22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620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9CC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AA5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23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BED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8FE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AF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E1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E9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08461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276404">
    <w:abstractNumId w:val="15"/>
  </w:num>
  <w:num w:numId="3" w16cid:durableId="1101222434">
    <w:abstractNumId w:val="9"/>
  </w:num>
  <w:num w:numId="4" w16cid:durableId="2049143480">
    <w:abstractNumId w:val="7"/>
  </w:num>
  <w:num w:numId="5" w16cid:durableId="2006859535">
    <w:abstractNumId w:val="6"/>
  </w:num>
  <w:num w:numId="6" w16cid:durableId="961306390">
    <w:abstractNumId w:val="5"/>
  </w:num>
  <w:num w:numId="7" w16cid:durableId="1544095833">
    <w:abstractNumId w:val="4"/>
  </w:num>
  <w:num w:numId="8" w16cid:durableId="1460105900">
    <w:abstractNumId w:val="8"/>
  </w:num>
  <w:num w:numId="9" w16cid:durableId="1951087398">
    <w:abstractNumId w:val="3"/>
  </w:num>
  <w:num w:numId="10" w16cid:durableId="1788115301">
    <w:abstractNumId w:val="2"/>
  </w:num>
  <w:num w:numId="11" w16cid:durableId="1674144028">
    <w:abstractNumId w:val="1"/>
  </w:num>
  <w:num w:numId="12" w16cid:durableId="197579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08EB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04D56"/>
    <w:rsid w:val="0011265F"/>
    <w:rsid w:val="00117282"/>
    <w:rsid w:val="00117389"/>
    <w:rsid w:val="00121C2D"/>
    <w:rsid w:val="00134404"/>
    <w:rsid w:val="00137AF5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3F7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7C64"/>
    <w:rsid w:val="002D5A15"/>
    <w:rsid w:val="002D5BDD"/>
    <w:rsid w:val="002E3D27"/>
    <w:rsid w:val="002F0890"/>
    <w:rsid w:val="002F2531"/>
    <w:rsid w:val="002F2BC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A0F"/>
    <w:rsid w:val="003C7D41"/>
    <w:rsid w:val="003D4418"/>
    <w:rsid w:val="003D4A69"/>
    <w:rsid w:val="003E504F"/>
    <w:rsid w:val="003E78D6"/>
    <w:rsid w:val="003F1651"/>
    <w:rsid w:val="003F2F34"/>
    <w:rsid w:val="00400573"/>
    <w:rsid w:val="004007A3"/>
    <w:rsid w:val="00406D71"/>
    <w:rsid w:val="00411CB3"/>
    <w:rsid w:val="004228FA"/>
    <w:rsid w:val="004308CB"/>
    <w:rsid w:val="00430C1C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14C6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132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522D"/>
    <w:rsid w:val="005D3669"/>
    <w:rsid w:val="005E1CAB"/>
    <w:rsid w:val="005E42F8"/>
    <w:rsid w:val="005E5EB3"/>
    <w:rsid w:val="005F0900"/>
    <w:rsid w:val="005F3CB6"/>
    <w:rsid w:val="005F657C"/>
    <w:rsid w:val="00600ACE"/>
    <w:rsid w:val="00602D53"/>
    <w:rsid w:val="006047E5"/>
    <w:rsid w:val="00613445"/>
    <w:rsid w:val="00642050"/>
    <w:rsid w:val="0064371D"/>
    <w:rsid w:val="00650543"/>
    <w:rsid w:val="00650B2A"/>
    <w:rsid w:val="00651777"/>
    <w:rsid w:val="006550F8"/>
    <w:rsid w:val="006829F3"/>
    <w:rsid w:val="006A2A3A"/>
    <w:rsid w:val="006A518B"/>
    <w:rsid w:val="006B0590"/>
    <w:rsid w:val="006B49DA"/>
    <w:rsid w:val="006C53F8"/>
    <w:rsid w:val="006C7CDE"/>
    <w:rsid w:val="006F15D8"/>
    <w:rsid w:val="007234B1"/>
    <w:rsid w:val="00723D08"/>
    <w:rsid w:val="00725FDA"/>
    <w:rsid w:val="00727816"/>
    <w:rsid w:val="00730B9A"/>
    <w:rsid w:val="0073733A"/>
    <w:rsid w:val="00750CFA"/>
    <w:rsid w:val="007553DA"/>
    <w:rsid w:val="00773F7E"/>
    <w:rsid w:val="00775DB8"/>
    <w:rsid w:val="00782354"/>
    <w:rsid w:val="007921A7"/>
    <w:rsid w:val="007A63FB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3EB7"/>
    <w:rsid w:val="00806160"/>
    <w:rsid w:val="008143A4"/>
    <w:rsid w:val="0081513E"/>
    <w:rsid w:val="00824AD4"/>
    <w:rsid w:val="00854131"/>
    <w:rsid w:val="0085652D"/>
    <w:rsid w:val="0087694B"/>
    <w:rsid w:val="00880F4D"/>
    <w:rsid w:val="0088443B"/>
    <w:rsid w:val="008A254E"/>
    <w:rsid w:val="008A478E"/>
    <w:rsid w:val="008B35A3"/>
    <w:rsid w:val="008B37E1"/>
    <w:rsid w:val="008B45F8"/>
    <w:rsid w:val="008C2E74"/>
    <w:rsid w:val="008D5409"/>
    <w:rsid w:val="008D580F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0A78"/>
    <w:rsid w:val="009518B3"/>
    <w:rsid w:val="0095297D"/>
    <w:rsid w:val="00963D9D"/>
    <w:rsid w:val="0098013E"/>
    <w:rsid w:val="00981B54"/>
    <w:rsid w:val="009842C3"/>
    <w:rsid w:val="00993E6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063D"/>
    <w:rsid w:val="009F5CC2"/>
    <w:rsid w:val="00A119E6"/>
    <w:rsid w:val="00A20FBC"/>
    <w:rsid w:val="00A21914"/>
    <w:rsid w:val="00A231BC"/>
    <w:rsid w:val="00A31370"/>
    <w:rsid w:val="00A34D6F"/>
    <w:rsid w:val="00A41F91"/>
    <w:rsid w:val="00A52F04"/>
    <w:rsid w:val="00A6316B"/>
    <w:rsid w:val="00A63355"/>
    <w:rsid w:val="00A73BF6"/>
    <w:rsid w:val="00A7596D"/>
    <w:rsid w:val="00A84B73"/>
    <w:rsid w:val="00A963DF"/>
    <w:rsid w:val="00AA211B"/>
    <w:rsid w:val="00AA781A"/>
    <w:rsid w:val="00AB7825"/>
    <w:rsid w:val="00AC0C22"/>
    <w:rsid w:val="00AC3896"/>
    <w:rsid w:val="00AD2CF2"/>
    <w:rsid w:val="00AE2D88"/>
    <w:rsid w:val="00AE6F6F"/>
    <w:rsid w:val="00AE700F"/>
    <w:rsid w:val="00AF3325"/>
    <w:rsid w:val="00AF34D9"/>
    <w:rsid w:val="00AF70DA"/>
    <w:rsid w:val="00B019D3"/>
    <w:rsid w:val="00B048B6"/>
    <w:rsid w:val="00B16E6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6170"/>
    <w:rsid w:val="00C07319"/>
    <w:rsid w:val="00C13786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2A36"/>
    <w:rsid w:val="00C9291E"/>
    <w:rsid w:val="00CA075A"/>
    <w:rsid w:val="00CA3F44"/>
    <w:rsid w:val="00CA4E58"/>
    <w:rsid w:val="00CB3771"/>
    <w:rsid w:val="00CB44BF"/>
    <w:rsid w:val="00CB5153"/>
    <w:rsid w:val="00CE076A"/>
    <w:rsid w:val="00CE463D"/>
    <w:rsid w:val="00CE62E2"/>
    <w:rsid w:val="00CF141B"/>
    <w:rsid w:val="00D10BA0"/>
    <w:rsid w:val="00D21694"/>
    <w:rsid w:val="00D24EB5"/>
    <w:rsid w:val="00D35AB9"/>
    <w:rsid w:val="00D41571"/>
    <w:rsid w:val="00D416A0"/>
    <w:rsid w:val="00D42064"/>
    <w:rsid w:val="00D43623"/>
    <w:rsid w:val="00D47672"/>
    <w:rsid w:val="00D5123C"/>
    <w:rsid w:val="00D540A7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3D6"/>
    <w:rsid w:val="00E915AF"/>
    <w:rsid w:val="00E96415"/>
    <w:rsid w:val="00EA15B3"/>
    <w:rsid w:val="00EA2C83"/>
    <w:rsid w:val="00EB2358"/>
    <w:rsid w:val="00EB3EB8"/>
    <w:rsid w:val="00EB72E3"/>
    <w:rsid w:val="00EC00EF"/>
    <w:rsid w:val="00EC02FE"/>
    <w:rsid w:val="00EC4A96"/>
    <w:rsid w:val="00EC55E3"/>
    <w:rsid w:val="00ED1CEF"/>
    <w:rsid w:val="00EE03A0"/>
    <w:rsid w:val="00EE1A57"/>
    <w:rsid w:val="00F15BC0"/>
    <w:rsid w:val="00F424BF"/>
    <w:rsid w:val="00F44FC3"/>
    <w:rsid w:val="00F46107"/>
    <w:rsid w:val="00F468C5"/>
    <w:rsid w:val="00F52F39"/>
    <w:rsid w:val="00F55464"/>
    <w:rsid w:val="00F57205"/>
    <w:rsid w:val="00F6184F"/>
    <w:rsid w:val="00F73DBD"/>
    <w:rsid w:val="00F8310E"/>
    <w:rsid w:val="00F914DD"/>
    <w:rsid w:val="00FA2358"/>
    <w:rsid w:val="00FB2592"/>
    <w:rsid w:val="00FB2810"/>
    <w:rsid w:val="00FB7A2C"/>
    <w:rsid w:val="00FC04C7"/>
    <w:rsid w:val="00FC2947"/>
    <w:rsid w:val="00FE0818"/>
    <w:rsid w:val="00FE6FB1"/>
    <w:rsid w:val="00FF33E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A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1320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F57205"/>
    <w:rPr>
      <w:szCs w:val="22"/>
      <w:lang w:val="en-US" w:eastAsia="en-US"/>
    </w:rPr>
  </w:style>
  <w:style w:type="paragraph" w:styleId="Revision">
    <w:name w:val="Revision"/>
    <w:hidden/>
    <w:uiPriority w:val="99"/>
    <w:semiHidden/>
    <w:rsid w:val="00B16E6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6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7C4F-1073-4825-A19D-BE138786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2978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3</cp:revision>
  <cp:lastPrinted>2022-04-25T14:38:00Z</cp:lastPrinted>
  <dcterms:created xsi:type="dcterms:W3CDTF">2022-05-16T08:20:00Z</dcterms:created>
  <dcterms:modified xsi:type="dcterms:W3CDTF">2022-05-16T08:21:00Z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