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4941"/>
        <w:gridCol w:w="3422"/>
      </w:tblGrid>
      <w:tr w:rsidR="00E53DCE" w:rsidRPr="00500B55" w14:paraId="64B9AF35" w14:textId="77777777" w:rsidTr="00306452">
        <w:trPr>
          <w:jc w:val="center"/>
        </w:trPr>
        <w:tc>
          <w:tcPr>
            <w:tcW w:w="9889" w:type="dxa"/>
            <w:gridSpan w:val="3"/>
            <w:shd w:val="clear" w:color="auto" w:fill="auto"/>
          </w:tcPr>
          <w:p w14:paraId="21DF8063" w14:textId="77777777" w:rsidR="00E53DCE" w:rsidRPr="007967D3" w:rsidRDefault="00A96D3A" w:rsidP="00D7162A">
            <w:pPr>
              <w:spacing w:before="0"/>
              <w:jc w:val="left"/>
              <w:rPr>
                <w:rFonts w:cstheme="minorHAnsi"/>
                <w:b/>
                <w:bCs/>
                <w:color w:val="808080"/>
                <w:sz w:val="28"/>
                <w:szCs w:val="28"/>
                <w:lang w:val="es-ES"/>
              </w:rPr>
            </w:pPr>
            <w:r w:rsidRPr="00415CFA">
              <w:rPr>
                <w:rFonts w:cstheme="minorHAnsi"/>
                <w:b/>
                <w:bCs/>
                <w:color w:val="808080"/>
                <w:sz w:val="28"/>
                <w:szCs w:val="28"/>
                <w:lang w:val="es-ES_tradnl"/>
              </w:rPr>
              <w:t>Oficina de Radiocomunicaciones (BR)</w:t>
            </w:r>
          </w:p>
          <w:p w14:paraId="164D1090" w14:textId="438540DA" w:rsidR="00E53DCE" w:rsidRPr="00100121" w:rsidRDefault="00E53DCE" w:rsidP="00D7162A">
            <w:pPr>
              <w:spacing w:before="0"/>
              <w:jc w:val="left"/>
              <w:rPr>
                <w:rFonts w:cstheme="minorHAnsi"/>
                <w:b/>
                <w:bCs/>
                <w:color w:val="808080"/>
                <w:sz w:val="28"/>
                <w:szCs w:val="28"/>
              </w:rPr>
            </w:pPr>
          </w:p>
          <w:p w14:paraId="25811970" w14:textId="77777777" w:rsidR="00E53DCE" w:rsidRPr="007A7DF3" w:rsidRDefault="00E53DCE" w:rsidP="00D7162A">
            <w:pPr>
              <w:spacing w:before="0"/>
              <w:jc w:val="left"/>
              <w:rPr>
                <w:rFonts w:cs="Times New Roman Bold"/>
                <w:b/>
                <w:bCs/>
                <w:color w:val="808080"/>
                <w:sz w:val="28"/>
                <w:szCs w:val="28"/>
              </w:rPr>
            </w:pPr>
          </w:p>
        </w:tc>
      </w:tr>
      <w:tr w:rsidR="00E53DCE" w:rsidRPr="0033029C" w14:paraId="116D12F5" w14:textId="77777777" w:rsidTr="006F3031">
        <w:trPr>
          <w:jc w:val="center"/>
        </w:trPr>
        <w:tc>
          <w:tcPr>
            <w:tcW w:w="6467" w:type="dxa"/>
            <w:gridSpan w:val="2"/>
            <w:shd w:val="clear" w:color="auto" w:fill="auto"/>
          </w:tcPr>
          <w:p w14:paraId="42837612" w14:textId="30A8F641" w:rsidR="00E53DCE" w:rsidRPr="001B3D4D" w:rsidRDefault="00A96D3A" w:rsidP="00D7162A">
            <w:pPr>
              <w:spacing w:before="0"/>
              <w:jc w:val="left"/>
              <w:rPr>
                <w:szCs w:val="24"/>
                <w:lang w:val="es-ES"/>
              </w:rPr>
            </w:pPr>
            <w:r w:rsidRPr="001B3D4D">
              <w:rPr>
                <w:szCs w:val="24"/>
                <w:lang w:val="es-ES"/>
              </w:rPr>
              <w:t>Circular Administrativa</w:t>
            </w:r>
          </w:p>
          <w:p w14:paraId="48556702" w14:textId="4B15E7A1" w:rsidR="00E53DCE" w:rsidRPr="001B3D4D" w:rsidRDefault="001B3D4D" w:rsidP="00D7162A">
            <w:pPr>
              <w:spacing w:before="0"/>
              <w:jc w:val="left"/>
              <w:rPr>
                <w:b/>
                <w:bCs/>
                <w:szCs w:val="24"/>
                <w:lang w:val="es-ES"/>
              </w:rPr>
            </w:pPr>
            <w:r w:rsidRPr="001B3D4D">
              <w:rPr>
                <w:b/>
                <w:bCs/>
                <w:szCs w:val="24"/>
                <w:lang w:val="es-ES"/>
              </w:rPr>
              <w:t>CA</w:t>
            </w:r>
            <w:r w:rsidR="00EE68C8" w:rsidRPr="00EE68C8">
              <w:rPr>
                <w:b/>
                <w:bCs/>
                <w:szCs w:val="24"/>
                <w:lang w:val="es-ES_tradnl"/>
              </w:rPr>
              <w:t>/</w:t>
            </w:r>
            <w:r w:rsidR="007967D3" w:rsidRPr="007967D3">
              <w:rPr>
                <w:b/>
                <w:bCs/>
                <w:szCs w:val="24"/>
                <w:lang w:val="fr-CH"/>
              </w:rPr>
              <w:t>251</w:t>
            </w:r>
          </w:p>
        </w:tc>
        <w:tc>
          <w:tcPr>
            <w:tcW w:w="3422" w:type="dxa"/>
            <w:shd w:val="clear" w:color="auto" w:fill="auto"/>
          </w:tcPr>
          <w:p w14:paraId="0F5D82BC" w14:textId="5768E8AE" w:rsidR="00E53DCE" w:rsidRPr="0033029C" w:rsidRDefault="00EE68C8" w:rsidP="00AC3B61">
            <w:pPr>
              <w:spacing w:before="0"/>
              <w:jc w:val="right"/>
              <w:rPr>
                <w:szCs w:val="24"/>
                <w:lang w:val="en-GB"/>
              </w:rPr>
            </w:pPr>
            <w:r w:rsidRPr="00EE68C8">
              <w:rPr>
                <w:bCs/>
                <w:szCs w:val="24"/>
                <w:lang w:val="en-GB"/>
              </w:rPr>
              <w:t>1</w:t>
            </w:r>
            <w:r w:rsidR="00AC3B61">
              <w:rPr>
                <w:bCs/>
                <w:szCs w:val="24"/>
                <w:lang w:val="en-GB"/>
              </w:rPr>
              <w:t>9</w:t>
            </w:r>
            <w:r w:rsidRPr="00EE68C8">
              <w:rPr>
                <w:bCs/>
                <w:szCs w:val="24"/>
                <w:lang w:val="en-GB"/>
              </w:rPr>
              <w:t xml:space="preserve"> </w:t>
            </w:r>
            <w:r w:rsidR="00A96D3A" w:rsidRPr="0033029C">
              <w:rPr>
                <w:bCs/>
                <w:szCs w:val="24"/>
              </w:rPr>
              <w:t xml:space="preserve">de </w:t>
            </w:r>
            <w:r w:rsidRPr="00CC431F">
              <w:rPr>
                <w:rFonts w:asciiTheme="minorHAnsi" w:hAnsiTheme="minorHAnsi"/>
                <w:bCs/>
                <w:lang w:val="es-ES_tradnl"/>
              </w:rPr>
              <w:t xml:space="preserve">diciembre de </w:t>
            </w:r>
            <w:r w:rsidRPr="00EE68C8">
              <w:rPr>
                <w:rFonts w:asciiTheme="minorHAnsi" w:hAnsiTheme="minorHAnsi"/>
                <w:bCs/>
                <w:lang w:val="en-GB"/>
              </w:rPr>
              <w:t>2019</w:t>
            </w:r>
          </w:p>
        </w:tc>
      </w:tr>
      <w:tr w:rsidR="00E53DCE" w:rsidRPr="0033029C" w14:paraId="76375348" w14:textId="77777777" w:rsidTr="00306452">
        <w:trPr>
          <w:jc w:val="center"/>
        </w:trPr>
        <w:tc>
          <w:tcPr>
            <w:tcW w:w="9889" w:type="dxa"/>
            <w:gridSpan w:val="3"/>
            <w:shd w:val="clear" w:color="auto" w:fill="auto"/>
          </w:tcPr>
          <w:p w14:paraId="207CFE5F" w14:textId="77777777" w:rsidR="00E53DCE" w:rsidRPr="0033029C" w:rsidRDefault="00E53DCE" w:rsidP="00D7162A">
            <w:pPr>
              <w:spacing w:before="0"/>
              <w:jc w:val="left"/>
              <w:rPr>
                <w:rFonts w:cs="Arial"/>
                <w:szCs w:val="24"/>
                <w:lang w:val="en-GB"/>
              </w:rPr>
            </w:pPr>
          </w:p>
        </w:tc>
      </w:tr>
      <w:tr w:rsidR="00E53DCE" w:rsidRPr="0033029C" w14:paraId="105874D9" w14:textId="77777777" w:rsidTr="00306452">
        <w:trPr>
          <w:jc w:val="center"/>
        </w:trPr>
        <w:tc>
          <w:tcPr>
            <w:tcW w:w="9889" w:type="dxa"/>
            <w:gridSpan w:val="3"/>
            <w:shd w:val="clear" w:color="auto" w:fill="auto"/>
          </w:tcPr>
          <w:p w14:paraId="4382EA04" w14:textId="77777777" w:rsidR="00E53DCE" w:rsidRPr="0033029C" w:rsidRDefault="00E53DCE" w:rsidP="00D7162A">
            <w:pPr>
              <w:spacing w:before="0"/>
              <w:jc w:val="left"/>
              <w:rPr>
                <w:szCs w:val="24"/>
              </w:rPr>
            </w:pPr>
          </w:p>
        </w:tc>
      </w:tr>
      <w:tr w:rsidR="00E53DCE" w:rsidRPr="00882A01" w14:paraId="60913CD9" w14:textId="77777777" w:rsidTr="00306452">
        <w:trPr>
          <w:jc w:val="center"/>
        </w:trPr>
        <w:tc>
          <w:tcPr>
            <w:tcW w:w="9889" w:type="dxa"/>
            <w:gridSpan w:val="3"/>
            <w:shd w:val="clear" w:color="auto" w:fill="auto"/>
          </w:tcPr>
          <w:p w14:paraId="2C8750B2" w14:textId="40E5B6D7" w:rsidR="00E53DCE" w:rsidRPr="0033029C" w:rsidRDefault="00EE68C8" w:rsidP="00D7162A">
            <w:pPr>
              <w:spacing w:before="0"/>
              <w:jc w:val="left"/>
              <w:rPr>
                <w:b/>
                <w:bCs/>
                <w:szCs w:val="24"/>
                <w:lang w:val="es-ES"/>
              </w:rPr>
            </w:pPr>
            <w:r w:rsidRPr="00EE68C8">
              <w:rPr>
                <w:b/>
                <w:szCs w:val="24"/>
                <w:lang w:val="es-ES_tradnl"/>
              </w:rPr>
              <w:t>A las Administraciones de los Estados Miembros de la UIT, y a los Miembros de Sector de Radiocomunicaciones</w:t>
            </w:r>
          </w:p>
          <w:p w14:paraId="5E2F886A" w14:textId="77777777" w:rsidR="00E53DCE" w:rsidRPr="0033029C" w:rsidRDefault="00E53DCE" w:rsidP="00D7162A">
            <w:pPr>
              <w:spacing w:before="0"/>
              <w:jc w:val="left"/>
              <w:rPr>
                <w:b/>
                <w:bCs/>
                <w:szCs w:val="24"/>
                <w:lang w:val="es-ES"/>
              </w:rPr>
            </w:pPr>
          </w:p>
        </w:tc>
      </w:tr>
      <w:tr w:rsidR="00E53DCE" w:rsidRPr="00882A01" w14:paraId="06F80E01" w14:textId="77777777" w:rsidTr="00306452">
        <w:trPr>
          <w:jc w:val="center"/>
        </w:trPr>
        <w:tc>
          <w:tcPr>
            <w:tcW w:w="9889" w:type="dxa"/>
            <w:gridSpan w:val="3"/>
            <w:shd w:val="clear" w:color="auto" w:fill="auto"/>
          </w:tcPr>
          <w:p w14:paraId="3ED831B7" w14:textId="77777777" w:rsidR="00E53DCE" w:rsidRPr="0033029C" w:rsidRDefault="00E53DCE" w:rsidP="00D7162A">
            <w:pPr>
              <w:spacing w:before="0"/>
              <w:jc w:val="left"/>
              <w:rPr>
                <w:szCs w:val="24"/>
                <w:lang w:val="es-ES"/>
              </w:rPr>
            </w:pPr>
          </w:p>
        </w:tc>
      </w:tr>
      <w:tr w:rsidR="00E53DCE" w:rsidRPr="00882A01" w14:paraId="6385E405" w14:textId="77777777" w:rsidTr="00306452">
        <w:trPr>
          <w:jc w:val="center"/>
        </w:trPr>
        <w:tc>
          <w:tcPr>
            <w:tcW w:w="9889" w:type="dxa"/>
            <w:gridSpan w:val="3"/>
            <w:shd w:val="clear" w:color="auto" w:fill="auto"/>
          </w:tcPr>
          <w:p w14:paraId="753DEBA4" w14:textId="77777777" w:rsidR="00E53DCE" w:rsidRPr="0033029C" w:rsidRDefault="00E53DCE" w:rsidP="00D7162A">
            <w:pPr>
              <w:spacing w:before="0"/>
              <w:jc w:val="left"/>
              <w:rPr>
                <w:szCs w:val="24"/>
                <w:lang w:val="es-ES"/>
              </w:rPr>
            </w:pPr>
          </w:p>
        </w:tc>
      </w:tr>
      <w:tr w:rsidR="00E53DCE" w:rsidRPr="00882A01" w14:paraId="3B225558" w14:textId="77777777" w:rsidTr="00306452">
        <w:trPr>
          <w:jc w:val="center"/>
        </w:trPr>
        <w:tc>
          <w:tcPr>
            <w:tcW w:w="1526" w:type="dxa"/>
            <w:shd w:val="clear" w:color="auto" w:fill="auto"/>
          </w:tcPr>
          <w:p w14:paraId="22896DF5" w14:textId="77777777" w:rsidR="00E53DCE" w:rsidRPr="00EE68C8" w:rsidRDefault="00311970" w:rsidP="00D7162A">
            <w:pPr>
              <w:tabs>
                <w:tab w:val="clear" w:pos="1588"/>
                <w:tab w:val="left" w:pos="1560"/>
              </w:tabs>
              <w:spacing w:before="0"/>
              <w:jc w:val="left"/>
              <w:rPr>
                <w:szCs w:val="24"/>
                <w:lang w:val="es-ES_tradnl"/>
              </w:rPr>
            </w:pPr>
            <w:r w:rsidRPr="00EE68C8">
              <w:rPr>
                <w:szCs w:val="24"/>
                <w:lang w:val="es-ES_tradnl"/>
              </w:rPr>
              <w:t>Asunto:</w:t>
            </w:r>
          </w:p>
        </w:tc>
        <w:tc>
          <w:tcPr>
            <w:tcW w:w="8363" w:type="dxa"/>
            <w:gridSpan w:val="2"/>
            <w:vMerge w:val="restart"/>
            <w:shd w:val="clear" w:color="auto" w:fill="auto"/>
          </w:tcPr>
          <w:p w14:paraId="0D4C1730" w14:textId="6AB653A8" w:rsidR="00E53DCE" w:rsidRPr="00EE68C8" w:rsidRDefault="00EE68C8" w:rsidP="00EE68C8">
            <w:pPr>
              <w:tabs>
                <w:tab w:val="clear" w:pos="1588"/>
                <w:tab w:val="left" w:pos="1560"/>
              </w:tabs>
              <w:spacing w:before="0"/>
              <w:jc w:val="left"/>
              <w:rPr>
                <w:b/>
                <w:bCs/>
                <w:szCs w:val="24"/>
                <w:lang w:val="es-ES"/>
              </w:rPr>
            </w:pPr>
            <w:r w:rsidRPr="00CC431F">
              <w:rPr>
                <w:rFonts w:asciiTheme="minorHAnsi" w:hAnsiTheme="minorHAnsi"/>
                <w:b/>
                <w:bCs/>
                <w:lang w:val="es-ES_tradnl"/>
              </w:rPr>
              <w:t>Resultados de la primera sesión de la Reunión Preparatoria de la Conferencia para la CMR-</w:t>
            </w:r>
            <w:r w:rsidRPr="00EE68C8">
              <w:rPr>
                <w:b/>
                <w:bCs/>
                <w:szCs w:val="24"/>
                <w:lang w:val="es-ES"/>
              </w:rPr>
              <w:t>23</w:t>
            </w:r>
            <w:r>
              <w:rPr>
                <w:b/>
                <w:bCs/>
                <w:szCs w:val="24"/>
                <w:lang w:val="es-ES"/>
              </w:rPr>
              <w:t xml:space="preserve"> </w:t>
            </w:r>
            <w:r w:rsidRPr="00EE68C8">
              <w:rPr>
                <w:b/>
                <w:bCs/>
                <w:szCs w:val="24"/>
                <w:lang w:val="es-ES"/>
              </w:rPr>
              <w:t>(</w:t>
            </w:r>
            <w:r w:rsidR="00A96272">
              <w:rPr>
                <w:b/>
                <w:bCs/>
                <w:szCs w:val="24"/>
                <w:lang w:val="es-ES"/>
              </w:rPr>
              <w:t>RPC</w:t>
            </w:r>
            <w:r w:rsidRPr="00EE68C8">
              <w:rPr>
                <w:b/>
                <w:bCs/>
                <w:szCs w:val="24"/>
                <w:lang w:val="es-ES"/>
              </w:rPr>
              <w:t>23</w:t>
            </w:r>
            <w:r w:rsidRPr="00CC431F">
              <w:rPr>
                <w:rFonts w:asciiTheme="minorHAnsi" w:hAnsiTheme="minorHAnsi"/>
                <w:b/>
                <w:bCs/>
                <w:lang w:val="es-ES_tradnl"/>
              </w:rPr>
              <w:t>-1)</w:t>
            </w:r>
          </w:p>
        </w:tc>
      </w:tr>
      <w:tr w:rsidR="00E53DCE" w:rsidRPr="00882A01" w14:paraId="14E6E52A" w14:textId="77777777" w:rsidTr="00306452">
        <w:trPr>
          <w:jc w:val="center"/>
        </w:trPr>
        <w:tc>
          <w:tcPr>
            <w:tcW w:w="1526" w:type="dxa"/>
            <w:shd w:val="clear" w:color="auto" w:fill="auto"/>
          </w:tcPr>
          <w:p w14:paraId="2F30E0B2" w14:textId="77777777" w:rsidR="00E53DCE" w:rsidRPr="00EE68C8" w:rsidRDefault="00E53DCE" w:rsidP="00D7162A">
            <w:pPr>
              <w:tabs>
                <w:tab w:val="clear" w:pos="1588"/>
                <w:tab w:val="left" w:pos="1560"/>
              </w:tabs>
              <w:spacing w:before="0"/>
              <w:jc w:val="left"/>
              <w:rPr>
                <w:b/>
                <w:bCs/>
                <w:szCs w:val="24"/>
                <w:lang w:val="es-ES"/>
              </w:rPr>
            </w:pPr>
          </w:p>
        </w:tc>
        <w:tc>
          <w:tcPr>
            <w:tcW w:w="8363" w:type="dxa"/>
            <w:gridSpan w:val="2"/>
            <w:vMerge/>
            <w:shd w:val="clear" w:color="auto" w:fill="auto"/>
          </w:tcPr>
          <w:p w14:paraId="0128CA56" w14:textId="77777777" w:rsidR="00E53DCE" w:rsidRPr="00EE68C8" w:rsidRDefault="00E53DCE" w:rsidP="00D7162A">
            <w:pPr>
              <w:tabs>
                <w:tab w:val="clear" w:pos="1588"/>
                <w:tab w:val="left" w:pos="1560"/>
              </w:tabs>
              <w:spacing w:before="0"/>
              <w:rPr>
                <w:b/>
                <w:bCs/>
                <w:szCs w:val="24"/>
                <w:lang w:val="es-ES"/>
              </w:rPr>
            </w:pPr>
          </w:p>
        </w:tc>
      </w:tr>
      <w:tr w:rsidR="00E53DCE" w:rsidRPr="00882A01" w14:paraId="75934E74" w14:textId="77777777" w:rsidTr="00306452">
        <w:trPr>
          <w:jc w:val="center"/>
        </w:trPr>
        <w:tc>
          <w:tcPr>
            <w:tcW w:w="1526" w:type="dxa"/>
            <w:shd w:val="clear" w:color="auto" w:fill="auto"/>
          </w:tcPr>
          <w:p w14:paraId="78F23E45" w14:textId="77777777" w:rsidR="00E53DCE" w:rsidRPr="00EE68C8" w:rsidRDefault="00E53DCE" w:rsidP="00D7162A">
            <w:pPr>
              <w:tabs>
                <w:tab w:val="clear" w:pos="1588"/>
                <w:tab w:val="left" w:pos="1560"/>
              </w:tabs>
              <w:spacing w:before="0"/>
              <w:jc w:val="left"/>
              <w:rPr>
                <w:b/>
                <w:bCs/>
                <w:szCs w:val="24"/>
                <w:lang w:val="es-ES"/>
              </w:rPr>
            </w:pPr>
          </w:p>
        </w:tc>
        <w:tc>
          <w:tcPr>
            <w:tcW w:w="8363" w:type="dxa"/>
            <w:gridSpan w:val="2"/>
            <w:vMerge/>
            <w:shd w:val="clear" w:color="auto" w:fill="auto"/>
          </w:tcPr>
          <w:p w14:paraId="004BC363" w14:textId="77777777" w:rsidR="00E53DCE" w:rsidRPr="00EE68C8" w:rsidRDefault="00E53DCE" w:rsidP="00D7162A">
            <w:pPr>
              <w:tabs>
                <w:tab w:val="clear" w:pos="1588"/>
                <w:tab w:val="left" w:pos="1560"/>
              </w:tabs>
              <w:spacing w:before="0"/>
              <w:rPr>
                <w:b/>
                <w:bCs/>
                <w:szCs w:val="24"/>
                <w:lang w:val="es-ES"/>
              </w:rPr>
            </w:pPr>
          </w:p>
        </w:tc>
      </w:tr>
      <w:tr w:rsidR="00E53DCE" w:rsidRPr="00882A01" w14:paraId="3C0A7B39" w14:textId="77777777" w:rsidTr="00306452">
        <w:trPr>
          <w:jc w:val="center"/>
        </w:trPr>
        <w:tc>
          <w:tcPr>
            <w:tcW w:w="9889" w:type="dxa"/>
            <w:gridSpan w:val="3"/>
            <w:shd w:val="clear" w:color="auto" w:fill="auto"/>
          </w:tcPr>
          <w:p w14:paraId="2F35BFC3" w14:textId="77777777" w:rsidR="00E53DCE" w:rsidRPr="00EE68C8" w:rsidRDefault="00E53DCE" w:rsidP="00E53DCE">
            <w:pPr>
              <w:tabs>
                <w:tab w:val="clear" w:pos="1588"/>
                <w:tab w:val="left" w:pos="1560"/>
              </w:tabs>
              <w:spacing w:before="0"/>
              <w:jc w:val="left"/>
              <w:rPr>
                <w:szCs w:val="24"/>
                <w:lang w:val="es-ES"/>
              </w:rPr>
            </w:pPr>
          </w:p>
        </w:tc>
      </w:tr>
      <w:tr w:rsidR="00E53DCE" w:rsidRPr="00882A01" w14:paraId="46190466" w14:textId="77777777" w:rsidTr="00306452">
        <w:trPr>
          <w:jc w:val="center"/>
        </w:trPr>
        <w:tc>
          <w:tcPr>
            <w:tcW w:w="9889" w:type="dxa"/>
            <w:gridSpan w:val="3"/>
            <w:shd w:val="clear" w:color="auto" w:fill="auto"/>
          </w:tcPr>
          <w:p w14:paraId="79261C4F" w14:textId="77777777" w:rsidR="00E53DCE" w:rsidRPr="00EE68C8" w:rsidRDefault="00E53DCE" w:rsidP="00D7162A">
            <w:pPr>
              <w:spacing w:before="0"/>
              <w:jc w:val="left"/>
              <w:rPr>
                <w:b/>
                <w:bCs/>
                <w:szCs w:val="24"/>
                <w:lang w:val="es-ES"/>
              </w:rPr>
            </w:pPr>
          </w:p>
        </w:tc>
      </w:tr>
    </w:tbl>
    <w:p w14:paraId="7CA6EF62" w14:textId="77777777" w:rsidR="001457F5" w:rsidRPr="00A665BE" w:rsidRDefault="001457F5" w:rsidP="007A7DF3">
      <w:pPr>
        <w:pStyle w:val="Headingb"/>
        <w:rPr>
          <w:lang w:val="es-ES"/>
        </w:rPr>
      </w:pPr>
      <w:r w:rsidRPr="00A665BE">
        <w:rPr>
          <w:lang w:val="es-ES"/>
        </w:rPr>
        <w:t>Introducción</w:t>
      </w:r>
    </w:p>
    <w:p w14:paraId="2B3A76F8" w14:textId="25F1DF13" w:rsidR="001457F5" w:rsidRPr="00CC431F" w:rsidRDefault="001457F5" w:rsidP="00100121">
      <w:pPr>
        <w:rPr>
          <w:lang w:val="es-ES_tradnl"/>
        </w:rPr>
      </w:pPr>
      <w:r w:rsidRPr="00CC431F">
        <w:rPr>
          <w:lang w:val="es-ES_tradnl"/>
        </w:rPr>
        <w:t>La Conferencia Mundial de Radiocomunicaciones (</w:t>
      </w:r>
      <w:r w:rsidR="00EE68C8" w:rsidRPr="00564FF1">
        <w:rPr>
          <w:szCs w:val="24"/>
          <w:lang w:val="es-ES"/>
        </w:rPr>
        <w:t>Sharm</w:t>
      </w:r>
      <w:r w:rsidR="004A5136">
        <w:rPr>
          <w:szCs w:val="24"/>
          <w:lang w:val="es-ES"/>
        </w:rPr>
        <w:t> </w:t>
      </w:r>
      <w:r w:rsidR="00EE68C8" w:rsidRPr="00564FF1">
        <w:rPr>
          <w:szCs w:val="24"/>
          <w:lang w:val="es-ES"/>
        </w:rPr>
        <w:t>el-Sheikh,</w:t>
      </w:r>
      <w:r w:rsidR="004A5136">
        <w:rPr>
          <w:szCs w:val="24"/>
          <w:lang w:val="es-ES"/>
        </w:rPr>
        <w:t> </w:t>
      </w:r>
      <w:r w:rsidR="00EE68C8" w:rsidRPr="00564FF1">
        <w:rPr>
          <w:szCs w:val="24"/>
          <w:lang w:val="es-ES"/>
        </w:rPr>
        <w:t>2019</w:t>
      </w:r>
      <w:r w:rsidRPr="00CC431F">
        <w:rPr>
          <w:lang w:val="es-ES_tradnl"/>
        </w:rPr>
        <w:t xml:space="preserve">) decidió en sus Resoluciones </w:t>
      </w:r>
      <w:r w:rsidR="00EE68C8" w:rsidRPr="00564FF1">
        <w:rPr>
          <w:szCs w:val="24"/>
          <w:lang w:val="es-ES"/>
        </w:rPr>
        <w:t>811</w:t>
      </w:r>
      <w:r w:rsidR="0009743A">
        <w:rPr>
          <w:szCs w:val="24"/>
          <w:lang w:val="es-ES"/>
        </w:rPr>
        <w:t xml:space="preserve"> </w:t>
      </w:r>
      <w:r w:rsidRPr="00CC431F">
        <w:rPr>
          <w:lang w:val="es-ES_tradnl"/>
        </w:rPr>
        <w:t xml:space="preserve">y </w:t>
      </w:r>
      <w:r w:rsidR="00EE68C8" w:rsidRPr="00EE68C8">
        <w:rPr>
          <w:szCs w:val="24"/>
          <w:lang w:val="es-ES"/>
        </w:rPr>
        <w:t>812</w:t>
      </w:r>
      <w:r w:rsidRPr="00CC431F">
        <w:rPr>
          <w:lang w:val="es-ES_tradnl"/>
        </w:rPr>
        <w:t xml:space="preserve"> recomendar al Consejo el orden del día para la Conferencia Mundial de Radiocomunicaciones de </w:t>
      </w:r>
      <w:r w:rsidR="00EE68C8" w:rsidRPr="00564FF1">
        <w:rPr>
          <w:szCs w:val="24"/>
          <w:lang w:val="es-ES"/>
        </w:rPr>
        <w:t>2023</w:t>
      </w:r>
      <w:r w:rsidRPr="00CC431F">
        <w:rPr>
          <w:lang w:val="es-ES_tradnl"/>
        </w:rPr>
        <w:t xml:space="preserve"> (CMR-</w:t>
      </w:r>
      <w:r w:rsidR="00EE68C8">
        <w:rPr>
          <w:lang w:val="es-ES_tradnl"/>
        </w:rPr>
        <w:t>23</w:t>
      </w:r>
      <w:r w:rsidRPr="00CC431F">
        <w:rPr>
          <w:lang w:val="es-ES_tradnl"/>
        </w:rPr>
        <w:t xml:space="preserve">) y un orden del día preliminar para la Conferencia Mundial de Radiocomunicaciones de </w:t>
      </w:r>
      <w:r w:rsidR="00EE68C8" w:rsidRPr="006F3031">
        <w:rPr>
          <w:szCs w:val="24"/>
          <w:lang w:val="es-ES"/>
        </w:rPr>
        <w:t>2027</w:t>
      </w:r>
      <w:r w:rsidRPr="00CC431F">
        <w:rPr>
          <w:lang w:val="es-ES_tradnl"/>
        </w:rPr>
        <w:t xml:space="preserve"> (CMR-</w:t>
      </w:r>
      <w:r w:rsidR="00EE68C8" w:rsidRPr="006F3031">
        <w:rPr>
          <w:szCs w:val="24"/>
          <w:lang w:val="es-ES"/>
        </w:rPr>
        <w:t>27</w:t>
      </w:r>
      <w:r w:rsidRPr="00CC431F">
        <w:rPr>
          <w:lang w:val="es-ES_tradnl"/>
        </w:rPr>
        <w:t>). Los proyectos del orden d</w:t>
      </w:r>
      <w:r>
        <w:rPr>
          <w:lang w:val="es-ES_tradnl"/>
        </w:rPr>
        <w:t>el día figuran en los Anexos </w:t>
      </w:r>
      <w:r w:rsidRPr="00CC431F">
        <w:rPr>
          <w:lang w:val="es-ES_tradnl"/>
        </w:rPr>
        <w:t>1 y 2 a la presente Carta Circular. La lista de los números provisionales para las nuevas Resoluciones de la CMR-</w:t>
      </w:r>
      <w:r w:rsidR="00EE68C8">
        <w:rPr>
          <w:lang w:val="es-ES_tradnl"/>
        </w:rPr>
        <w:t>19</w:t>
      </w:r>
      <w:r w:rsidRPr="00CC431F">
        <w:rPr>
          <w:lang w:val="es-ES_tradnl"/>
        </w:rPr>
        <w:t xml:space="preserve"> figura en el Anexo 3.</w:t>
      </w:r>
    </w:p>
    <w:p w14:paraId="7CF2BF03" w14:textId="1BEC72DE" w:rsidR="001457F5" w:rsidRPr="00CC431F" w:rsidRDefault="001457F5" w:rsidP="00100121">
      <w:pPr>
        <w:rPr>
          <w:lang w:val="es-ES_tradnl"/>
        </w:rPr>
      </w:pPr>
      <w:r w:rsidRPr="00CC431F">
        <w:rPr>
          <w:lang w:val="es-ES_tradnl"/>
        </w:rPr>
        <w:t>En su Resolución UIT</w:t>
      </w:r>
      <w:r>
        <w:rPr>
          <w:lang w:val="es-ES_tradnl"/>
        </w:rPr>
        <w:t>-</w:t>
      </w:r>
      <w:r w:rsidRPr="00CC431F">
        <w:rPr>
          <w:lang w:val="es-ES_tradnl"/>
        </w:rPr>
        <w:t>R 2-</w:t>
      </w:r>
      <w:r w:rsidR="007B248D">
        <w:rPr>
          <w:lang w:val="es-ES_tradnl"/>
        </w:rPr>
        <w:t>8</w:t>
      </w:r>
      <w:r w:rsidRPr="00CC431F">
        <w:rPr>
          <w:lang w:val="es-ES_tradnl"/>
        </w:rPr>
        <w:t xml:space="preserve"> </w:t>
      </w:r>
      <w:r w:rsidR="007B248D" w:rsidRPr="00564FF1">
        <w:rPr>
          <w:lang w:val="es-ES"/>
        </w:rPr>
        <w:t>(</w:t>
      </w:r>
      <w:hyperlink r:id="rId8" w:history="1">
        <w:r w:rsidR="007B248D" w:rsidRPr="00564FF1">
          <w:rPr>
            <w:rStyle w:val="Hyperlink"/>
            <w:szCs w:val="24"/>
            <w:lang w:val="es-ES"/>
          </w:rPr>
          <w:t>https://www.itu.int/pub/R-RES-R.2-8-2019</w:t>
        </w:r>
      </w:hyperlink>
      <w:r w:rsidR="007B248D" w:rsidRPr="00564FF1">
        <w:rPr>
          <w:lang w:val="es-ES"/>
        </w:rPr>
        <w:t>)</w:t>
      </w:r>
      <w:r w:rsidRPr="00CC431F">
        <w:rPr>
          <w:lang w:val="es-ES_tradnl"/>
        </w:rPr>
        <w:t xml:space="preserve"> la Asamblea de Radiocomunicaciones (AR-</w:t>
      </w:r>
      <w:r w:rsidR="007B248D">
        <w:rPr>
          <w:lang w:val="es-ES_tradnl"/>
        </w:rPr>
        <w:t>19</w:t>
      </w:r>
      <w:r w:rsidRPr="00CC431F">
        <w:rPr>
          <w:lang w:val="es-ES_tradnl"/>
        </w:rPr>
        <w:t>) reconfirmó la Reunión Preparatoria de la Conferencia (RPC) y la</w:t>
      </w:r>
      <w:r w:rsidR="006F3031">
        <w:rPr>
          <w:lang w:val="es-ES_tradnl"/>
        </w:rPr>
        <w:t> </w:t>
      </w:r>
      <w:r w:rsidRPr="00CC431F">
        <w:rPr>
          <w:lang w:val="es-ES_tradnl"/>
        </w:rPr>
        <w:t>CMR</w:t>
      </w:r>
      <w:r>
        <w:rPr>
          <w:lang w:val="es-ES_tradnl"/>
        </w:rPr>
        <w:noBreakHyphen/>
      </w:r>
      <w:r w:rsidR="007B248D">
        <w:rPr>
          <w:lang w:val="es-ES_tradnl"/>
        </w:rPr>
        <w:t>19</w:t>
      </w:r>
      <w:r w:rsidRPr="00CC431F">
        <w:rPr>
          <w:lang w:val="es-ES_tradnl"/>
        </w:rPr>
        <w:t xml:space="preserve"> acordó que los estudios preparatorios para la CMR-</w:t>
      </w:r>
      <w:r w:rsidR="007B248D">
        <w:rPr>
          <w:lang w:val="es-ES_tradnl"/>
        </w:rPr>
        <w:t>23</w:t>
      </w:r>
      <w:r w:rsidRPr="00CC431F">
        <w:rPr>
          <w:lang w:val="es-ES_tradnl"/>
        </w:rPr>
        <w:t xml:space="preserve"> se llevasen a cabo mediante el proceso de la RPC.</w:t>
      </w:r>
    </w:p>
    <w:p w14:paraId="0796DBC4" w14:textId="1B7F5897" w:rsidR="001457F5" w:rsidRPr="00A665BE" w:rsidRDefault="001457F5" w:rsidP="00100121">
      <w:pPr>
        <w:pStyle w:val="Headingb"/>
        <w:rPr>
          <w:lang w:val="es-ES"/>
        </w:rPr>
      </w:pPr>
      <w:r w:rsidRPr="00A665BE">
        <w:rPr>
          <w:lang w:val="es-ES"/>
        </w:rPr>
        <w:t>Primera sesión de la Reunión Preparatoria de la Conferencia para la CMR-</w:t>
      </w:r>
      <w:r w:rsidR="007B248D" w:rsidRPr="00564FF1">
        <w:rPr>
          <w:lang w:val="es-ES"/>
        </w:rPr>
        <w:t>23 (</w:t>
      </w:r>
      <w:r w:rsidR="00A96272">
        <w:rPr>
          <w:lang w:val="es-ES"/>
        </w:rPr>
        <w:t>RPC</w:t>
      </w:r>
      <w:r w:rsidR="007B248D" w:rsidRPr="00564FF1">
        <w:rPr>
          <w:lang w:val="es-ES"/>
        </w:rPr>
        <w:t>23</w:t>
      </w:r>
      <w:r w:rsidRPr="00A665BE">
        <w:rPr>
          <w:lang w:val="es-ES"/>
        </w:rPr>
        <w:t>-1)</w:t>
      </w:r>
    </w:p>
    <w:p w14:paraId="4179A37A" w14:textId="48528251" w:rsidR="001457F5" w:rsidRPr="00CC431F" w:rsidRDefault="001457F5" w:rsidP="00100121">
      <w:pPr>
        <w:rPr>
          <w:lang w:val="es-ES_tradnl"/>
        </w:rPr>
      </w:pPr>
      <w:r w:rsidRPr="00CC431F">
        <w:rPr>
          <w:lang w:val="es-ES_tradnl"/>
        </w:rPr>
        <w:t xml:space="preserve">La </w:t>
      </w:r>
      <w:r w:rsidR="00A96272">
        <w:rPr>
          <w:szCs w:val="24"/>
          <w:lang w:val="es-ES"/>
        </w:rPr>
        <w:t>RPC</w:t>
      </w:r>
      <w:r w:rsidR="007B248D" w:rsidRPr="007B248D">
        <w:rPr>
          <w:szCs w:val="24"/>
          <w:lang w:val="es-ES"/>
        </w:rPr>
        <w:t>23</w:t>
      </w:r>
      <w:r w:rsidRPr="00CC431F">
        <w:rPr>
          <w:lang w:val="es-ES_tradnl"/>
        </w:rPr>
        <w:t xml:space="preserve">-1 se celebró en </w:t>
      </w:r>
      <w:r w:rsidR="007B248D" w:rsidRPr="007B248D">
        <w:rPr>
          <w:szCs w:val="24"/>
          <w:lang w:val="es-ES"/>
        </w:rPr>
        <w:t xml:space="preserve">Sharm el-Sheikh </w:t>
      </w:r>
      <w:r w:rsidRPr="00CC431F">
        <w:rPr>
          <w:lang w:val="es-ES_tradnl"/>
        </w:rPr>
        <w:t xml:space="preserve">los días </w:t>
      </w:r>
      <w:r w:rsidR="007B248D">
        <w:rPr>
          <w:lang w:val="es-ES_tradnl"/>
        </w:rPr>
        <w:t>25-26</w:t>
      </w:r>
      <w:r w:rsidRPr="00CC431F">
        <w:rPr>
          <w:lang w:val="es-ES_tradnl"/>
        </w:rPr>
        <w:t xml:space="preserve"> de noviembre</w:t>
      </w:r>
      <w:r w:rsidR="006F3031">
        <w:rPr>
          <w:lang w:val="es-ES_tradnl"/>
        </w:rPr>
        <w:t xml:space="preserve"> de </w:t>
      </w:r>
      <w:r w:rsidR="007B248D">
        <w:rPr>
          <w:lang w:val="es-ES_tradnl"/>
        </w:rPr>
        <w:t>2019</w:t>
      </w:r>
      <w:r w:rsidRPr="00CC431F">
        <w:rPr>
          <w:lang w:val="es-ES_tradnl"/>
        </w:rPr>
        <w:t>. Organizó los estudios preparatorios para la CMR</w:t>
      </w:r>
      <w:r w:rsidRPr="00CC431F">
        <w:rPr>
          <w:lang w:val="es-ES_tradnl"/>
        </w:rPr>
        <w:noBreakHyphen/>
      </w:r>
      <w:r w:rsidR="00500B55">
        <w:rPr>
          <w:lang w:val="es-ES_tradnl"/>
        </w:rPr>
        <w:t>23</w:t>
      </w:r>
      <w:r w:rsidRPr="00CC431F">
        <w:rPr>
          <w:lang w:val="es-ES_tradnl"/>
        </w:rPr>
        <w:t xml:space="preserve"> y propuso una estructura para su Informe a la CMR</w:t>
      </w:r>
      <w:r w:rsidRPr="00CC431F">
        <w:rPr>
          <w:lang w:val="es-ES_tradnl"/>
        </w:rPr>
        <w:noBreakHyphen/>
      </w:r>
      <w:r w:rsidR="007B248D">
        <w:rPr>
          <w:lang w:val="es-ES_tradnl"/>
        </w:rPr>
        <w:t>23</w:t>
      </w:r>
      <w:r w:rsidRPr="00CC431F">
        <w:rPr>
          <w:lang w:val="es-ES_tradnl"/>
        </w:rPr>
        <w:t xml:space="preserve">. Además, la reunión nombró </w:t>
      </w:r>
      <w:r w:rsidR="00237061">
        <w:rPr>
          <w:lang w:val="es-ES_tradnl"/>
        </w:rPr>
        <w:t>ocho</w:t>
      </w:r>
      <w:r w:rsidRPr="00CC431F">
        <w:rPr>
          <w:lang w:val="es-ES_tradnl"/>
        </w:rPr>
        <w:t xml:space="preserve"> Relatores </w:t>
      </w:r>
      <w:r w:rsidR="00500B55">
        <w:rPr>
          <w:lang w:val="es-ES_tradnl"/>
        </w:rPr>
        <w:t>y Correlatores</w:t>
      </w:r>
      <w:r w:rsidR="006F3031">
        <w:rPr>
          <w:szCs w:val="24"/>
          <w:lang w:val="es-ES"/>
        </w:rPr>
        <w:t xml:space="preserve"> </w:t>
      </w:r>
      <w:r w:rsidRPr="00CC431F">
        <w:rPr>
          <w:lang w:val="es-ES_tradnl"/>
        </w:rPr>
        <w:t>de Capítulo que ayudarán a</w:t>
      </w:r>
      <w:r w:rsidR="00DA5CCB">
        <w:rPr>
          <w:lang w:val="es-ES_tradnl"/>
        </w:rPr>
        <w:t xml:space="preserve"> </w:t>
      </w:r>
      <w:r w:rsidRPr="00CC431F">
        <w:rPr>
          <w:lang w:val="es-ES_tradnl"/>
        </w:rPr>
        <w:t>l</w:t>
      </w:r>
      <w:r w:rsidR="00DA5CCB">
        <w:rPr>
          <w:lang w:val="es-ES_tradnl"/>
        </w:rPr>
        <w:t>a Presidenta</w:t>
      </w:r>
      <w:r w:rsidRPr="00CC431F">
        <w:rPr>
          <w:lang w:val="es-ES_tradnl"/>
        </w:rPr>
        <w:t xml:space="preserve"> a gestionar la elaboración del proyecto de Informe a la CMR</w:t>
      </w:r>
      <w:r w:rsidRPr="00CC431F">
        <w:rPr>
          <w:lang w:val="es-ES_tradnl"/>
        </w:rPr>
        <w:noBreakHyphen/>
      </w:r>
      <w:r w:rsidR="007B248D">
        <w:rPr>
          <w:lang w:val="es-ES_tradnl"/>
        </w:rPr>
        <w:t>23</w:t>
      </w:r>
      <w:r w:rsidRPr="00CC431F">
        <w:rPr>
          <w:lang w:val="es-ES_tradnl"/>
        </w:rPr>
        <w:t xml:space="preserve">. Con una sola excepción, todo el trabajo preparatorio acordado por la </w:t>
      </w:r>
      <w:r w:rsidR="00A96272">
        <w:rPr>
          <w:szCs w:val="24"/>
          <w:lang w:val="es-ES"/>
        </w:rPr>
        <w:t>RPC</w:t>
      </w:r>
      <w:r w:rsidR="007B248D" w:rsidRPr="006F3031">
        <w:rPr>
          <w:szCs w:val="24"/>
          <w:lang w:val="es-ES"/>
        </w:rPr>
        <w:t>23</w:t>
      </w:r>
      <w:r w:rsidRPr="00CC431F">
        <w:rPr>
          <w:lang w:val="es-ES_tradnl"/>
        </w:rPr>
        <w:noBreakHyphen/>
        <w:t>1 se llevará a cabo en el marco del programa de trabajo previsto y la organización de las Comisiones de Estudio del UIT</w:t>
      </w:r>
      <w:r w:rsidRPr="00CC431F">
        <w:rPr>
          <w:lang w:val="es-ES_tradnl"/>
        </w:rPr>
        <w:noBreakHyphen/>
        <w:t xml:space="preserve">R. Sin embargo, se ha invitado a la Comisión de Estudio </w:t>
      </w:r>
      <w:r w:rsidR="00500B55">
        <w:rPr>
          <w:lang w:val="es-ES_tradnl"/>
        </w:rPr>
        <w:t>6</w:t>
      </w:r>
      <w:r w:rsidRPr="00CC431F">
        <w:rPr>
          <w:lang w:val="es-ES_tradnl"/>
        </w:rPr>
        <w:t xml:space="preserve"> del UIT-R a instituir un Grupo de Tareas Especiales (GTE</w:t>
      </w:r>
      <w:r w:rsidR="004A5136">
        <w:rPr>
          <w:lang w:val="es-ES_tradnl"/>
        </w:rPr>
        <w:t> </w:t>
      </w:r>
      <w:r w:rsidR="007B248D">
        <w:rPr>
          <w:lang w:val="es-ES_tradnl"/>
        </w:rPr>
        <w:t>6</w:t>
      </w:r>
      <w:r>
        <w:rPr>
          <w:lang w:val="es-ES_tradnl"/>
        </w:rPr>
        <w:t>/1</w:t>
      </w:r>
      <w:r w:rsidRPr="00CC431F">
        <w:rPr>
          <w:lang w:val="es-ES_tradnl"/>
        </w:rPr>
        <w:t>) para tratar los complejos temas relativos al punto</w:t>
      </w:r>
      <w:r w:rsidR="007B248D">
        <w:rPr>
          <w:lang w:val="es-ES_tradnl"/>
        </w:rPr>
        <w:t> </w:t>
      </w:r>
      <w:r w:rsidRPr="00CC431F">
        <w:rPr>
          <w:lang w:val="es-ES_tradnl"/>
        </w:rPr>
        <w:t>1.</w:t>
      </w:r>
      <w:r w:rsidR="007B248D">
        <w:rPr>
          <w:lang w:val="es-ES_tradnl"/>
        </w:rPr>
        <w:t>5</w:t>
      </w:r>
      <w:r w:rsidRPr="00CC431F">
        <w:rPr>
          <w:lang w:val="es-ES_tradnl"/>
        </w:rPr>
        <w:t xml:space="preserve"> del orden del día de la CMR-</w:t>
      </w:r>
      <w:r w:rsidR="007B248D">
        <w:rPr>
          <w:lang w:val="es-ES_tradnl"/>
        </w:rPr>
        <w:t>23</w:t>
      </w:r>
      <w:r w:rsidRPr="00CC431F">
        <w:rPr>
          <w:lang w:val="es-ES_tradnl"/>
        </w:rPr>
        <w:t>.</w:t>
      </w:r>
    </w:p>
    <w:p w14:paraId="217884EE" w14:textId="72815EC7" w:rsidR="001457F5" w:rsidRDefault="001457F5" w:rsidP="00100121">
      <w:pPr>
        <w:rPr>
          <w:lang w:val="es-ES_tradnl"/>
        </w:rPr>
      </w:pPr>
      <w:r>
        <w:rPr>
          <w:lang w:val="es-ES_tradnl"/>
        </w:rPr>
        <w:br w:type="page"/>
      </w:r>
    </w:p>
    <w:p w14:paraId="6BECE65A" w14:textId="7322F11A" w:rsidR="001457F5" w:rsidRDefault="001457F5" w:rsidP="00F7279F">
      <w:pPr>
        <w:spacing w:after="240"/>
        <w:rPr>
          <w:lang w:val="es-ES_tradnl"/>
        </w:rPr>
      </w:pPr>
      <w:r w:rsidRPr="001457F5">
        <w:rPr>
          <w:lang w:val="es-ES_tradnl"/>
        </w:rPr>
        <w:lastRenderedPageBreak/>
        <w:t xml:space="preserve">Los resultados de la </w:t>
      </w:r>
      <w:r w:rsidR="00A96272">
        <w:rPr>
          <w:szCs w:val="24"/>
          <w:lang w:val="es-ES"/>
        </w:rPr>
        <w:t>RPC</w:t>
      </w:r>
      <w:r w:rsidR="00DC27D7" w:rsidRPr="00DC27D7">
        <w:rPr>
          <w:szCs w:val="24"/>
          <w:lang w:val="es-ES"/>
        </w:rPr>
        <w:t>23</w:t>
      </w:r>
      <w:r w:rsidR="00F7279F">
        <w:rPr>
          <w:szCs w:val="24"/>
          <w:lang w:val="es-ES"/>
        </w:rPr>
        <w:t>-</w:t>
      </w:r>
      <w:r w:rsidRPr="001457F5">
        <w:rPr>
          <w:lang w:val="es-ES_tradnl"/>
        </w:rPr>
        <w:t>1 aparecen en los siguientes Anexos: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11"/>
      </w:tblGrid>
      <w:tr w:rsidR="00100121" w:rsidRPr="00882A01" w14:paraId="6DFB3364" w14:textId="77777777" w:rsidTr="00100121">
        <w:tc>
          <w:tcPr>
            <w:tcW w:w="1418" w:type="dxa"/>
          </w:tcPr>
          <w:p w14:paraId="15577FDF" w14:textId="6F644B64" w:rsidR="00100121" w:rsidRDefault="00100121" w:rsidP="00100121">
            <w:pPr>
              <w:rPr>
                <w:lang w:val="es-ES_tradnl"/>
              </w:rPr>
            </w:pPr>
            <w:r w:rsidRPr="001457F5">
              <w:rPr>
                <w:lang w:val="es-ES_tradnl"/>
              </w:rPr>
              <w:t>Anexo 1</w:t>
            </w:r>
          </w:p>
        </w:tc>
        <w:tc>
          <w:tcPr>
            <w:tcW w:w="8211" w:type="dxa"/>
          </w:tcPr>
          <w:p w14:paraId="58D13C17" w14:textId="2C1C6D18" w:rsidR="00100121" w:rsidRDefault="00100121" w:rsidP="00F7279F">
            <w:pPr>
              <w:jc w:val="left"/>
              <w:rPr>
                <w:lang w:val="es-ES_tradnl"/>
              </w:rPr>
            </w:pPr>
            <w:r w:rsidRPr="00100121">
              <w:rPr>
                <w:lang w:val="es-ES_tradnl"/>
              </w:rPr>
              <w:t xml:space="preserve">Resolución </w:t>
            </w:r>
            <w:r w:rsidRPr="00100121">
              <w:rPr>
                <w:lang w:val="es-ES"/>
              </w:rPr>
              <w:t>811</w:t>
            </w:r>
            <w:r w:rsidRPr="00100121">
              <w:rPr>
                <w:lang w:val="es-ES_tradnl"/>
              </w:rPr>
              <w:t xml:space="preserve"> (CMR-19) – Orden del día de la Conferencia Mundial de Radiocomunicaciones de 2023</w:t>
            </w:r>
          </w:p>
        </w:tc>
      </w:tr>
      <w:tr w:rsidR="00100121" w:rsidRPr="00882A01" w14:paraId="1D6A5E0E" w14:textId="77777777" w:rsidTr="00100121">
        <w:tc>
          <w:tcPr>
            <w:tcW w:w="1418" w:type="dxa"/>
          </w:tcPr>
          <w:p w14:paraId="58EF78E4" w14:textId="460B8387" w:rsidR="00100121" w:rsidRDefault="00100121" w:rsidP="00100121">
            <w:pPr>
              <w:rPr>
                <w:lang w:val="es-ES_tradnl"/>
              </w:rPr>
            </w:pPr>
            <w:r w:rsidRPr="001457F5">
              <w:rPr>
                <w:lang w:val="es-ES_tradnl"/>
              </w:rPr>
              <w:t xml:space="preserve">Anexo </w:t>
            </w:r>
            <w:r>
              <w:rPr>
                <w:lang w:val="es-ES_tradnl"/>
              </w:rPr>
              <w:t>2</w:t>
            </w:r>
          </w:p>
        </w:tc>
        <w:tc>
          <w:tcPr>
            <w:tcW w:w="8211" w:type="dxa"/>
          </w:tcPr>
          <w:p w14:paraId="75FD9C84" w14:textId="339271FF" w:rsidR="00100121" w:rsidRDefault="00100121" w:rsidP="00F7279F">
            <w:pPr>
              <w:jc w:val="left"/>
              <w:rPr>
                <w:lang w:val="es-ES_tradnl"/>
              </w:rPr>
            </w:pPr>
            <w:r w:rsidRPr="00100121">
              <w:rPr>
                <w:lang w:val="es-ES_tradnl"/>
              </w:rPr>
              <w:t xml:space="preserve">Resolución </w:t>
            </w:r>
            <w:r w:rsidRPr="00100121">
              <w:rPr>
                <w:lang w:val="es-ES"/>
              </w:rPr>
              <w:t>812</w:t>
            </w:r>
            <w:r w:rsidRPr="00100121">
              <w:rPr>
                <w:lang w:val="es-ES_tradnl"/>
              </w:rPr>
              <w:t xml:space="preserve"> (CMR-19) – Orden del día preliminar de la Conferencia Mundial de Radiocomunicaciones de 2027</w:t>
            </w:r>
          </w:p>
        </w:tc>
      </w:tr>
      <w:tr w:rsidR="00100121" w:rsidRPr="00882A01" w14:paraId="64085490" w14:textId="77777777" w:rsidTr="00100121">
        <w:tc>
          <w:tcPr>
            <w:tcW w:w="1418" w:type="dxa"/>
          </w:tcPr>
          <w:p w14:paraId="14A6FA5B" w14:textId="1DC02E30" w:rsidR="00100121" w:rsidRDefault="00100121" w:rsidP="00100121">
            <w:pPr>
              <w:rPr>
                <w:lang w:val="es-ES_tradnl"/>
              </w:rPr>
            </w:pPr>
            <w:r w:rsidRPr="001457F5">
              <w:rPr>
                <w:lang w:val="es-ES_tradnl"/>
              </w:rPr>
              <w:t xml:space="preserve">Anexo </w:t>
            </w:r>
            <w:r>
              <w:rPr>
                <w:lang w:val="es-ES_tradnl"/>
              </w:rPr>
              <w:t>3</w:t>
            </w:r>
          </w:p>
        </w:tc>
        <w:tc>
          <w:tcPr>
            <w:tcW w:w="8211" w:type="dxa"/>
          </w:tcPr>
          <w:p w14:paraId="64DF4288" w14:textId="59DCE0D3" w:rsidR="00100121" w:rsidRDefault="00100121" w:rsidP="00F7279F">
            <w:pPr>
              <w:jc w:val="left"/>
              <w:rPr>
                <w:lang w:val="es-ES_tradnl"/>
              </w:rPr>
            </w:pPr>
            <w:r w:rsidRPr="00100121">
              <w:rPr>
                <w:lang w:val="es-ES_tradnl"/>
              </w:rPr>
              <w:t>Números provisionales para las nuevas Resoluciones y la nueva Recomendación</w:t>
            </w:r>
            <w:r w:rsidRPr="00564FF1">
              <w:rPr>
                <w:lang w:val="es-ES"/>
              </w:rPr>
              <w:t xml:space="preserve"> </w:t>
            </w:r>
            <w:r w:rsidRPr="00100121">
              <w:rPr>
                <w:lang w:val="es-ES_tradnl"/>
              </w:rPr>
              <w:t>de la CMR</w:t>
            </w:r>
            <w:r w:rsidRPr="00100121">
              <w:rPr>
                <w:lang w:val="es-ES_tradnl"/>
              </w:rPr>
              <w:noBreakHyphen/>
              <w:t>19</w:t>
            </w:r>
          </w:p>
        </w:tc>
      </w:tr>
      <w:tr w:rsidR="00100121" w:rsidRPr="00882A01" w14:paraId="6D777296" w14:textId="77777777" w:rsidTr="00100121">
        <w:tc>
          <w:tcPr>
            <w:tcW w:w="1418" w:type="dxa"/>
          </w:tcPr>
          <w:p w14:paraId="2EA10D80" w14:textId="74A31A1C" w:rsidR="00100121" w:rsidRDefault="00100121" w:rsidP="00100121">
            <w:pPr>
              <w:rPr>
                <w:lang w:val="es-ES_tradnl"/>
              </w:rPr>
            </w:pPr>
            <w:r w:rsidRPr="001457F5">
              <w:rPr>
                <w:lang w:val="es-ES_tradnl"/>
              </w:rPr>
              <w:t xml:space="preserve">Anexo </w:t>
            </w:r>
            <w:r>
              <w:rPr>
                <w:lang w:val="es-ES_tradnl"/>
              </w:rPr>
              <w:t>4</w:t>
            </w:r>
          </w:p>
        </w:tc>
        <w:tc>
          <w:tcPr>
            <w:tcW w:w="8211" w:type="dxa"/>
          </w:tcPr>
          <w:p w14:paraId="738FC4A2" w14:textId="09A9D533" w:rsidR="00100121" w:rsidRDefault="00100121" w:rsidP="00F7279F">
            <w:pPr>
              <w:jc w:val="left"/>
              <w:rPr>
                <w:lang w:val="es-ES_tradnl"/>
              </w:rPr>
            </w:pPr>
            <w:r w:rsidRPr="00100121">
              <w:rPr>
                <w:lang w:val="es-ES_tradnl"/>
              </w:rPr>
              <w:t>Informe sobre la primera sesión de la Reunión Preparatoria de la Conferencia para la CMR-23</w:t>
            </w:r>
          </w:p>
        </w:tc>
      </w:tr>
      <w:tr w:rsidR="00100121" w:rsidRPr="00882A01" w14:paraId="4E0FDF9D" w14:textId="77777777" w:rsidTr="00100121">
        <w:tc>
          <w:tcPr>
            <w:tcW w:w="1418" w:type="dxa"/>
          </w:tcPr>
          <w:p w14:paraId="1A73C886" w14:textId="193E781D" w:rsidR="00100121" w:rsidRDefault="00100121" w:rsidP="00100121">
            <w:pPr>
              <w:rPr>
                <w:lang w:val="es-ES_tradnl"/>
              </w:rPr>
            </w:pPr>
            <w:r w:rsidRPr="001457F5">
              <w:rPr>
                <w:lang w:val="es-ES_tradnl"/>
              </w:rPr>
              <w:t xml:space="preserve">Anexo </w:t>
            </w:r>
            <w:r>
              <w:rPr>
                <w:lang w:val="es-ES_tradnl"/>
              </w:rPr>
              <w:t>5</w:t>
            </w:r>
          </w:p>
        </w:tc>
        <w:tc>
          <w:tcPr>
            <w:tcW w:w="8211" w:type="dxa"/>
          </w:tcPr>
          <w:p w14:paraId="66E08309" w14:textId="7E5D1D23" w:rsidR="00100121" w:rsidRDefault="00100121" w:rsidP="00F7279F">
            <w:pPr>
              <w:jc w:val="left"/>
              <w:rPr>
                <w:lang w:val="es-ES_tradnl"/>
              </w:rPr>
            </w:pPr>
            <w:r w:rsidRPr="00100121">
              <w:rPr>
                <w:lang w:val="es-ES_tradnl"/>
              </w:rPr>
              <w:t>Obligaciones de los Relatores de capítulos y métodos de trabajo para la RPC-23</w:t>
            </w:r>
          </w:p>
        </w:tc>
      </w:tr>
      <w:tr w:rsidR="00100121" w:rsidRPr="00882A01" w14:paraId="4A03F857" w14:textId="77777777" w:rsidTr="00100121">
        <w:tc>
          <w:tcPr>
            <w:tcW w:w="1418" w:type="dxa"/>
          </w:tcPr>
          <w:p w14:paraId="520260BA" w14:textId="35F19133" w:rsidR="00100121" w:rsidRDefault="00100121" w:rsidP="00100121">
            <w:pPr>
              <w:rPr>
                <w:lang w:val="es-ES_tradnl"/>
              </w:rPr>
            </w:pPr>
            <w:r w:rsidRPr="001457F5">
              <w:rPr>
                <w:lang w:val="es-ES_tradnl"/>
              </w:rPr>
              <w:t xml:space="preserve">Anexo </w:t>
            </w:r>
            <w:r>
              <w:rPr>
                <w:lang w:val="es-ES_tradnl"/>
              </w:rPr>
              <w:t>6</w:t>
            </w:r>
          </w:p>
        </w:tc>
        <w:tc>
          <w:tcPr>
            <w:tcW w:w="8211" w:type="dxa"/>
          </w:tcPr>
          <w:p w14:paraId="40459F7B" w14:textId="5533BB54" w:rsidR="00100121" w:rsidRDefault="00100121" w:rsidP="00F7279F">
            <w:pPr>
              <w:jc w:val="left"/>
              <w:rPr>
                <w:lang w:val="es-ES_tradnl"/>
              </w:rPr>
            </w:pPr>
            <w:r w:rsidRPr="00100121">
              <w:rPr>
                <w:lang w:val="es-ES_tradnl"/>
              </w:rPr>
              <w:t>Capítulos e índice del proyecto de Informe de la RPC a la CMR-23 y estructura de las secciones de los puntos del orden del día en los Capítulos</w:t>
            </w:r>
          </w:p>
        </w:tc>
      </w:tr>
      <w:tr w:rsidR="00100121" w:rsidRPr="00882A01" w14:paraId="6C63F14F" w14:textId="77777777" w:rsidTr="00100121">
        <w:tc>
          <w:tcPr>
            <w:tcW w:w="1418" w:type="dxa"/>
          </w:tcPr>
          <w:p w14:paraId="155B0676" w14:textId="5F406F5E" w:rsidR="00100121" w:rsidRDefault="00100121" w:rsidP="00100121">
            <w:pPr>
              <w:rPr>
                <w:lang w:val="es-ES_tradnl"/>
              </w:rPr>
            </w:pPr>
            <w:r w:rsidRPr="001457F5">
              <w:rPr>
                <w:lang w:val="es-ES_tradnl"/>
              </w:rPr>
              <w:t xml:space="preserve">Anexo </w:t>
            </w:r>
            <w:r>
              <w:rPr>
                <w:lang w:val="es-ES_tradnl"/>
              </w:rPr>
              <w:t>7</w:t>
            </w:r>
          </w:p>
        </w:tc>
        <w:tc>
          <w:tcPr>
            <w:tcW w:w="8211" w:type="dxa"/>
          </w:tcPr>
          <w:p w14:paraId="6013A313" w14:textId="3CA669D8" w:rsidR="00100121" w:rsidRDefault="00100121" w:rsidP="00F7279F">
            <w:pPr>
              <w:jc w:val="left"/>
              <w:rPr>
                <w:lang w:val="es-ES_tradnl"/>
              </w:rPr>
            </w:pPr>
            <w:r w:rsidRPr="00100121">
              <w:rPr>
                <w:lang w:val="es-ES_tradnl"/>
              </w:rPr>
              <w:t>Atribución de los trabajos preparatorios del UIT</w:t>
            </w:r>
            <w:r w:rsidRPr="00100121">
              <w:rPr>
                <w:lang w:val="es-ES_tradnl"/>
              </w:rPr>
              <w:noBreakHyphen/>
              <w:t>R para la CMR-23</w:t>
            </w:r>
          </w:p>
        </w:tc>
      </w:tr>
      <w:tr w:rsidR="00100121" w:rsidRPr="00882A01" w14:paraId="5F75C0A9" w14:textId="77777777" w:rsidTr="00100121">
        <w:tc>
          <w:tcPr>
            <w:tcW w:w="1418" w:type="dxa"/>
          </w:tcPr>
          <w:p w14:paraId="512D42A2" w14:textId="1BC8FFEC" w:rsidR="00100121" w:rsidRDefault="00100121" w:rsidP="00100121">
            <w:pPr>
              <w:rPr>
                <w:lang w:val="es-ES_tradnl"/>
              </w:rPr>
            </w:pPr>
            <w:r w:rsidRPr="001457F5">
              <w:rPr>
                <w:lang w:val="es-ES_tradnl"/>
              </w:rPr>
              <w:t xml:space="preserve">Anexo </w:t>
            </w:r>
            <w:r>
              <w:rPr>
                <w:lang w:val="es-ES_tradnl"/>
              </w:rPr>
              <w:t>8</w:t>
            </w:r>
          </w:p>
        </w:tc>
        <w:tc>
          <w:tcPr>
            <w:tcW w:w="8211" w:type="dxa"/>
          </w:tcPr>
          <w:p w14:paraId="50622016" w14:textId="573765A0" w:rsidR="00100121" w:rsidRDefault="00100121" w:rsidP="00F7279F">
            <w:pPr>
              <w:jc w:val="left"/>
              <w:rPr>
                <w:lang w:val="es-ES_tradnl"/>
              </w:rPr>
            </w:pPr>
            <w:r w:rsidRPr="00100121">
              <w:rPr>
                <w:lang w:val="es-ES_tradnl"/>
              </w:rPr>
              <w:t>Atribución de los trabajos preparatorios del UIT-R para la CMR-27</w:t>
            </w:r>
          </w:p>
        </w:tc>
      </w:tr>
      <w:tr w:rsidR="00100121" w:rsidRPr="00882A01" w14:paraId="5E0A8594" w14:textId="77777777" w:rsidTr="00100121">
        <w:tc>
          <w:tcPr>
            <w:tcW w:w="1418" w:type="dxa"/>
          </w:tcPr>
          <w:p w14:paraId="29014A08" w14:textId="0CDB932E" w:rsidR="00100121" w:rsidRDefault="00100121" w:rsidP="00100121">
            <w:pPr>
              <w:rPr>
                <w:lang w:val="es-ES_tradnl"/>
              </w:rPr>
            </w:pPr>
            <w:r w:rsidRPr="001457F5">
              <w:rPr>
                <w:lang w:val="es-ES_tradnl"/>
              </w:rPr>
              <w:t xml:space="preserve">Anexo </w:t>
            </w:r>
            <w:r>
              <w:rPr>
                <w:lang w:val="es-ES_tradnl"/>
              </w:rPr>
              <w:t>9</w:t>
            </w:r>
          </w:p>
        </w:tc>
        <w:tc>
          <w:tcPr>
            <w:tcW w:w="8211" w:type="dxa"/>
          </w:tcPr>
          <w:p w14:paraId="3181DD10" w14:textId="09D8BB88" w:rsidR="00100121" w:rsidRDefault="00100121" w:rsidP="00F7279F">
            <w:pPr>
              <w:jc w:val="left"/>
              <w:rPr>
                <w:lang w:val="es-ES_tradnl"/>
              </w:rPr>
            </w:pPr>
            <w:r w:rsidRPr="00100121">
              <w:rPr>
                <w:lang w:val="es-ES_tradnl"/>
              </w:rPr>
              <w:t>Decisión de la RPC</w:t>
            </w:r>
            <w:r w:rsidRPr="00F7279F">
              <w:rPr>
                <w:lang w:val="es-ES"/>
              </w:rPr>
              <w:t>23</w:t>
            </w:r>
            <w:r w:rsidRPr="00100121">
              <w:rPr>
                <w:lang w:val="es-ES_tradnl"/>
              </w:rPr>
              <w:noBreakHyphen/>
              <w:t>1 sobre el establecimiento y mandato del Grupo de Tareas Especiales 6/1</w:t>
            </w:r>
            <w:r w:rsidR="00F7279F">
              <w:rPr>
                <w:lang w:val="es-ES_tradnl"/>
              </w:rPr>
              <w:t xml:space="preserve"> (GTE 6/1</w:t>
            </w:r>
            <w:r w:rsidRPr="00100121">
              <w:rPr>
                <w:lang w:val="es-ES_tradnl"/>
              </w:rPr>
              <w:t>) de la Comisión de Estudio 5 sobre el punto 1.5 del orden del día de la CMR-23</w:t>
            </w:r>
          </w:p>
        </w:tc>
      </w:tr>
      <w:tr w:rsidR="00100121" w:rsidRPr="00882A01" w14:paraId="44239BA3" w14:textId="77777777" w:rsidTr="00100121">
        <w:tc>
          <w:tcPr>
            <w:tcW w:w="1418" w:type="dxa"/>
          </w:tcPr>
          <w:p w14:paraId="501D45AF" w14:textId="3BA9BADC" w:rsidR="00100121" w:rsidRDefault="00100121" w:rsidP="00100121">
            <w:pPr>
              <w:rPr>
                <w:lang w:val="es-ES_tradnl"/>
              </w:rPr>
            </w:pPr>
            <w:r w:rsidRPr="001457F5">
              <w:rPr>
                <w:lang w:val="es-ES_tradnl"/>
              </w:rPr>
              <w:t>Anexo 1</w:t>
            </w:r>
            <w:r>
              <w:rPr>
                <w:lang w:val="es-ES_tradnl"/>
              </w:rPr>
              <w:t>0</w:t>
            </w:r>
          </w:p>
        </w:tc>
        <w:tc>
          <w:tcPr>
            <w:tcW w:w="8211" w:type="dxa"/>
          </w:tcPr>
          <w:p w14:paraId="0E072BAF" w14:textId="5A9F1963" w:rsidR="00100121" w:rsidRDefault="00100121" w:rsidP="00F7279F">
            <w:pPr>
              <w:jc w:val="left"/>
              <w:rPr>
                <w:lang w:val="es-ES_tradnl"/>
              </w:rPr>
            </w:pPr>
            <w:r w:rsidRPr="00100121">
              <w:rPr>
                <w:lang w:val="es-ES_tradnl"/>
              </w:rPr>
              <w:t>Esquema del proyecto de Informe de la RPC a la CMR-23</w:t>
            </w:r>
          </w:p>
        </w:tc>
      </w:tr>
      <w:tr w:rsidR="00100121" w:rsidRPr="00882A01" w14:paraId="3A5FC2DD" w14:textId="77777777" w:rsidTr="00100121">
        <w:tc>
          <w:tcPr>
            <w:tcW w:w="1418" w:type="dxa"/>
          </w:tcPr>
          <w:p w14:paraId="739A3BD2" w14:textId="325BF92E" w:rsidR="00100121" w:rsidRDefault="00100121" w:rsidP="00100121">
            <w:pPr>
              <w:rPr>
                <w:lang w:val="es-ES_tradnl"/>
              </w:rPr>
            </w:pPr>
            <w:r w:rsidRPr="001457F5">
              <w:rPr>
                <w:lang w:val="es-ES_tradnl"/>
              </w:rPr>
              <w:t>Anexo 1</w:t>
            </w:r>
            <w:r>
              <w:rPr>
                <w:lang w:val="es-ES_tradnl"/>
              </w:rPr>
              <w:t>1</w:t>
            </w:r>
          </w:p>
        </w:tc>
        <w:tc>
          <w:tcPr>
            <w:tcW w:w="8211" w:type="dxa"/>
          </w:tcPr>
          <w:p w14:paraId="7EF5E504" w14:textId="249DC1A9" w:rsidR="00100121" w:rsidRDefault="00100121" w:rsidP="00F7279F">
            <w:pPr>
              <w:jc w:val="left"/>
              <w:rPr>
                <w:lang w:val="es-ES_tradnl"/>
              </w:rPr>
            </w:pPr>
            <w:r w:rsidRPr="00100121">
              <w:rPr>
                <w:lang w:val="es-ES_tradnl"/>
              </w:rPr>
              <w:t>Estructura detallada propuesta para el proyecto de Informe de la RPC a la CMR-23</w:t>
            </w:r>
          </w:p>
        </w:tc>
      </w:tr>
      <w:tr w:rsidR="00100121" w:rsidRPr="00882A01" w14:paraId="3C27B164" w14:textId="77777777" w:rsidTr="00100121">
        <w:tc>
          <w:tcPr>
            <w:tcW w:w="1418" w:type="dxa"/>
          </w:tcPr>
          <w:p w14:paraId="2007AB44" w14:textId="2F9F8537" w:rsidR="00100121" w:rsidRPr="001457F5" w:rsidRDefault="00100121" w:rsidP="00100121">
            <w:pPr>
              <w:rPr>
                <w:lang w:val="es-ES_tradnl"/>
              </w:rPr>
            </w:pPr>
            <w:r w:rsidRPr="001457F5">
              <w:rPr>
                <w:lang w:val="es-ES_tradnl"/>
              </w:rPr>
              <w:t>Anexo 1</w:t>
            </w:r>
            <w:r>
              <w:rPr>
                <w:lang w:val="es-ES_tradnl"/>
              </w:rPr>
              <w:t>2</w:t>
            </w:r>
          </w:p>
        </w:tc>
        <w:tc>
          <w:tcPr>
            <w:tcW w:w="8211" w:type="dxa"/>
          </w:tcPr>
          <w:p w14:paraId="614200DB" w14:textId="531B29F0" w:rsidR="00100121" w:rsidRDefault="00100121" w:rsidP="00F7279F">
            <w:pPr>
              <w:jc w:val="left"/>
              <w:rPr>
                <w:lang w:val="es-ES_tradnl"/>
              </w:rPr>
            </w:pPr>
            <w:r w:rsidRPr="00100121">
              <w:rPr>
                <w:lang w:val="es-ES_tradnl"/>
              </w:rPr>
              <w:t>Información de contacto sobre el Presidente, los Vicepresidentes y los Relatores de Capítulo de la RPC</w:t>
            </w:r>
            <w:r w:rsidRPr="00100121">
              <w:rPr>
                <w:lang w:val="es-ES_tradnl"/>
              </w:rPr>
              <w:noBreakHyphen/>
              <w:t>23</w:t>
            </w:r>
          </w:p>
        </w:tc>
      </w:tr>
    </w:tbl>
    <w:p w14:paraId="23C2C7B4" w14:textId="5424C935" w:rsidR="001457F5" w:rsidRPr="001457F5" w:rsidRDefault="00E55F50" w:rsidP="00DA5CCB">
      <w:pPr>
        <w:spacing w:before="2040"/>
        <w:jc w:val="left"/>
        <w:rPr>
          <w:lang w:val="es-ES_tradnl"/>
        </w:rPr>
      </w:pPr>
      <w:r w:rsidRPr="00096595">
        <w:rPr>
          <w:lang w:val="es-ES"/>
        </w:rPr>
        <w:t>Mario Maniewicz</w:t>
      </w:r>
      <w:r w:rsidR="001457F5" w:rsidRPr="001457F5">
        <w:rPr>
          <w:rFonts w:ascii="MingLiU" w:eastAsia="MingLiU" w:hAnsi="MingLiU" w:cs="MingLiU"/>
          <w:lang w:val="es-ES_tradnl"/>
        </w:rPr>
        <w:br/>
      </w:r>
      <w:r w:rsidR="001457F5" w:rsidRPr="001457F5">
        <w:rPr>
          <w:lang w:val="es-ES_tradnl"/>
        </w:rPr>
        <w:t>Director</w:t>
      </w:r>
    </w:p>
    <w:p w14:paraId="5787F9C2" w14:textId="77777777" w:rsidR="001457F5" w:rsidRPr="001457F5" w:rsidRDefault="001457F5" w:rsidP="00DA5CCB">
      <w:pPr>
        <w:tabs>
          <w:tab w:val="left" w:pos="284"/>
          <w:tab w:val="left" w:pos="568"/>
        </w:tabs>
        <w:spacing w:before="1560" w:after="120" w:line="240" w:lineRule="auto"/>
        <w:rPr>
          <w:b/>
          <w:bCs/>
          <w:sz w:val="18"/>
          <w:szCs w:val="18"/>
          <w:lang w:val="es-ES_tradnl"/>
        </w:rPr>
      </w:pPr>
      <w:bookmarkStart w:id="0" w:name="ddistribution"/>
      <w:bookmarkEnd w:id="0"/>
      <w:r w:rsidRPr="001457F5">
        <w:rPr>
          <w:b/>
          <w:bCs/>
          <w:sz w:val="18"/>
          <w:szCs w:val="18"/>
          <w:lang w:val="es-ES_tradnl"/>
        </w:rPr>
        <w:t>Distribución:</w:t>
      </w:r>
    </w:p>
    <w:p w14:paraId="16857031" w14:textId="7777777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Administraciones de los Estados Miembros de la UIT</w:t>
      </w:r>
    </w:p>
    <w:p w14:paraId="182DC864" w14:textId="7777777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Miembros del Sector de Radiocomunicaciones</w:t>
      </w:r>
    </w:p>
    <w:p w14:paraId="2F6D6DD6" w14:textId="53528EF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Presidentes y Vicepresidentes de las Comisiones de Estudio</w:t>
      </w:r>
      <w:r w:rsidR="00C52998">
        <w:rPr>
          <w:sz w:val="18"/>
          <w:szCs w:val="18"/>
          <w:lang w:val="es-ES_tradnl"/>
        </w:rPr>
        <w:t xml:space="preserve"> de Radiocomunicaciones</w:t>
      </w:r>
    </w:p>
    <w:p w14:paraId="141B657D" w14:textId="7777777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Presidente y Vicepresidentes del Grupo Asesor de Radiocomunicaciones</w:t>
      </w:r>
    </w:p>
    <w:p w14:paraId="7A112F78" w14:textId="7777777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Presidente y Vicepresidentes de la Reunión Preparatoria de la Conferencia</w:t>
      </w:r>
    </w:p>
    <w:p w14:paraId="0056FE3E" w14:textId="77777777" w:rsidR="001457F5" w:rsidRPr="001457F5" w:rsidRDefault="001457F5" w:rsidP="001457F5">
      <w:pPr>
        <w:tabs>
          <w:tab w:val="clear" w:pos="794"/>
          <w:tab w:val="left" w:pos="567"/>
        </w:tabs>
        <w:spacing w:before="0" w:line="240" w:lineRule="auto"/>
        <w:ind w:left="567" w:hanging="567"/>
        <w:rPr>
          <w:sz w:val="18"/>
          <w:szCs w:val="18"/>
          <w:lang w:val="es-ES_tradnl"/>
        </w:rPr>
      </w:pPr>
      <w:r w:rsidRPr="001457F5">
        <w:rPr>
          <w:sz w:val="18"/>
          <w:szCs w:val="18"/>
          <w:lang w:val="fr-CH"/>
        </w:rPr>
        <w:sym w:font="Symbol" w:char="F02D"/>
      </w:r>
      <w:r w:rsidRPr="001457F5">
        <w:rPr>
          <w:sz w:val="18"/>
          <w:szCs w:val="18"/>
          <w:lang w:val="es-ES_tradnl"/>
        </w:rPr>
        <w:tab/>
        <w:t>Miembros de la Junta del Reglamento de Radiocomunicaciones</w:t>
      </w:r>
    </w:p>
    <w:p w14:paraId="338C1CF4" w14:textId="445BC2F2" w:rsidR="001457F5" w:rsidRPr="001457F5" w:rsidRDefault="001457F5" w:rsidP="00DA5CCB">
      <w:pPr>
        <w:tabs>
          <w:tab w:val="clear" w:pos="794"/>
          <w:tab w:val="left" w:pos="567"/>
        </w:tabs>
        <w:spacing w:before="0" w:line="240" w:lineRule="auto"/>
        <w:ind w:left="567" w:hanging="567"/>
        <w:rPr>
          <w:rFonts w:asciiTheme="minorHAnsi" w:hAnsiTheme="minorHAnsi"/>
          <w:lang w:val="es-ES_tradnl"/>
        </w:rPr>
      </w:pPr>
      <w:r w:rsidRPr="001457F5">
        <w:rPr>
          <w:sz w:val="18"/>
          <w:szCs w:val="18"/>
          <w:lang w:val="fr-CH"/>
        </w:rPr>
        <w:sym w:font="Symbol" w:char="F02D"/>
      </w:r>
      <w:r w:rsidRPr="001457F5">
        <w:rPr>
          <w:sz w:val="18"/>
          <w:szCs w:val="18"/>
          <w:lang w:val="es-ES_tradnl"/>
        </w:rPr>
        <w:tab/>
        <w:t>Secretario General de la UIT, Director de la Oficina de Normalización de las Telecomunicaciones, Director</w:t>
      </w:r>
      <w:r w:rsidR="00D2790C">
        <w:rPr>
          <w:sz w:val="18"/>
          <w:szCs w:val="18"/>
          <w:lang w:val="es-ES_tradnl"/>
        </w:rPr>
        <w:t>a</w:t>
      </w:r>
      <w:r w:rsidRPr="001457F5">
        <w:rPr>
          <w:sz w:val="18"/>
          <w:szCs w:val="18"/>
          <w:lang w:val="es-ES_tradnl"/>
        </w:rPr>
        <w:t xml:space="preserve"> de la Oficina de Desarrollo de las Telecomunicaciones</w:t>
      </w:r>
      <w:r w:rsidRPr="001457F5">
        <w:rPr>
          <w:rFonts w:asciiTheme="minorHAnsi" w:hAnsiTheme="minorHAnsi"/>
          <w:lang w:val="es-ES_tradnl"/>
        </w:rPr>
        <w:br w:type="page"/>
      </w:r>
    </w:p>
    <w:p w14:paraId="70B73A71" w14:textId="39AD8761" w:rsidR="001457F5" w:rsidRPr="0015772C" w:rsidRDefault="00100121" w:rsidP="0015772C">
      <w:pPr>
        <w:pStyle w:val="AnnexNo"/>
        <w:rPr>
          <w:szCs w:val="28"/>
          <w:lang w:val="es-ES"/>
        </w:rPr>
      </w:pPr>
      <w:r w:rsidRPr="0015772C">
        <w:rPr>
          <w:szCs w:val="28"/>
          <w:lang w:val="es-ES"/>
        </w:rPr>
        <w:lastRenderedPageBreak/>
        <w:t xml:space="preserve">ANEXO </w:t>
      </w:r>
      <w:r w:rsidR="001457F5" w:rsidRPr="0015772C">
        <w:rPr>
          <w:szCs w:val="28"/>
          <w:lang w:val="es-ES"/>
        </w:rPr>
        <w:t>1</w:t>
      </w:r>
      <w:r w:rsidR="001457F5" w:rsidRPr="004A5136">
        <w:rPr>
          <w:rStyle w:val="FootnoteReference"/>
          <w:lang w:val="es-ES"/>
        </w:rPr>
        <w:footnoteReference w:customMarkFollows="1" w:id="1"/>
        <w:t>*</w:t>
      </w:r>
    </w:p>
    <w:p w14:paraId="20E5F38C" w14:textId="54E1D933" w:rsidR="001457F5" w:rsidRPr="00CE7687" w:rsidRDefault="001457F5" w:rsidP="00100121">
      <w:pPr>
        <w:pStyle w:val="ResNo"/>
        <w:rPr>
          <w:rFonts w:ascii="Times New Roman" w:hAnsi="Times New Roman" w:cs="Times New Roman"/>
          <w:lang w:val="es-ES"/>
        </w:rPr>
      </w:pPr>
      <w:r w:rsidRPr="00CE7687">
        <w:rPr>
          <w:rFonts w:ascii="Times New Roman" w:hAnsi="Times New Roman" w:cs="Times New Roman"/>
          <w:lang w:val="es-ES"/>
        </w:rPr>
        <w:t>RESOLU</w:t>
      </w:r>
      <w:r w:rsidR="00500B55" w:rsidRPr="00CE7687">
        <w:rPr>
          <w:rFonts w:ascii="Times New Roman" w:hAnsi="Times New Roman" w:cs="Times New Roman"/>
          <w:lang w:val="es-ES"/>
        </w:rPr>
        <w:t>CIÓN</w:t>
      </w:r>
      <w:r w:rsidRPr="00CE7687">
        <w:rPr>
          <w:rFonts w:ascii="Times New Roman" w:hAnsi="Times New Roman" w:cs="Times New Roman"/>
          <w:lang w:val="es-ES"/>
        </w:rPr>
        <w:t xml:space="preserve"> 811 (cmr-19)</w:t>
      </w:r>
    </w:p>
    <w:p w14:paraId="30BD0A2B" w14:textId="77777777" w:rsidR="001457F5" w:rsidRPr="00CE7687" w:rsidRDefault="001457F5" w:rsidP="00100121">
      <w:pPr>
        <w:pStyle w:val="Restitle"/>
        <w:rPr>
          <w:rFonts w:ascii="Times New Roman" w:hAnsi="Times New Roman" w:cs="Times New Roman"/>
          <w:lang w:val="es-ES_tradnl"/>
        </w:rPr>
      </w:pPr>
      <w:r w:rsidRPr="00CE7687">
        <w:rPr>
          <w:rFonts w:ascii="Times New Roman" w:hAnsi="Times New Roman" w:cs="Times New Roman"/>
          <w:lang w:val="es-ES_tradnl"/>
        </w:rPr>
        <w:t>Orden del día de la Conferencia Mundial</w:t>
      </w:r>
      <w:r w:rsidRPr="00CE7687">
        <w:rPr>
          <w:rFonts w:ascii="Times New Roman" w:hAnsi="Times New Roman" w:cs="Times New Roman"/>
          <w:lang w:val="es-ES_tradnl"/>
        </w:rPr>
        <w:br/>
        <w:t>de Radiocomunicaciones de 2023</w:t>
      </w:r>
    </w:p>
    <w:p w14:paraId="5F3BD1F6" w14:textId="77777777" w:rsidR="001457F5" w:rsidRPr="00CE7687" w:rsidRDefault="001457F5" w:rsidP="00100121">
      <w:pPr>
        <w:pStyle w:val="Normalaftertitle"/>
        <w:rPr>
          <w:rFonts w:ascii="Times New Roman" w:hAnsi="Times New Roman" w:cs="Times New Roman"/>
          <w:lang w:val="es-ES_tradnl"/>
        </w:rPr>
      </w:pPr>
      <w:r w:rsidRPr="00CE7687">
        <w:rPr>
          <w:rFonts w:ascii="Times New Roman" w:hAnsi="Times New Roman" w:cs="Times New Roman"/>
          <w:lang w:val="es-ES_tradnl"/>
        </w:rPr>
        <w:t>La Conferencia Mundial de Radiocomunicaciones (Sharm el-Sheikh, 2019),</w:t>
      </w:r>
    </w:p>
    <w:p w14:paraId="14F2A901" w14:textId="72CA82C1" w:rsidR="001457F5" w:rsidRPr="00CE7687" w:rsidRDefault="001457F5" w:rsidP="00100121">
      <w:pPr>
        <w:pStyle w:val="Call"/>
        <w:rPr>
          <w:rFonts w:ascii="Times New Roman" w:hAnsi="Times New Roman" w:cs="Times New Roman"/>
          <w:lang w:val="es-ES"/>
        </w:rPr>
      </w:pPr>
      <w:r w:rsidRPr="00CE7687">
        <w:rPr>
          <w:rFonts w:ascii="Times New Roman" w:hAnsi="Times New Roman" w:cs="Times New Roman"/>
          <w:lang w:val="es-ES"/>
        </w:rPr>
        <w:t>considerando</w:t>
      </w:r>
    </w:p>
    <w:p w14:paraId="3C4A4EA6"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i/>
          <w:iCs/>
          <w:lang w:val="es-ES_tradnl"/>
        </w:rPr>
        <w:t>a)</w:t>
      </w:r>
      <w:r w:rsidRPr="00CE7687">
        <w:rPr>
          <w:rFonts w:ascii="Times New Roman" w:hAnsi="Times New Roman" w:cs="Times New Roman"/>
          <w:lang w:val="es-ES_tradnl"/>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14:paraId="09B8147E" w14:textId="3BBA3129"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i/>
          <w:iCs/>
          <w:lang w:val="es-ES_tradnl"/>
        </w:rPr>
        <w:t>b)</w:t>
      </w:r>
      <w:r w:rsidRPr="00CE7687">
        <w:rPr>
          <w:rFonts w:ascii="Times New Roman" w:hAnsi="Times New Roman" w:cs="Times New Roman"/>
          <w:lang w:val="es-ES_tradnl"/>
        </w:rPr>
        <w:tab/>
        <w:t>el Artículo 13 de la Constitución de la UIT, sobre competencia y calendario de las conferencias mundiales de radiocomunicaciones, y el Artículo 7 del Convenio, relativo a sus órdenes del día;</w:t>
      </w:r>
    </w:p>
    <w:p w14:paraId="75F6E59C"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i/>
          <w:iCs/>
          <w:lang w:val="es-ES_tradnl"/>
        </w:rPr>
        <w:t>c)</w:t>
      </w:r>
      <w:r w:rsidRPr="00CE7687">
        <w:rPr>
          <w:rFonts w:ascii="Times New Roman" w:hAnsi="Times New Roman" w:cs="Times New Roman"/>
          <w:lang w:val="es-ES_tradnl"/>
        </w:rPr>
        <w:tab/>
        <w:t>las Resoluciones y Recomendaciones pertinentes de las anteriores Conferencias Administrativas Mundiales de Radiocomunicaciones (CAMR) y Conferencias Mundiales de Radiocomunicaciones (CMR),</w:t>
      </w:r>
    </w:p>
    <w:p w14:paraId="1BD38896" w14:textId="77777777" w:rsidR="001457F5" w:rsidRPr="00CE7687" w:rsidRDefault="001457F5" w:rsidP="00100121">
      <w:pPr>
        <w:pStyle w:val="Call"/>
        <w:rPr>
          <w:rFonts w:ascii="Times New Roman" w:hAnsi="Times New Roman" w:cs="Times New Roman"/>
          <w:lang w:val="es-ES"/>
        </w:rPr>
      </w:pPr>
      <w:r w:rsidRPr="00CE7687">
        <w:rPr>
          <w:rFonts w:ascii="Times New Roman" w:hAnsi="Times New Roman" w:cs="Times New Roman"/>
          <w:lang w:val="es-ES"/>
        </w:rPr>
        <w:t>reconociendo</w:t>
      </w:r>
    </w:p>
    <w:p w14:paraId="1D2BA029"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i/>
          <w:iCs/>
          <w:lang w:val="es-ES_tradnl"/>
        </w:rPr>
        <w:t>a)</w:t>
      </w:r>
      <w:r w:rsidRPr="00CE7687">
        <w:rPr>
          <w:rFonts w:ascii="Times New Roman" w:hAnsi="Times New Roman" w:cs="Times New Roman"/>
          <w:i/>
          <w:iCs/>
          <w:lang w:val="es-ES_tradnl"/>
        </w:rPr>
        <w:tab/>
      </w:r>
      <w:r w:rsidRPr="00CE7687">
        <w:rPr>
          <w:rFonts w:ascii="Times New Roman" w:hAnsi="Times New Roman" w:cs="Times New Roman"/>
          <w:lang w:val="es-ES_tradnl"/>
        </w:rPr>
        <w:t>que esta Conferencia ha identificado varios temas urgentes que requieren se prosiga su examen en la CMR</w:t>
      </w:r>
      <w:r w:rsidRPr="00CE7687">
        <w:rPr>
          <w:rFonts w:ascii="Times New Roman" w:hAnsi="Times New Roman" w:cs="Times New Roman"/>
          <w:lang w:val="es-ES_tradnl"/>
        </w:rPr>
        <w:noBreakHyphen/>
        <w:t>23;</w:t>
      </w:r>
    </w:p>
    <w:p w14:paraId="2DAC0B2E"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i/>
          <w:iCs/>
          <w:lang w:val="es-ES_tradnl"/>
        </w:rPr>
        <w:t>b)</w:t>
      </w:r>
      <w:r w:rsidRPr="00CE7687">
        <w:rPr>
          <w:rFonts w:ascii="Times New Roman" w:hAnsi="Times New Roman" w:cs="Times New Roman"/>
          <w:i/>
          <w:iCs/>
          <w:lang w:val="es-ES_tradnl"/>
        </w:rPr>
        <w:tab/>
      </w:r>
      <w:r w:rsidRPr="00CE7687">
        <w:rPr>
          <w:rFonts w:ascii="Times New Roman" w:hAnsi="Times New Roman" w:cs="Times New Roman"/>
          <w:lang w:val="es-ES_tradnl"/>
        </w:rPr>
        <w:t>que, al preparar el presente orden del día, muchos de los puntos propuestos por las administraciones no pudieron incluirse, debiendo posponerse para órdenes del día de futuras conferencias,</w:t>
      </w:r>
    </w:p>
    <w:p w14:paraId="3C35A5B9" w14:textId="77777777" w:rsidR="001457F5" w:rsidRPr="00CE7687" w:rsidRDefault="001457F5" w:rsidP="00100121">
      <w:pPr>
        <w:pStyle w:val="Call"/>
        <w:rPr>
          <w:rFonts w:ascii="Times New Roman" w:hAnsi="Times New Roman" w:cs="Times New Roman"/>
          <w:lang w:val="es-ES"/>
        </w:rPr>
      </w:pPr>
      <w:r w:rsidRPr="00CE7687">
        <w:rPr>
          <w:rFonts w:ascii="Times New Roman" w:hAnsi="Times New Roman" w:cs="Times New Roman"/>
          <w:lang w:val="es-ES"/>
        </w:rPr>
        <w:t>resuelve</w:t>
      </w:r>
    </w:p>
    <w:p w14:paraId="71238504"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recomendar al Consejo la celebración de una Conferencia Mundial de Radiocomunicaciones en 2023 con una duración de cuatro semanas, con el siguiente orden del día:</w:t>
      </w:r>
    </w:p>
    <w:p w14:paraId="7AB2F059" w14:textId="77777777" w:rsidR="001457F5" w:rsidRPr="00CE7687" w:rsidRDefault="001457F5" w:rsidP="00100121">
      <w:pPr>
        <w:rPr>
          <w:rFonts w:ascii="Times New Roman" w:hAnsi="Times New Roman" w:cs="Times New Roman"/>
          <w:lang w:val="es-ES"/>
        </w:rPr>
      </w:pPr>
      <w:bookmarkStart w:id="1" w:name="_Hlk26881729"/>
      <w:r w:rsidRPr="00CE7687">
        <w:rPr>
          <w:rFonts w:ascii="Times New Roman" w:hAnsi="Times New Roman" w:cs="Times New Roman"/>
          <w:lang w:val="es-ES_tradnl"/>
        </w:rPr>
        <w:t>1</w:t>
      </w:r>
      <w:r w:rsidRPr="00CE7687">
        <w:rPr>
          <w:rFonts w:ascii="Times New Roman" w:hAnsi="Times New Roman" w:cs="Times New Roman"/>
          <w:lang w:val="es-ES_tradnl"/>
        </w:rPr>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p w14:paraId="3DBB76F3" w14:textId="77777777" w:rsidR="001457F5" w:rsidRPr="00CE7687" w:rsidRDefault="001457F5" w:rsidP="00100121">
      <w:pPr>
        <w:rPr>
          <w:rFonts w:ascii="Times New Roman" w:hAnsi="Times New Roman" w:cs="Times New Roman"/>
          <w:bCs/>
          <w:lang w:val="es-ES_tradnl"/>
        </w:rPr>
      </w:pPr>
      <w:r w:rsidRPr="00CE7687">
        <w:rPr>
          <w:rFonts w:ascii="Times New Roman" w:hAnsi="Times New Roman" w:cs="Times New Roman"/>
          <w:lang w:val="es-ES_tradnl"/>
        </w:rPr>
        <w:t>1.1</w:t>
      </w:r>
      <w:r w:rsidRPr="00CE7687">
        <w:rPr>
          <w:rFonts w:ascii="Times New Roman" w:hAnsi="Times New Roman" w:cs="Times New Roman"/>
          <w:lang w:val="es-ES_tradnl"/>
        </w:rPr>
        <w:tab/>
        <w:t xml:space="preserve">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dfp del número </w:t>
      </w:r>
      <w:r w:rsidRPr="00CE7687">
        <w:rPr>
          <w:rFonts w:ascii="Times New Roman" w:hAnsi="Times New Roman" w:cs="Times New Roman"/>
          <w:b/>
          <w:bCs/>
          <w:lang w:val="es-ES_tradnl"/>
        </w:rPr>
        <w:t>5.441B</w:t>
      </w:r>
      <w:r w:rsidRPr="00CE7687">
        <w:rPr>
          <w:rFonts w:ascii="Times New Roman" w:hAnsi="Times New Roman" w:cs="Times New Roman"/>
          <w:lang w:val="es-ES_tradnl"/>
        </w:rPr>
        <w:t xml:space="preserve">, de conformidad con la Resolución </w:t>
      </w:r>
      <w:r w:rsidRPr="00CE7687">
        <w:rPr>
          <w:rFonts w:ascii="Times New Roman" w:hAnsi="Times New Roman" w:cs="Times New Roman"/>
          <w:b/>
          <w:bCs/>
          <w:lang w:val="es-ES_tradnl"/>
        </w:rPr>
        <w:t>223</w:t>
      </w:r>
      <w:r w:rsidRPr="00CE7687">
        <w:rPr>
          <w:rFonts w:ascii="Times New Roman" w:hAnsi="Times New Roman" w:cs="Times New Roman"/>
          <w:b/>
          <w:lang w:val="es-ES_tradnl"/>
        </w:rPr>
        <w:t xml:space="preserve"> (Rev.CMR-19)</w:t>
      </w:r>
      <w:r w:rsidRPr="00CE7687">
        <w:rPr>
          <w:rFonts w:ascii="Times New Roman" w:hAnsi="Times New Roman" w:cs="Times New Roman"/>
          <w:bCs/>
          <w:lang w:val="es-ES_tradnl"/>
        </w:rPr>
        <w:t>;</w:t>
      </w:r>
    </w:p>
    <w:bookmarkEnd w:id="1"/>
    <w:p w14:paraId="5BCF226A" w14:textId="0F6EDCC0"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lastRenderedPageBreak/>
        <w:t>1.2</w:t>
      </w:r>
      <w:r w:rsidRPr="00CE7687">
        <w:rPr>
          <w:rFonts w:ascii="Times New Roman" w:hAnsi="Times New Roman" w:cs="Times New Roman"/>
          <w:lang w:val="es-ES_tradnl"/>
        </w:rPr>
        <w:tab/>
        <w:t>considerar la identificación de las bandas de frecuencias 3 300-3 400</w:t>
      </w:r>
      <w:r w:rsidR="00A65E95" w:rsidRPr="00CE7687">
        <w:rPr>
          <w:rFonts w:ascii="Times New Roman" w:hAnsi="Times New Roman" w:cs="Times New Roman"/>
          <w:lang w:val="es-ES_tradnl"/>
        </w:rPr>
        <w:t> </w:t>
      </w:r>
      <w:r w:rsidRPr="00CE7687">
        <w:rPr>
          <w:rFonts w:ascii="Times New Roman" w:hAnsi="Times New Roman" w:cs="Times New Roman"/>
          <w:lang w:val="es-ES_tradnl"/>
        </w:rPr>
        <w:t>MHz, 3 600</w:t>
      </w:r>
      <w:r w:rsidRPr="00CE7687">
        <w:rPr>
          <w:rFonts w:ascii="Times New Roman" w:hAnsi="Times New Roman" w:cs="Times New Roman"/>
          <w:lang w:val="es-ES_tradnl"/>
        </w:rPr>
        <w:noBreakHyphen/>
        <w:t xml:space="preserve">3 800 MHz, 6 425-7 025 MHz, 7 025-7 125 MHz y 10,0-10,5 GHz para las Telecomunicaciones Móviles Internacionales (IMT), incluidas posibles atribuciones adicionales al servicio móvil a título primario, de conformidad con la Resolución </w:t>
      </w:r>
      <w:r w:rsidR="00D8270A" w:rsidRPr="00CE7687">
        <w:rPr>
          <w:rFonts w:ascii="Times New Roman" w:hAnsi="Times New Roman" w:cs="Times New Roman"/>
          <w:b/>
          <w:lang w:val="es-ES"/>
        </w:rPr>
        <w:t>245</w:t>
      </w:r>
      <w:r w:rsidR="00D8270A"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p>
    <w:p w14:paraId="34682A0E" w14:textId="2B176EF8"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1.3</w:t>
      </w:r>
      <w:r w:rsidRPr="00CE7687">
        <w:rPr>
          <w:rFonts w:ascii="Times New Roman" w:hAnsi="Times New Roman" w:cs="Times New Roman"/>
          <w:lang w:val="es-ES_tradnl"/>
        </w:rPr>
        <w:tab/>
        <w:t xml:space="preserve">considerar la atribución a título primario de la banda de frecuencias 3 600-3 800 MHz al servicio móvil en la Región 1 y la adopción de las medidas reglamentarias convenientes, de conformidad con la Resolución </w:t>
      </w:r>
      <w:r w:rsidR="00D8270A" w:rsidRPr="00CE7687">
        <w:rPr>
          <w:rFonts w:ascii="Times New Roman" w:hAnsi="Times New Roman" w:cs="Times New Roman"/>
          <w:b/>
          <w:lang w:val="es-ES"/>
        </w:rPr>
        <w:t>246</w:t>
      </w:r>
      <w:r w:rsidR="00D8270A"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p>
    <w:p w14:paraId="1B2223FE" w14:textId="3D08E2EE"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bCs/>
          <w:lang w:val="es-ES_tradnl"/>
        </w:rPr>
        <w:t>1.4</w:t>
      </w:r>
      <w:r w:rsidRPr="00CE7687">
        <w:rPr>
          <w:rFonts w:ascii="Times New Roman" w:hAnsi="Times New Roman" w:cs="Times New Roman"/>
          <w:b/>
          <w:lang w:val="es-ES_tradnl"/>
        </w:rPr>
        <w:tab/>
      </w:r>
      <w:r w:rsidRPr="00CE7687">
        <w:rPr>
          <w:rFonts w:ascii="Times New Roman" w:hAnsi="Times New Roman" w:cs="Times New Roman"/>
          <w:lang w:val="es-ES_tradnl"/>
        </w:rPr>
        <w:t xml:space="preserve">considerar, de conformidad con la Resolución </w:t>
      </w:r>
      <w:r w:rsidR="00D8270A" w:rsidRPr="00CE7687">
        <w:rPr>
          <w:rFonts w:ascii="Times New Roman" w:hAnsi="Times New Roman" w:cs="Times New Roman"/>
          <w:b/>
          <w:bCs/>
          <w:lang w:val="es-ES"/>
        </w:rPr>
        <w:t>247</w:t>
      </w:r>
      <w:r w:rsidR="00D8270A" w:rsidRPr="00CE7687">
        <w:rPr>
          <w:rFonts w:ascii="Times New Roman" w:hAnsi="Times New Roman" w:cs="Times New Roman"/>
          <w:b/>
          <w:bCs/>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 xml:space="preserve">, la utilización de estaciones en plataformas a gran altitud como estaciones base IMT (HIBS) del servicio móvil en ciertas bandas </w:t>
      </w:r>
      <w:r w:rsidRPr="00CE7687">
        <w:rPr>
          <w:rFonts w:ascii="Times New Roman" w:hAnsi="Times New Roman" w:cs="Times New Roman"/>
          <w:bCs/>
          <w:lang w:val="es-ES_tradnl"/>
        </w:rPr>
        <w:t xml:space="preserve">de frecuencias </w:t>
      </w:r>
      <w:r w:rsidRPr="00CE7687">
        <w:rPr>
          <w:rFonts w:ascii="Times New Roman" w:hAnsi="Times New Roman" w:cs="Times New Roman"/>
          <w:lang w:val="es-ES_tradnl"/>
        </w:rPr>
        <w:t>por debajo de 2,7 GHz ya identificadas para las IMT, a nivel mundial o regional;</w:t>
      </w:r>
    </w:p>
    <w:p w14:paraId="07CB9700"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bCs/>
          <w:lang w:val="es-ES_tradnl"/>
        </w:rPr>
        <w:t>1.5</w:t>
      </w:r>
      <w:r w:rsidRPr="00CE7687">
        <w:rPr>
          <w:rFonts w:ascii="Times New Roman" w:hAnsi="Times New Roman" w:cs="Times New Roman"/>
          <w:b/>
          <w:lang w:val="es-ES_tradnl"/>
        </w:rPr>
        <w:tab/>
      </w:r>
      <w:r w:rsidRPr="00CE7687">
        <w:rPr>
          <w:rFonts w:ascii="Times New Roman" w:hAnsi="Times New Roman" w:cs="Times New Roman"/>
          <w:lang w:val="es-ES_tradnl"/>
        </w:rPr>
        <w:t>examinar la utilización del espectro y las necesidades de espectro de los servicios existentes en la banda de frecuencias 470-960 MHz en la Región 1 y considerar posibles medidas reglamentarias para la banda de frecuencias 470</w:t>
      </w:r>
      <w:r w:rsidRPr="00CE7687">
        <w:rPr>
          <w:rFonts w:ascii="Times New Roman" w:hAnsi="Times New Roman" w:cs="Times New Roman"/>
          <w:lang w:val="es-ES_tradnl"/>
        </w:rPr>
        <w:noBreakHyphen/>
        <w:t>694 MHz en la Región 1 a partir del examen previsto en la Resolución </w:t>
      </w:r>
      <w:r w:rsidRPr="00CE7687">
        <w:rPr>
          <w:rFonts w:ascii="Times New Roman" w:hAnsi="Times New Roman" w:cs="Times New Roman"/>
          <w:b/>
          <w:bCs/>
          <w:lang w:val="es-ES_tradnl"/>
        </w:rPr>
        <w:t>235</w:t>
      </w:r>
      <w:r w:rsidRPr="00CE7687">
        <w:rPr>
          <w:rFonts w:ascii="Times New Roman" w:hAnsi="Times New Roman" w:cs="Times New Roman"/>
          <w:lang w:val="es-ES_tradnl"/>
        </w:rPr>
        <w:t xml:space="preserve"> </w:t>
      </w:r>
      <w:r w:rsidRPr="00CE7687">
        <w:rPr>
          <w:rFonts w:ascii="Times New Roman" w:hAnsi="Times New Roman" w:cs="Times New Roman"/>
          <w:b/>
          <w:bCs/>
          <w:lang w:val="es-ES_tradnl"/>
        </w:rPr>
        <w:t>(CMR</w:t>
      </w:r>
      <w:r w:rsidRPr="00CE7687">
        <w:rPr>
          <w:rFonts w:ascii="Times New Roman" w:hAnsi="Times New Roman" w:cs="Times New Roman"/>
          <w:b/>
          <w:bCs/>
          <w:lang w:val="es-ES_tradnl"/>
        </w:rPr>
        <w:noBreakHyphen/>
        <w:t>15)</w:t>
      </w:r>
      <w:r w:rsidRPr="00CE7687">
        <w:rPr>
          <w:rFonts w:ascii="Times New Roman" w:hAnsi="Times New Roman" w:cs="Times New Roman"/>
          <w:lang w:val="es-ES_tradnl"/>
        </w:rPr>
        <w:t>;</w:t>
      </w:r>
    </w:p>
    <w:p w14:paraId="286C98AB" w14:textId="18F69F34"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1.6</w:t>
      </w:r>
      <w:r w:rsidRPr="00CE7687">
        <w:rPr>
          <w:rFonts w:ascii="Times New Roman" w:hAnsi="Times New Roman" w:cs="Times New Roman"/>
          <w:lang w:val="es-ES_tradnl"/>
        </w:rPr>
        <w:tab/>
        <w:t xml:space="preserve">considerar, de conformidad con la Resolución </w:t>
      </w:r>
      <w:r w:rsidR="00D8270A" w:rsidRPr="00CE7687">
        <w:rPr>
          <w:rFonts w:ascii="Times New Roman" w:hAnsi="Times New Roman" w:cs="Times New Roman"/>
          <w:b/>
          <w:bCs/>
          <w:lang w:val="es-ES"/>
        </w:rPr>
        <w:t>772</w:t>
      </w:r>
      <w:r w:rsidR="00D8270A"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w:t>
      </w:r>
      <w:r w:rsidRPr="00CE7687">
        <w:rPr>
          <w:rFonts w:ascii="Times New Roman" w:hAnsi="Times New Roman" w:cs="Times New Roman"/>
          <w:b/>
          <w:bCs/>
          <w:lang w:val="es-ES_tradnl"/>
        </w:rPr>
        <w:noBreakHyphen/>
        <w:t>19)</w:t>
      </w:r>
      <w:r w:rsidRPr="00CE7687">
        <w:rPr>
          <w:rFonts w:ascii="Times New Roman" w:hAnsi="Times New Roman" w:cs="Times New Roman"/>
          <w:lang w:val="es-ES_tradnl"/>
        </w:rPr>
        <w:t>, disposiciones reglamentarias para facilitar las radiocomunicaciones para vehículos suborbitales;</w:t>
      </w:r>
    </w:p>
    <w:p w14:paraId="69299E67" w14:textId="4A15A705"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1.7</w:t>
      </w:r>
      <w:r w:rsidRPr="00CE7687">
        <w:rPr>
          <w:rFonts w:ascii="Times New Roman" w:hAnsi="Times New Roman" w:cs="Times New Roman"/>
          <w:lang w:val="es-ES_tradnl"/>
        </w:rPr>
        <w:tab/>
        <w:t xml:space="preserve">considerar la posibilidad de efectuar una nueva atribución al servicio móvil aeronáutico (R) por satélite (SMA(R)S) de conformidad con la Resolución </w:t>
      </w:r>
      <w:r w:rsidR="00D8270A" w:rsidRPr="00CE7687">
        <w:rPr>
          <w:rFonts w:ascii="Times New Roman" w:hAnsi="Times New Roman" w:cs="Times New Roman"/>
          <w:b/>
          <w:bCs/>
          <w:lang w:val="es-ES"/>
        </w:rPr>
        <w:t>428</w:t>
      </w:r>
      <w:r w:rsidR="00D8270A"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(CMR-19)</w:t>
      </w:r>
      <w:r w:rsidRPr="00CE7687">
        <w:rPr>
          <w:rFonts w:ascii="Times New Roman" w:hAnsi="Times New Roman" w:cs="Times New Roman"/>
          <w:lang w:val="es-ES_tradnl"/>
        </w:rPr>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p w14:paraId="7CAEBDCA" w14:textId="3BB53D8A"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1.8</w:t>
      </w:r>
      <w:r w:rsidRPr="00CE7687">
        <w:rPr>
          <w:rFonts w:ascii="Times New Roman" w:hAnsi="Times New Roman" w:cs="Times New Roman"/>
          <w:lang w:val="es-ES_tradnl"/>
        </w:rPr>
        <w:tab/>
        <w:t>considerar, basándose en los estudios del UIT-R previstos en la Resolución </w:t>
      </w:r>
      <w:r w:rsidR="00D8270A" w:rsidRPr="00CE7687">
        <w:rPr>
          <w:rFonts w:ascii="Times New Roman" w:hAnsi="Times New Roman" w:cs="Times New Roman"/>
          <w:b/>
          <w:bCs/>
          <w:szCs w:val="24"/>
          <w:lang w:val="es-ES"/>
        </w:rPr>
        <w:t>171</w:t>
      </w:r>
      <w:r w:rsidR="00D8270A"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 xml:space="preserve">, medidas regulatorias adecuadas, para examinar y, de ser necesario, enmendar la Resolución </w:t>
      </w:r>
      <w:r w:rsidRPr="00CE7687">
        <w:rPr>
          <w:rFonts w:ascii="Times New Roman" w:hAnsi="Times New Roman" w:cs="Times New Roman"/>
          <w:b/>
          <w:lang w:val="es-ES_tradnl"/>
        </w:rPr>
        <w:t>155 (Rev.CMR-19)</w:t>
      </w:r>
      <w:r w:rsidRPr="00CE7687">
        <w:rPr>
          <w:rFonts w:ascii="Times New Roman" w:hAnsi="Times New Roman" w:cs="Times New Roman"/>
          <w:lang w:val="es-ES_tradnl"/>
        </w:rPr>
        <w:t xml:space="preserve"> y el número </w:t>
      </w:r>
      <w:r w:rsidRPr="00CE7687">
        <w:rPr>
          <w:rFonts w:ascii="Times New Roman" w:hAnsi="Times New Roman" w:cs="Times New Roman"/>
          <w:b/>
          <w:lang w:val="es-ES_tradnl"/>
        </w:rPr>
        <w:t>5.484B</w:t>
      </w:r>
      <w:r w:rsidRPr="00CE7687">
        <w:rPr>
          <w:rFonts w:ascii="Times New Roman" w:hAnsi="Times New Roman" w:cs="Times New Roman"/>
          <w:lang w:val="es-ES_tradnl"/>
        </w:rPr>
        <w:t xml:space="preserve"> del RR con objeto de permitir la utilización de redes de satélites del servicio fijo (SFS) para el control y las comunicaciones sin carga útil de sistemas de aeronaves no tripuladas;</w:t>
      </w:r>
    </w:p>
    <w:p w14:paraId="56B3EF8F" w14:textId="5B810F9E"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1.9</w:t>
      </w:r>
      <w:r w:rsidRPr="00CE7687">
        <w:rPr>
          <w:rFonts w:ascii="Times New Roman" w:hAnsi="Times New Roman" w:cs="Times New Roman"/>
          <w:lang w:val="es-ES_tradnl"/>
        </w:rPr>
        <w:tab/>
        <w:t xml:space="preserve">revisar el Apéndice </w:t>
      </w:r>
      <w:r w:rsidRPr="00CE7687">
        <w:rPr>
          <w:rFonts w:ascii="Times New Roman" w:hAnsi="Times New Roman" w:cs="Times New Roman"/>
          <w:b/>
          <w:bCs/>
          <w:lang w:val="es-ES_tradnl"/>
        </w:rPr>
        <w:t>27</w:t>
      </w:r>
      <w:r w:rsidRPr="00CE7687">
        <w:rPr>
          <w:rFonts w:ascii="Times New Roman" w:hAnsi="Times New Roman" w:cs="Times New Roman"/>
          <w:lang w:val="es-ES_tradnl"/>
        </w:rP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modernizados, de conformidad con la Resolución</w:t>
      </w:r>
      <w:r w:rsidRPr="00CE7687">
        <w:rPr>
          <w:rFonts w:ascii="Times New Roman" w:hAnsi="Times New Roman" w:cs="Times New Roman"/>
          <w:b/>
          <w:lang w:val="es-ES_tradnl"/>
        </w:rPr>
        <w:t xml:space="preserve"> </w:t>
      </w:r>
      <w:r w:rsidR="00D8270A" w:rsidRPr="00CE7687">
        <w:rPr>
          <w:rFonts w:ascii="Times New Roman" w:hAnsi="Times New Roman" w:cs="Times New Roman"/>
          <w:b/>
          <w:bCs/>
          <w:szCs w:val="24"/>
          <w:lang w:val="es-ES"/>
        </w:rPr>
        <w:t>429</w:t>
      </w:r>
      <w:r w:rsidR="00A65E95" w:rsidRPr="00CE7687">
        <w:rPr>
          <w:rFonts w:ascii="Times New Roman" w:hAnsi="Times New Roman" w:cs="Times New Roman"/>
          <w:b/>
          <w:bCs/>
          <w:szCs w:val="24"/>
          <w:lang w:val="es-ES"/>
        </w:rPr>
        <w:t xml:space="preserve"> </w:t>
      </w:r>
      <w:r w:rsidRPr="00CE7687">
        <w:rPr>
          <w:rFonts w:ascii="Times New Roman" w:hAnsi="Times New Roman" w:cs="Times New Roman"/>
          <w:b/>
          <w:lang w:val="es-ES_tradnl"/>
        </w:rPr>
        <w:t>(CMR</w:t>
      </w:r>
      <w:r w:rsidRPr="00CE7687">
        <w:rPr>
          <w:rFonts w:ascii="Times New Roman" w:hAnsi="Times New Roman" w:cs="Times New Roman"/>
          <w:b/>
          <w:lang w:val="es-ES_tradnl"/>
        </w:rPr>
        <w:noBreakHyphen/>
        <w:t>19)</w:t>
      </w:r>
      <w:r w:rsidRPr="00CE7687">
        <w:rPr>
          <w:rFonts w:ascii="Times New Roman" w:hAnsi="Times New Roman" w:cs="Times New Roman"/>
          <w:lang w:val="es-ES_tradnl"/>
        </w:rPr>
        <w:t>;</w:t>
      </w:r>
    </w:p>
    <w:p w14:paraId="4FFA207B" w14:textId="014107CE"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1.10</w:t>
      </w:r>
      <w:r w:rsidRPr="00CE7687">
        <w:rPr>
          <w:rFonts w:ascii="Times New Roman" w:hAnsi="Times New Roman" w:cs="Times New Roman"/>
          <w:lang w:val="es-ES_tradnl"/>
        </w:rPr>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00D8270A" w:rsidRPr="00CE7687">
        <w:rPr>
          <w:rFonts w:ascii="Times New Roman" w:hAnsi="Times New Roman" w:cs="Times New Roman"/>
          <w:b/>
          <w:bCs/>
          <w:lang w:val="es-ES"/>
        </w:rPr>
        <w:t>430</w:t>
      </w:r>
      <w:r w:rsidR="00D8270A"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(CMR-19)</w:t>
      </w:r>
      <w:r w:rsidRPr="00CE7687">
        <w:rPr>
          <w:rFonts w:ascii="Times New Roman" w:hAnsi="Times New Roman" w:cs="Times New Roman"/>
          <w:lang w:val="es-ES_tradnl"/>
        </w:rPr>
        <w:t>;</w:t>
      </w:r>
    </w:p>
    <w:p w14:paraId="49BCFF3A"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bCs/>
          <w:lang w:val="es-ES_tradnl"/>
        </w:rPr>
        <w:t>1.11</w:t>
      </w:r>
      <w:r w:rsidRPr="00CE7687">
        <w:rPr>
          <w:rFonts w:ascii="Times New Roman" w:hAnsi="Times New Roman" w:cs="Times New Roman"/>
          <w:b/>
          <w:lang w:val="es-ES_tradnl"/>
        </w:rPr>
        <w:tab/>
      </w:r>
      <w:r w:rsidRPr="00CE7687">
        <w:rPr>
          <w:rFonts w:ascii="Times New Roman" w:hAnsi="Times New Roman" w:cs="Times New Roman"/>
          <w:lang w:val="es-ES_tradnl"/>
        </w:rPr>
        <w:t>considerar las posibles medidas reglamentarias para facilitar la modernización del Sistema Mundial de Socorro y Seguridad Marítimos y la aplicación de la navegación electrónica, de conformidad con la Resolución </w:t>
      </w:r>
      <w:r w:rsidRPr="00CE7687">
        <w:rPr>
          <w:rFonts w:ascii="Times New Roman" w:hAnsi="Times New Roman" w:cs="Times New Roman"/>
          <w:b/>
          <w:bCs/>
          <w:lang w:val="es-ES_tradnl"/>
        </w:rPr>
        <w:t>361 (Rev.CMR-19)</w:t>
      </w:r>
      <w:r w:rsidRPr="00CE7687">
        <w:rPr>
          <w:rFonts w:ascii="Times New Roman" w:hAnsi="Times New Roman" w:cs="Times New Roman"/>
          <w:lang w:val="es-ES_tradnl"/>
        </w:rPr>
        <w:t>;</w:t>
      </w:r>
    </w:p>
    <w:p w14:paraId="7298272A" w14:textId="77777777" w:rsidR="001457F5" w:rsidRPr="00CE7687" w:rsidRDefault="001457F5" w:rsidP="00100121">
      <w:pPr>
        <w:rPr>
          <w:rFonts w:ascii="Times New Roman" w:hAnsi="Times New Roman" w:cs="Times New Roman"/>
          <w:b/>
          <w:bCs/>
          <w:lang w:val="es-ES_tradnl"/>
        </w:rPr>
      </w:pPr>
      <w:r w:rsidRPr="00CE7687">
        <w:rPr>
          <w:rFonts w:ascii="Times New Roman" w:hAnsi="Times New Roman" w:cs="Times New Roman"/>
          <w:lang w:val="es-ES_tradnl"/>
        </w:rPr>
        <w:t>1.12</w:t>
      </w:r>
      <w:r w:rsidRPr="00CE7687">
        <w:rPr>
          <w:rFonts w:ascii="Times New Roman" w:hAnsi="Times New Roman" w:cs="Times New Roman"/>
          <w:lang w:val="es-ES_tradnl"/>
        </w:rPr>
        <w:tab/>
        <w:t>realizar y completar, a tiempo para la CMR</w:t>
      </w:r>
      <w:r w:rsidRPr="00CE7687">
        <w:rPr>
          <w:rFonts w:ascii="Times New Roman" w:hAnsi="Times New Roman" w:cs="Times New Roman"/>
          <w:lang w:val="es-ES_tradnl"/>
        </w:rPr>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CE7687">
        <w:rPr>
          <w:rFonts w:ascii="Times New Roman" w:hAnsi="Times New Roman" w:cs="Times New Roman"/>
          <w:bCs/>
          <w:lang w:val="es-ES_tradnl"/>
        </w:rPr>
        <w:t xml:space="preserve">de frecuencias </w:t>
      </w:r>
      <w:r w:rsidRPr="00CE7687">
        <w:rPr>
          <w:rFonts w:ascii="Times New Roman" w:hAnsi="Times New Roman" w:cs="Times New Roman"/>
          <w:lang w:val="es-ES_tradnl"/>
        </w:rPr>
        <w:t>adyacentes, de conformidad con la Resolución </w:t>
      </w:r>
      <w:r w:rsidRPr="00CE7687">
        <w:rPr>
          <w:rFonts w:ascii="Times New Roman" w:hAnsi="Times New Roman" w:cs="Times New Roman"/>
          <w:b/>
          <w:bCs/>
          <w:lang w:val="es-ES_tradnl"/>
        </w:rPr>
        <w:t>656 (Rev.CMR-19)</w:t>
      </w:r>
      <w:r w:rsidRPr="00CE7687">
        <w:rPr>
          <w:rFonts w:ascii="Times New Roman" w:hAnsi="Times New Roman" w:cs="Times New Roman"/>
          <w:lang w:val="es-ES_tradnl"/>
        </w:rPr>
        <w:t>;</w:t>
      </w:r>
    </w:p>
    <w:p w14:paraId="522360F4" w14:textId="692102D0"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lastRenderedPageBreak/>
        <w:t>1.13</w:t>
      </w:r>
      <w:r w:rsidRPr="00CE7687">
        <w:rPr>
          <w:rFonts w:ascii="Times New Roman" w:hAnsi="Times New Roman" w:cs="Times New Roman"/>
          <w:lang w:val="es-ES_tradnl"/>
        </w:rPr>
        <w:tab/>
        <w:t xml:space="preserve">considerar la posible elevación de la categoría de la atribución al servicio de investigación espacial en la banda </w:t>
      </w:r>
      <w:r w:rsidRPr="00CE7687">
        <w:rPr>
          <w:rFonts w:ascii="Times New Roman" w:hAnsi="Times New Roman" w:cs="Times New Roman"/>
          <w:bCs/>
          <w:lang w:val="es-ES_tradnl"/>
        </w:rPr>
        <w:t xml:space="preserve">de frecuencias </w:t>
      </w:r>
      <w:r w:rsidRPr="00CE7687">
        <w:rPr>
          <w:rFonts w:ascii="Times New Roman" w:hAnsi="Times New Roman" w:cs="Times New Roman"/>
          <w:lang w:val="es-ES_tradnl"/>
        </w:rPr>
        <w:t>14,8-15,35</w:t>
      </w:r>
      <w:r w:rsidR="00A65E95" w:rsidRPr="00CE7687">
        <w:rPr>
          <w:rFonts w:ascii="Times New Roman" w:hAnsi="Times New Roman" w:cs="Times New Roman"/>
          <w:lang w:val="es-ES_tradnl"/>
        </w:rPr>
        <w:t> </w:t>
      </w:r>
      <w:r w:rsidRPr="00CE7687">
        <w:rPr>
          <w:rFonts w:ascii="Times New Roman" w:hAnsi="Times New Roman" w:cs="Times New Roman"/>
          <w:lang w:val="es-ES_tradnl"/>
        </w:rPr>
        <w:t xml:space="preserve">GHz, de conformidad con la Resolución </w:t>
      </w:r>
      <w:r w:rsidR="00D8270A" w:rsidRPr="00CE7687">
        <w:rPr>
          <w:rFonts w:ascii="Times New Roman" w:hAnsi="Times New Roman" w:cs="Times New Roman"/>
          <w:b/>
          <w:bCs/>
          <w:szCs w:val="24"/>
          <w:lang w:val="es-ES"/>
        </w:rPr>
        <w:t>661</w:t>
      </w:r>
      <w:r w:rsidR="00D8270A"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w:t>
      </w:r>
      <w:r w:rsidR="00A65E95" w:rsidRPr="00CE7687">
        <w:rPr>
          <w:rFonts w:ascii="Times New Roman" w:hAnsi="Times New Roman" w:cs="Times New Roman"/>
          <w:b/>
          <w:bCs/>
          <w:lang w:val="es-ES_tradnl"/>
        </w:rPr>
        <w:noBreakHyphen/>
      </w:r>
      <w:r w:rsidRPr="00CE7687">
        <w:rPr>
          <w:rFonts w:ascii="Times New Roman" w:hAnsi="Times New Roman" w:cs="Times New Roman"/>
          <w:b/>
          <w:bCs/>
          <w:lang w:val="es-ES_tradnl"/>
        </w:rPr>
        <w:t>19)</w:t>
      </w:r>
      <w:r w:rsidRPr="00CE7687">
        <w:rPr>
          <w:rFonts w:ascii="Times New Roman" w:hAnsi="Times New Roman" w:cs="Times New Roman"/>
          <w:lang w:val="es-ES_tradnl"/>
        </w:rPr>
        <w:t>;</w:t>
      </w:r>
    </w:p>
    <w:p w14:paraId="324B63A8" w14:textId="3275D32F"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1.14</w:t>
      </w:r>
      <w:r w:rsidRPr="00CE7687">
        <w:rPr>
          <w:rFonts w:ascii="Times New Roman" w:hAnsi="Times New Roman" w:cs="Times New Roman"/>
          <w:lang w:val="es-ES_tradnl"/>
        </w:rPr>
        <w:tab/>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00DA7899" w:rsidRPr="00CE7687">
        <w:rPr>
          <w:rFonts w:ascii="Times New Roman" w:hAnsi="Times New Roman" w:cs="Times New Roman"/>
          <w:b/>
          <w:bCs/>
          <w:szCs w:val="24"/>
          <w:lang w:val="es-ES"/>
        </w:rPr>
        <w:t>662</w:t>
      </w:r>
      <w:r w:rsidR="00DA7899"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(CMR-19)</w:t>
      </w:r>
      <w:r w:rsidRPr="00CE7687">
        <w:rPr>
          <w:rFonts w:ascii="Times New Roman" w:hAnsi="Times New Roman" w:cs="Times New Roman"/>
          <w:lang w:val="es-ES_tradnl"/>
        </w:rPr>
        <w:t>;</w:t>
      </w:r>
    </w:p>
    <w:p w14:paraId="113AF6E8" w14:textId="4C9A263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1.15</w:t>
      </w:r>
      <w:r w:rsidRPr="00CE7687">
        <w:rPr>
          <w:rFonts w:ascii="Times New Roman" w:hAnsi="Times New Roman" w:cs="Times New Roman"/>
          <w:lang w:val="es-ES_tradnl"/>
        </w:rPr>
        <w:tab/>
        <w:t>armonizar a escala mundial la utilización de la banda de frecuencias 12,75</w:t>
      </w:r>
      <w:r w:rsidRPr="00CE7687">
        <w:rPr>
          <w:rFonts w:ascii="Times New Roman" w:hAnsi="Times New Roman" w:cs="Times New Roman"/>
          <w:lang w:val="es-ES_tradnl"/>
        </w:rPr>
        <w:noBreakHyphen/>
        <w:t xml:space="preserve">13,25 GHz (Tierra-espacio) por las estaciones terrenas a bordo de aeronaves y barcos que se comunican con estaciones espaciales geoestacionarias del servicio fijo por satélite, de conformidad con la Resolución </w:t>
      </w:r>
      <w:r w:rsidR="00DA7899" w:rsidRPr="00CE7687">
        <w:rPr>
          <w:rFonts w:ascii="Times New Roman" w:hAnsi="Times New Roman" w:cs="Times New Roman"/>
          <w:b/>
          <w:bCs/>
          <w:szCs w:val="24"/>
          <w:lang w:val="es-ES"/>
        </w:rPr>
        <w:t>172</w:t>
      </w:r>
      <w:r w:rsidR="00A65E95" w:rsidRPr="00CE7687">
        <w:rPr>
          <w:rFonts w:ascii="Times New Roman" w:hAnsi="Times New Roman" w:cs="Times New Roman"/>
          <w:b/>
          <w:bCs/>
          <w:szCs w:val="24"/>
          <w:lang w:val="es-ES"/>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p>
    <w:p w14:paraId="1E1ED1B7" w14:textId="50B8FC26"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1.16</w:t>
      </w:r>
      <w:r w:rsidRPr="00CE7687">
        <w:rPr>
          <w:rFonts w:ascii="Times New Roman" w:hAnsi="Times New Roman" w:cs="Times New Roman"/>
          <w:lang w:val="es-ES_tradnl"/>
        </w:rPr>
        <w:tab/>
        <w:t>estudiar y desarrollar medidas técnicas, operativas y reglamentarias, según proceda, para facilitar la utilización de las bandas de frecuencias 17,7</w:t>
      </w:r>
      <w:r w:rsidRPr="00CE7687">
        <w:rPr>
          <w:rFonts w:ascii="Times New Roman" w:hAnsi="Times New Roman" w:cs="Times New Roman"/>
          <w:lang w:val="es-ES_tradnl"/>
        </w:rPr>
        <w:noBreakHyphen/>
        <w:t>18,6 GHz y 18,8</w:t>
      </w:r>
      <w:r w:rsidRPr="00CE7687">
        <w:rPr>
          <w:rFonts w:ascii="Times New Roman" w:hAnsi="Times New Roman" w:cs="Times New Roman"/>
          <w:lang w:val="es-ES_tradnl"/>
        </w:rPr>
        <w:noBreakHyphen/>
        <w:t>19,3 GHz y 19,7</w:t>
      </w:r>
      <w:r w:rsidRPr="00CE7687">
        <w:rPr>
          <w:rFonts w:ascii="Times New Roman" w:hAnsi="Times New Roman" w:cs="Times New Roman"/>
          <w:lang w:val="es-ES_tradnl"/>
        </w:rPr>
        <w:noBreakHyphen/>
        <w:t>20,2 GHz (espacio</w:t>
      </w:r>
      <w:r w:rsidRPr="00CE7687">
        <w:rPr>
          <w:rFonts w:ascii="Times New Roman" w:hAnsi="Times New Roman" w:cs="Times New Roman"/>
          <w:lang w:val="es-ES_tradnl"/>
        </w:rPr>
        <w:noBreakHyphen/>
        <w:t xml:space="preserve">Tierra) y </w:t>
      </w:r>
      <w:r w:rsidRPr="00CE7687">
        <w:rPr>
          <w:rFonts w:ascii="Times New Roman" w:eastAsia="SimSun" w:hAnsi="Times New Roman" w:cs="Times New Roman"/>
          <w:lang w:val="es-ES_tradnl"/>
        </w:rPr>
        <w:t>27,5</w:t>
      </w:r>
      <w:r w:rsidRPr="00CE7687">
        <w:rPr>
          <w:rFonts w:ascii="Times New Roman" w:eastAsia="SimSun" w:hAnsi="Times New Roman" w:cs="Times New Roman"/>
          <w:lang w:val="es-ES_tradnl"/>
        </w:rPr>
        <w:noBreakHyphen/>
        <w:t>29,1 GHz y 29,5</w:t>
      </w:r>
      <w:r w:rsidRPr="00CE7687">
        <w:rPr>
          <w:rFonts w:ascii="Times New Roman" w:eastAsia="SimSun" w:hAnsi="Times New Roman" w:cs="Times New Roman"/>
          <w:lang w:val="es-ES_tradnl"/>
        </w:rPr>
        <w:noBreakHyphen/>
        <w:t>30 GHz (Tierra-espacio)</w:t>
      </w:r>
      <w:r w:rsidRPr="00CE7687">
        <w:rPr>
          <w:rFonts w:ascii="Times New Roman" w:hAnsi="Times New Roman" w:cs="Times New Roman"/>
          <w:lang w:val="es-ES_tradnl"/>
        </w:rPr>
        <w:t xml:space="preserve"> por las estaciones terrenas en movimiento del SFS no OSG, garantizando a su vez la debida protección de los servicios existentes en dichas bandas de frecuencias, de conformidad con la Resolución </w:t>
      </w:r>
      <w:r w:rsidR="00DA7899" w:rsidRPr="00CE7687">
        <w:rPr>
          <w:rFonts w:ascii="Times New Roman" w:eastAsia="SimSun" w:hAnsi="Times New Roman" w:cs="Times New Roman"/>
          <w:b/>
          <w:bCs/>
          <w:szCs w:val="24"/>
          <w:lang w:val="es-ES" w:eastAsia="zh-CN"/>
        </w:rPr>
        <w:t>173</w:t>
      </w:r>
      <w:r w:rsidR="00DA7899" w:rsidRPr="00CE7687">
        <w:rPr>
          <w:rFonts w:ascii="Times New Roman" w:hAnsi="Times New Roman" w:cs="Times New Roman"/>
          <w:b/>
          <w:bCs/>
          <w:lang w:val="es-ES_tradnl"/>
        </w:rPr>
        <w:t xml:space="preserve"> </w:t>
      </w:r>
      <w:r w:rsidRPr="00CE7687">
        <w:rPr>
          <w:rFonts w:ascii="Times New Roman" w:hAnsi="Times New Roman" w:cs="Times New Roman"/>
          <w:b/>
          <w:bCs/>
          <w:lang w:val="es-ES_tradnl"/>
        </w:rPr>
        <w:t>(CMR</w:t>
      </w:r>
      <w:r w:rsidRPr="00CE7687">
        <w:rPr>
          <w:rFonts w:ascii="Times New Roman" w:hAnsi="Times New Roman" w:cs="Times New Roman"/>
          <w:b/>
          <w:bCs/>
          <w:lang w:val="es-ES_tradnl"/>
        </w:rPr>
        <w:noBreakHyphen/>
        <w:t>19)</w:t>
      </w:r>
      <w:r w:rsidRPr="00CE7687">
        <w:rPr>
          <w:rFonts w:ascii="Times New Roman" w:hAnsi="Times New Roman" w:cs="Times New Roman"/>
          <w:lang w:val="es-ES_tradnl"/>
        </w:rPr>
        <w:t>;</w:t>
      </w:r>
    </w:p>
    <w:p w14:paraId="1F600C22" w14:textId="63AE146C"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1.17</w:t>
      </w:r>
      <w:r w:rsidRPr="00CE7687">
        <w:rPr>
          <w:rFonts w:ascii="Times New Roman" w:hAnsi="Times New Roman" w:cs="Times New Roman"/>
          <w:lang w:val="es-ES_tradnl"/>
        </w:rPr>
        <w:tab/>
        <w:t xml:space="preserve">determinar y tomar, basándose en los estudios del UIT-R previstos en la Resolución </w:t>
      </w:r>
      <w:r w:rsidR="00DA7899" w:rsidRPr="00CE7687">
        <w:rPr>
          <w:rFonts w:ascii="Times New Roman" w:hAnsi="Times New Roman" w:cs="Times New Roman"/>
          <w:b/>
          <w:bCs/>
          <w:szCs w:val="24"/>
          <w:lang w:val="es-ES"/>
        </w:rPr>
        <w:t>773</w:t>
      </w:r>
      <w:r w:rsidR="00DA7899"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r w:rsidRPr="00CE7687">
        <w:rPr>
          <w:rFonts w:ascii="Times New Roman" w:hAnsi="Times New Roman" w:cs="Times New Roman"/>
          <w:b/>
          <w:lang w:val="es-ES_tradnl"/>
        </w:rPr>
        <w:t xml:space="preserve"> </w:t>
      </w:r>
      <w:r w:rsidRPr="00CE7687">
        <w:rPr>
          <w:rFonts w:ascii="Times New Roman" w:hAnsi="Times New Roman" w:cs="Times New Roman"/>
          <w:lang w:val="es-ES_tradnl"/>
        </w:rPr>
        <w:t>las medidas reglamentarias apropiadas para el establecimiento de enlaces entre satélites en bandas de frecuencias específicas o tramos de las mismas, agregando una atribución a un servicio entre satélites donde corresponda;</w:t>
      </w:r>
    </w:p>
    <w:p w14:paraId="42BE4619" w14:textId="28524C2D" w:rsidR="001457F5" w:rsidRPr="00CE7687" w:rsidRDefault="001457F5" w:rsidP="00100121">
      <w:pPr>
        <w:rPr>
          <w:rFonts w:ascii="Times New Roman" w:hAnsi="Times New Roman" w:cs="Times New Roman"/>
          <w:lang w:val="es-ES"/>
        </w:rPr>
      </w:pPr>
      <w:r w:rsidRPr="00CE7687">
        <w:rPr>
          <w:rFonts w:ascii="Times New Roman" w:hAnsi="Times New Roman" w:cs="Times New Roman"/>
          <w:lang w:val="es-ES_tradnl"/>
        </w:rPr>
        <w:t>1.18</w:t>
      </w:r>
      <w:r w:rsidRPr="00CE7687">
        <w:rPr>
          <w:rFonts w:ascii="Times New Roman" w:hAnsi="Times New Roman" w:cs="Times New Roman"/>
          <w:lang w:val="es-ES_tradnl"/>
        </w:rPr>
        <w:tab/>
        <w:t xml:space="preserve">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00DA7899" w:rsidRPr="00CE7687">
        <w:rPr>
          <w:rFonts w:ascii="Times New Roman" w:hAnsi="Times New Roman" w:cs="Times New Roman"/>
          <w:b/>
          <w:szCs w:val="24"/>
          <w:lang w:val="es-ES"/>
        </w:rPr>
        <w:t>248</w:t>
      </w:r>
      <w:r w:rsidR="00DA7899"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p>
    <w:p w14:paraId="18940D71" w14:textId="7841251F"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bCs/>
          <w:lang w:val="es-ES_tradnl"/>
        </w:rPr>
        <w:t>1.19</w:t>
      </w:r>
      <w:r w:rsidRPr="00CE7687">
        <w:rPr>
          <w:rFonts w:ascii="Times New Roman" w:hAnsi="Times New Roman" w:cs="Times New Roman"/>
          <w:b/>
          <w:lang w:val="es-ES_tradnl"/>
        </w:rPr>
        <w:tab/>
      </w:r>
      <w:r w:rsidRPr="00CE7687">
        <w:rPr>
          <w:rFonts w:ascii="Times New Roman" w:hAnsi="Times New Roman" w:cs="Times New Roman"/>
          <w:lang w:val="es-ES_tradnl"/>
        </w:rPr>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00DA7899" w:rsidRPr="00CE7687">
        <w:rPr>
          <w:rFonts w:ascii="Times New Roman" w:hAnsi="Times New Roman" w:cs="Times New Roman"/>
          <w:b/>
          <w:bCs/>
          <w:szCs w:val="24"/>
          <w:lang w:val="es-ES"/>
        </w:rPr>
        <w:t>174</w:t>
      </w:r>
      <w:r w:rsidRPr="00CE7687">
        <w:rPr>
          <w:rFonts w:ascii="Times New Roman" w:hAnsi="Times New Roman" w:cs="Times New Roman"/>
          <w:b/>
          <w:bCs/>
          <w:lang w:val="es-ES_tradnl"/>
        </w:rPr>
        <w:t xml:space="preserve"> (CMR-19)</w:t>
      </w:r>
      <w:r w:rsidRPr="00CE7687">
        <w:rPr>
          <w:rFonts w:ascii="Times New Roman" w:hAnsi="Times New Roman" w:cs="Times New Roman"/>
          <w:lang w:val="es-ES_tradnl"/>
        </w:rPr>
        <w:t>;</w:t>
      </w:r>
    </w:p>
    <w:p w14:paraId="02D47229"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2</w:t>
      </w:r>
      <w:r w:rsidRPr="00CE7687">
        <w:rPr>
          <w:rFonts w:ascii="Times New Roman" w:hAnsi="Times New Roman" w:cs="Times New Roman"/>
          <w:lang w:val="es-ES_tradnl"/>
        </w:rPr>
        <w:tab/>
        <w:t>examinar las Recomendaciones UIT</w:t>
      </w:r>
      <w:r w:rsidRPr="00CE7687">
        <w:rPr>
          <w:rFonts w:ascii="Times New Roman" w:hAnsi="Times New Roman" w:cs="Times New Roman"/>
          <w:lang w:val="es-ES_tradnl"/>
        </w:rPr>
        <w:noBreakHyphen/>
        <w:t xml:space="preserve">R revisadas e incorporadas por referencia en el Reglamento de Radiocomunicaciones, comunicadas por la Asamblea de Radiocomunicaciones de acuerdo con el </w:t>
      </w:r>
      <w:r w:rsidRPr="00CE7687">
        <w:rPr>
          <w:rFonts w:ascii="Times New Roman" w:hAnsi="Times New Roman" w:cs="Times New Roman"/>
          <w:i/>
          <w:iCs/>
          <w:lang w:val="es-ES_tradnl"/>
        </w:rPr>
        <w:t>resuelve además</w:t>
      </w:r>
      <w:r w:rsidRPr="00CE7687">
        <w:rPr>
          <w:rFonts w:ascii="Times New Roman" w:hAnsi="Times New Roman" w:cs="Times New Roman"/>
          <w:lang w:val="es-ES_tradnl"/>
        </w:rPr>
        <w:t xml:space="preserve"> de la Resolución </w:t>
      </w:r>
      <w:r w:rsidRPr="00CE7687">
        <w:rPr>
          <w:rFonts w:ascii="Times New Roman" w:hAnsi="Times New Roman" w:cs="Times New Roman"/>
          <w:b/>
          <w:bCs/>
          <w:lang w:val="es-ES_tradnl"/>
        </w:rPr>
        <w:t>27 (Rev.CMR-19</w:t>
      </w:r>
      <w:r w:rsidRPr="00CE7687">
        <w:rPr>
          <w:rFonts w:ascii="Times New Roman" w:hAnsi="Times New Roman" w:cs="Times New Roman"/>
          <w:lang w:val="es-ES_tradnl"/>
        </w:rPr>
        <w:t xml:space="preserve">), y decidir si se actualizan o no las referencias correspondientes en el Reglamento de Radiocomunicaciones, con arreglo a los principios contenidos en el </w:t>
      </w:r>
      <w:r w:rsidRPr="00CE7687">
        <w:rPr>
          <w:rFonts w:ascii="Times New Roman" w:hAnsi="Times New Roman" w:cs="Times New Roman"/>
          <w:i/>
          <w:iCs/>
          <w:lang w:val="es-ES_tradnl"/>
        </w:rPr>
        <w:t>resuelve</w:t>
      </w:r>
      <w:r w:rsidRPr="00CE7687">
        <w:rPr>
          <w:rFonts w:ascii="Times New Roman" w:hAnsi="Times New Roman" w:cs="Times New Roman"/>
          <w:lang w:val="es-ES_tradnl"/>
        </w:rPr>
        <w:t xml:space="preserve"> de esa Resolución;</w:t>
      </w:r>
    </w:p>
    <w:p w14:paraId="2B2C34A9" w14:textId="77777777" w:rsidR="001457F5" w:rsidRPr="00CE7687" w:rsidRDefault="001457F5" w:rsidP="00100121">
      <w:pPr>
        <w:rPr>
          <w:rFonts w:ascii="Times New Roman" w:hAnsi="Times New Roman" w:cs="Times New Roman"/>
          <w:lang w:val="es-ES_tradnl"/>
        </w:rPr>
      </w:pPr>
      <w:bookmarkStart w:id="2" w:name="_Hlk26957098"/>
      <w:r w:rsidRPr="00CE7687">
        <w:rPr>
          <w:rFonts w:ascii="Times New Roman" w:hAnsi="Times New Roman" w:cs="Times New Roman"/>
          <w:lang w:val="es-ES_tradnl"/>
        </w:rPr>
        <w:t>3</w:t>
      </w:r>
      <w:r w:rsidRPr="00CE7687">
        <w:rPr>
          <w:rFonts w:ascii="Times New Roman" w:hAnsi="Times New Roman" w:cs="Times New Roman"/>
          <w:lang w:val="es-ES_tradnl"/>
        </w:rPr>
        <w:tab/>
        <w:t>examinar los cambios y las modificaciones consiguientes en el Reglamento de Radiocomunicaciones que requieran las decisiones de la Conferencia;</w:t>
      </w:r>
    </w:p>
    <w:p w14:paraId="59ECFFDA"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4</w:t>
      </w:r>
      <w:r w:rsidRPr="00CE7687">
        <w:rPr>
          <w:rFonts w:ascii="Times New Roman" w:hAnsi="Times New Roman" w:cs="Times New Roman"/>
          <w:lang w:val="es-ES_tradnl"/>
        </w:rPr>
        <w:tab/>
        <w:t>de conformidad con la Resolución </w:t>
      </w:r>
      <w:r w:rsidRPr="00CE7687">
        <w:rPr>
          <w:rFonts w:ascii="Times New Roman" w:hAnsi="Times New Roman" w:cs="Times New Roman"/>
          <w:b/>
          <w:bCs/>
          <w:lang w:val="es-ES_tradnl"/>
        </w:rPr>
        <w:t>95 (Rev.CMR-19)</w:t>
      </w:r>
      <w:r w:rsidRPr="00CE7687">
        <w:rPr>
          <w:rFonts w:ascii="Times New Roman" w:hAnsi="Times New Roman" w:cs="Times New Roman"/>
          <w:lang w:val="es-ES_tradnl"/>
        </w:rPr>
        <w:t>, considerar las Resoluciones y Recomendaciones de las conferencias anteriores para su posible revisión, sustitución o supresión;</w:t>
      </w:r>
    </w:p>
    <w:bookmarkEnd w:id="2"/>
    <w:p w14:paraId="74203179"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5</w:t>
      </w:r>
      <w:r w:rsidRPr="00CE7687">
        <w:rPr>
          <w:rFonts w:ascii="Times New Roman" w:hAnsi="Times New Roman" w:cs="Times New Roman"/>
          <w:lang w:val="es-ES_tradnl"/>
        </w:rPr>
        <w:tab/>
        <w:t>examinar el Informe de la Asamblea de Radiocomunicaciones presentado con arreglo a los números 135 y 136 del Convenio, y tomar las medidas adecuadas al respecto;</w:t>
      </w:r>
    </w:p>
    <w:p w14:paraId="1216E2A6"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6</w:t>
      </w:r>
      <w:r w:rsidRPr="00CE7687">
        <w:rPr>
          <w:rFonts w:ascii="Times New Roman" w:hAnsi="Times New Roman" w:cs="Times New Roman"/>
          <w:lang w:val="es-ES_tradnl"/>
        </w:rPr>
        <w:tab/>
        <w:t>identificar los temas que exigen medidas urgentes de las Comisiones de Estudio de Radiocomunicaciones para la preparación de la próxima Conferencia Mundial de Radiocomunicaciones;</w:t>
      </w:r>
    </w:p>
    <w:p w14:paraId="1301BF2B"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7</w:t>
      </w:r>
      <w:r w:rsidRPr="00CE7687">
        <w:rPr>
          <w:rFonts w:ascii="Times New Roman" w:hAnsi="Times New Roman" w:cs="Times New Roman"/>
          <w:lang w:val="es-ES_tradnl"/>
        </w:rPr>
        <w:tab/>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E7687">
        <w:rPr>
          <w:rFonts w:ascii="Times New Roman" w:hAnsi="Times New Roman" w:cs="Times New Roman"/>
          <w:b/>
          <w:bCs/>
          <w:lang w:val="es-ES_tradnl"/>
        </w:rPr>
        <w:t>86 (Rev.CMR-07</w:t>
      </w:r>
      <w:r w:rsidRPr="00CE7687">
        <w:rPr>
          <w:rFonts w:ascii="Times New Roman" w:hAnsi="Times New Roman" w:cs="Times New Roman"/>
          <w:b/>
          <w:lang w:val="es-ES_tradnl"/>
        </w:rPr>
        <w:t>)</w:t>
      </w:r>
      <w:r w:rsidRPr="00CE7687">
        <w:rPr>
          <w:rFonts w:ascii="Times New Roman" w:hAnsi="Times New Roman" w:cs="Times New Roman"/>
          <w:bCs/>
          <w:lang w:val="es-ES_tradnl"/>
        </w:rPr>
        <w:t xml:space="preserve">, </w:t>
      </w:r>
      <w:r w:rsidRPr="00CE7687">
        <w:rPr>
          <w:rFonts w:ascii="Times New Roman" w:hAnsi="Times New Roman" w:cs="Times New Roman"/>
          <w:lang w:val="es-ES_tradnl"/>
        </w:rPr>
        <w:t>para facilitar el uso</w:t>
      </w:r>
      <w:r w:rsidRPr="00CE7687">
        <w:rPr>
          <w:rFonts w:ascii="Times New Roman" w:hAnsi="Times New Roman" w:cs="Times New Roman"/>
          <w:bCs/>
          <w:lang w:val="es-ES_tradnl"/>
        </w:rPr>
        <w:t xml:space="preserve"> </w:t>
      </w:r>
      <w:r w:rsidRPr="00CE7687">
        <w:rPr>
          <w:rFonts w:ascii="Times New Roman" w:hAnsi="Times New Roman" w:cs="Times New Roman"/>
          <w:lang w:val="es-ES_tradnl"/>
        </w:rPr>
        <w:t xml:space="preserve">racional, </w:t>
      </w:r>
      <w:r w:rsidRPr="00CE7687">
        <w:rPr>
          <w:rFonts w:ascii="Times New Roman" w:hAnsi="Times New Roman" w:cs="Times New Roman"/>
          <w:lang w:val="es-ES_tradnl"/>
        </w:rPr>
        <w:lastRenderedPageBreak/>
        <w:t>eficiente y económico de las radiofrecuencias y órbitas asociadas, incluida la órbita de los satélites geoestacionarios;</w:t>
      </w:r>
    </w:p>
    <w:p w14:paraId="450F8553" w14:textId="77777777" w:rsidR="001457F5" w:rsidRPr="00CE7687" w:rsidRDefault="001457F5" w:rsidP="00100121">
      <w:pPr>
        <w:rPr>
          <w:rFonts w:ascii="Times New Roman" w:hAnsi="Times New Roman" w:cs="Times New Roman"/>
          <w:lang w:val="es-ES_tradnl"/>
        </w:rPr>
      </w:pPr>
      <w:bookmarkStart w:id="3" w:name="_Hlk26957874"/>
      <w:r w:rsidRPr="00CE7687">
        <w:rPr>
          <w:rFonts w:ascii="Times New Roman" w:hAnsi="Times New Roman" w:cs="Times New Roman"/>
          <w:lang w:val="es-ES_tradnl"/>
        </w:rPr>
        <w:t>8</w:t>
      </w:r>
      <w:r w:rsidRPr="00CE7687">
        <w:rPr>
          <w:rFonts w:ascii="Times New Roman" w:hAnsi="Times New Roman" w:cs="Times New Roman"/>
          <w:lang w:val="es-ES_tradnl"/>
        </w:rPr>
        <w:tab/>
        <w:t xml:space="preserve">examinar las peticiones de las administraciones de suprimir las notas de sus países o de que se suprima el nombre de sus países de las notas, cuando ya no sea necesario, teniendo en cuenta la Resolución </w:t>
      </w:r>
      <w:r w:rsidRPr="00CE7687">
        <w:rPr>
          <w:rFonts w:ascii="Times New Roman" w:hAnsi="Times New Roman" w:cs="Times New Roman"/>
          <w:b/>
          <w:bCs/>
          <w:lang w:val="es-ES_tradnl"/>
        </w:rPr>
        <w:t>26 (Rev.CMR-19)</w:t>
      </w:r>
      <w:r w:rsidRPr="00CE7687">
        <w:rPr>
          <w:rFonts w:ascii="Times New Roman" w:hAnsi="Times New Roman" w:cs="Times New Roman"/>
          <w:lang w:val="es-ES_tradnl"/>
        </w:rPr>
        <w:t>, y adoptar las medidas oportunas al respecto;</w:t>
      </w:r>
    </w:p>
    <w:p w14:paraId="7F7A9D89"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9</w:t>
      </w:r>
      <w:r w:rsidRPr="00CE7687">
        <w:rPr>
          <w:rFonts w:ascii="Times New Roman" w:hAnsi="Times New Roman" w:cs="Times New Roman"/>
          <w:lang w:val="es-ES_tradnl"/>
        </w:rPr>
        <w:tab/>
        <w:t>examinar y aprobar el Informe del Director de la Oficina de Radiocomunicaciones, de conformidad con el Artículo 7 del Convenio:</w:t>
      </w:r>
    </w:p>
    <w:p w14:paraId="1DFA8F8D" w14:textId="766F89F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9.1</w:t>
      </w:r>
      <w:r w:rsidRPr="00CE7687">
        <w:rPr>
          <w:rFonts w:ascii="Times New Roman" w:hAnsi="Times New Roman" w:cs="Times New Roman"/>
          <w:lang w:val="es-ES_tradnl"/>
        </w:rPr>
        <w:tab/>
        <w:t>sobre las actividades del Sector de Radiocomunicaciones desde la CMR</w:t>
      </w:r>
      <w:r w:rsidRPr="00CE7687">
        <w:rPr>
          <w:rFonts w:ascii="Times New Roman" w:hAnsi="Times New Roman" w:cs="Times New Roman"/>
          <w:lang w:val="es-ES_tradnl"/>
        </w:rPr>
        <w:noBreakHyphen/>
        <w:t>19</w:t>
      </w:r>
      <w:r w:rsidR="00415F52" w:rsidRPr="00CE7687">
        <w:rPr>
          <w:rFonts w:ascii="Times New Roman" w:hAnsi="Times New Roman" w:cs="Times New Roman"/>
          <w:lang w:val="es-ES_tradnl"/>
        </w:rPr>
        <w:t>:</w:t>
      </w:r>
    </w:p>
    <w:p w14:paraId="3061D496" w14:textId="23E0059C" w:rsidR="001457F5" w:rsidRPr="00CE7687" w:rsidRDefault="001457F5" w:rsidP="00100121">
      <w:pPr>
        <w:pStyle w:val="enumlev1"/>
        <w:rPr>
          <w:rFonts w:ascii="Times New Roman" w:hAnsi="Times New Roman" w:cs="Times New Roman"/>
          <w:lang w:val="es-ES_tradnl"/>
        </w:rPr>
      </w:pPr>
      <w:r w:rsidRPr="00CE7687">
        <w:rPr>
          <w:rFonts w:ascii="Times New Roman" w:hAnsi="Times New Roman" w:cs="Times New Roman"/>
          <w:lang w:val="es-ES_tradnl"/>
        </w:rPr>
        <w:t>–</w:t>
      </w:r>
      <w:r w:rsidRPr="00CE7687">
        <w:rPr>
          <w:rFonts w:ascii="Times New Roman" w:hAnsi="Times New Roman" w:cs="Times New Roman"/>
          <w:lang w:val="es-ES_tradnl"/>
        </w:rPr>
        <w:tab/>
        <w:t xml:space="preserve">examinar, de conformidad con la Resolución </w:t>
      </w:r>
      <w:r w:rsidRPr="00CE7687">
        <w:rPr>
          <w:rFonts w:ascii="Times New Roman" w:hAnsi="Times New Roman" w:cs="Times New Roman"/>
          <w:b/>
          <w:bCs/>
          <w:lang w:val="es-ES_tradnl"/>
        </w:rPr>
        <w:t>657 (</w:t>
      </w:r>
      <w:r w:rsidR="00E2199B" w:rsidRPr="00CE7687">
        <w:rPr>
          <w:rFonts w:ascii="Times New Roman" w:hAnsi="Times New Roman" w:cs="Times New Roman"/>
          <w:b/>
          <w:bCs/>
          <w:lang w:val="es-ES_tradnl"/>
        </w:rPr>
        <w:t>Rev.</w:t>
      </w:r>
      <w:r w:rsidRPr="00CE7687">
        <w:rPr>
          <w:rFonts w:ascii="Times New Roman" w:hAnsi="Times New Roman" w:cs="Times New Roman"/>
          <w:b/>
          <w:bCs/>
          <w:lang w:val="es-ES_tradnl"/>
        </w:rPr>
        <w:t>CMR-19)</w:t>
      </w:r>
      <w:r w:rsidRPr="00CE7687">
        <w:rPr>
          <w:rFonts w:ascii="Times New Roman" w:hAnsi="Times New Roman" w:cs="Times New Roman"/>
          <w:lang w:val="es-ES_tradnl"/>
        </w:rPr>
        <w:t>, los resultados de los estudios relativos a las características técnicas y operativas, las necesidades de espectro y la pertenencia al servicio radioeléctrico pertinente de los sensores meteorológicos espaciales con el fin de proporcionar el reconocimiento y protección adecuados en el Reglamento de Radiocomunicaciones, sin imponer restricciones adicionales a los servicios existentes;</w:t>
      </w:r>
    </w:p>
    <w:p w14:paraId="34255975" w14:textId="763A211A" w:rsidR="001457F5" w:rsidRPr="00CE7687" w:rsidRDefault="001457F5" w:rsidP="00100121">
      <w:pPr>
        <w:pStyle w:val="enumlev1"/>
        <w:rPr>
          <w:rFonts w:ascii="Times New Roman" w:hAnsi="Times New Roman" w:cs="Times New Roman"/>
          <w:bCs/>
          <w:lang w:val="es-ES_tradnl"/>
        </w:rPr>
      </w:pPr>
      <w:r w:rsidRPr="00CE7687">
        <w:rPr>
          <w:rFonts w:ascii="Times New Roman" w:hAnsi="Times New Roman" w:cs="Times New Roman"/>
          <w:lang w:val="es-ES_tradnl"/>
        </w:rPr>
        <w:t>–</w:t>
      </w:r>
      <w:r w:rsidRPr="00CE7687">
        <w:rPr>
          <w:rFonts w:ascii="Times New Roman" w:hAnsi="Times New Roman" w:cs="Times New Roman"/>
          <w:lang w:val="es-ES_tradnl"/>
        </w:rPr>
        <w:tab/>
        <w:t>revisar las atribuciones al servicio de aficionados y al servicio de aficionados por satélite en la banda de frecuencias 1 240</w:t>
      </w:r>
      <w:r w:rsidRPr="00CE7687">
        <w:rPr>
          <w:rFonts w:ascii="Times New Roman" w:hAnsi="Times New Roman" w:cs="Times New Roman"/>
          <w:lang w:val="es-ES_tradnl"/>
        </w:rPr>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00DA7899" w:rsidRPr="00CE7687">
        <w:rPr>
          <w:rFonts w:ascii="Times New Roman" w:hAnsi="Times New Roman" w:cs="Times New Roman"/>
          <w:b/>
          <w:bCs/>
          <w:szCs w:val="24"/>
          <w:lang w:val="es-ES" w:eastAsia="nl-NL"/>
        </w:rPr>
        <w:t>774</w:t>
      </w:r>
      <w:r w:rsidR="00DA7899"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bCs/>
          <w:lang w:val="es-ES_tradnl"/>
        </w:rPr>
        <w:t>;</w:t>
      </w:r>
    </w:p>
    <w:p w14:paraId="17E5A49D" w14:textId="2F14D29D" w:rsidR="001457F5" w:rsidRPr="00CE7687" w:rsidRDefault="001457F5" w:rsidP="00100121">
      <w:pPr>
        <w:pStyle w:val="enumlev1"/>
        <w:rPr>
          <w:rFonts w:ascii="Times New Roman" w:hAnsi="Times New Roman" w:cs="Times New Roman"/>
          <w:lang w:val="es-ES_tradnl"/>
        </w:rPr>
      </w:pPr>
      <w:r w:rsidRPr="00CE7687">
        <w:rPr>
          <w:rFonts w:ascii="Times New Roman" w:hAnsi="Times New Roman" w:cs="Times New Roman"/>
          <w:lang w:val="es-ES_tradnl"/>
        </w:rPr>
        <w:t>–</w:t>
      </w:r>
      <w:r w:rsidRPr="00CE7687">
        <w:rPr>
          <w:rFonts w:ascii="Times New Roman" w:hAnsi="Times New Roman" w:cs="Times New Roman"/>
          <w:lang w:val="es-ES_tradnl"/>
        </w:rPr>
        <w:tab/>
        <w:t xml:space="preserve">estudiar la utilización de los sistemas de telecomunicaciones móviles internacionales para la banda ancha inalámbrica fija en las bandas de frecuencias atribuidas al servicio fijo a título primario, de conformidad con la Resolución </w:t>
      </w:r>
      <w:r w:rsidR="00DA7899" w:rsidRPr="00CE7687">
        <w:rPr>
          <w:rFonts w:ascii="Times New Roman" w:hAnsi="Times New Roman" w:cs="Times New Roman"/>
          <w:b/>
          <w:szCs w:val="24"/>
          <w:lang w:val="es-ES"/>
        </w:rPr>
        <w:t>175</w:t>
      </w:r>
      <w:r w:rsidR="00DA7899" w:rsidRPr="00CE7687">
        <w:rPr>
          <w:rFonts w:ascii="Times New Roman" w:hAnsi="Times New Roman" w:cs="Times New Roman"/>
          <w:b/>
          <w:lang w:val="es-ES_tradnl"/>
        </w:rPr>
        <w:t xml:space="preserve"> </w:t>
      </w:r>
      <w:r w:rsidRPr="00CE7687">
        <w:rPr>
          <w:rFonts w:ascii="Times New Roman" w:hAnsi="Times New Roman" w:cs="Times New Roman"/>
          <w:b/>
          <w:lang w:val="es-ES_tradnl"/>
        </w:rPr>
        <w:t>(CMR-19)</w:t>
      </w:r>
      <w:r w:rsidRPr="00CE7687">
        <w:rPr>
          <w:rFonts w:ascii="Times New Roman" w:hAnsi="Times New Roman" w:cs="Times New Roman"/>
          <w:lang w:val="es-ES_tradnl"/>
        </w:rPr>
        <w:t>;</w:t>
      </w:r>
    </w:p>
    <w:p w14:paraId="5FE8DCF8" w14:textId="3E43FDBF"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9.2</w:t>
      </w:r>
      <w:r w:rsidRPr="00CE7687">
        <w:rPr>
          <w:rFonts w:ascii="Times New Roman" w:hAnsi="Times New Roman" w:cs="Times New Roman"/>
          <w:lang w:val="es-ES_tradnl"/>
        </w:rPr>
        <w:tab/>
        <w:t>sobre las dificultades o incoherencias observadas en la aplicación del Reglamento de Radiocomunicaciones, y</w:t>
      </w:r>
      <w:r w:rsidR="00A65E95" w:rsidRPr="00CE7687">
        <w:rPr>
          <w:rStyle w:val="FootnoteReference"/>
          <w:rFonts w:ascii="Times New Roman" w:hAnsi="Times New Roman" w:cs="Times New Roman"/>
          <w:lang w:val="es-ES_tradnl"/>
        </w:rPr>
        <w:footnoteReference w:customMarkFollows="1" w:id="2"/>
        <w:t>1</w:t>
      </w:r>
    </w:p>
    <w:p w14:paraId="0372104E"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9.3</w:t>
      </w:r>
      <w:r w:rsidRPr="00CE7687">
        <w:rPr>
          <w:rFonts w:ascii="Times New Roman" w:hAnsi="Times New Roman" w:cs="Times New Roman"/>
          <w:lang w:val="es-ES_tradnl"/>
        </w:rPr>
        <w:tab/>
        <w:t xml:space="preserve">sobre acciones en respuesta a la </w:t>
      </w:r>
      <w:bookmarkStart w:id="4" w:name="_Hlk24492821"/>
      <w:r w:rsidRPr="00CE7687">
        <w:rPr>
          <w:rFonts w:ascii="Times New Roman" w:hAnsi="Times New Roman" w:cs="Times New Roman"/>
          <w:lang w:val="es-ES_tradnl"/>
        </w:rPr>
        <w:t xml:space="preserve">Resolución </w:t>
      </w:r>
      <w:r w:rsidRPr="00CE7687">
        <w:rPr>
          <w:rFonts w:ascii="Times New Roman" w:hAnsi="Times New Roman" w:cs="Times New Roman"/>
          <w:b/>
          <w:bCs/>
          <w:lang w:val="es-ES_tradnl"/>
        </w:rPr>
        <w:t>80 (Rev.CMR-07</w:t>
      </w:r>
      <w:r w:rsidRPr="00CE7687">
        <w:rPr>
          <w:rFonts w:ascii="Times New Roman" w:hAnsi="Times New Roman" w:cs="Times New Roman"/>
          <w:lang w:val="es-ES_tradnl"/>
        </w:rPr>
        <w:t>);</w:t>
      </w:r>
    </w:p>
    <w:bookmarkEnd w:id="4"/>
    <w:p w14:paraId="49E83DA1"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10</w:t>
      </w:r>
      <w:r w:rsidRPr="00CE7687">
        <w:rPr>
          <w:rFonts w:ascii="Times New Roman" w:hAnsi="Times New Roman" w:cs="Times New Roman"/>
          <w:lang w:val="es-ES_tradnl"/>
        </w:rPr>
        <w:tab/>
        <w:t xml:space="preserve">recomendar al Consejo los puntos que debe contener el orden del día de la próxima CMR y los temas a incluir en el orden del día preliminar de futuras conferencias, de conformidad con el Artículo 7 del Convenio y la Resolución </w:t>
      </w:r>
      <w:r w:rsidRPr="00CE7687">
        <w:rPr>
          <w:rFonts w:ascii="Times New Roman" w:hAnsi="Times New Roman" w:cs="Times New Roman"/>
          <w:b/>
          <w:bCs/>
          <w:lang w:val="es-ES_tradnl"/>
        </w:rPr>
        <w:t>804 (Rev.CMR-19)</w:t>
      </w:r>
      <w:r w:rsidRPr="00CE7687">
        <w:rPr>
          <w:rFonts w:ascii="Times New Roman" w:hAnsi="Times New Roman" w:cs="Times New Roman"/>
          <w:lang w:val="es-ES_tradnl"/>
        </w:rPr>
        <w:t>,</w:t>
      </w:r>
    </w:p>
    <w:bookmarkEnd w:id="3"/>
    <w:p w14:paraId="6D91134A" w14:textId="77777777" w:rsidR="001457F5" w:rsidRPr="00CE7687" w:rsidRDefault="001457F5" w:rsidP="003C61BC">
      <w:pPr>
        <w:pStyle w:val="Call"/>
        <w:keepNext w:val="0"/>
        <w:keepLines w:val="0"/>
        <w:spacing w:before="160"/>
        <w:rPr>
          <w:rFonts w:ascii="Times New Roman" w:hAnsi="Times New Roman" w:cs="Times New Roman"/>
          <w:lang w:val="es-ES"/>
        </w:rPr>
      </w:pPr>
      <w:r w:rsidRPr="00CE7687">
        <w:rPr>
          <w:rFonts w:ascii="Times New Roman" w:hAnsi="Times New Roman" w:cs="Times New Roman"/>
          <w:lang w:val="es-ES"/>
        </w:rPr>
        <w:t>invita al Consejo de la UIT</w:t>
      </w:r>
    </w:p>
    <w:p w14:paraId="719DFADC" w14:textId="77777777"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a que ultime el orden del día y tome las disposiciones necesarias para convocar la CMR</w:t>
      </w:r>
      <w:r w:rsidRPr="00CE7687">
        <w:rPr>
          <w:rFonts w:ascii="Times New Roman" w:hAnsi="Times New Roman" w:cs="Times New Roman"/>
          <w:lang w:val="es-ES_tradnl"/>
        </w:rPr>
        <w:noBreakHyphen/>
        <w:t>23, y a que inicie a la mayor brevedad posible las consultas necesarias con los Estados Miembros,</w:t>
      </w:r>
    </w:p>
    <w:p w14:paraId="54ADC939" w14:textId="77777777" w:rsidR="001457F5" w:rsidRPr="00CE7687" w:rsidRDefault="001457F5" w:rsidP="003C61BC">
      <w:pPr>
        <w:pStyle w:val="Call"/>
        <w:keepNext w:val="0"/>
        <w:keepLines w:val="0"/>
        <w:spacing w:before="160"/>
        <w:rPr>
          <w:rFonts w:ascii="Times New Roman" w:hAnsi="Times New Roman" w:cs="Times New Roman"/>
          <w:lang w:val="es-ES"/>
        </w:rPr>
      </w:pPr>
      <w:r w:rsidRPr="00CE7687">
        <w:rPr>
          <w:rFonts w:ascii="Times New Roman" w:hAnsi="Times New Roman" w:cs="Times New Roman"/>
          <w:lang w:val="es-ES"/>
        </w:rPr>
        <w:t>encarga al Director de la Oficina de Radiocomunicaciones</w:t>
      </w:r>
    </w:p>
    <w:p w14:paraId="2A0D80ED" w14:textId="768ADEE0" w:rsidR="001457F5" w:rsidRPr="00CE7687" w:rsidRDefault="001457F5" w:rsidP="00100121">
      <w:pPr>
        <w:rPr>
          <w:rFonts w:ascii="Times New Roman" w:hAnsi="Times New Roman" w:cs="Times New Roman"/>
          <w:lang w:val="es-ES_tradnl"/>
        </w:rPr>
      </w:pPr>
      <w:r w:rsidRPr="00CE7687">
        <w:rPr>
          <w:rFonts w:ascii="Times New Roman" w:hAnsi="Times New Roman" w:cs="Times New Roman"/>
          <w:lang w:val="es-ES_tradnl"/>
        </w:rPr>
        <w:t>1</w:t>
      </w:r>
      <w:r w:rsidRPr="00CE7687">
        <w:rPr>
          <w:rFonts w:ascii="Times New Roman" w:hAnsi="Times New Roman" w:cs="Times New Roman"/>
          <w:lang w:val="es-ES_tradnl"/>
        </w:rPr>
        <w:tab/>
        <w:t>que tome las medidas necesarias para convocar las sesiones de la Reunión Preparatoria de la Conferencia y elabore un informe a la CMR</w:t>
      </w:r>
      <w:r w:rsidRPr="00CE7687">
        <w:rPr>
          <w:rFonts w:ascii="Times New Roman" w:hAnsi="Times New Roman" w:cs="Times New Roman"/>
          <w:lang w:val="es-ES_tradnl"/>
        </w:rPr>
        <w:noBreakHyphen/>
        <w:t>23</w:t>
      </w:r>
      <w:r w:rsidR="00415F52" w:rsidRPr="00CE7687">
        <w:rPr>
          <w:rFonts w:ascii="Times New Roman" w:hAnsi="Times New Roman" w:cs="Times New Roman"/>
          <w:lang w:val="es-ES_tradnl"/>
        </w:rPr>
        <w:t>;</w:t>
      </w:r>
    </w:p>
    <w:p w14:paraId="6317C92E" w14:textId="1C8AF9EA" w:rsidR="001457F5" w:rsidRPr="00CE7687" w:rsidRDefault="001457F5" w:rsidP="00DA5CCB">
      <w:pPr>
        <w:rPr>
          <w:rFonts w:ascii="Times New Roman" w:hAnsi="Times New Roman" w:cs="Times New Roman"/>
          <w:lang w:val="es-ES_tradnl"/>
        </w:rPr>
      </w:pPr>
      <w:r w:rsidRPr="00CE7687">
        <w:rPr>
          <w:rFonts w:ascii="Times New Roman" w:hAnsi="Times New Roman" w:cs="Times New Roman"/>
          <w:lang w:val="es-ES_tradnl"/>
        </w:rPr>
        <w:t>2</w:t>
      </w:r>
      <w:r w:rsidRPr="00CE7687">
        <w:rPr>
          <w:rFonts w:ascii="Times New Roman" w:hAnsi="Times New Roman" w:cs="Times New Roman"/>
          <w:lang w:val="es-ES_tradnl"/>
        </w:rPr>
        <w:tab/>
        <w:t>que presente a la segunda sesión de la RPC un proyecto de Informe sobre dificultades o incoherencias observadas en la aplicación del Reglamento de Radiocomunicaciones relativas al punto 9.2 del orden del día y que presente el Informe final al menos cinco meses antes de la próxima</w:t>
      </w:r>
      <w:r w:rsidR="00D2790C" w:rsidRPr="00CE7687">
        <w:rPr>
          <w:rFonts w:ascii="Times New Roman" w:hAnsi="Times New Roman" w:cs="Times New Roman"/>
          <w:lang w:val="es-ES_tradnl"/>
        </w:rPr>
        <w:t> </w:t>
      </w:r>
      <w:r w:rsidRPr="00CE7687">
        <w:rPr>
          <w:rFonts w:ascii="Times New Roman" w:hAnsi="Times New Roman" w:cs="Times New Roman"/>
          <w:lang w:val="es-ES_tradnl"/>
        </w:rPr>
        <w:t>CMR,</w:t>
      </w:r>
    </w:p>
    <w:p w14:paraId="228DD5AF" w14:textId="77777777" w:rsidR="001457F5" w:rsidRPr="00CE7687" w:rsidRDefault="001457F5" w:rsidP="003C61BC">
      <w:pPr>
        <w:pStyle w:val="Call"/>
        <w:keepNext w:val="0"/>
        <w:keepLines w:val="0"/>
        <w:spacing w:before="160"/>
        <w:rPr>
          <w:rFonts w:ascii="Times New Roman" w:hAnsi="Times New Roman" w:cs="Times New Roman"/>
          <w:lang w:val="es-ES"/>
        </w:rPr>
      </w:pPr>
      <w:r w:rsidRPr="00CE7687">
        <w:rPr>
          <w:rFonts w:ascii="Times New Roman" w:hAnsi="Times New Roman" w:cs="Times New Roman"/>
          <w:lang w:val="es-ES"/>
        </w:rPr>
        <w:t>encarga al Secretario General</w:t>
      </w:r>
    </w:p>
    <w:p w14:paraId="6F455A5B" w14:textId="4BDEE3A3" w:rsidR="00331D32" w:rsidRDefault="001457F5" w:rsidP="003C61BC">
      <w:pPr>
        <w:spacing w:before="120"/>
        <w:rPr>
          <w:lang w:val="es-ES_tradnl"/>
        </w:rPr>
      </w:pPr>
      <w:r w:rsidRPr="00CE7687">
        <w:rPr>
          <w:rFonts w:ascii="Times New Roman" w:hAnsi="Times New Roman" w:cs="Times New Roman"/>
          <w:lang w:val="es-ES_tradnl"/>
        </w:rPr>
        <w:t>que comunique la presente Resolución a las organizaciones internacionales y regionales interesadas.</w:t>
      </w:r>
      <w:r w:rsidR="00331D32">
        <w:rPr>
          <w:lang w:val="es-ES_tradnl"/>
        </w:rPr>
        <w:br w:type="page"/>
      </w:r>
    </w:p>
    <w:p w14:paraId="76C428CF" w14:textId="3FC57070" w:rsidR="00331D32" w:rsidRPr="00331D32" w:rsidRDefault="00A65E95" w:rsidP="0015772C">
      <w:pPr>
        <w:pStyle w:val="AnnexNo"/>
        <w:rPr>
          <w:caps w:val="0"/>
          <w:lang w:val="es-ES"/>
        </w:rPr>
      </w:pPr>
      <w:r w:rsidRPr="00331D32">
        <w:rPr>
          <w:lang w:val="es-ES"/>
        </w:rPr>
        <w:lastRenderedPageBreak/>
        <w:t>ANEX</w:t>
      </w:r>
      <w:r>
        <w:rPr>
          <w:lang w:val="es-ES"/>
        </w:rPr>
        <w:t>O</w:t>
      </w:r>
      <w:r w:rsidRPr="00331D32">
        <w:rPr>
          <w:lang w:val="es-ES"/>
        </w:rPr>
        <w:t xml:space="preserve"> </w:t>
      </w:r>
      <w:r w:rsidR="00331D32" w:rsidRPr="00331D32">
        <w:rPr>
          <w:caps w:val="0"/>
          <w:lang w:val="es-ES"/>
        </w:rPr>
        <w:t>2</w:t>
      </w:r>
      <w:r w:rsidR="00331D32" w:rsidRPr="00331D32">
        <w:rPr>
          <w:caps w:val="0"/>
          <w:position w:val="6"/>
          <w:sz w:val="18"/>
          <w:lang w:val="es-ES"/>
        </w:rPr>
        <w:footnoteReference w:customMarkFollows="1" w:id="3"/>
        <w:t>**</w:t>
      </w:r>
    </w:p>
    <w:p w14:paraId="3693FDFD" w14:textId="596A2C5D" w:rsidR="00331D32" w:rsidRPr="009B296B" w:rsidRDefault="005514B6" w:rsidP="00100121">
      <w:pPr>
        <w:pStyle w:val="ResNo"/>
        <w:rPr>
          <w:rFonts w:ascii="Times New Roman" w:hAnsi="Times New Roman" w:cs="Times New Roman"/>
          <w:lang w:val="es-ES_tradnl"/>
        </w:rPr>
      </w:pPr>
      <w:bookmarkStart w:id="5" w:name="_Hlk26866621"/>
      <w:r w:rsidRPr="009B296B">
        <w:rPr>
          <w:rFonts w:ascii="Times New Roman" w:hAnsi="Times New Roman" w:cs="Times New Roman"/>
          <w:lang w:val="es-ES"/>
        </w:rPr>
        <w:t>RESOLU</w:t>
      </w:r>
      <w:r w:rsidR="00500B55" w:rsidRPr="009B296B">
        <w:rPr>
          <w:rFonts w:ascii="Times New Roman" w:hAnsi="Times New Roman" w:cs="Times New Roman"/>
          <w:lang w:val="es-ES"/>
        </w:rPr>
        <w:t>CIÓN</w:t>
      </w:r>
      <w:r w:rsidRPr="009B296B">
        <w:rPr>
          <w:rFonts w:ascii="Times New Roman" w:hAnsi="Times New Roman" w:cs="Times New Roman"/>
          <w:lang w:val="es-ES"/>
        </w:rPr>
        <w:t xml:space="preserve"> 812</w:t>
      </w:r>
      <w:bookmarkEnd w:id="5"/>
      <w:r w:rsidR="00331D32" w:rsidRPr="009B296B">
        <w:rPr>
          <w:rFonts w:ascii="Times New Roman" w:hAnsi="Times New Roman" w:cs="Times New Roman"/>
          <w:lang w:val="es-ES_tradnl"/>
        </w:rPr>
        <w:t xml:space="preserve"> (CMR-19)</w:t>
      </w:r>
    </w:p>
    <w:p w14:paraId="6683A52E" w14:textId="77777777" w:rsidR="00331D32" w:rsidRPr="009B296B" w:rsidRDefault="00331D32" w:rsidP="00100121">
      <w:pPr>
        <w:pStyle w:val="Restitle"/>
        <w:rPr>
          <w:rFonts w:ascii="Times New Roman" w:hAnsi="Times New Roman" w:cs="Times New Roman"/>
          <w:lang w:val="es-ES_tradnl"/>
        </w:rPr>
      </w:pPr>
      <w:bookmarkStart w:id="6" w:name="_Toc320536610"/>
      <w:r w:rsidRPr="009B296B">
        <w:rPr>
          <w:rFonts w:ascii="Times New Roman" w:hAnsi="Times New Roman" w:cs="Times New Roman"/>
          <w:lang w:val="es-ES_tradnl"/>
        </w:rPr>
        <w:t>Orden del día preliminar de la Conferencia Mundial</w:t>
      </w:r>
      <w:r w:rsidRPr="009B296B">
        <w:rPr>
          <w:rFonts w:ascii="Times New Roman" w:hAnsi="Times New Roman" w:cs="Times New Roman"/>
          <w:lang w:val="es-ES_tradnl"/>
        </w:rPr>
        <w:br/>
        <w:t>de Radiocomunicaciones de 20</w:t>
      </w:r>
      <w:bookmarkEnd w:id="6"/>
      <w:r w:rsidRPr="009B296B">
        <w:rPr>
          <w:rFonts w:ascii="Times New Roman" w:hAnsi="Times New Roman" w:cs="Times New Roman"/>
          <w:lang w:val="es-ES_tradnl"/>
        </w:rPr>
        <w:t>27</w:t>
      </w:r>
      <w:r w:rsidRPr="009B296B">
        <w:rPr>
          <w:rFonts w:ascii="Times New Roman" w:hAnsi="Times New Roman" w:cs="Times New Roman"/>
          <w:position w:val="6"/>
          <w:sz w:val="18"/>
          <w:lang w:val="es-ES_tradnl"/>
        </w:rPr>
        <w:footnoteReference w:customMarkFollows="1" w:id="4"/>
        <w:t>*</w:t>
      </w:r>
    </w:p>
    <w:p w14:paraId="6364C07B" w14:textId="77777777" w:rsidR="00331D32" w:rsidRPr="009B296B" w:rsidRDefault="00331D32" w:rsidP="00100121">
      <w:pPr>
        <w:pStyle w:val="Normalaftertitle"/>
        <w:rPr>
          <w:rFonts w:ascii="Times New Roman" w:hAnsi="Times New Roman" w:cs="Times New Roman"/>
          <w:lang w:val="es-ES_tradnl"/>
        </w:rPr>
      </w:pPr>
      <w:r w:rsidRPr="009B296B">
        <w:rPr>
          <w:rFonts w:ascii="Times New Roman" w:hAnsi="Times New Roman" w:cs="Times New Roman"/>
          <w:lang w:val="es-ES_tradnl"/>
        </w:rPr>
        <w:t>La Conferencia Mundial de Radiocomunicaciones (Sharm el-Sheikh, 2019),</w:t>
      </w:r>
    </w:p>
    <w:p w14:paraId="2B3928AB" w14:textId="77777777" w:rsidR="00331D32" w:rsidRPr="009B296B" w:rsidRDefault="00331D32" w:rsidP="00100121">
      <w:pPr>
        <w:pStyle w:val="Call"/>
        <w:rPr>
          <w:rFonts w:ascii="Times New Roman" w:hAnsi="Times New Roman" w:cs="Times New Roman"/>
          <w:lang w:val="es-ES_tradnl"/>
        </w:rPr>
      </w:pPr>
      <w:r w:rsidRPr="009B296B">
        <w:rPr>
          <w:rFonts w:ascii="Times New Roman" w:hAnsi="Times New Roman" w:cs="Times New Roman"/>
          <w:lang w:val="es-ES_tradnl"/>
        </w:rPr>
        <w:t>considerando</w:t>
      </w:r>
    </w:p>
    <w:p w14:paraId="4AD9F6DF"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i/>
          <w:iCs/>
          <w:lang w:val="es-ES_tradnl"/>
        </w:rPr>
        <w:t>a)</w:t>
      </w:r>
      <w:r w:rsidRPr="009B296B">
        <w:rPr>
          <w:rFonts w:ascii="Times New Roman" w:hAnsi="Times New Roman" w:cs="Times New Roman"/>
          <w:i/>
          <w:iCs/>
          <w:lang w:val="es-ES_tradnl"/>
        </w:rPr>
        <w:tab/>
      </w:r>
      <w:r w:rsidRPr="009B296B">
        <w:rPr>
          <w:rFonts w:ascii="Times New Roman" w:hAnsi="Times New Roman" w:cs="Times New Roman"/>
          <w:lang w:val="es-ES_tradnl"/>
        </w:rPr>
        <w:t>que, de acuerdo con el número 118 del Convenio de la UIT, el ámbito general del orden del día de la Conferencia Mundial de Radiocomunicaciones de 2027 (CMR</w:t>
      </w:r>
      <w:r w:rsidRPr="009B296B">
        <w:rPr>
          <w:rFonts w:ascii="Times New Roman" w:hAnsi="Times New Roman" w:cs="Times New Roman"/>
          <w:lang w:val="es-ES_tradnl"/>
        </w:rPr>
        <w:noBreakHyphen/>
        <w:t>27) debe establecerse con una antelación de cuatro a seis años;</w:t>
      </w:r>
    </w:p>
    <w:p w14:paraId="26E09F2E"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i/>
          <w:lang w:val="es-ES_tradnl"/>
        </w:rPr>
        <w:t>b)</w:t>
      </w:r>
      <w:r w:rsidRPr="009B296B">
        <w:rPr>
          <w:rFonts w:ascii="Times New Roman" w:hAnsi="Times New Roman" w:cs="Times New Roman"/>
          <w:lang w:val="es-ES_tradnl"/>
        </w:rPr>
        <w:tab/>
        <w:t>el Artículo 13 de la Constitución de la UIT, relativo a las cuestiones de competencia y calendario de las conferencias mundiales de radiocomunicaciones, y el Artículo 7 del Convenio relativo a sus órdenes del día;</w:t>
      </w:r>
    </w:p>
    <w:p w14:paraId="12477D35"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i/>
          <w:lang w:val="es-ES_tradnl"/>
        </w:rPr>
        <w:t>c)</w:t>
      </w:r>
      <w:r w:rsidRPr="009B296B">
        <w:rPr>
          <w:rFonts w:ascii="Times New Roman" w:hAnsi="Times New Roman" w:cs="Times New Roman"/>
          <w:lang w:val="es-ES_tradnl"/>
        </w:rPr>
        <w:tab/>
        <w:t>las Resoluciones y Recomendaciones pertinentes de las anteriores Conferencias Administrativas Mundiales de Radiocomunicaciones (CAMR) y Conferencias Mundiales de Radiocomunicaciones (CMR),</w:t>
      </w:r>
    </w:p>
    <w:p w14:paraId="5B9B1765" w14:textId="77777777" w:rsidR="00331D32" w:rsidRPr="009B296B" w:rsidRDefault="00331D32" w:rsidP="00100121">
      <w:pPr>
        <w:pStyle w:val="Call"/>
        <w:rPr>
          <w:rFonts w:ascii="Times New Roman" w:hAnsi="Times New Roman" w:cs="Times New Roman"/>
          <w:lang w:val="es-ES_tradnl"/>
        </w:rPr>
      </w:pPr>
      <w:r w:rsidRPr="009B296B">
        <w:rPr>
          <w:rFonts w:ascii="Times New Roman" w:hAnsi="Times New Roman" w:cs="Times New Roman"/>
          <w:lang w:val="es-ES_tradnl"/>
        </w:rPr>
        <w:t>resuelve manifestar la siguiente opinión</w:t>
      </w:r>
    </w:p>
    <w:p w14:paraId="67DD5FEC"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lang w:val="es-ES_tradnl"/>
        </w:rPr>
        <w:t>que se incluyan los siguientes puntos en el orden del día preliminar de la CMR</w:t>
      </w:r>
      <w:r w:rsidRPr="009B296B">
        <w:rPr>
          <w:rFonts w:ascii="Times New Roman" w:hAnsi="Times New Roman" w:cs="Times New Roman"/>
          <w:lang w:val="es-ES_tradnl"/>
        </w:rPr>
        <w:noBreakHyphen/>
        <w:t>27:</w:t>
      </w:r>
    </w:p>
    <w:p w14:paraId="32B5BF98"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lang w:val="es-ES_tradnl"/>
        </w:rPr>
        <w:t>1</w:t>
      </w:r>
      <w:r w:rsidRPr="009B296B">
        <w:rPr>
          <w:rFonts w:ascii="Times New Roman" w:hAnsi="Times New Roman" w:cs="Times New Roman"/>
          <w:lang w:val="es-ES_tradnl"/>
        </w:rPr>
        <w:tab/>
        <w:t>tomar las medidas adecuadas con respecto a los temas urgentes que solicitó específicamente la CMR</w:t>
      </w:r>
      <w:r w:rsidRPr="009B296B">
        <w:rPr>
          <w:rFonts w:ascii="Times New Roman" w:hAnsi="Times New Roman" w:cs="Times New Roman"/>
          <w:lang w:val="es-ES_tradnl"/>
        </w:rPr>
        <w:noBreakHyphen/>
        <w:t>23;</w:t>
      </w:r>
    </w:p>
    <w:p w14:paraId="0184026A" w14:textId="77777777" w:rsidR="00331D32" w:rsidRPr="009B296B" w:rsidRDefault="00331D32" w:rsidP="009A67E7">
      <w:pPr>
        <w:rPr>
          <w:rFonts w:ascii="Times New Roman" w:hAnsi="Times New Roman" w:cs="Times New Roman"/>
          <w:lang w:val="es-ES_tradnl"/>
        </w:rPr>
      </w:pPr>
      <w:r w:rsidRPr="009B296B">
        <w:rPr>
          <w:rFonts w:ascii="Times New Roman" w:hAnsi="Times New Roman" w:cs="Times New Roman"/>
          <w:lang w:val="es-ES_tradnl"/>
        </w:rPr>
        <w:t>2</w:t>
      </w:r>
      <w:r w:rsidRPr="009B296B">
        <w:rPr>
          <w:rFonts w:ascii="Times New Roman" w:hAnsi="Times New Roman" w:cs="Times New Roman"/>
          <w:lang w:val="es-ES_tradnl"/>
        </w:rPr>
        <w:tab/>
        <w:t>basándose en las propuestas de las administraciones y en el Informe de la Reunión Preparatoria de la Conferencia, y teniendo en cuenta los resultados de la CMR</w:t>
      </w:r>
      <w:r w:rsidRPr="009B296B">
        <w:rPr>
          <w:rFonts w:ascii="Times New Roman" w:hAnsi="Times New Roman" w:cs="Times New Roman"/>
          <w:lang w:val="es-ES_tradnl"/>
        </w:rPr>
        <w:noBreakHyphen/>
        <w:t>23, considerar y tomar las medidas adecuadas con respecto a los temas siguientes:</w:t>
      </w:r>
    </w:p>
    <w:p w14:paraId="405D47F7" w14:textId="1721519B" w:rsidR="00331D32" w:rsidRPr="009B296B" w:rsidRDefault="00331D32" w:rsidP="009A67E7">
      <w:pPr>
        <w:rPr>
          <w:rFonts w:ascii="Times New Roman" w:hAnsi="Times New Roman" w:cs="Times New Roman"/>
          <w:b/>
          <w:lang w:val="es-ES_tradnl"/>
        </w:rPr>
      </w:pPr>
      <w:bookmarkStart w:id="7" w:name="_Hlk25181259"/>
      <w:r w:rsidRPr="009B296B">
        <w:rPr>
          <w:rFonts w:ascii="Times New Roman" w:hAnsi="Times New Roman" w:cs="Times New Roman"/>
          <w:bCs/>
          <w:lang w:val="es-ES_tradnl"/>
        </w:rPr>
        <w:t>2.1</w:t>
      </w:r>
      <w:r w:rsidRPr="009B296B">
        <w:rPr>
          <w:rFonts w:ascii="Times New Roman" w:hAnsi="Times New Roman" w:cs="Times New Roman"/>
          <w:b/>
          <w:lang w:val="es-ES_tradnl"/>
        </w:rPr>
        <w:tab/>
      </w:r>
      <w:r w:rsidRPr="009B296B">
        <w:rPr>
          <w:rFonts w:ascii="Times New Roman" w:hAnsi="Times New Roman" w:cs="Times New Roman"/>
          <w:noProof/>
          <w:lang w:val="es-ES_tradnl"/>
        </w:rPr>
        <w:t>considerar la posibilidad de efectuar atribuciones adicionales de espectro al servicio de radiolocalización a título coprimario en la banda de frecuencias 231,5</w:t>
      </w:r>
      <w:r w:rsidRPr="009B296B">
        <w:rPr>
          <w:rFonts w:ascii="Times New Roman" w:hAnsi="Times New Roman" w:cs="Times New Roman"/>
          <w:noProof/>
          <w:lang w:val="es-ES_tradnl"/>
        </w:rPr>
        <w:noBreakHyphen/>
        <w:t>275 GHz y la identificación de espectro para aplicaciones de radiolocalización en las bandas de frecuencias en la gama 275</w:t>
      </w:r>
      <w:r w:rsidRPr="009B296B">
        <w:rPr>
          <w:rFonts w:ascii="Times New Roman" w:hAnsi="Times New Roman" w:cs="Times New Roman"/>
          <w:noProof/>
          <w:lang w:val="es-ES_tradnl"/>
        </w:rPr>
        <w:noBreakHyphen/>
        <w:t xml:space="preserve">700 GHz para sistemas de imágenes en ondas milimétricas y submilimétricas, de conformidad con la Resolución </w:t>
      </w:r>
      <w:r w:rsidR="005514B6" w:rsidRPr="009B296B">
        <w:rPr>
          <w:rFonts w:ascii="Times New Roman" w:hAnsi="Times New Roman" w:cs="Times New Roman"/>
          <w:b/>
          <w:bCs/>
          <w:szCs w:val="24"/>
          <w:lang w:val="es-ES"/>
        </w:rPr>
        <w:t>663</w:t>
      </w:r>
      <w:r w:rsidR="005514B6" w:rsidRPr="009B296B">
        <w:rPr>
          <w:rFonts w:ascii="Times New Roman" w:hAnsi="Times New Roman" w:cs="Times New Roman"/>
          <w:b/>
          <w:noProof/>
          <w:lang w:val="es-ES_tradnl"/>
        </w:rPr>
        <w:t xml:space="preserve"> </w:t>
      </w:r>
      <w:r w:rsidRPr="009B296B">
        <w:rPr>
          <w:rFonts w:ascii="Times New Roman" w:hAnsi="Times New Roman" w:cs="Times New Roman"/>
          <w:b/>
          <w:noProof/>
          <w:lang w:val="es-ES_tradnl"/>
        </w:rPr>
        <w:t>(CMR-19)</w:t>
      </w:r>
      <w:r w:rsidRPr="009B296B">
        <w:rPr>
          <w:rFonts w:ascii="Times New Roman" w:hAnsi="Times New Roman" w:cs="Times New Roman"/>
          <w:noProof/>
          <w:lang w:val="es-ES_tradnl"/>
        </w:rPr>
        <w:t>;</w:t>
      </w:r>
    </w:p>
    <w:p w14:paraId="559EB60F" w14:textId="5F8BD3FA" w:rsidR="00331D32" w:rsidRPr="009B296B" w:rsidRDefault="00331D32" w:rsidP="009A67E7">
      <w:pPr>
        <w:rPr>
          <w:rFonts w:ascii="Times New Roman" w:hAnsi="Times New Roman" w:cs="Times New Roman"/>
          <w:bCs/>
          <w:lang w:val="es-ES_tradnl"/>
        </w:rPr>
      </w:pPr>
      <w:r w:rsidRPr="009B296B">
        <w:rPr>
          <w:rFonts w:ascii="Times New Roman" w:hAnsi="Times New Roman" w:cs="Times New Roman"/>
          <w:lang w:val="es-ES_tradnl"/>
        </w:rPr>
        <w:t>2.2</w:t>
      </w:r>
      <w:r w:rsidRPr="009B296B">
        <w:rPr>
          <w:rFonts w:ascii="Times New Roman" w:hAnsi="Times New Roman" w:cs="Times New Roman"/>
          <w:lang w:val="es-ES_tradnl"/>
        </w:rPr>
        <w:tab/>
        <w:t>e</w:t>
      </w:r>
      <w:r w:rsidRPr="009B296B">
        <w:rPr>
          <w:rFonts w:ascii="Times New Roman" w:hAnsi="Times New Roman" w:cs="Times New Roman"/>
          <w:iCs/>
          <w:lang w:val="es-ES_tradnl"/>
        </w:rPr>
        <w:t>studiar</w:t>
      </w:r>
      <w:r w:rsidRPr="009B296B">
        <w:rPr>
          <w:rFonts w:ascii="Times New Roman" w:hAnsi="Times New Roman" w:cs="Times New Roman"/>
          <w:lang w:val="es-ES_tradnl"/>
        </w:rPr>
        <w:t xml:space="preserve">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w:t>
      </w:r>
      <w:r w:rsidRPr="009B296B">
        <w:rPr>
          <w:rFonts w:ascii="Times New Roman" w:hAnsi="Times New Roman" w:cs="Times New Roman"/>
          <w:lang w:val="es-ES_tradnl"/>
        </w:rPr>
        <w:lastRenderedPageBreak/>
        <w:t>espaciales geoestacionarias del servicio fijo por satélite, de conformidad con la Resolución </w:t>
      </w:r>
      <w:r w:rsidR="005514B6" w:rsidRPr="009B296B">
        <w:rPr>
          <w:rFonts w:ascii="Times New Roman" w:hAnsi="Times New Roman" w:cs="Times New Roman"/>
          <w:b/>
          <w:bCs/>
          <w:szCs w:val="24"/>
          <w:lang w:val="es-ES"/>
        </w:rPr>
        <w:t>176</w:t>
      </w:r>
      <w:r w:rsidRPr="009B296B">
        <w:rPr>
          <w:rFonts w:ascii="Times New Roman" w:hAnsi="Times New Roman" w:cs="Times New Roman"/>
          <w:b/>
          <w:lang w:val="es-ES_tradnl"/>
        </w:rPr>
        <w:t xml:space="preserve"> (CMR-19)</w:t>
      </w:r>
      <w:r w:rsidR="004A5136" w:rsidRPr="009B296B">
        <w:rPr>
          <w:rFonts w:ascii="Times New Roman" w:hAnsi="Times New Roman" w:cs="Times New Roman"/>
          <w:lang w:val="es-ES_tradnl"/>
        </w:rPr>
        <w:t>;</w:t>
      </w:r>
    </w:p>
    <w:p w14:paraId="44BB2EE5" w14:textId="7CE2E81F"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2.3</w:t>
      </w:r>
      <w:r w:rsidRPr="009B296B">
        <w:rPr>
          <w:rFonts w:ascii="Times New Roman" w:hAnsi="Times New Roman" w:cs="Times New Roman"/>
          <w:lang w:val="es-ES_tradnl"/>
        </w:rPr>
        <w:tab/>
        <w:t>considerar la atribución de la totalidad o partes de la banda de frecuencias, [43,5</w:t>
      </w:r>
      <w:r w:rsidRPr="009B296B">
        <w:rPr>
          <w:rFonts w:ascii="Times New Roman" w:hAnsi="Times New Roman" w:cs="Times New Roman"/>
          <w:lang w:val="es-ES_tradnl"/>
        </w:rPr>
        <w:noBreakHyphen/>
        <w:t xml:space="preserve">45,5 GHz] al servicio fijo por satélite de conformidad con la Resolución </w:t>
      </w:r>
      <w:r w:rsidR="005514B6" w:rsidRPr="009B296B">
        <w:rPr>
          <w:rFonts w:ascii="Times New Roman" w:hAnsi="Times New Roman" w:cs="Times New Roman"/>
          <w:b/>
          <w:bCs/>
          <w:szCs w:val="24"/>
          <w:lang w:val="es-ES"/>
        </w:rPr>
        <w:t>177</w:t>
      </w:r>
      <w:r w:rsidR="005514B6" w:rsidRPr="009B296B">
        <w:rPr>
          <w:rFonts w:ascii="Times New Roman" w:hAnsi="Times New Roman" w:cs="Times New Roman"/>
          <w:b/>
          <w:bCs/>
          <w:lang w:val="es-ES_tradnl"/>
        </w:rPr>
        <w:t xml:space="preserve"> </w:t>
      </w:r>
      <w:r w:rsidRPr="009B296B">
        <w:rPr>
          <w:rFonts w:ascii="Times New Roman" w:hAnsi="Times New Roman" w:cs="Times New Roman"/>
          <w:b/>
          <w:bCs/>
          <w:lang w:val="es-ES_tradnl"/>
        </w:rPr>
        <w:t>(CMR</w:t>
      </w:r>
      <w:r w:rsidRPr="009B296B">
        <w:rPr>
          <w:rFonts w:ascii="Times New Roman" w:hAnsi="Times New Roman" w:cs="Times New Roman"/>
          <w:b/>
          <w:bCs/>
          <w:lang w:val="es-ES_tradnl"/>
        </w:rPr>
        <w:noBreakHyphen/>
        <w:t>19)</w:t>
      </w:r>
      <w:r w:rsidRPr="009B296B">
        <w:rPr>
          <w:rFonts w:ascii="Times New Roman" w:hAnsi="Times New Roman" w:cs="Times New Roman"/>
          <w:lang w:val="es-ES_tradnl"/>
        </w:rPr>
        <w:t>;</w:t>
      </w:r>
    </w:p>
    <w:p w14:paraId="5C02F20A" w14:textId="27EFDA49"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2.4</w:t>
      </w:r>
      <w:r w:rsidRPr="009B296B">
        <w:rPr>
          <w:rFonts w:ascii="Times New Roman" w:hAnsi="Times New Roman" w:cs="Times New Roman"/>
          <w:lang w:val="es-ES_tradnl"/>
        </w:rPr>
        <w:tab/>
        <w:t xml:space="preserve">introducción en el Artículo </w:t>
      </w:r>
      <w:r w:rsidRPr="009B296B">
        <w:rPr>
          <w:rFonts w:ascii="Times New Roman" w:hAnsi="Times New Roman" w:cs="Times New Roman"/>
          <w:b/>
          <w:bCs/>
          <w:lang w:val="es-ES_tradnl"/>
        </w:rPr>
        <w:t>21</w:t>
      </w:r>
      <w:r w:rsidRPr="009B296B">
        <w:rPr>
          <w:rFonts w:ascii="Times New Roman" w:hAnsi="Times New Roman" w:cs="Times New Roman"/>
          <w:lang w:val="es-ES_tradnl"/>
        </w:rPr>
        <w:t xml:space="preserve"> de límites de la densidad de flujo de potencia y de la potencia isotrópica radiada equivalente (p.i.r.e.) para las bandas de frecuencias 71-76 GHz y 81</w:t>
      </w:r>
      <w:r w:rsidRPr="009B296B">
        <w:rPr>
          <w:rFonts w:ascii="Times New Roman" w:hAnsi="Times New Roman" w:cs="Times New Roman"/>
          <w:lang w:val="es-ES_tradnl"/>
        </w:rPr>
        <w:noBreakHyphen/>
        <w:t>86 GHz, de conformidad con la Resolución </w:t>
      </w:r>
      <w:r w:rsidR="006A276C" w:rsidRPr="009B296B">
        <w:rPr>
          <w:rFonts w:ascii="Times New Roman" w:hAnsi="Times New Roman" w:cs="Times New Roman"/>
          <w:b/>
          <w:bCs/>
          <w:szCs w:val="24"/>
          <w:lang w:val="es-ES"/>
        </w:rPr>
        <w:t>775</w:t>
      </w:r>
      <w:r w:rsidRPr="009B296B">
        <w:rPr>
          <w:rFonts w:ascii="Times New Roman" w:hAnsi="Times New Roman" w:cs="Times New Roman"/>
          <w:b/>
          <w:lang w:val="es-ES_tradnl"/>
        </w:rPr>
        <w:t xml:space="preserve"> (CMR-19)</w:t>
      </w:r>
      <w:r w:rsidRPr="009B296B">
        <w:rPr>
          <w:rFonts w:ascii="Times New Roman" w:hAnsi="Times New Roman" w:cs="Times New Roman"/>
          <w:lang w:val="es-ES_tradnl"/>
        </w:rPr>
        <w:t>;</w:t>
      </w:r>
    </w:p>
    <w:p w14:paraId="780C4438" w14:textId="3795E116" w:rsidR="00331D32" w:rsidRPr="009B296B" w:rsidRDefault="00331D32" w:rsidP="00100121">
      <w:pPr>
        <w:rPr>
          <w:rFonts w:ascii="Times New Roman" w:hAnsi="Times New Roman" w:cs="Times New Roman"/>
          <w:lang w:val="es-ES_tradnl" w:eastAsia="nl-NL"/>
        </w:rPr>
      </w:pPr>
      <w:r w:rsidRPr="009B296B">
        <w:rPr>
          <w:rFonts w:ascii="Times New Roman" w:hAnsi="Times New Roman" w:cs="Times New Roman"/>
          <w:lang w:val="es-ES_tradnl"/>
        </w:rPr>
        <w:t>2.5</w:t>
      </w:r>
      <w:r w:rsidRPr="009B296B">
        <w:rPr>
          <w:rFonts w:ascii="Times New Roman" w:hAnsi="Times New Roman" w:cs="Times New Roman"/>
          <w:lang w:val="es-ES_tradnl"/>
        </w:rPr>
        <w:tab/>
      </w:r>
      <w:r w:rsidRPr="009B296B">
        <w:rPr>
          <w:rFonts w:ascii="Times New Roman" w:hAnsi="Times New Roman" w:cs="Times New Roman"/>
          <w:lang w:val="es-ES_tradnl" w:eastAsia="nl-NL"/>
        </w:rPr>
        <w:t xml:space="preserve">condiciones de utilización de las bandas de frecuencias de 71-76 GHz y 81-86 GHz por las estaciones de los servicios por satélite para garantizar la compatibilidad con los servicios pasivos, de conformidad con la Resolución </w:t>
      </w:r>
      <w:r w:rsidR="006A276C" w:rsidRPr="009B296B">
        <w:rPr>
          <w:rFonts w:ascii="Times New Roman" w:hAnsi="Times New Roman" w:cs="Times New Roman"/>
          <w:b/>
          <w:bCs/>
          <w:szCs w:val="24"/>
          <w:lang w:val="es-ES"/>
        </w:rPr>
        <w:t>776</w:t>
      </w:r>
      <w:r w:rsidR="006A276C" w:rsidRPr="009B296B">
        <w:rPr>
          <w:rFonts w:ascii="Times New Roman" w:hAnsi="Times New Roman" w:cs="Times New Roman"/>
          <w:b/>
          <w:lang w:val="es-ES_tradnl" w:eastAsia="nl-NL"/>
        </w:rPr>
        <w:t xml:space="preserve"> </w:t>
      </w:r>
      <w:r w:rsidRPr="009B296B">
        <w:rPr>
          <w:rFonts w:ascii="Times New Roman" w:hAnsi="Times New Roman" w:cs="Times New Roman"/>
          <w:b/>
          <w:lang w:val="es-ES_tradnl" w:eastAsia="nl-NL"/>
        </w:rPr>
        <w:t>(CMR</w:t>
      </w:r>
      <w:r w:rsidRPr="009B296B">
        <w:rPr>
          <w:rFonts w:ascii="Times New Roman" w:hAnsi="Times New Roman" w:cs="Times New Roman"/>
          <w:b/>
          <w:lang w:val="es-ES_tradnl" w:eastAsia="nl-NL"/>
        </w:rPr>
        <w:noBreakHyphen/>
        <w:t>19)</w:t>
      </w:r>
      <w:r w:rsidRPr="009B296B">
        <w:rPr>
          <w:rFonts w:ascii="Times New Roman" w:hAnsi="Times New Roman" w:cs="Times New Roman"/>
          <w:lang w:val="es-ES_tradnl" w:eastAsia="nl-NL"/>
        </w:rPr>
        <w:t>;</w:t>
      </w:r>
    </w:p>
    <w:p w14:paraId="09A20957" w14:textId="77777777" w:rsidR="00331D32" w:rsidRPr="009B296B" w:rsidRDefault="00331D32" w:rsidP="00100121">
      <w:pPr>
        <w:rPr>
          <w:rFonts w:ascii="Times New Roman" w:hAnsi="Times New Roman" w:cs="Times New Roman"/>
          <w:bCs/>
          <w:lang w:val="es-ES_tradnl"/>
        </w:rPr>
      </w:pPr>
      <w:r w:rsidRPr="009B296B">
        <w:rPr>
          <w:rFonts w:ascii="Times New Roman" w:hAnsi="Times New Roman" w:cs="Times New Roman"/>
          <w:lang w:val="es-ES_tradnl"/>
        </w:rPr>
        <w:t>2.6</w:t>
      </w:r>
      <w:r w:rsidRPr="009B296B">
        <w:rPr>
          <w:rFonts w:ascii="Times New Roman" w:hAnsi="Times New Roman" w:cs="Times New Roman"/>
          <w:lang w:val="es-ES_tradnl"/>
        </w:rPr>
        <w:tab/>
        <w:t xml:space="preserve">considerar las disposiciones reglamentarias necesarias para que en el Reglamento de Radiocomunicaciones se reconozcan debidamente y se protejan los sensores meteorológicos espaciales, habida cuenta de los resultados de los estudios del UIT-R que se presenten a la CMR-23 en el marco del punto 9.1 del orden del día y de la Resolución </w:t>
      </w:r>
      <w:r w:rsidRPr="009B296B">
        <w:rPr>
          <w:rFonts w:ascii="Times New Roman" w:hAnsi="Times New Roman" w:cs="Times New Roman"/>
          <w:b/>
          <w:lang w:val="es-ES_tradnl"/>
        </w:rPr>
        <w:t>657 (Rev.CMR-19)</w:t>
      </w:r>
      <w:r w:rsidRPr="009B296B">
        <w:rPr>
          <w:rFonts w:ascii="Times New Roman" w:hAnsi="Times New Roman" w:cs="Times New Roman"/>
          <w:bCs/>
          <w:lang w:val="es-ES_tradnl"/>
        </w:rPr>
        <w:t xml:space="preserve"> conexa;</w:t>
      </w:r>
    </w:p>
    <w:p w14:paraId="284CFEC9" w14:textId="0BE8D62C" w:rsidR="00331D32" w:rsidRPr="009B296B" w:rsidRDefault="00331D32" w:rsidP="00100121">
      <w:pPr>
        <w:rPr>
          <w:rFonts w:ascii="Times New Roman" w:hAnsi="Times New Roman" w:cs="Times New Roman"/>
          <w:bCs/>
          <w:lang w:val="es-ES_tradnl"/>
        </w:rPr>
      </w:pPr>
      <w:r w:rsidRPr="009B296B">
        <w:rPr>
          <w:rFonts w:ascii="Times New Roman" w:hAnsi="Times New Roman" w:cs="Times New Roman"/>
          <w:bCs/>
          <w:lang w:val="es-ES_tradnl"/>
        </w:rPr>
        <w:t>2.7</w:t>
      </w:r>
      <w:r w:rsidRPr="009B296B">
        <w:rPr>
          <w:rFonts w:ascii="Times New Roman" w:hAnsi="Times New Roman" w:cs="Times New Roman"/>
          <w:bCs/>
          <w:lang w:val="es-ES_tradnl"/>
        </w:rPr>
        <w:tab/>
      </w:r>
      <w:r w:rsidRPr="009B296B">
        <w:rPr>
          <w:rFonts w:ascii="Times New Roman" w:hAnsi="Times New Roman" w:cs="Times New Roman"/>
          <w:lang w:val="es-ES_tradnl"/>
        </w:rPr>
        <w:t>considerar la elaboración de disposiciones reglamentarias para los enlaces de conexión de los sistemas de satélites no geoestacionarios del servicio fijo por satélite en las bandas de frecuencias 71-76 GHz (espacio</w:t>
      </w:r>
      <w:r w:rsidRPr="009B296B">
        <w:rPr>
          <w:rFonts w:ascii="Times New Roman" w:hAnsi="Times New Roman" w:cs="Times New Roman"/>
          <w:lang w:val="es-ES_tradnl"/>
        </w:rPr>
        <w:noBreakHyphen/>
        <w:t>Tierra y la nueva propuesta en el sentido Tierra</w:t>
      </w:r>
      <w:r w:rsidRPr="009B296B">
        <w:rPr>
          <w:rFonts w:ascii="Times New Roman" w:hAnsi="Times New Roman" w:cs="Times New Roman"/>
          <w:lang w:val="es-ES_tradnl"/>
        </w:rPr>
        <w:noBreakHyphen/>
        <w:t>espacio) y 81</w:t>
      </w:r>
      <w:r w:rsidRPr="009B296B">
        <w:rPr>
          <w:rFonts w:ascii="Times New Roman" w:hAnsi="Times New Roman" w:cs="Times New Roman"/>
          <w:lang w:val="es-ES_tradnl"/>
        </w:rPr>
        <w:noBreakHyphen/>
        <w:t>86 GHz (Tierra</w:t>
      </w:r>
      <w:r w:rsidRPr="009B296B">
        <w:rPr>
          <w:rFonts w:ascii="Times New Roman" w:hAnsi="Times New Roman" w:cs="Times New Roman"/>
          <w:lang w:val="es-ES_tradnl"/>
        </w:rPr>
        <w:noBreakHyphen/>
        <w:t xml:space="preserve">espacio), de conformidad con la Resolución </w:t>
      </w:r>
      <w:r w:rsidR="006A276C" w:rsidRPr="009B296B">
        <w:rPr>
          <w:rFonts w:ascii="Times New Roman" w:hAnsi="Times New Roman" w:cs="Times New Roman"/>
          <w:b/>
          <w:bCs/>
          <w:szCs w:val="24"/>
          <w:lang w:val="es-ES"/>
        </w:rPr>
        <w:t>178</w:t>
      </w:r>
      <w:r w:rsidR="006A276C" w:rsidRPr="009B296B">
        <w:rPr>
          <w:rFonts w:ascii="Times New Roman" w:hAnsi="Times New Roman" w:cs="Times New Roman"/>
          <w:b/>
          <w:lang w:val="es-ES_tradnl"/>
        </w:rPr>
        <w:t xml:space="preserve"> </w:t>
      </w:r>
      <w:r w:rsidRPr="009B296B">
        <w:rPr>
          <w:rFonts w:ascii="Times New Roman" w:hAnsi="Times New Roman" w:cs="Times New Roman"/>
          <w:b/>
          <w:lang w:val="es-ES_tradnl"/>
        </w:rPr>
        <w:t>(CMR-19)</w:t>
      </w:r>
      <w:r w:rsidRPr="009B296B">
        <w:rPr>
          <w:rFonts w:ascii="Times New Roman" w:hAnsi="Times New Roman" w:cs="Times New Roman"/>
          <w:bCs/>
          <w:lang w:val="es-ES_tradnl"/>
        </w:rPr>
        <w:t>;</w:t>
      </w:r>
    </w:p>
    <w:p w14:paraId="2CD736FE" w14:textId="7E6D0CE7"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2.8</w:t>
      </w:r>
      <w:r w:rsidRPr="009B296B">
        <w:rPr>
          <w:rFonts w:ascii="Times New Roman" w:hAnsi="Times New Roman" w:cs="Times New Roman"/>
          <w:lang w:val="es-ES_tradnl"/>
        </w:rPr>
        <w:tab/>
        <w:t>estudiar las cuestiones técnicas y operativas, y las disposiciones reglamentarias, para los enlaces espacio-espacio en las bandas de frecuencias [1 525-1 544 MHz], [1 545-1 559 MHz], [1 610</w:t>
      </w:r>
      <w:r w:rsidRPr="009B296B">
        <w:rPr>
          <w:rFonts w:ascii="Times New Roman" w:hAnsi="Times New Roman" w:cs="Times New Roman"/>
          <w:lang w:val="es-ES_tradnl"/>
        </w:rPr>
        <w:noBreakHyphen/>
        <w:t>1 645,5 MHz], [1 646,5</w:t>
      </w:r>
      <w:r w:rsidRPr="009B296B">
        <w:rPr>
          <w:rFonts w:ascii="Times New Roman" w:hAnsi="Times New Roman" w:cs="Times New Roman"/>
          <w:lang w:val="es-ES_tradnl"/>
        </w:rPr>
        <w:noBreakHyphen/>
        <w:t xml:space="preserve">1 660,5 MHz], y [2 483,5-2 500 MHz] entre los satélites geoestacionarios y no geoestacionarios del servicio móvil por satélite, de conformidad con la Resolución </w:t>
      </w:r>
      <w:r w:rsidR="006A276C" w:rsidRPr="009B296B">
        <w:rPr>
          <w:rFonts w:ascii="Times New Roman" w:hAnsi="Times New Roman" w:cs="Times New Roman"/>
          <w:b/>
          <w:bCs/>
          <w:szCs w:val="24"/>
          <w:lang w:val="es-ES"/>
        </w:rPr>
        <w:t>249</w:t>
      </w:r>
      <w:r w:rsidR="006A276C" w:rsidRPr="009B296B">
        <w:rPr>
          <w:rFonts w:ascii="Times New Roman" w:hAnsi="Times New Roman" w:cs="Times New Roman"/>
          <w:b/>
          <w:lang w:val="es-ES_tradnl"/>
        </w:rPr>
        <w:t xml:space="preserve"> </w:t>
      </w:r>
      <w:r w:rsidRPr="009B296B">
        <w:rPr>
          <w:rFonts w:ascii="Times New Roman" w:hAnsi="Times New Roman" w:cs="Times New Roman"/>
          <w:b/>
          <w:lang w:val="es-ES_tradnl"/>
        </w:rPr>
        <w:t>(CMR-19)</w:t>
      </w:r>
      <w:r w:rsidRPr="009B296B">
        <w:rPr>
          <w:rFonts w:ascii="Times New Roman" w:hAnsi="Times New Roman" w:cs="Times New Roman"/>
          <w:lang w:val="es-ES_tradnl"/>
        </w:rPr>
        <w:t>;</w:t>
      </w:r>
    </w:p>
    <w:p w14:paraId="57657D2C" w14:textId="3894FF97" w:rsidR="00331D32" w:rsidRPr="009B296B" w:rsidRDefault="00331D32" w:rsidP="00100121">
      <w:pPr>
        <w:rPr>
          <w:rFonts w:ascii="Times New Roman" w:hAnsi="Times New Roman" w:cs="Times New Roman"/>
          <w:bCs/>
          <w:lang w:val="es-ES_tradnl"/>
        </w:rPr>
      </w:pPr>
      <w:r w:rsidRPr="009B296B">
        <w:rPr>
          <w:rFonts w:ascii="Times New Roman" w:hAnsi="Times New Roman" w:cs="Times New Roman"/>
          <w:bCs/>
          <w:lang w:val="es-ES_tradnl"/>
        </w:rPr>
        <w:t>2.9</w:t>
      </w:r>
      <w:r w:rsidRPr="009B296B">
        <w:rPr>
          <w:rFonts w:ascii="Times New Roman" w:hAnsi="Times New Roman" w:cs="Times New Roman"/>
          <w:bCs/>
          <w:lang w:val="es-ES_tradnl"/>
        </w:rPr>
        <w:tab/>
      </w:r>
      <w:r w:rsidRPr="009B296B">
        <w:rPr>
          <w:rFonts w:ascii="Times New Roman" w:hAnsi="Times New Roman" w:cs="Times New Roman"/>
          <w:lang w:val="es-ES_tradnl"/>
        </w:rPr>
        <w:t>examinar posibles atribuciones adicionales de espectro al servicio móvil en la banda de frecuencias 1 300</w:t>
      </w:r>
      <w:r w:rsidRPr="009B296B">
        <w:rPr>
          <w:rFonts w:ascii="Times New Roman" w:hAnsi="Times New Roman" w:cs="Times New Roman"/>
          <w:lang w:val="es-ES_tradnl"/>
        </w:rPr>
        <w:noBreakHyphen/>
        <w:t xml:space="preserve">1 350 MHz para facilitar el desarrollo futuro de aplicaciones móviles de banda ancha, de conformidad con la Resolución </w:t>
      </w:r>
      <w:r w:rsidR="006A276C" w:rsidRPr="009B296B">
        <w:rPr>
          <w:rFonts w:ascii="Times New Roman" w:hAnsi="Times New Roman" w:cs="Times New Roman"/>
          <w:b/>
          <w:bCs/>
          <w:szCs w:val="24"/>
          <w:lang w:val="es-ES"/>
        </w:rPr>
        <w:t>250</w:t>
      </w:r>
      <w:r w:rsidRPr="009B296B">
        <w:rPr>
          <w:rFonts w:ascii="Times New Roman" w:hAnsi="Times New Roman" w:cs="Times New Roman"/>
          <w:b/>
          <w:lang w:val="es-ES_tradnl"/>
        </w:rPr>
        <w:t xml:space="preserve"> (CMR-19)</w:t>
      </w:r>
      <w:r w:rsidRPr="009B296B">
        <w:rPr>
          <w:rFonts w:ascii="Times New Roman" w:hAnsi="Times New Roman" w:cs="Times New Roman"/>
          <w:bCs/>
          <w:lang w:val="es-ES_tradnl"/>
        </w:rPr>
        <w:t>;</w:t>
      </w:r>
    </w:p>
    <w:p w14:paraId="6B7FE516" w14:textId="60CE3502"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2.10</w:t>
      </w:r>
      <w:r w:rsidRPr="009B296B">
        <w:rPr>
          <w:rFonts w:ascii="Times New Roman" w:hAnsi="Times New Roman" w:cs="Times New Roman"/>
          <w:lang w:val="es-ES_tradnl"/>
        </w:rPr>
        <w:tab/>
        <w:t>considerar la posibilidad de mejorar la utilización de las frecuencias marítimas en ondas métricas del Apéndice </w:t>
      </w:r>
      <w:r w:rsidRPr="009B296B">
        <w:rPr>
          <w:rFonts w:ascii="Times New Roman" w:hAnsi="Times New Roman" w:cs="Times New Roman"/>
          <w:b/>
          <w:bCs/>
          <w:lang w:val="es-ES_tradnl"/>
        </w:rPr>
        <w:t>18</w:t>
      </w:r>
      <w:r w:rsidRPr="009B296B">
        <w:rPr>
          <w:rFonts w:ascii="Times New Roman" w:hAnsi="Times New Roman" w:cs="Times New Roman"/>
          <w:lang w:val="es-ES_tradnl"/>
        </w:rPr>
        <w:t xml:space="preserve">, de conformidad con la Resolución </w:t>
      </w:r>
      <w:r w:rsidR="006A276C" w:rsidRPr="009B296B">
        <w:rPr>
          <w:rFonts w:ascii="Times New Roman" w:hAnsi="Times New Roman" w:cs="Times New Roman"/>
          <w:b/>
          <w:bCs/>
          <w:szCs w:val="24"/>
          <w:lang w:val="es-ES" w:eastAsia="zh-CN"/>
        </w:rPr>
        <w:t>363</w:t>
      </w:r>
      <w:r w:rsidRPr="009B296B">
        <w:rPr>
          <w:rFonts w:ascii="Times New Roman" w:hAnsi="Times New Roman" w:cs="Times New Roman"/>
          <w:lang w:val="es-ES_tradnl"/>
        </w:rPr>
        <w:t xml:space="preserve"> </w:t>
      </w:r>
      <w:r w:rsidRPr="009B296B">
        <w:rPr>
          <w:rFonts w:ascii="Times New Roman" w:hAnsi="Times New Roman" w:cs="Times New Roman"/>
          <w:b/>
          <w:bCs/>
          <w:lang w:val="es-ES_tradnl"/>
        </w:rPr>
        <w:t>(CMR-19)</w:t>
      </w:r>
      <w:r w:rsidR="0015772C" w:rsidRPr="009B296B">
        <w:rPr>
          <w:rFonts w:ascii="Times New Roman" w:hAnsi="Times New Roman" w:cs="Times New Roman"/>
          <w:lang w:val="es-ES_tradnl"/>
        </w:rPr>
        <w:t>;</w:t>
      </w:r>
    </w:p>
    <w:p w14:paraId="2484709C" w14:textId="61D464F1"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2.11</w:t>
      </w:r>
      <w:r w:rsidRPr="009B296B">
        <w:rPr>
          <w:rFonts w:ascii="Times New Roman" w:hAnsi="Times New Roman" w:cs="Times New Roman"/>
          <w:lang w:val="es-ES_tradnl"/>
        </w:rPr>
        <w:tab/>
        <w:t>considerar la posibilidad de efectuar una nueva atribución al servicio de explotación de la Tierra por satélite (Tierra-espacio) en la banda de frecuencias 22,55</w:t>
      </w:r>
      <w:r w:rsidRPr="009B296B">
        <w:rPr>
          <w:rFonts w:ascii="Times New Roman" w:hAnsi="Times New Roman" w:cs="Times New Roman"/>
          <w:lang w:val="es-ES_tradnl"/>
        </w:rPr>
        <w:noBreakHyphen/>
        <w:t xml:space="preserve">23,15 GHz, de conformidad con la Resolución </w:t>
      </w:r>
      <w:r w:rsidR="006A276C" w:rsidRPr="009B296B">
        <w:rPr>
          <w:rFonts w:ascii="Times New Roman" w:hAnsi="Times New Roman" w:cs="Times New Roman"/>
          <w:b/>
          <w:bCs/>
          <w:szCs w:val="24"/>
          <w:lang w:val="es-ES"/>
        </w:rPr>
        <w:t>664</w:t>
      </w:r>
      <w:r w:rsidRPr="009B296B">
        <w:rPr>
          <w:rFonts w:ascii="Times New Roman" w:hAnsi="Times New Roman" w:cs="Times New Roman"/>
          <w:b/>
          <w:lang w:val="es-ES_tradnl"/>
        </w:rPr>
        <w:t xml:space="preserve"> (CMR-19)</w:t>
      </w:r>
      <w:r w:rsidRPr="009B296B">
        <w:rPr>
          <w:rFonts w:ascii="Times New Roman" w:hAnsi="Times New Roman" w:cs="Times New Roman"/>
          <w:lang w:val="es-ES_tradnl"/>
        </w:rPr>
        <w:t>;</w:t>
      </w:r>
      <w:bookmarkEnd w:id="7"/>
    </w:p>
    <w:p w14:paraId="07E0CEA4" w14:textId="2C315BE0"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2.12</w:t>
      </w:r>
      <w:r w:rsidRPr="009B296B">
        <w:rPr>
          <w:rFonts w:ascii="Times New Roman" w:hAnsi="Times New Roman" w:cs="Times New Roman"/>
          <w:lang w:val="es-ES_tradnl"/>
        </w:rPr>
        <w:tab/>
        <w:t xml:space="preserve">considerar la utilización de las identificaciones existentes para las IMT en la gama de frecuencias 694-960 MHz, teniendo en cuenta la posible supresión de la limitación relativa al servicio móvil aeronáutico en las IMT, para la utilización de equipos de usuario de las IMT por las aplicaciones no relacionadas con la seguridad, según proceda, de conformidad con la Resolución </w:t>
      </w:r>
      <w:r w:rsidR="006A276C" w:rsidRPr="009B296B">
        <w:rPr>
          <w:rFonts w:ascii="Times New Roman" w:hAnsi="Times New Roman" w:cs="Times New Roman"/>
          <w:b/>
          <w:bCs/>
          <w:szCs w:val="24"/>
          <w:lang w:val="es-ES"/>
        </w:rPr>
        <w:t>251</w:t>
      </w:r>
      <w:r w:rsidRPr="009B296B">
        <w:rPr>
          <w:rFonts w:ascii="Times New Roman" w:hAnsi="Times New Roman" w:cs="Times New Roman"/>
          <w:b/>
          <w:bCs/>
          <w:lang w:val="es-ES_tradnl"/>
        </w:rPr>
        <w:t xml:space="preserve"> (CMR-19)</w:t>
      </w:r>
      <w:r w:rsidRPr="009B296B">
        <w:rPr>
          <w:rFonts w:ascii="Times New Roman" w:hAnsi="Times New Roman" w:cs="Times New Roman"/>
          <w:lang w:val="es-ES_tradnl"/>
        </w:rPr>
        <w:t>;</w:t>
      </w:r>
    </w:p>
    <w:p w14:paraId="5664255F" w14:textId="23A00041"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2.13</w:t>
      </w:r>
      <w:r w:rsidRPr="009B296B">
        <w:rPr>
          <w:rFonts w:ascii="Times New Roman" w:hAnsi="Times New Roman" w:cs="Times New Roman"/>
          <w:lang w:val="es-ES_tradnl"/>
        </w:rPr>
        <w:tab/>
        <w:t>considerar la posibilidad de efectuar una atribución mundial al servicio móvil por satélite para el desarrollo futuro de los sistemas móviles por satélite de banda estrecha en la gama 1,5</w:t>
      </w:r>
      <w:r w:rsidR="0015772C" w:rsidRPr="009B296B">
        <w:rPr>
          <w:rFonts w:ascii="Times New Roman" w:hAnsi="Times New Roman" w:cs="Times New Roman"/>
          <w:lang w:val="es-ES_tradnl"/>
        </w:rPr>
        <w:noBreakHyphen/>
      </w:r>
      <w:r w:rsidRPr="009B296B">
        <w:rPr>
          <w:rFonts w:ascii="Times New Roman" w:hAnsi="Times New Roman" w:cs="Times New Roman"/>
          <w:lang w:val="es-ES_tradnl"/>
        </w:rPr>
        <w:t>5</w:t>
      </w:r>
      <w:r w:rsidR="0015772C" w:rsidRPr="009B296B">
        <w:rPr>
          <w:rFonts w:ascii="Times New Roman" w:hAnsi="Times New Roman" w:cs="Times New Roman"/>
          <w:lang w:val="es-ES_tradnl"/>
        </w:rPr>
        <w:t> </w:t>
      </w:r>
      <w:r w:rsidRPr="009B296B">
        <w:rPr>
          <w:rFonts w:ascii="Times New Roman" w:hAnsi="Times New Roman" w:cs="Times New Roman"/>
          <w:lang w:val="es-ES_tradnl"/>
        </w:rPr>
        <w:t xml:space="preserve">GHz, de conformidad con la Resolución </w:t>
      </w:r>
      <w:r w:rsidR="006A276C" w:rsidRPr="009B296B">
        <w:rPr>
          <w:rFonts w:ascii="Times New Roman" w:hAnsi="Times New Roman" w:cs="Times New Roman"/>
          <w:b/>
          <w:bCs/>
          <w:szCs w:val="24"/>
          <w:lang w:val="es-ES"/>
        </w:rPr>
        <w:t>248</w:t>
      </w:r>
      <w:r w:rsidRPr="009B296B">
        <w:rPr>
          <w:rFonts w:ascii="Times New Roman" w:hAnsi="Times New Roman" w:cs="Times New Roman"/>
          <w:b/>
          <w:bCs/>
          <w:lang w:val="es-ES_tradnl"/>
        </w:rPr>
        <w:t xml:space="preserve"> (CMR-19)</w:t>
      </w:r>
      <w:r w:rsidRPr="009B296B">
        <w:rPr>
          <w:rFonts w:ascii="Times New Roman" w:hAnsi="Times New Roman" w:cs="Times New Roman"/>
          <w:lang w:val="es-ES_tradnl"/>
        </w:rPr>
        <w:t>;</w:t>
      </w:r>
    </w:p>
    <w:p w14:paraId="5AFA8567" w14:textId="77777777"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3</w:t>
      </w:r>
      <w:r w:rsidRPr="009B296B">
        <w:rPr>
          <w:rFonts w:ascii="Times New Roman" w:hAnsi="Times New Roman" w:cs="Times New Roman"/>
          <w:lang w:val="es-ES_tradnl"/>
        </w:rPr>
        <w:tab/>
        <w:t xml:space="preserve">examinar las Recomendaciones UIT-R revisadas incorporadas por referencia en el Reglamento de Radiocomunicaciones comunicadas por la Asamblea de Radiocomunicaciones de acuerdo con el </w:t>
      </w:r>
      <w:r w:rsidRPr="009B296B">
        <w:rPr>
          <w:rFonts w:ascii="Times New Roman" w:hAnsi="Times New Roman" w:cs="Times New Roman"/>
          <w:i/>
          <w:iCs/>
          <w:lang w:val="es-ES_tradnl"/>
        </w:rPr>
        <w:t>resuelve además</w:t>
      </w:r>
      <w:r w:rsidRPr="009B296B">
        <w:rPr>
          <w:rFonts w:ascii="Times New Roman" w:hAnsi="Times New Roman" w:cs="Times New Roman"/>
          <w:lang w:val="es-ES_tradnl"/>
        </w:rPr>
        <w:t xml:space="preserve"> de la Resolución </w:t>
      </w:r>
      <w:r w:rsidRPr="009B296B">
        <w:rPr>
          <w:rFonts w:ascii="Times New Roman" w:hAnsi="Times New Roman" w:cs="Times New Roman"/>
          <w:b/>
          <w:lang w:val="es-ES_tradnl"/>
        </w:rPr>
        <w:t>27 (Rev.CMR-19)</w:t>
      </w:r>
      <w:r w:rsidRPr="009B296B">
        <w:rPr>
          <w:rFonts w:ascii="Times New Roman" w:hAnsi="Times New Roman" w:cs="Times New Roman"/>
          <w:bCs/>
          <w:lang w:val="es-ES_tradnl"/>
        </w:rPr>
        <w:t>,</w:t>
      </w:r>
      <w:r w:rsidRPr="009B296B">
        <w:rPr>
          <w:rFonts w:ascii="Times New Roman" w:hAnsi="Times New Roman" w:cs="Times New Roman"/>
          <w:lang w:val="es-ES_tradnl"/>
        </w:rPr>
        <w:t xml:space="preserve"> y decidir si se actualizan o no las referencias correspondientes en el Reglamento de Radiocomunicaciones con arreglo a los principios contenidos en el </w:t>
      </w:r>
      <w:r w:rsidRPr="009B296B">
        <w:rPr>
          <w:rFonts w:ascii="Times New Roman" w:hAnsi="Times New Roman" w:cs="Times New Roman"/>
          <w:i/>
          <w:iCs/>
          <w:lang w:val="es-ES_tradnl"/>
        </w:rPr>
        <w:t>resuelve</w:t>
      </w:r>
      <w:r w:rsidRPr="009B296B">
        <w:rPr>
          <w:rFonts w:ascii="Times New Roman" w:hAnsi="Times New Roman" w:cs="Times New Roman"/>
          <w:lang w:val="es-ES_tradnl"/>
        </w:rPr>
        <w:t xml:space="preserve"> de dicha Resolución;</w:t>
      </w:r>
    </w:p>
    <w:p w14:paraId="57DC9CBA"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lastRenderedPageBreak/>
        <w:t>4</w:t>
      </w:r>
      <w:r w:rsidRPr="009B296B">
        <w:rPr>
          <w:rFonts w:ascii="Times New Roman" w:hAnsi="Times New Roman" w:cs="Times New Roman"/>
          <w:lang w:val="es-ES_tradnl"/>
        </w:rPr>
        <w:tab/>
        <w:t>examinar los cambios y las modificaciones consiguientes en el Reglamento de Radiocomunicaciones que exijan las decisiones de la Conferencia;</w:t>
      </w:r>
    </w:p>
    <w:p w14:paraId="45758361"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5</w:t>
      </w:r>
      <w:r w:rsidRPr="009B296B">
        <w:rPr>
          <w:rFonts w:ascii="Times New Roman" w:hAnsi="Times New Roman" w:cs="Times New Roman"/>
          <w:lang w:val="es-ES_tradnl"/>
        </w:rPr>
        <w:tab/>
        <w:t xml:space="preserve">examinar las Resoluciones y Recomendaciones de anteriores conferencias para su posible revisión, sustitución o supresión de conformidad con la Resolución </w:t>
      </w:r>
      <w:r w:rsidRPr="009B296B">
        <w:rPr>
          <w:rFonts w:ascii="Times New Roman" w:hAnsi="Times New Roman" w:cs="Times New Roman"/>
          <w:b/>
          <w:lang w:val="es-ES_tradnl"/>
        </w:rPr>
        <w:t>95 (Rev.CMR-19)</w:t>
      </w:r>
      <w:r w:rsidRPr="009B296B">
        <w:rPr>
          <w:rFonts w:ascii="Times New Roman" w:hAnsi="Times New Roman" w:cs="Times New Roman"/>
          <w:lang w:val="es-ES_tradnl"/>
        </w:rPr>
        <w:t>;</w:t>
      </w:r>
    </w:p>
    <w:p w14:paraId="483E0B16"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6</w:t>
      </w:r>
      <w:r w:rsidRPr="009B296B">
        <w:rPr>
          <w:rFonts w:ascii="Times New Roman" w:hAnsi="Times New Roman" w:cs="Times New Roman"/>
          <w:lang w:val="es-ES_tradnl"/>
        </w:rPr>
        <w:tab/>
        <w:t>examinar el Informe de la Asamblea de Radiocomunicaciones presentado de acuerdo con los números 135 y 136 del Convenio y tomar las medidas oportunas al respecto;</w:t>
      </w:r>
    </w:p>
    <w:p w14:paraId="0F3C2595"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7</w:t>
      </w:r>
      <w:r w:rsidRPr="009B296B">
        <w:rPr>
          <w:rFonts w:ascii="Times New Roman" w:hAnsi="Times New Roman" w:cs="Times New Roman"/>
          <w:lang w:val="es-ES_tradnl"/>
        </w:rPr>
        <w:tab/>
        <w:t>identificar los temas que exigen medidas urgentes de las Comisiones de Estudio de Radiocomunicaciones;</w:t>
      </w:r>
    </w:p>
    <w:p w14:paraId="117A8FC3"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8</w:t>
      </w:r>
      <w:r w:rsidRPr="009B296B">
        <w:rPr>
          <w:rFonts w:ascii="Times New Roman" w:hAnsi="Times New Roman" w:cs="Times New Roman"/>
          <w:lang w:val="es-ES_tradnl"/>
        </w:rPr>
        <w:tab/>
        <w:t>considerar posibles modificaciones para responder a lo dispuesto en la Resolución 86 (Rev. Marrakech, 2002)</w:t>
      </w:r>
      <w:r w:rsidRPr="009B296B">
        <w:rPr>
          <w:rFonts w:ascii="Times New Roman" w:hAnsi="Times New Roman" w:cs="Times New Roman"/>
          <w:b/>
          <w:bCs/>
          <w:lang w:val="es-ES_tradnl"/>
        </w:rPr>
        <w:t xml:space="preserve"> </w:t>
      </w:r>
      <w:r w:rsidRPr="009B296B">
        <w:rPr>
          <w:rFonts w:ascii="Times New Roman" w:hAnsi="Times New Roman" w:cs="Times New Roman"/>
          <w:lang w:val="es-ES_tradnl"/>
        </w:rPr>
        <w:t>de la Conferencia de Plenipotenciarios: «Procedimientos de publicación anticipada, de coordinación, de notificación y de inscripción de asignaciones de frecuencias de redes de satélite» de conformidad con la Resolución </w:t>
      </w:r>
      <w:r w:rsidRPr="009B296B">
        <w:rPr>
          <w:rFonts w:ascii="Times New Roman" w:hAnsi="Times New Roman" w:cs="Times New Roman"/>
          <w:b/>
          <w:bCs/>
          <w:lang w:val="es-ES_tradnl"/>
        </w:rPr>
        <w:t>86 (Rev.CMR-07)</w:t>
      </w:r>
      <w:r w:rsidRPr="009B296B">
        <w:rPr>
          <w:rFonts w:ascii="Times New Roman" w:hAnsi="Times New Roman" w:cs="Times New Roman"/>
          <w:bCs/>
          <w:szCs w:val="24"/>
          <w:lang w:val="es-ES_tradnl" w:eastAsia="ja-JP"/>
        </w:rPr>
        <w:t xml:space="preserve"> para facilitar la utilización racional, eficaz y económica de las frecuencias radioeléctricas y toda órbita conexa, incluida la órbita de los satélites geoestacionarios;</w:t>
      </w:r>
    </w:p>
    <w:p w14:paraId="25E9DC05"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9</w:t>
      </w:r>
      <w:r w:rsidRPr="009B296B">
        <w:rPr>
          <w:rFonts w:ascii="Times New Roman" w:hAnsi="Times New Roman" w:cs="Times New Roman"/>
          <w:lang w:val="es-ES_tradnl"/>
        </w:rPr>
        <w:tab/>
        <w:t>examinar las peticiones de las administraciones de suprimir las notas de sus países o de que se suprima el nombre de sus países de las notas, cuando ya no sea necesario y adoptar las medidas oportunas al respecto,</w:t>
      </w:r>
      <w:r w:rsidRPr="009B296B" w:rsidDel="000323BA">
        <w:rPr>
          <w:rFonts w:ascii="Times New Roman" w:hAnsi="Times New Roman" w:cs="Times New Roman"/>
          <w:lang w:val="es-ES_tradnl"/>
        </w:rPr>
        <w:t xml:space="preserve"> </w:t>
      </w:r>
      <w:r w:rsidRPr="009B296B">
        <w:rPr>
          <w:rFonts w:ascii="Times New Roman" w:hAnsi="Times New Roman" w:cs="Times New Roman"/>
          <w:lang w:val="es-ES_tradnl"/>
        </w:rPr>
        <w:t>de conformidad con la Resolución </w:t>
      </w:r>
      <w:r w:rsidRPr="009B296B">
        <w:rPr>
          <w:rFonts w:ascii="Times New Roman" w:hAnsi="Times New Roman" w:cs="Times New Roman"/>
          <w:b/>
          <w:lang w:val="es-ES_tradnl"/>
        </w:rPr>
        <w:t>26 (Rev.CMR-19)</w:t>
      </w:r>
      <w:r w:rsidRPr="009B296B">
        <w:rPr>
          <w:rFonts w:ascii="Times New Roman" w:hAnsi="Times New Roman" w:cs="Times New Roman"/>
          <w:lang w:val="es-ES_tradnl"/>
        </w:rPr>
        <w:t>;</w:t>
      </w:r>
    </w:p>
    <w:p w14:paraId="17AA7DCA"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10</w:t>
      </w:r>
      <w:r w:rsidRPr="009B296B">
        <w:rPr>
          <w:rFonts w:ascii="Times New Roman" w:hAnsi="Times New Roman" w:cs="Times New Roman"/>
          <w:b/>
          <w:lang w:val="es-ES_tradnl"/>
        </w:rPr>
        <w:tab/>
      </w:r>
      <w:r w:rsidRPr="009B296B">
        <w:rPr>
          <w:rFonts w:ascii="Times New Roman" w:hAnsi="Times New Roman" w:cs="Times New Roman"/>
          <w:lang w:val="es-ES_tradnl"/>
        </w:rPr>
        <w:t>examinar y aprobar el Informe del Director de la Oficina de Radiocomunicaciones de la UIT, de acuerdo con el Artículo 7 del Convenio;</w:t>
      </w:r>
    </w:p>
    <w:p w14:paraId="02A87D49"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10.1</w:t>
      </w:r>
      <w:r w:rsidRPr="009B296B">
        <w:rPr>
          <w:rFonts w:ascii="Times New Roman" w:hAnsi="Times New Roman" w:cs="Times New Roman"/>
          <w:lang w:val="es-ES_tradnl"/>
        </w:rPr>
        <w:tab/>
        <w:t>sobre las actividades del Sector de Radiocomunicaciones desde la CMR</w:t>
      </w:r>
      <w:r w:rsidRPr="009B296B">
        <w:rPr>
          <w:rFonts w:ascii="Times New Roman" w:hAnsi="Times New Roman" w:cs="Times New Roman"/>
          <w:lang w:val="es-ES_tradnl"/>
        </w:rPr>
        <w:noBreakHyphen/>
        <w:t>23;</w:t>
      </w:r>
    </w:p>
    <w:p w14:paraId="14DB1743" w14:textId="37FBC625"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10.2</w:t>
      </w:r>
      <w:r w:rsidRPr="009B296B">
        <w:rPr>
          <w:rFonts w:ascii="Times New Roman" w:hAnsi="Times New Roman" w:cs="Times New Roman"/>
          <w:lang w:val="es-ES_tradnl"/>
        </w:rPr>
        <w:tab/>
        <w:t>sobre las dificultades o incoherencias observadas en la aplicación del Reglamento de Radiocomunicaciones; y</w:t>
      </w:r>
      <w:r w:rsidR="0015772C" w:rsidRPr="009B296B">
        <w:rPr>
          <w:rStyle w:val="FootnoteReference"/>
          <w:rFonts w:ascii="Times New Roman" w:hAnsi="Times New Roman" w:cs="Times New Roman"/>
          <w:lang w:val="es-ES_tradnl"/>
        </w:rPr>
        <w:footnoteReference w:customMarkFollows="1" w:id="5"/>
        <w:t>1</w:t>
      </w:r>
    </w:p>
    <w:p w14:paraId="34183298" w14:textId="77777777" w:rsidR="00331D32" w:rsidRPr="009B296B" w:rsidRDefault="00331D32" w:rsidP="00CE4E08">
      <w:pPr>
        <w:spacing w:before="120"/>
        <w:rPr>
          <w:rFonts w:ascii="Times New Roman" w:hAnsi="Times New Roman" w:cs="Times New Roman"/>
          <w:lang w:val="es-ES_tradnl"/>
        </w:rPr>
      </w:pPr>
      <w:r w:rsidRPr="009B296B">
        <w:rPr>
          <w:rFonts w:ascii="Times New Roman" w:hAnsi="Times New Roman" w:cs="Times New Roman"/>
          <w:lang w:val="es-ES_tradnl"/>
        </w:rPr>
        <w:t>10.3</w:t>
      </w:r>
      <w:r w:rsidRPr="009B296B">
        <w:rPr>
          <w:rFonts w:ascii="Times New Roman" w:hAnsi="Times New Roman" w:cs="Times New Roman"/>
          <w:lang w:val="es-ES_tradnl"/>
        </w:rPr>
        <w:tab/>
        <w:t>sobre las medidas adoptadas en respuesta a la Resolución </w:t>
      </w:r>
      <w:r w:rsidRPr="009B296B">
        <w:rPr>
          <w:rFonts w:ascii="Times New Roman" w:hAnsi="Times New Roman" w:cs="Times New Roman"/>
          <w:b/>
          <w:lang w:val="es-ES_tradnl"/>
        </w:rPr>
        <w:t>80</w:t>
      </w:r>
      <w:r w:rsidRPr="009B296B">
        <w:rPr>
          <w:rFonts w:ascii="Times New Roman" w:hAnsi="Times New Roman" w:cs="Times New Roman"/>
          <w:lang w:val="es-ES_tradnl"/>
        </w:rPr>
        <w:t xml:space="preserve"> </w:t>
      </w:r>
      <w:r w:rsidRPr="009B296B">
        <w:rPr>
          <w:rFonts w:ascii="Times New Roman" w:hAnsi="Times New Roman" w:cs="Times New Roman"/>
          <w:b/>
          <w:bCs/>
          <w:lang w:val="es-ES_tradnl"/>
        </w:rPr>
        <w:t>(Rev.CMR-07)</w:t>
      </w:r>
      <w:r w:rsidRPr="009B296B">
        <w:rPr>
          <w:rFonts w:ascii="Times New Roman" w:hAnsi="Times New Roman" w:cs="Times New Roman"/>
          <w:lang w:val="es-ES_tradnl"/>
        </w:rPr>
        <w:t>;</w:t>
      </w:r>
    </w:p>
    <w:p w14:paraId="1F59C61D" w14:textId="36DDFDB6" w:rsidR="00331D32" w:rsidRPr="009B296B" w:rsidRDefault="00331D32" w:rsidP="00CE4E08">
      <w:pPr>
        <w:spacing w:before="120"/>
        <w:rPr>
          <w:rFonts w:ascii="Times New Roman" w:hAnsi="Times New Roman" w:cs="Times New Roman"/>
          <w:b/>
          <w:bCs/>
          <w:lang w:val="es-ES_tradnl"/>
        </w:rPr>
      </w:pPr>
      <w:r w:rsidRPr="009B296B">
        <w:rPr>
          <w:rFonts w:ascii="Times New Roman" w:hAnsi="Times New Roman" w:cs="Times New Roman"/>
          <w:lang w:val="es-ES_tradnl"/>
        </w:rPr>
        <w:t>11</w:t>
      </w:r>
      <w:r w:rsidRPr="009B296B">
        <w:rPr>
          <w:rFonts w:ascii="Times New Roman" w:hAnsi="Times New Roman" w:cs="Times New Roman"/>
          <w:b/>
          <w:lang w:val="es-ES_tradnl"/>
        </w:rPr>
        <w:tab/>
      </w:r>
      <w:r w:rsidRPr="009B296B">
        <w:rPr>
          <w:rFonts w:ascii="Times New Roman" w:hAnsi="Times New Roman" w:cs="Times New Roman"/>
          <w:lang w:val="es-ES_tradnl"/>
        </w:rPr>
        <w:t xml:space="preserve">recomendar al Consejo puntos para su inclusión en el orden del día de la próxima CMR, </w:t>
      </w:r>
      <w:r w:rsidR="00E27A85">
        <w:rPr>
          <w:rFonts w:ascii="Times New Roman" w:hAnsi="Times New Roman" w:cs="Times New Roman"/>
          <w:lang w:val="es-ES_tradnl"/>
        </w:rPr>
        <w:t xml:space="preserve">y puntos para el orden del día preliminar de futuras conferencias, </w:t>
      </w:r>
      <w:r w:rsidRPr="009B296B">
        <w:rPr>
          <w:rFonts w:ascii="Times New Roman" w:hAnsi="Times New Roman" w:cs="Times New Roman"/>
          <w:lang w:val="es-ES_tradnl"/>
        </w:rPr>
        <w:t xml:space="preserve">de acuerdo con el Artículo 7 del Convenio y la Resolución </w:t>
      </w:r>
      <w:r w:rsidRPr="009B296B">
        <w:rPr>
          <w:rFonts w:ascii="Times New Roman" w:hAnsi="Times New Roman" w:cs="Times New Roman"/>
          <w:b/>
          <w:bCs/>
          <w:lang w:val="es-ES_tradnl"/>
        </w:rPr>
        <w:t>804 (Rev.CMR-19)</w:t>
      </w:r>
      <w:r w:rsidRPr="009B296B">
        <w:rPr>
          <w:rFonts w:ascii="Times New Roman" w:hAnsi="Times New Roman" w:cs="Times New Roman"/>
          <w:lang w:val="es-ES_tradnl"/>
        </w:rPr>
        <w:t>,</w:t>
      </w:r>
    </w:p>
    <w:p w14:paraId="521218A8" w14:textId="3DA252DD" w:rsidR="00331D32" w:rsidRPr="009B296B" w:rsidRDefault="00331D32" w:rsidP="0030356F">
      <w:pPr>
        <w:pStyle w:val="Call"/>
        <w:spacing w:before="160"/>
        <w:rPr>
          <w:rFonts w:ascii="Times New Roman" w:hAnsi="Times New Roman" w:cs="Times New Roman"/>
          <w:lang w:val="es-ES_tradnl"/>
        </w:rPr>
      </w:pPr>
      <w:r w:rsidRPr="009B296B">
        <w:rPr>
          <w:rFonts w:ascii="Times New Roman" w:hAnsi="Times New Roman" w:cs="Times New Roman"/>
          <w:lang w:val="es-ES_tradnl"/>
        </w:rPr>
        <w:t>invita al Consejo</w:t>
      </w:r>
      <w:r w:rsidR="00E27A85">
        <w:rPr>
          <w:rFonts w:ascii="Times New Roman" w:hAnsi="Times New Roman" w:cs="Times New Roman"/>
          <w:lang w:val="es-ES_tradnl"/>
        </w:rPr>
        <w:t xml:space="preserve"> de la UIT</w:t>
      </w:r>
    </w:p>
    <w:p w14:paraId="1B48C1DF" w14:textId="77777777"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a que ultime el orden del día y tome las disposiciones necesarias para convocar la CMR</w:t>
      </w:r>
      <w:r w:rsidRPr="009B296B">
        <w:rPr>
          <w:rFonts w:ascii="Times New Roman" w:hAnsi="Times New Roman" w:cs="Times New Roman"/>
          <w:lang w:val="es-ES_tradnl"/>
        </w:rPr>
        <w:noBreakHyphen/>
        <w:t>27, y a que inicie a la mayor brevedad posible las consultas necesarias con los Estados Miembros,</w:t>
      </w:r>
    </w:p>
    <w:p w14:paraId="51423D83" w14:textId="77777777" w:rsidR="00331D32" w:rsidRPr="009B296B" w:rsidRDefault="00331D32" w:rsidP="0030356F">
      <w:pPr>
        <w:pStyle w:val="Call"/>
        <w:spacing w:before="160"/>
        <w:rPr>
          <w:rFonts w:ascii="Times New Roman" w:hAnsi="Times New Roman" w:cs="Times New Roman"/>
          <w:lang w:val="es-ES_tradnl"/>
        </w:rPr>
      </w:pPr>
      <w:r w:rsidRPr="009B296B">
        <w:rPr>
          <w:rFonts w:ascii="Times New Roman" w:hAnsi="Times New Roman" w:cs="Times New Roman"/>
          <w:lang w:val="es-ES_tradnl"/>
        </w:rPr>
        <w:t>encarga al Director de la Oficina de Radiocomunicaciones</w:t>
      </w:r>
    </w:p>
    <w:p w14:paraId="753E9896" w14:textId="77777777"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1</w:t>
      </w:r>
      <w:r w:rsidRPr="009B296B">
        <w:rPr>
          <w:rFonts w:ascii="Times New Roman" w:hAnsi="Times New Roman" w:cs="Times New Roman"/>
          <w:lang w:val="es-ES_tradnl"/>
        </w:rPr>
        <w:tab/>
        <w:t>que tome las medidas necesarias para convocar las sesiones de la Reunión Preparatoria de la Conferencia y que elabore un informe a la CMR</w:t>
      </w:r>
      <w:r w:rsidRPr="009B296B">
        <w:rPr>
          <w:rFonts w:ascii="Times New Roman" w:hAnsi="Times New Roman" w:cs="Times New Roman"/>
          <w:lang w:val="es-ES_tradnl"/>
        </w:rPr>
        <w:noBreakHyphen/>
        <w:t>27;</w:t>
      </w:r>
    </w:p>
    <w:p w14:paraId="7D70B610" w14:textId="5D0A5A8D" w:rsidR="00331D32" w:rsidRPr="009B296B" w:rsidRDefault="00331D32" w:rsidP="00100121">
      <w:pPr>
        <w:rPr>
          <w:rFonts w:ascii="Times New Roman" w:hAnsi="Times New Roman" w:cs="Times New Roman"/>
          <w:lang w:val="es-ES_tradnl"/>
        </w:rPr>
      </w:pPr>
      <w:r w:rsidRPr="009B296B">
        <w:rPr>
          <w:rFonts w:ascii="Times New Roman" w:hAnsi="Times New Roman" w:cs="Times New Roman"/>
          <w:lang w:val="es-ES_tradnl"/>
        </w:rPr>
        <w:t>2</w:t>
      </w:r>
      <w:r w:rsidRPr="009B296B">
        <w:rPr>
          <w:rFonts w:ascii="Times New Roman" w:hAnsi="Times New Roman" w:cs="Times New Roman"/>
          <w:lang w:val="es-ES_tradnl"/>
        </w:rPr>
        <w:tab/>
        <w:t xml:space="preserve">que presente a la segunda sesión de la RPC un proyecto de Informe sobre las dificultades o incoherencias observadas en la aplicación del Reglamento de Radiocomunicaciones a que se refiere el punto </w:t>
      </w:r>
      <w:r w:rsidR="00D3280D">
        <w:rPr>
          <w:rFonts w:ascii="Times New Roman" w:hAnsi="Times New Roman" w:cs="Times New Roman"/>
          <w:lang w:val="es-ES_tradnl"/>
        </w:rPr>
        <w:t>10</w:t>
      </w:r>
      <w:r w:rsidRPr="009B296B">
        <w:rPr>
          <w:rFonts w:ascii="Times New Roman" w:hAnsi="Times New Roman" w:cs="Times New Roman"/>
          <w:lang w:val="es-ES_tradnl"/>
        </w:rPr>
        <w:t>.2 del orden del día y presente el Informe final al menos cinco meses antes de la próxima</w:t>
      </w:r>
      <w:r w:rsidR="00266E2D" w:rsidRPr="009B296B">
        <w:rPr>
          <w:rFonts w:ascii="Times New Roman" w:hAnsi="Times New Roman" w:cs="Times New Roman"/>
          <w:lang w:val="es-ES_tradnl"/>
        </w:rPr>
        <w:t> </w:t>
      </w:r>
      <w:r w:rsidRPr="009B296B">
        <w:rPr>
          <w:rFonts w:ascii="Times New Roman" w:hAnsi="Times New Roman" w:cs="Times New Roman"/>
          <w:lang w:val="es-ES_tradnl"/>
        </w:rPr>
        <w:t>CMR,</w:t>
      </w:r>
    </w:p>
    <w:p w14:paraId="68058284" w14:textId="77777777" w:rsidR="00331D32" w:rsidRPr="009B296B" w:rsidRDefault="00331D32" w:rsidP="0030356F">
      <w:pPr>
        <w:pStyle w:val="Call"/>
        <w:keepNext w:val="0"/>
        <w:keepLines w:val="0"/>
        <w:spacing w:before="160"/>
        <w:rPr>
          <w:rFonts w:ascii="Times New Roman" w:hAnsi="Times New Roman" w:cs="Times New Roman"/>
          <w:lang w:val="es-ES_tradnl"/>
        </w:rPr>
      </w:pPr>
      <w:r w:rsidRPr="009B296B">
        <w:rPr>
          <w:rFonts w:ascii="Times New Roman" w:hAnsi="Times New Roman" w:cs="Times New Roman"/>
          <w:lang w:val="es-ES_tradnl"/>
        </w:rPr>
        <w:t>encarga al Secretario General</w:t>
      </w:r>
    </w:p>
    <w:p w14:paraId="79AA6434" w14:textId="6931D26C" w:rsidR="006A276C" w:rsidRPr="009B296B" w:rsidRDefault="00331D32" w:rsidP="0030356F">
      <w:pPr>
        <w:spacing w:before="80"/>
        <w:rPr>
          <w:rFonts w:ascii="Times New Roman" w:hAnsi="Times New Roman" w:cs="Times New Roman"/>
          <w:lang w:val="es-ES_tradnl"/>
        </w:rPr>
      </w:pPr>
      <w:r w:rsidRPr="009B296B">
        <w:rPr>
          <w:rFonts w:ascii="Times New Roman" w:hAnsi="Times New Roman" w:cs="Times New Roman"/>
          <w:lang w:val="es-ES_tradnl"/>
        </w:rPr>
        <w:t>que comunique la presente Resolución a los organismos internacionales y regionales interesados.</w:t>
      </w:r>
      <w:r w:rsidR="006A276C" w:rsidRPr="009B296B">
        <w:rPr>
          <w:rFonts w:ascii="Times New Roman" w:hAnsi="Times New Roman" w:cs="Times New Roman"/>
          <w:lang w:val="es-ES_tradnl"/>
        </w:rPr>
        <w:br w:type="page"/>
      </w:r>
    </w:p>
    <w:p w14:paraId="0BAFF161" w14:textId="77777777" w:rsidR="00D7162A" w:rsidRPr="004A5136" w:rsidRDefault="00D7162A" w:rsidP="0015772C">
      <w:pPr>
        <w:pStyle w:val="AnnexNo"/>
        <w:rPr>
          <w:lang w:val="es-ES"/>
        </w:rPr>
      </w:pPr>
      <w:r w:rsidRPr="004A5136">
        <w:rPr>
          <w:lang w:val="es-ES"/>
        </w:rPr>
        <w:lastRenderedPageBreak/>
        <w:t>ANEXO 3</w:t>
      </w:r>
    </w:p>
    <w:p w14:paraId="77CBC511" w14:textId="060F3FCE" w:rsidR="00D7162A" w:rsidRPr="004A5136" w:rsidRDefault="00D7162A" w:rsidP="0015772C">
      <w:pPr>
        <w:pStyle w:val="Annextitle0"/>
        <w:rPr>
          <w:lang w:val="es-ES"/>
        </w:rPr>
      </w:pPr>
      <w:r w:rsidRPr="004A5136">
        <w:rPr>
          <w:lang w:val="es-ES"/>
        </w:rPr>
        <w:t>Números provisionales para las nuevas Resoluciones</w:t>
      </w:r>
      <w:r w:rsidRPr="00D7162A">
        <w:rPr>
          <w:rFonts w:cstheme="minorHAnsi"/>
          <w:lang w:val="es-ES"/>
        </w:rPr>
        <w:t xml:space="preserve"> </w:t>
      </w:r>
      <w:r w:rsidR="0015772C">
        <w:rPr>
          <w:rFonts w:cstheme="minorHAnsi"/>
          <w:lang w:val="es-ES"/>
        </w:rPr>
        <w:br/>
      </w:r>
      <w:r w:rsidR="00500B55">
        <w:rPr>
          <w:rFonts w:cstheme="minorHAnsi"/>
          <w:lang w:val="es-ES"/>
        </w:rPr>
        <w:t>y la nueva Recomendación</w:t>
      </w:r>
      <w:r w:rsidRPr="004A5136">
        <w:rPr>
          <w:lang w:val="es-ES"/>
        </w:rPr>
        <w:t xml:space="preserve"> de la CMR-19</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6A276C" w:rsidRPr="00D2790C" w14:paraId="5446D4CE" w14:textId="77777777" w:rsidTr="00D7162A">
        <w:trPr>
          <w:jc w:val="center"/>
        </w:trPr>
        <w:tc>
          <w:tcPr>
            <w:tcW w:w="1526" w:type="dxa"/>
          </w:tcPr>
          <w:p w14:paraId="33B4F63C" w14:textId="3FDA85F4" w:rsidR="006A276C" w:rsidRPr="00D2790C" w:rsidRDefault="00D7162A" w:rsidP="009A67E7">
            <w:pPr>
              <w:pStyle w:val="Tablehead"/>
              <w:rPr>
                <w:lang w:val="es-ES_tradnl"/>
              </w:rPr>
            </w:pPr>
            <w:r w:rsidRPr="00D2790C">
              <w:rPr>
                <w:lang w:val="es-ES_tradnl"/>
              </w:rPr>
              <w:t>Nº Resolución</w:t>
            </w:r>
          </w:p>
        </w:tc>
        <w:tc>
          <w:tcPr>
            <w:tcW w:w="1758" w:type="dxa"/>
          </w:tcPr>
          <w:p w14:paraId="405719B0" w14:textId="6E8F512B" w:rsidR="006A276C" w:rsidRPr="00D2790C" w:rsidRDefault="00D7162A" w:rsidP="009A67E7">
            <w:pPr>
              <w:pStyle w:val="Tablehead"/>
              <w:rPr>
                <w:lang w:val="es-ES_tradnl"/>
              </w:rPr>
            </w:pPr>
            <w:r w:rsidRPr="00D2790C">
              <w:rPr>
                <w:lang w:val="es-ES_tradnl"/>
              </w:rPr>
              <w:t>Nº Provisional</w:t>
            </w:r>
          </w:p>
        </w:tc>
        <w:tc>
          <w:tcPr>
            <w:tcW w:w="1502" w:type="dxa"/>
          </w:tcPr>
          <w:p w14:paraId="68815020" w14:textId="126A1094" w:rsidR="006A276C" w:rsidRPr="00D2790C" w:rsidRDefault="00D7162A" w:rsidP="009A67E7">
            <w:pPr>
              <w:pStyle w:val="Tablehead"/>
              <w:rPr>
                <w:lang w:val="es-ES_tradnl"/>
              </w:rPr>
            </w:pPr>
            <w:r w:rsidRPr="00D2790C">
              <w:rPr>
                <w:lang w:val="es-ES_tradnl"/>
              </w:rPr>
              <w:t>Nº Resolución</w:t>
            </w:r>
          </w:p>
        </w:tc>
        <w:tc>
          <w:tcPr>
            <w:tcW w:w="1783" w:type="dxa"/>
          </w:tcPr>
          <w:p w14:paraId="43EBB7A3" w14:textId="1CDCC463" w:rsidR="006A276C" w:rsidRPr="00D2790C" w:rsidRDefault="00D7162A" w:rsidP="009A67E7">
            <w:pPr>
              <w:pStyle w:val="Tablehead"/>
              <w:rPr>
                <w:lang w:val="es-ES_tradnl"/>
              </w:rPr>
            </w:pPr>
            <w:r w:rsidRPr="00D2790C">
              <w:rPr>
                <w:lang w:val="es-ES_tradnl"/>
              </w:rPr>
              <w:t>Nº Provisional</w:t>
            </w:r>
          </w:p>
        </w:tc>
        <w:tc>
          <w:tcPr>
            <w:tcW w:w="1477" w:type="dxa"/>
          </w:tcPr>
          <w:p w14:paraId="44F0C427" w14:textId="31F75FF0" w:rsidR="006A276C" w:rsidRPr="00D2790C" w:rsidRDefault="00D7162A" w:rsidP="009A67E7">
            <w:pPr>
              <w:pStyle w:val="Tablehead"/>
              <w:rPr>
                <w:lang w:val="es-ES_tradnl"/>
              </w:rPr>
            </w:pPr>
            <w:r w:rsidRPr="00D2790C">
              <w:rPr>
                <w:lang w:val="es-ES_tradnl"/>
              </w:rPr>
              <w:t>Nº Resolución</w:t>
            </w:r>
          </w:p>
        </w:tc>
        <w:tc>
          <w:tcPr>
            <w:tcW w:w="1809" w:type="dxa"/>
          </w:tcPr>
          <w:p w14:paraId="63A1E123" w14:textId="2819F395" w:rsidR="006A276C" w:rsidRPr="00D2790C" w:rsidRDefault="00D7162A" w:rsidP="009A67E7">
            <w:pPr>
              <w:pStyle w:val="Tablehead"/>
              <w:rPr>
                <w:lang w:val="es-ES_tradnl"/>
              </w:rPr>
            </w:pPr>
            <w:r w:rsidRPr="00D2790C">
              <w:rPr>
                <w:lang w:val="es-ES_tradnl"/>
              </w:rPr>
              <w:t>Nº Provisional</w:t>
            </w:r>
          </w:p>
        </w:tc>
      </w:tr>
      <w:tr w:rsidR="006A276C" w:rsidRPr="006A276C" w14:paraId="3609C2D3" w14:textId="77777777" w:rsidTr="00D7162A">
        <w:trPr>
          <w:jc w:val="center"/>
        </w:trPr>
        <w:tc>
          <w:tcPr>
            <w:tcW w:w="1526" w:type="dxa"/>
            <w:tcBorders>
              <w:bottom w:val="single" w:sz="4" w:space="0" w:color="auto"/>
            </w:tcBorders>
          </w:tcPr>
          <w:p w14:paraId="3C5EBB8D" w14:textId="77777777" w:rsidR="006A276C" w:rsidRPr="006A276C" w:rsidRDefault="006A276C" w:rsidP="009A67E7">
            <w:pPr>
              <w:pStyle w:val="Tabletext"/>
              <w:jc w:val="center"/>
            </w:pPr>
            <w:r w:rsidRPr="006A276C">
              <w:t>COM4/1</w:t>
            </w:r>
          </w:p>
        </w:tc>
        <w:tc>
          <w:tcPr>
            <w:tcW w:w="1758" w:type="dxa"/>
            <w:tcBorders>
              <w:bottom w:val="single" w:sz="4" w:space="0" w:color="auto"/>
            </w:tcBorders>
          </w:tcPr>
          <w:p w14:paraId="194DEC76" w14:textId="77777777" w:rsidR="006A276C" w:rsidRPr="009A67E7" w:rsidRDefault="006A276C" w:rsidP="009A67E7">
            <w:pPr>
              <w:pStyle w:val="Tabletext"/>
              <w:jc w:val="center"/>
            </w:pPr>
            <w:r w:rsidRPr="009A67E7">
              <w:t>427</w:t>
            </w:r>
          </w:p>
        </w:tc>
        <w:tc>
          <w:tcPr>
            <w:tcW w:w="1502" w:type="dxa"/>
            <w:tcBorders>
              <w:bottom w:val="single" w:sz="4" w:space="0" w:color="auto"/>
            </w:tcBorders>
          </w:tcPr>
          <w:p w14:paraId="5D753558" w14:textId="77777777" w:rsidR="006A276C" w:rsidRPr="009A67E7" w:rsidRDefault="006A276C" w:rsidP="009A67E7">
            <w:pPr>
              <w:pStyle w:val="Tabletext"/>
              <w:jc w:val="center"/>
            </w:pPr>
            <w:r w:rsidRPr="009A67E7">
              <w:t>COM5/9</w:t>
            </w:r>
          </w:p>
        </w:tc>
        <w:tc>
          <w:tcPr>
            <w:tcW w:w="1783" w:type="dxa"/>
            <w:tcBorders>
              <w:bottom w:val="single" w:sz="4" w:space="0" w:color="auto"/>
            </w:tcBorders>
          </w:tcPr>
          <w:p w14:paraId="748C5FEF" w14:textId="77777777" w:rsidR="006A276C" w:rsidRPr="009A67E7" w:rsidRDefault="006A276C" w:rsidP="009A67E7">
            <w:pPr>
              <w:pStyle w:val="Tabletext"/>
              <w:jc w:val="center"/>
            </w:pPr>
            <w:r w:rsidRPr="009A67E7">
              <w:t>660</w:t>
            </w:r>
          </w:p>
        </w:tc>
        <w:tc>
          <w:tcPr>
            <w:tcW w:w="1477" w:type="dxa"/>
          </w:tcPr>
          <w:p w14:paraId="48495467" w14:textId="77777777" w:rsidR="006A276C" w:rsidRPr="009A67E7" w:rsidRDefault="006A276C" w:rsidP="009A67E7">
            <w:pPr>
              <w:pStyle w:val="Tabletext"/>
              <w:jc w:val="center"/>
            </w:pPr>
            <w:r w:rsidRPr="009A67E7">
              <w:t>COM6/15</w:t>
            </w:r>
          </w:p>
        </w:tc>
        <w:tc>
          <w:tcPr>
            <w:tcW w:w="1809" w:type="dxa"/>
          </w:tcPr>
          <w:p w14:paraId="4037C192" w14:textId="77777777" w:rsidR="006A276C" w:rsidRPr="009A67E7" w:rsidRDefault="006A276C" w:rsidP="009A67E7">
            <w:pPr>
              <w:pStyle w:val="Tabletext"/>
              <w:jc w:val="center"/>
            </w:pPr>
            <w:r w:rsidRPr="009A67E7">
              <w:t>248</w:t>
            </w:r>
          </w:p>
        </w:tc>
      </w:tr>
      <w:tr w:rsidR="006A276C" w:rsidRPr="006A276C" w14:paraId="593E1C70"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2F83E8C1" w14:textId="77777777" w:rsidR="006A276C" w:rsidRPr="006A276C" w:rsidRDefault="006A276C" w:rsidP="009A67E7">
            <w:pPr>
              <w:pStyle w:val="Tabletext"/>
              <w:jc w:val="center"/>
            </w:pPr>
            <w:r w:rsidRPr="006A276C">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284EE41" w14:textId="77777777" w:rsidR="006A276C" w:rsidRPr="009A67E7" w:rsidRDefault="006A276C" w:rsidP="009A67E7">
            <w:pPr>
              <w:pStyle w:val="Tabletext"/>
              <w:jc w:val="center"/>
            </w:pPr>
            <w:r w:rsidRPr="009A67E7">
              <w:t>240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0B53204" w14:textId="77777777" w:rsidR="006A276C" w:rsidRPr="009A67E7" w:rsidRDefault="006A276C" w:rsidP="009A67E7">
            <w:pPr>
              <w:pStyle w:val="Tabletext"/>
              <w:jc w:val="center"/>
            </w:pPr>
            <w:r w:rsidRPr="009A67E7">
              <w:t>COM5/10</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24CADC6" w14:textId="77777777" w:rsidR="006A276C" w:rsidRPr="009A67E7" w:rsidRDefault="006A276C" w:rsidP="009A67E7">
            <w:pPr>
              <w:pStyle w:val="Tabletext"/>
              <w:jc w:val="center"/>
            </w:pPr>
            <w:r w:rsidRPr="009A67E7">
              <w:t>769</w:t>
            </w:r>
          </w:p>
        </w:tc>
        <w:tc>
          <w:tcPr>
            <w:tcW w:w="1477" w:type="dxa"/>
            <w:tcBorders>
              <w:top w:val="single" w:sz="4" w:space="0" w:color="auto"/>
              <w:bottom w:val="single" w:sz="4" w:space="0" w:color="auto"/>
              <w:right w:val="single" w:sz="4" w:space="0" w:color="auto"/>
            </w:tcBorders>
          </w:tcPr>
          <w:p w14:paraId="02B37B8C" w14:textId="77777777" w:rsidR="006A276C" w:rsidRPr="009A67E7" w:rsidRDefault="006A276C" w:rsidP="009A67E7">
            <w:pPr>
              <w:pStyle w:val="Tabletext"/>
              <w:jc w:val="center"/>
            </w:pPr>
            <w:r w:rsidRPr="009A67E7">
              <w:t>COM6/16</w:t>
            </w:r>
          </w:p>
        </w:tc>
        <w:tc>
          <w:tcPr>
            <w:tcW w:w="1809" w:type="dxa"/>
            <w:tcBorders>
              <w:top w:val="single" w:sz="4" w:space="0" w:color="auto"/>
              <w:left w:val="single" w:sz="4" w:space="0" w:color="auto"/>
              <w:bottom w:val="single" w:sz="4" w:space="0" w:color="auto"/>
              <w:right w:val="single" w:sz="4" w:space="0" w:color="auto"/>
            </w:tcBorders>
          </w:tcPr>
          <w:p w14:paraId="3A974BA7" w14:textId="77777777" w:rsidR="006A276C" w:rsidRPr="009A67E7" w:rsidRDefault="006A276C" w:rsidP="009A67E7">
            <w:pPr>
              <w:pStyle w:val="Tabletext"/>
              <w:jc w:val="center"/>
            </w:pPr>
            <w:r w:rsidRPr="009A67E7">
              <w:t>174</w:t>
            </w:r>
          </w:p>
        </w:tc>
      </w:tr>
      <w:tr w:rsidR="006A276C" w:rsidRPr="006A276C" w14:paraId="7F219EA3"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ED5CC34" w14:textId="77777777" w:rsidR="006A276C" w:rsidRPr="006A276C" w:rsidRDefault="006A276C" w:rsidP="009A67E7">
            <w:pPr>
              <w:pStyle w:val="Tabletext"/>
              <w:jc w:val="center"/>
            </w:pPr>
            <w:r w:rsidRPr="006A276C">
              <w:t>COM4/3</w:t>
            </w:r>
          </w:p>
        </w:tc>
        <w:tc>
          <w:tcPr>
            <w:tcW w:w="1758" w:type="dxa"/>
            <w:tcBorders>
              <w:top w:val="single" w:sz="4" w:space="0" w:color="auto"/>
              <w:left w:val="single" w:sz="4" w:space="0" w:color="auto"/>
              <w:bottom w:val="single" w:sz="4" w:space="0" w:color="auto"/>
              <w:right w:val="single" w:sz="4" w:space="0" w:color="auto"/>
            </w:tcBorders>
          </w:tcPr>
          <w:p w14:paraId="2B07C6BA" w14:textId="77777777" w:rsidR="006A276C" w:rsidRPr="009A67E7" w:rsidRDefault="006A276C" w:rsidP="009A67E7">
            <w:pPr>
              <w:pStyle w:val="Tabletext"/>
              <w:jc w:val="center"/>
            </w:pPr>
            <w:r w:rsidRPr="009A67E7">
              <w:t>165</w:t>
            </w:r>
          </w:p>
        </w:tc>
        <w:tc>
          <w:tcPr>
            <w:tcW w:w="1502" w:type="dxa"/>
            <w:tcBorders>
              <w:top w:val="single" w:sz="4" w:space="0" w:color="auto"/>
              <w:left w:val="single" w:sz="4" w:space="0" w:color="auto"/>
              <w:bottom w:val="single" w:sz="4" w:space="0" w:color="auto"/>
              <w:right w:val="single" w:sz="4" w:space="0" w:color="auto"/>
            </w:tcBorders>
          </w:tcPr>
          <w:p w14:paraId="645F8D42" w14:textId="77777777" w:rsidR="006A276C" w:rsidRPr="009A67E7" w:rsidRDefault="006A276C" w:rsidP="009A67E7">
            <w:pPr>
              <w:pStyle w:val="Tabletext"/>
              <w:jc w:val="center"/>
            </w:pPr>
            <w:r w:rsidRPr="009A67E7">
              <w:t>COM5/11</w:t>
            </w:r>
          </w:p>
        </w:tc>
        <w:tc>
          <w:tcPr>
            <w:tcW w:w="1783" w:type="dxa"/>
            <w:tcBorders>
              <w:top w:val="single" w:sz="4" w:space="0" w:color="auto"/>
              <w:left w:val="single" w:sz="4" w:space="0" w:color="auto"/>
              <w:bottom w:val="single" w:sz="4" w:space="0" w:color="auto"/>
              <w:right w:val="single" w:sz="4" w:space="0" w:color="auto"/>
            </w:tcBorders>
          </w:tcPr>
          <w:p w14:paraId="40BB05F4" w14:textId="77777777" w:rsidR="006A276C" w:rsidRPr="009A67E7" w:rsidRDefault="006A276C" w:rsidP="009A67E7">
            <w:pPr>
              <w:pStyle w:val="Tabletext"/>
              <w:jc w:val="center"/>
            </w:pPr>
            <w:r w:rsidRPr="009A67E7">
              <w:t>770</w:t>
            </w:r>
          </w:p>
        </w:tc>
        <w:tc>
          <w:tcPr>
            <w:tcW w:w="1477" w:type="dxa"/>
            <w:tcBorders>
              <w:top w:val="single" w:sz="4" w:space="0" w:color="auto"/>
              <w:bottom w:val="single" w:sz="4" w:space="0" w:color="auto"/>
              <w:right w:val="single" w:sz="4" w:space="0" w:color="auto"/>
            </w:tcBorders>
          </w:tcPr>
          <w:p w14:paraId="61E02779" w14:textId="77777777" w:rsidR="006A276C" w:rsidRPr="009A67E7" w:rsidRDefault="006A276C" w:rsidP="009A67E7">
            <w:pPr>
              <w:pStyle w:val="Tabletext"/>
              <w:jc w:val="center"/>
            </w:pPr>
            <w:r w:rsidRPr="009A67E7">
              <w:t>COM6/17</w:t>
            </w:r>
          </w:p>
        </w:tc>
        <w:tc>
          <w:tcPr>
            <w:tcW w:w="1809" w:type="dxa"/>
            <w:tcBorders>
              <w:top w:val="single" w:sz="4" w:space="0" w:color="auto"/>
              <w:left w:val="single" w:sz="4" w:space="0" w:color="auto"/>
              <w:bottom w:val="single" w:sz="4" w:space="0" w:color="auto"/>
              <w:right w:val="single" w:sz="4" w:space="0" w:color="auto"/>
            </w:tcBorders>
          </w:tcPr>
          <w:p w14:paraId="6F5731E2" w14:textId="77777777" w:rsidR="006A276C" w:rsidRPr="009A67E7" w:rsidRDefault="006A276C" w:rsidP="009A67E7">
            <w:pPr>
              <w:pStyle w:val="Tabletext"/>
              <w:jc w:val="center"/>
            </w:pPr>
            <w:r w:rsidRPr="009A67E7">
              <w:t>774</w:t>
            </w:r>
          </w:p>
        </w:tc>
      </w:tr>
      <w:tr w:rsidR="006A276C" w:rsidRPr="006A276C" w14:paraId="01C6E805"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7CFD703" w14:textId="77777777" w:rsidR="006A276C" w:rsidRPr="006A276C" w:rsidRDefault="006A276C" w:rsidP="009A67E7">
            <w:pPr>
              <w:pStyle w:val="Tabletext"/>
              <w:jc w:val="center"/>
            </w:pPr>
            <w:r w:rsidRPr="006A276C">
              <w:t>COM4/4</w:t>
            </w:r>
          </w:p>
        </w:tc>
        <w:tc>
          <w:tcPr>
            <w:tcW w:w="1758" w:type="dxa"/>
            <w:tcBorders>
              <w:top w:val="single" w:sz="4" w:space="0" w:color="auto"/>
              <w:left w:val="single" w:sz="4" w:space="0" w:color="auto"/>
              <w:bottom w:val="single" w:sz="4" w:space="0" w:color="auto"/>
              <w:right w:val="single" w:sz="4" w:space="0" w:color="auto"/>
            </w:tcBorders>
          </w:tcPr>
          <w:p w14:paraId="0B787B6A" w14:textId="77777777" w:rsidR="006A276C" w:rsidRPr="009A67E7" w:rsidRDefault="006A276C" w:rsidP="009A67E7">
            <w:pPr>
              <w:pStyle w:val="Tabletext"/>
              <w:jc w:val="center"/>
            </w:pPr>
            <w:r w:rsidRPr="009A67E7">
              <w:t>166</w:t>
            </w:r>
          </w:p>
        </w:tc>
        <w:tc>
          <w:tcPr>
            <w:tcW w:w="1502" w:type="dxa"/>
            <w:tcBorders>
              <w:top w:val="single" w:sz="4" w:space="0" w:color="auto"/>
              <w:left w:val="single" w:sz="4" w:space="0" w:color="auto"/>
              <w:bottom w:val="single" w:sz="4" w:space="0" w:color="auto"/>
              <w:right w:val="single" w:sz="4" w:space="0" w:color="auto"/>
            </w:tcBorders>
          </w:tcPr>
          <w:p w14:paraId="28234583" w14:textId="77777777" w:rsidR="006A276C" w:rsidRPr="009A67E7" w:rsidRDefault="006A276C" w:rsidP="009A67E7">
            <w:pPr>
              <w:pStyle w:val="Tabletext"/>
              <w:jc w:val="center"/>
            </w:pPr>
            <w:r w:rsidRPr="009A67E7">
              <w:t>COM5/12</w:t>
            </w:r>
          </w:p>
        </w:tc>
        <w:tc>
          <w:tcPr>
            <w:tcW w:w="1783" w:type="dxa"/>
            <w:tcBorders>
              <w:top w:val="single" w:sz="4" w:space="0" w:color="auto"/>
              <w:left w:val="single" w:sz="4" w:space="0" w:color="auto"/>
              <w:bottom w:val="single" w:sz="4" w:space="0" w:color="auto"/>
              <w:right w:val="single" w:sz="4" w:space="0" w:color="auto"/>
            </w:tcBorders>
          </w:tcPr>
          <w:p w14:paraId="6C2E6850" w14:textId="77777777" w:rsidR="006A276C" w:rsidRPr="009A67E7" w:rsidRDefault="006A276C" w:rsidP="009A67E7">
            <w:pPr>
              <w:pStyle w:val="Tabletext"/>
              <w:jc w:val="center"/>
            </w:pPr>
            <w:r w:rsidRPr="009A67E7">
              <w:t>771</w:t>
            </w:r>
          </w:p>
        </w:tc>
        <w:tc>
          <w:tcPr>
            <w:tcW w:w="1477" w:type="dxa"/>
            <w:tcBorders>
              <w:top w:val="single" w:sz="4" w:space="0" w:color="auto"/>
              <w:bottom w:val="single" w:sz="4" w:space="0" w:color="auto"/>
              <w:right w:val="single" w:sz="4" w:space="0" w:color="auto"/>
            </w:tcBorders>
          </w:tcPr>
          <w:p w14:paraId="4B64A7F8" w14:textId="77777777" w:rsidR="006A276C" w:rsidRPr="009A67E7" w:rsidRDefault="006A276C" w:rsidP="009A67E7">
            <w:pPr>
              <w:pStyle w:val="Tabletext"/>
              <w:jc w:val="center"/>
            </w:pPr>
            <w:r w:rsidRPr="009A67E7">
              <w:t>COM6/18</w:t>
            </w:r>
          </w:p>
        </w:tc>
        <w:tc>
          <w:tcPr>
            <w:tcW w:w="1809" w:type="dxa"/>
            <w:tcBorders>
              <w:top w:val="single" w:sz="4" w:space="0" w:color="auto"/>
              <w:left w:val="single" w:sz="4" w:space="0" w:color="auto"/>
              <w:bottom w:val="single" w:sz="4" w:space="0" w:color="auto"/>
              <w:right w:val="single" w:sz="4" w:space="0" w:color="auto"/>
            </w:tcBorders>
          </w:tcPr>
          <w:p w14:paraId="6F8CA5F0" w14:textId="77777777" w:rsidR="006A276C" w:rsidRPr="009A67E7" w:rsidRDefault="006A276C" w:rsidP="009A67E7">
            <w:pPr>
              <w:pStyle w:val="Tabletext"/>
              <w:jc w:val="center"/>
            </w:pPr>
            <w:r w:rsidRPr="009A67E7">
              <w:t>175</w:t>
            </w:r>
          </w:p>
        </w:tc>
      </w:tr>
      <w:tr w:rsidR="006A276C" w:rsidRPr="006A276C" w14:paraId="08B57F96"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6BFB6CC" w14:textId="77777777" w:rsidR="006A276C" w:rsidRPr="006A276C" w:rsidRDefault="006A276C" w:rsidP="009A67E7">
            <w:pPr>
              <w:pStyle w:val="Tabletext"/>
              <w:jc w:val="center"/>
            </w:pPr>
            <w:r w:rsidRPr="006A276C">
              <w:t>COM4/5</w:t>
            </w:r>
          </w:p>
        </w:tc>
        <w:tc>
          <w:tcPr>
            <w:tcW w:w="1758" w:type="dxa"/>
            <w:tcBorders>
              <w:top w:val="single" w:sz="4" w:space="0" w:color="auto"/>
              <w:left w:val="single" w:sz="4" w:space="0" w:color="auto"/>
              <w:bottom w:val="single" w:sz="4" w:space="0" w:color="auto"/>
              <w:right w:val="single" w:sz="4" w:space="0" w:color="auto"/>
            </w:tcBorders>
          </w:tcPr>
          <w:p w14:paraId="43D485AE" w14:textId="77777777" w:rsidR="006A276C" w:rsidRPr="009A67E7" w:rsidRDefault="006A276C" w:rsidP="009A67E7">
            <w:pPr>
              <w:pStyle w:val="Tabletext"/>
              <w:jc w:val="center"/>
            </w:pPr>
            <w:r w:rsidRPr="009A67E7">
              <w:t>167</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14:paraId="4B193F53" w14:textId="77777777" w:rsidR="006A276C" w:rsidRPr="009A67E7" w:rsidRDefault="006A276C" w:rsidP="009A67E7">
            <w:pPr>
              <w:pStyle w:val="Tabletext"/>
              <w:jc w:val="cente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14:paraId="229F2833" w14:textId="77777777" w:rsidR="006A276C" w:rsidRPr="009A67E7" w:rsidRDefault="006A276C" w:rsidP="009A67E7">
            <w:pPr>
              <w:pStyle w:val="Tabletext"/>
              <w:jc w:val="center"/>
            </w:pPr>
          </w:p>
        </w:tc>
        <w:tc>
          <w:tcPr>
            <w:tcW w:w="1477" w:type="dxa"/>
            <w:tcBorders>
              <w:top w:val="single" w:sz="4" w:space="0" w:color="auto"/>
              <w:bottom w:val="single" w:sz="4" w:space="0" w:color="auto"/>
              <w:right w:val="single" w:sz="4" w:space="0" w:color="auto"/>
            </w:tcBorders>
          </w:tcPr>
          <w:p w14:paraId="4ED5E639" w14:textId="77777777" w:rsidR="006A276C" w:rsidRPr="009A67E7" w:rsidRDefault="006A276C" w:rsidP="009A67E7">
            <w:pPr>
              <w:pStyle w:val="Tabletext"/>
              <w:jc w:val="center"/>
            </w:pPr>
            <w:r w:rsidRPr="009A67E7">
              <w:t>COM6/19</w:t>
            </w:r>
          </w:p>
        </w:tc>
        <w:tc>
          <w:tcPr>
            <w:tcW w:w="1809" w:type="dxa"/>
            <w:tcBorders>
              <w:top w:val="single" w:sz="4" w:space="0" w:color="auto"/>
              <w:left w:val="single" w:sz="4" w:space="0" w:color="auto"/>
              <w:bottom w:val="single" w:sz="4" w:space="0" w:color="auto"/>
              <w:right w:val="single" w:sz="4" w:space="0" w:color="auto"/>
            </w:tcBorders>
          </w:tcPr>
          <w:p w14:paraId="7EEDED4C" w14:textId="77777777" w:rsidR="006A276C" w:rsidRPr="009A67E7" w:rsidRDefault="006A276C" w:rsidP="009A67E7">
            <w:pPr>
              <w:pStyle w:val="Tabletext"/>
              <w:jc w:val="center"/>
            </w:pPr>
            <w:r w:rsidRPr="009A67E7">
              <w:t>812</w:t>
            </w:r>
          </w:p>
        </w:tc>
      </w:tr>
      <w:tr w:rsidR="006A276C" w:rsidRPr="006A276C" w14:paraId="239B98A0"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5EC6473" w14:textId="77777777" w:rsidR="006A276C" w:rsidRPr="006A276C" w:rsidRDefault="006A276C" w:rsidP="009A67E7">
            <w:pPr>
              <w:pStyle w:val="Tabletext"/>
              <w:jc w:val="center"/>
            </w:pPr>
            <w:r w:rsidRPr="006A276C">
              <w:t>COM4/6</w:t>
            </w:r>
          </w:p>
        </w:tc>
        <w:tc>
          <w:tcPr>
            <w:tcW w:w="1758" w:type="dxa"/>
            <w:tcBorders>
              <w:top w:val="single" w:sz="4" w:space="0" w:color="auto"/>
              <w:left w:val="single" w:sz="4" w:space="0" w:color="auto"/>
              <w:bottom w:val="single" w:sz="4" w:space="0" w:color="auto"/>
              <w:right w:val="single" w:sz="4" w:space="0" w:color="auto"/>
            </w:tcBorders>
          </w:tcPr>
          <w:p w14:paraId="48D66A24" w14:textId="77777777" w:rsidR="006A276C" w:rsidRPr="009A67E7" w:rsidRDefault="006A276C" w:rsidP="009A67E7">
            <w:pPr>
              <w:pStyle w:val="Tabletext"/>
              <w:jc w:val="center"/>
            </w:pPr>
            <w:r w:rsidRPr="009A67E7">
              <w:t>168</w:t>
            </w:r>
          </w:p>
        </w:tc>
        <w:tc>
          <w:tcPr>
            <w:tcW w:w="1502" w:type="dxa"/>
            <w:tcBorders>
              <w:top w:val="single" w:sz="4" w:space="0" w:color="auto"/>
              <w:left w:val="single" w:sz="4" w:space="0" w:color="auto"/>
              <w:bottom w:val="single" w:sz="4" w:space="0" w:color="auto"/>
              <w:right w:val="single" w:sz="4" w:space="0" w:color="auto"/>
            </w:tcBorders>
          </w:tcPr>
          <w:p w14:paraId="64B2C32A" w14:textId="77777777" w:rsidR="006A276C" w:rsidRPr="009A67E7" w:rsidRDefault="006A276C" w:rsidP="009A67E7">
            <w:pPr>
              <w:pStyle w:val="Tabletext"/>
              <w:jc w:val="center"/>
            </w:pPr>
            <w:r w:rsidRPr="009A67E7">
              <w:t>COM6/1</w:t>
            </w:r>
          </w:p>
        </w:tc>
        <w:tc>
          <w:tcPr>
            <w:tcW w:w="1783" w:type="dxa"/>
            <w:tcBorders>
              <w:top w:val="single" w:sz="4" w:space="0" w:color="auto"/>
              <w:left w:val="single" w:sz="4" w:space="0" w:color="auto"/>
              <w:bottom w:val="single" w:sz="4" w:space="0" w:color="auto"/>
              <w:right w:val="single" w:sz="4" w:space="0" w:color="auto"/>
            </w:tcBorders>
          </w:tcPr>
          <w:p w14:paraId="38F6052A" w14:textId="77777777" w:rsidR="006A276C" w:rsidRPr="009A67E7" w:rsidRDefault="006A276C" w:rsidP="009A67E7">
            <w:pPr>
              <w:pStyle w:val="Tabletext"/>
              <w:jc w:val="center"/>
            </w:pPr>
            <w:r w:rsidRPr="009A67E7">
              <w:t>811</w:t>
            </w:r>
          </w:p>
        </w:tc>
        <w:tc>
          <w:tcPr>
            <w:tcW w:w="1477" w:type="dxa"/>
            <w:tcBorders>
              <w:top w:val="single" w:sz="4" w:space="0" w:color="auto"/>
              <w:bottom w:val="single" w:sz="4" w:space="0" w:color="auto"/>
              <w:right w:val="single" w:sz="4" w:space="0" w:color="auto"/>
            </w:tcBorders>
          </w:tcPr>
          <w:p w14:paraId="5130ED1B" w14:textId="77777777" w:rsidR="006A276C" w:rsidRPr="009A67E7" w:rsidRDefault="006A276C" w:rsidP="009A67E7">
            <w:pPr>
              <w:pStyle w:val="Tabletext"/>
              <w:jc w:val="center"/>
            </w:pPr>
            <w:r w:rsidRPr="009A67E7">
              <w:t>COM6/20</w:t>
            </w:r>
          </w:p>
        </w:tc>
        <w:tc>
          <w:tcPr>
            <w:tcW w:w="1809" w:type="dxa"/>
            <w:tcBorders>
              <w:top w:val="single" w:sz="4" w:space="0" w:color="auto"/>
              <w:left w:val="single" w:sz="4" w:space="0" w:color="auto"/>
              <w:bottom w:val="single" w:sz="4" w:space="0" w:color="auto"/>
              <w:right w:val="single" w:sz="4" w:space="0" w:color="auto"/>
            </w:tcBorders>
          </w:tcPr>
          <w:p w14:paraId="5D04FE46" w14:textId="77777777" w:rsidR="006A276C" w:rsidRPr="009A67E7" w:rsidRDefault="006A276C" w:rsidP="009A67E7">
            <w:pPr>
              <w:pStyle w:val="Tabletext"/>
              <w:jc w:val="center"/>
            </w:pPr>
            <w:r w:rsidRPr="009A67E7">
              <w:t>663</w:t>
            </w:r>
          </w:p>
        </w:tc>
      </w:tr>
      <w:tr w:rsidR="006A276C" w:rsidRPr="006A276C" w14:paraId="4CF07DE8"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33AF9C2" w14:textId="77777777" w:rsidR="006A276C" w:rsidRPr="006A276C" w:rsidRDefault="006A276C" w:rsidP="009A67E7">
            <w:pPr>
              <w:pStyle w:val="Tabletext"/>
              <w:jc w:val="center"/>
            </w:pPr>
            <w:r w:rsidRPr="006A276C">
              <w:t>COM4/7</w:t>
            </w:r>
          </w:p>
        </w:tc>
        <w:tc>
          <w:tcPr>
            <w:tcW w:w="1758" w:type="dxa"/>
            <w:tcBorders>
              <w:top w:val="single" w:sz="4" w:space="0" w:color="auto"/>
              <w:left w:val="single" w:sz="4" w:space="0" w:color="auto"/>
              <w:bottom w:val="single" w:sz="4" w:space="0" w:color="auto"/>
              <w:right w:val="single" w:sz="4" w:space="0" w:color="auto"/>
            </w:tcBorders>
          </w:tcPr>
          <w:p w14:paraId="288C53D5" w14:textId="77777777" w:rsidR="006A276C" w:rsidRPr="009A67E7" w:rsidRDefault="006A276C" w:rsidP="009A67E7">
            <w:pPr>
              <w:pStyle w:val="Tabletext"/>
              <w:jc w:val="center"/>
            </w:pPr>
            <w:r w:rsidRPr="009A67E7">
              <w:t>241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A78C961" w14:textId="77777777" w:rsidR="006A276C" w:rsidRPr="009A67E7" w:rsidRDefault="006A276C" w:rsidP="009A67E7">
            <w:pPr>
              <w:pStyle w:val="Tabletext"/>
              <w:jc w:val="center"/>
            </w:pPr>
            <w:r w:rsidRPr="009A67E7">
              <w:t>COM6/2</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6D24E26" w14:textId="77777777" w:rsidR="006A276C" w:rsidRPr="009A67E7" w:rsidRDefault="006A276C" w:rsidP="009A67E7">
            <w:pPr>
              <w:pStyle w:val="Tabletext"/>
              <w:jc w:val="center"/>
            </w:pPr>
            <w:r w:rsidRPr="009A67E7">
              <w:t>245</w:t>
            </w:r>
          </w:p>
        </w:tc>
        <w:tc>
          <w:tcPr>
            <w:tcW w:w="1477" w:type="dxa"/>
            <w:tcBorders>
              <w:top w:val="single" w:sz="4" w:space="0" w:color="auto"/>
              <w:bottom w:val="single" w:sz="4" w:space="0" w:color="auto"/>
              <w:right w:val="single" w:sz="4" w:space="0" w:color="auto"/>
            </w:tcBorders>
          </w:tcPr>
          <w:p w14:paraId="7D0D05AE" w14:textId="77777777" w:rsidR="006A276C" w:rsidRPr="009A67E7" w:rsidRDefault="006A276C" w:rsidP="009A67E7">
            <w:pPr>
              <w:pStyle w:val="Tabletext"/>
              <w:jc w:val="center"/>
            </w:pPr>
            <w:r w:rsidRPr="009A67E7">
              <w:t>COM6/21</w:t>
            </w:r>
          </w:p>
        </w:tc>
        <w:tc>
          <w:tcPr>
            <w:tcW w:w="1809" w:type="dxa"/>
            <w:tcBorders>
              <w:top w:val="single" w:sz="4" w:space="0" w:color="auto"/>
              <w:left w:val="single" w:sz="4" w:space="0" w:color="auto"/>
              <w:bottom w:val="single" w:sz="4" w:space="0" w:color="auto"/>
              <w:right w:val="single" w:sz="4" w:space="0" w:color="auto"/>
            </w:tcBorders>
          </w:tcPr>
          <w:p w14:paraId="779FEA68" w14:textId="77777777" w:rsidR="006A276C" w:rsidRPr="009A67E7" w:rsidRDefault="006A276C" w:rsidP="009A67E7">
            <w:pPr>
              <w:pStyle w:val="Tabletext"/>
              <w:jc w:val="center"/>
            </w:pPr>
            <w:r w:rsidRPr="009A67E7">
              <w:t>176</w:t>
            </w:r>
          </w:p>
        </w:tc>
      </w:tr>
      <w:tr w:rsidR="006A276C" w:rsidRPr="006A276C" w14:paraId="345917FE"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11B1D4D" w14:textId="77777777" w:rsidR="006A276C" w:rsidRPr="006A276C" w:rsidRDefault="006A276C" w:rsidP="009A67E7">
            <w:pPr>
              <w:pStyle w:val="Tabletext"/>
              <w:jc w:val="center"/>
            </w:pPr>
            <w:r w:rsidRPr="006A276C">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83FDBA7" w14:textId="77777777" w:rsidR="006A276C" w:rsidRPr="009A67E7" w:rsidRDefault="006A276C" w:rsidP="009A67E7">
            <w:pPr>
              <w:pStyle w:val="Tabletext"/>
              <w:jc w:val="center"/>
            </w:pPr>
            <w:r w:rsidRPr="009A67E7">
              <w:t>242</w:t>
            </w:r>
          </w:p>
        </w:tc>
        <w:tc>
          <w:tcPr>
            <w:tcW w:w="1502" w:type="dxa"/>
            <w:tcBorders>
              <w:top w:val="single" w:sz="4" w:space="0" w:color="auto"/>
              <w:left w:val="single" w:sz="4" w:space="0" w:color="auto"/>
              <w:bottom w:val="single" w:sz="4" w:space="0" w:color="auto"/>
              <w:right w:val="single" w:sz="4" w:space="0" w:color="auto"/>
            </w:tcBorders>
          </w:tcPr>
          <w:p w14:paraId="54DA76D9" w14:textId="77777777" w:rsidR="006A276C" w:rsidRPr="009A67E7" w:rsidRDefault="006A276C" w:rsidP="009A67E7">
            <w:pPr>
              <w:pStyle w:val="Tabletext"/>
              <w:jc w:val="center"/>
            </w:pPr>
            <w:r w:rsidRPr="009A67E7">
              <w:t>COM6/3</w:t>
            </w:r>
          </w:p>
        </w:tc>
        <w:tc>
          <w:tcPr>
            <w:tcW w:w="1783" w:type="dxa"/>
            <w:tcBorders>
              <w:top w:val="single" w:sz="4" w:space="0" w:color="auto"/>
              <w:left w:val="single" w:sz="4" w:space="0" w:color="auto"/>
              <w:bottom w:val="single" w:sz="4" w:space="0" w:color="auto"/>
              <w:right w:val="single" w:sz="4" w:space="0" w:color="auto"/>
            </w:tcBorders>
          </w:tcPr>
          <w:p w14:paraId="5C0E5339" w14:textId="77777777" w:rsidR="006A276C" w:rsidRPr="009A67E7" w:rsidRDefault="006A276C" w:rsidP="009A67E7">
            <w:pPr>
              <w:pStyle w:val="Tabletext"/>
              <w:jc w:val="center"/>
            </w:pPr>
            <w:r w:rsidRPr="009A67E7">
              <w:t>246</w:t>
            </w:r>
          </w:p>
        </w:tc>
        <w:tc>
          <w:tcPr>
            <w:tcW w:w="1477" w:type="dxa"/>
            <w:tcBorders>
              <w:top w:val="single" w:sz="4" w:space="0" w:color="auto"/>
              <w:bottom w:val="single" w:sz="4" w:space="0" w:color="auto"/>
              <w:right w:val="single" w:sz="4" w:space="0" w:color="auto"/>
            </w:tcBorders>
          </w:tcPr>
          <w:p w14:paraId="2C9B9D3B" w14:textId="77777777" w:rsidR="006A276C" w:rsidRPr="009A67E7" w:rsidRDefault="006A276C" w:rsidP="009A67E7">
            <w:pPr>
              <w:pStyle w:val="Tabletext"/>
              <w:jc w:val="center"/>
            </w:pPr>
            <w:r w:rsidRPr="009A67E7">
              <w:t>COM6/22</w:t>
            </w:r>
          </w:p>
        </w:tc>
        <w:tc>
          <w:tcPr>
            <w:tcW w:w="1809" w:type="dxa"/>
            <w:tcBorders>
              <w:top w:val="single" w:sz="4" w:space="0" w:color="auto"/>
              <w:left w:val="single" w:sz="4" w:space="0" w:color="auto"/>
              <w:bottom w:val="single" w:sz="4" w:space="0" w:color="auto"/>
              <w:right w:val="single" w:sz="4" w:space="0" w:color="auto"/>
            </w:tcBorders>
          </w:tcPr>
          <w:p w14:paraId="68EBAD02" w14:textId="77777777" w:rsidR="006A276C" w:rsidRPr="009A67E7" w:rsidRDefault="006A276C" w:rsidP="009A67E7">
            <w:pPr>
              <w:pStyle w:val="Tabletext"/>
              <w:jc w:val="center"/>
            </w:pPr>
            <w:r w:rsidRPr="009A67E7">
              <w:t>177</w:t>
            </w:r>
          </w:p>
        </w:tc>
      </w:tr>
      <w:tr w:rsidR="006A276C" w:rsidRPr="006A276C" w14:paraId="3391183C"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8FA4530" w14:textId="77777777" w:rsidR="006A276C" w:rsidRPr="006A276C" w:rsidRDefault="006A276C" w:rsidP="009A67E7">
            <w:pPr>
              <w:pStyle w:val="Tabletext"/>
              <w:jc w:val="center"/>
            </w:pPr>
            <w:r w:rsidRPr="006A276C">
              <w:t>COM4/9</w:t>
            </w:r>
          </w:p>
        </w:tc>
        <w:tc>
          <w:tcPr>
            <w:tcW w:w="1758" w:type="dxa"/>
            <w:tcBorders>
              <w:top w:val="single" w:sz="4" w:space="0" w:color="auto"/>
              <w:left w:val="single" w:sz="4" w:space="0" w:color="auto"/>
              <w:bottom w:val="single" w:sz="4" w:space="0" w:color="auto"/>
              <w:right w:val="single" w:sz="4" w:space="0" w:color="auto"/>
            </w:tcBorders>
          </w:tcPr>
          <w:p w14:paraId="143D1B15" w14:textId="77777777" w:rsidR="006A276C" w:rsidRPr="009A67E7" w:rsidRDefault="006A276C" w:rsidP="009A67E7">
            <w:pPr>
              <w:pStyle w:val="Tabletext"/>
              <w:jc w:val="center"/>
            </w:pPr>
            <w:r w:rsidRPr="009A67E7">
              <w:t>243</w:t>
            </w:r>
          </w:p>
        </w:tc>
        <w:tc>
          <w:tcPr>
            <w:tcW w:w="1502" w:type="dxa"/>
            <w:tcBorders>
              <w:top w:val="single" w:sz="4" w:space="0" w:color="auto"/>
              <w:left w:val="single" w:sz="4" w:space="0" w:color="auto"/>
              <w:bottom w:val="single" w:sz="4" w:space="0" w:color="auto"/>
              <w:right w:val="single" w:sz="4" w:space="0" w:color="auto"/>
            </w:tcBorders>
          </w:tcPr>
          <w:p w14:paraId="0744A38A" w14:textId="77777777" w:rsidR="006A276C" w:rsidRPr="009A67E7" w:rsidRDefault="006A276C" w:rsidP="009A67E7">
            <w:pPr>
              <w:pStyle w:val="Tabletext"/>
              <w:jc w:val="center"/>
            </w:pPr>
            <w:r w:rsidRPr="009A67E7">
              <w:t>COM6/4</w:t>
            </w:r>
          </w:p>
        </w:tc>
        <w:tc>
          <w:tcPr>
            <w:tcW w:w="1783" w:type="dxa"/>
            <w:tcBorders>
              <w:top w:val="single" w:sz="4" w:space="0" w:color="auto"/>
              <w:left w:val="single" w:sz="4" w:space="0" w:color="auto"/>
              <w:bottom w:val="single" w:sz="4" w:space="0" w:color="auto"/>
              <w:right w:val="single" w:sz="4" w:space="0" w:color="auto"/>
            </w:tcBorders>
          </w:tcPr>
          <w:p w14:paraId="6F428D5E" w14:textId="77777777" w:rsidR="006A276C" w:rsidRPr="009A67E7" w:rsidRDefault="006A276C" w:rsidP="009A67E7">
            <w:pPr>
              <w:pStyle w:val="Tabletext"/>
              <w:jc w:val="center"/>
            </w:pPr>
            <w:r w:rsidRPr="009A67E7">
              <w:t>247</w:t>
            </w:r>
          </w:p>
        </w:tc>
        <w:tc>
          <w:tcPr>
            <w:tcW w:w="1477" w:type="dxa"/>
            <w:tcBorders>
              <w:top w:val="single" w:sz="4" w:space="0" w:color="auto"/>
              <w:bottom w:val="single" w:sz="4" w:space="0" w:color="auto"/>
              <w:right w:val="single" w:sz="4" w:space="0" w:color="auto"/>
            </w:tcBorders>
            <w:shd w:val="clear" w:color="auto" w:fill="auto"/>
          </w:tcPr>
          <w:p w14:paraId="67363DBE" w14:textId="77777777" w:rsidR="006A276C" w:rsidRPr="009A67E7" w:rsidRDefault="006A276C" w:rsidP="009A67E7">
            <w:pPr>
              <w:pStyle w:val="Tabletext"/>
              <w:jc w:val="center"/>
            </w:pPr>
            <w:r w:rsidRPr="009A67E7">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6EB7FC3" w14:textId="77777777" w:rsidR="006A276C" w:rsidRPr="009A67E7" w:rsidRDefault="006A276C" w:rsidP="009A67E7">
            <w:pPr>
              <w:pStyle w:val="Tabletext"/>
              <w:jc w:val="center"/>
            </w:pPr>
            <w:r w:rsidRPr="009A67E7">
              <w:t>775</w:t>
            </w:r>
          </w:p>
        </w:tc>
      </w:tr>
      <w:tr w:rsidR="006A276C" w:rsidRPr="006A276C" w14:paraId="5E59CFE6"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05B78B5" w14:textId="77777777" w:rsidR="006A276C" w:rsidRPr="006A276C" w:rsidRDefault="006A276C" w:rsidP="009A67E7">
            <w:pPr>
              <w:pStyle w:val="Tabletext"/>
              <w:jc w:val="center"/>
            </w:pPr>
            <w:r w:rsidRPr="006A276C">
              <w:t>COM4/10</w:t>
            </w:r>
          </w:p>
        </w:tc>
        <w:tc>
          <w:tcPr>
            <w:tcW w:w="1758" w:type="dxa"/>
            <w:tcBorders>
              <w:top w:val="single" w:sz="4" w:space="0" w:color="auto"/>
              <w:left w:val="single" w:sz="4" w:space="0" w:color="auto"/>
              <w:bottom w:val="single" w:sz="4" w:space="0" w:color="auto"/>
              <w:right w:val="single" w:sz="4" w:space="0" w:color="auto"/>
            </w:tcBorders>
          </w:tcPr>
          <w:p w14:paraId="30329976" w14:textId="77777777" w:rsidR="006A276C" w:rsidRPr="009A67E7" w:rsidRDefault="006A276C" w:rsidP="009A67E7">
            <w:pPr>
              <w:pStyle w:val="Tabletext"/>
              <w:jc w:val="center"/>
            </w:pPr>
            <w:r w:rsidRPr="009A67E7">
              <w:t>244</w:t>
            </w:r>
          </w:p>
        </w:tc>
        <w:tc>
          <w:tcPr>
            <w:tcW w:w="1502" w:type="dxa"/>
            <w:tcBorders>
              <w:top w:val="single" w:sz="4" w:space="0" w:color="auto"/>
              <w:left w:val="single" w:sz="4" w:space="0" w:color="auto"/>
              <w:bottom w:val="single" w:sz="4" w:space="0" w:color="auto"/>
              <w:right w:val="single" w:sz="4" w:space="0" w:color="auto"/>
            </w:tcBorders>
          </w:tcPr>
          <w:p w14:paraId="20361850" w14:textId="77777777" w:rsidR="006A276C" w:rsidRPr="009A67E7" w:rsidRDefault="006A276C" w:rsidP="009A67E7">
            <w:pPr>
              <w:pStyle w:val="Tabletext"/>
              <w:jc w:val="center"/>
            </w:pPr>
            <w:r w:rsidRPr="009A67E7">
              <w:t>COM6/5</w:t>
            </w:r>
          </w:p>
        </w:tc>
        <w:tc>
          <w:tcPr>
            <w:tcW w:w="1783" w:type="dxa"/>
            <w:tcBorders>
              <w:top w:val="single" w:sz="4" w:space="0" w:color="auto"/>
              <w:left w:val="single" w:sz="4" w:space="0" w:color="auto"/>
              <w:bottom w:val="single" w:sz="4" w:space="0" w:color="auto"/>
              <w:right w:val="single" w:sz="4" w:space="0" w:color="auto"/>
            </w:tcBorders>
          </w:tcPr>
          <w:p w14:paraId="564F83BC" w14:textId="77777777" w:rsidR="006A276C" w:rsidRPr="009A67E7" w:rsidRDefault="006A276C" w:rsidP="009A67E7">
            <w:pPr>
              <w:pStyle w:val="Tabletext"/>
              <w:jc w:val="center"/>
            </w:pPr>
            <w:r w:rsidRPr="009A67E7">
              <w:t>772</w:t>
            </w:r>
          </w:p>
        </w:tc>
        <w:tc>
          <w:tcPr>
            <w:tcW w:w="1477" w:type="dxa"/>
            <w:tcBorders>
              <w:top w:val="single" w:sz="4" w:space="0" w:color="auto"/>
              <w:bottom w:val="single" w:sz="4" w:space="0" w:color="auto"/>
              <w:right w:val="single" w:sz="4" w:space="0" w:color="auto"/>
            </w:tcBorders>
          </w:tcPr>
          <w:p w14:paraId="437DB8DC" w14:textId="77777777" w:rsidR="006A276C" w:rsidRPr="009A67E7" w:rsidRDefault="006A276C" w:rsidP="009A67E7">
            <w:pPr>
              <w:pStyle w:val="Tabletext"/>
              <w:jc w:val="center"/>
            </w:pPr>
            <w:r w:rsidRPr="009A67E7">
              <w:t>COM6/24</w:t>
            </w:r>
          </w:p>
        </w:tc>
        <w:tc>
          <w:tcPr>
            <w:tcW w:w="1809" w:type="dxa"/>
            <w:tcBorders>
              <w:top w:val="single" w:sz="4" w:space="0" w:color="auto"/>
              <w:left w:val="single" w:sz="4" w:space="0" w:color="auto"/>
              <w:bottom w:val="single" w:sz="4" w:space="0" w:color="auto"/>
              <w:right w:val="single" w:sz="4" w:space="0" w:color="auto"/>
            </w:tcBorders>
          </w:tcPr>
          <w:p w14:paraId="4929A989" w14:textId="77777777" w:rsidR="006A276C" w:rsidRPr="009A67E7" w:rsidRDefault="006A276C" w:rsidP="009A67E7">
            <w:pPr>
              <w:pStyle w:val="Tabletext"/>
              <w:jc w:val="center"/>
            </w:pPr>
            <w:r w:rsidRPr="009A67E7">
              <w:t>776</w:t>
            </w:r>
          </w:p>
        </w:tc>
      </w:tr>
      <w:tr w:rsidR="006A276C" w:rsidRPr="006A276C" w14:paraId="5F75C88E"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14:paraId="3689904F" w14:textId="77777777" w:rsidR="006A276C" w:rsidRPr="006A276C" w:rsidRDefault="006A276C" w:rsidP="009A67E7">
            <w:pPr>
              <w:pStyle w:val="Tabletext"/>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14:paraId="5671F3CD" w14:textId="77777777" w:rsidR="006A276C" w:rsidRPr="009A67E7" w:rsidRDefault="006A276C" w:rsidP="009A67E7">
            <w:pPr>
              <w:pStyle w:val="Tabletext"/>
              <w:jc w:val="center"/>
            </w:pPr>
          </w:p>
        </w:tc>
        <w:tc>
          <w:tcPr>
            <w:tcW w:w="1502" w:type="dxa"/>
            <w:tcBorders>
              <w:top w:val="single" w:sz="4" w:space="0" w:color="auto"/>
              <w:left w:val="single" w:sz="4" w:space="0" w:color="auto"/>
              <w:bottom w:val="single" w:sz="4" w:space="0" w:color="auto"/>
              <w:right w:val="single" w:sz="4" w:space="0" w:color="auto"/>
            </w:tcBorders>
          </w:tcPr>
          <w:p w14:paraId="6CA2D5CA" w14:textId="77777777" w:rsidR="006A276C" w:rsidRPr="009A67E7" w:rsidRDefault="006A276C" w:rsidP="009A67E7">
            <w:pPr>
              <w:pStyle w:val="Tabletext"/>
              <w:jc w:val="center"/>
            </w:pPr>
            <w:r w:rsidRPr="009A67E7">
              <w:t>COM6/6</w:t>
            </w:r>
          </w:p>
        </w:tc>
        <w:tc>
          <w:tcPr>
            <w:tcW w:w="1783" w:type="dxa"/>
            <w:tcBorders>
              <w:top w:val="single" w:sz="4" w:space="0" w:color="auto"/>
              <w:left w:val="single" w:sz="4" w:space="0" w:color="auto"/>
              <w:bottom w:val="single" w:sz="4" w:space="0" w:color="auto"/>
              <w:right w:val="single" w:sz="4" w:space="0" w:color="auto"/>
            </w:tcBorders>
          </w:tcPr>
          <w:p w14:paraId="3DF089D0" w14:textId="77777777" w:rsidR="006A276C" w:rsidRPr="009A67E7" w:rsidRDefault="006A276C" w:rsidP="009A67E7">
            <w:pPr>
              <w:pStyle w:val="Tabletext"/>
              <w:jc w:val="center"/>
            </w:pPr>
            <w:r w:rsidRPr="009A67E7">
              <w:t>428</w:t>
            </w:r>
          </w:p>
        </w:tc>
        <w:tc>
          <w:tcPr>
            <w:tcW w:w="1477" w:type="dxa"/>
            <w:tcBorders>
              <w:top w:val="single" w:sz="4" w:space="0" w:color="auto"/>
              <w:bottom w:val="single" w:sz="4" w:space="0" w:color="auto"/>
              <w:right w:val="single" w:sz="4" w:space="0" w:color="auto"/>
            </w:tcBorders>
          </w:tcPr>
          <w:p w14:paraId="4FE3CBE6" w14:textId="77777777" w:rsidR="006A276C" w:rsidRPr="009A67E7" w:rsidRDefault="006A276C" w:rsidP="009A67E7">
            <w:pPr>
              <w:pStyle w:val="Tabletext"/>
              <w:jc w:val="center"/>
            </w:pPr>
            <w:r w:rsidRPr="009A67E7">
              <w:t>COM6/25</w:t>
            </w:r>
          </w:p>
        </w:tc>
        <w:tc>
          <w:tcPr>
            <w:tcW w:w="1809" w:type="dxa"/>
            <w:tcBorders>
              <w:top w:val="single" w:sz="4" w:space="0" w:color="auto"/>
              <w:left w:val="single" w:sz="4" w:space="0" w:color="auto"/>
              <w:bottom w:val="single" w:sz="4" w:space="0" w:color="auto"/>
              <w:right w:val="single" w:sz="4" w:space="0" w:color="auto"/>
            </w:tcBorders>
          </w:tcPr>
          <w:p w14:paraId="71122080" w14:textId="77777777" w:rsidR="006A276C" w:rsidRPr="009A67E7" w:rsidRDefault="006A276C" w:rsidP="009A67E7">
            <w:pPr>
              <w:pStyle w:val="Tabletext"/>
              <w:jc w:val="center"/>
            </w:pPr>
            <w:r w:rsidRPr="009A67E7">
              <w:t>178</w:t>
            </w:r>
          </w:p>
        </w:tc>
      </w:tr>
      <w:tr w:rsidR="006A276C" w:rsidRPr="006A276C" w14:paraId="03FFDE6B"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49BEBBE" w14:textId="77777777" w:rsidR="006A276C" w:rsidRPr="006A276C" w:rsidRDefault="006A276C" w:rsidP="009A67E7">
            <w:pPr>
              <w:pStyle w:val="Tabletext"/>
              <w:jc w:val="center"/>
            </w:pPr>
            <w:r w:rsidRPr="006A276C">
              <w:t>COM5/1</w:t>
            </w:r>
          </w:p>
        </w:tc>
        <w:tc>
          <w:tcPr>
            <w:tcW w:w="1758" w:type="dxa"/>
            <w:tcBorders>
              <w:top w:val="single" w:sz="4" w:space="0" w:color="auto"/>
              <w:left w:val="single" w:sz="4" w:space="0" w:color="auto"/>
              <w:bottom w:val="single" w:sz="4" w:space="0" w:color="auto"/>
              <w:right w:val="single" w:sz="4" w:space="0" w:color="auto"/>
            </w:tcBorders>
          </w:tcPr>
          <w:p w14:paraId="2CAFB10A" w14:textId="77777777" w:rsidR="006A276C" w:rsidRPr="009A67E7" w:rsidRDefault="006A276C" w:rsidP="009A67E7">
            <w:pPr>
              <w:pStyle w:val="Tabletext"/>
              <w:jc w:val="center"/>
            </w:pPr>
            <w:r w:rsidRPr="009A67E7">
              <w:t>22</w:t>
            </w:r>
          </w:p>
        </w:tc>
        <w:tc>
          <w:tcPr>
            <w:tcW w:w="1502" w:type="dxa"/>
            <w:tcBorders>
              <w:top w:val="single" w:sz="4" w:space="0" w:color="auto"/>
              <w:left w:val="single" w:sz="4" w:space="0" w:color="auto"/>
              <w:bottom w:val="single" w:sz="4" w:space="0" w:color="auto"/>
              <w:right w:val="single" w:sz="4" w:space="0" w:color="auto"/>
            </w:tcBorders>
          </w:tcPr>
          <w:p w14:paraId="6B279E61" w14:textId="77777777" w:rsidR="006A276C" w:rsidRPr="009A67E7" w:rsidRDefault="006A276C" w:rsidP="009A67E7">
            <w:pPr>
              <w:pStyle w:val="Tabletext"/>
              <w:jc w:val="center"/>
            </w:pPr>
            <w:r w:rsidRPr="009A67E7">
              <w:t>COM6/7</w:t>
            </w:r>
          </w:p>
        </w:tc>
        <w:tc>
          <w:tcPr>
            <w:tcW w:w="1783" w:type="dxa"/>
            <w:tcBorders>
              <w:top w:val="single" w:sz="4" w:space="0" w:color="auto"/>
              <w:left w:val="single" w:sz="4" w:space="0" w:color="auto"/>
              <w:bottom w:val="single" w:sz="4" w:space="0" w:color="auto"/>
              <w:right w:val="single" w:sz="4" w:space="0" w:color="auto"/>
            </w:tcBorders>
          </w:tcPr>
          <w:p w14:paraId="69F3CF98" w14:textId="77777777" w:rsidR="006A276C" w:rsidRPr="009A67E7" w:rsidRDefault="006A276C" w:rsidP="009A67E7">
            <w:pPr>
              <w:pStyle w:val="Tabletext"/>
              <w:jc w:val="center"/>
            </w:pPr>
            <w:r w:rsidRPr="009A67E7">
              <w:t>171</w:t>
            </w:r>
          </w:p>
        </w:tc>
        <w:tc>
          <w:tcPr>
            <w:tcW w:w="1477" w:type="dxa"/>
            <w:tcBorders>
              <w:top w:val="single" w:sz="4" w:space="0" w:color="auto"/>
              <w:bottom w:val="single" w:sz="4" w:space="0" w:color="auto"/>
              <w:right w:val="single" w:sz="4" w:space="0" w:color="auto"/>
            </w:tcBorders>
            <w:shd w:val="clear" w:color="auto" w:fill="auto"/>
          </w:tcPr>
          <w:p w14:paraId="496FEAD6" w14:textId="77777777" w:rsidR="006A276C" w:rsidRPr="009A67E7" w:rsidRDefault="006A276C" w:rsidP="009A67E7">
            <w:pPr>
              <w:pStyle w:val="Tabletext"/>
              <w:jc w:val="center"/>
            </w:pPr>
            <w:r w:rsidRPr="009A67E7">
              <w:t>COM6/26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590EDCE" w14:textId="77777777" w:rsidR="006A276C" w:rsidRPr="009A67E7" w:rsidRDefault="006A276C" w:rsidP="009A67E7">
            <w:pPr>
              <w:pStyle w:val="Tabletext"/>
              <w:jc w:val="center"/>
            </w:pPr>
            <w:r w:rsidRPr="009A67E7">
              <w:t>249</w:t>
            </w:r>
          </w:p>
        </w:tc>
      </w:tr>
      <w:tr w:rsidR="006A276C" w:rsidRPr="006A276C" w14:paraId="0389989B"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A04558A" w14:textId="77777777" w:rsidR="006A276C" w:rsidRPr="006A276C" w:rsidRDefault="006A276C" w:rsidP="009A67E7">
            <w:pPr>
              <w:pStyle w:val="Tabletext"/>
              <w:jc w:val="center"/>
            </w:pPr>
            <w:r w:rsidRPr="006A276C">
              <w:t>COM5/2</w:t>
            </w:r>
          </w:p>
        </w:tc>
        <w:tc>
          <w:tcPr>
            <w:tcW w:w="1758" w:type="dxa"/>
            <w:tcBorders>
              <w:top w:val="single" w:sz="4" w:space="0" w:color="auto"/>
              <w:left w:val="single" w:sz="4" w:space="0" w:color="auto"/>
              <w:bottom w:val="single" w:sz="4" w:space="0" w:color="auto"/>
              <w:right w:val="single" w:sz="4" w:space="0" w:color="auto"/>
            </w:tcBorders>
          </w:tcPr>
          <w:p w14:paraId="6352381E" w14:textId="77777777" w:rsidR="006A276C" w:rsidRPr="009A67E7" w:rsidRDefault="006A276C" w:rsidP="009A67E7">
            <w:pPr>
              <w:pStyle w:val="Tabletext"/>
              <w:jc w:val="center"/>
            </w:pPr>
            <w:r w:rsidRPr="009A67E7">
              <w:t>558</w:t>
            </w:r>
          </w:p>
        </w:tc>
        <w:tc>
          <w:tcPr>
            <w:tcW w:w="1502" w:type="dxa"/>
            <w:tcBorders>
              <w:top w:val="single" w:sz="4" w:space="0" w:color="auto"/>
              <w:left w:val="single" w:sz="4" w:space="0" w:color="auto"/>
              <w:bottom w:val="single" w:sz="4" w:space="0" w:color="auto"/>
              <w:right w:val="single" w:sz="4" w:space="0" w:color="auto"/>
            </w:tcBorders>
          </w:tcPr>
          <w:p w14:paraId="643FBE73" w14:textId="77777777" w:rsidR="006A276C" w:rsidRPr="009A67E7" w:rsidRDefault="006A276C" w:rsidP="009A67E7">
            <w:pPr>
              <w:pStyle w:val="Tabletext"/>
              <w:jc w:val="center"/>
            </w:pPr>
            <w:r w:rsidRPr="009A67E7">
              <w:t>COM6/8</w:t>
            </w:r>
          </w:p>
        </w:tc>
        <w:tc>
          <w:tcPr>
            <w:tcW w:w="1783" w:type="dxa"/>
            <w:tcBorders>
              <w:top w:val="single" w:sz="4" w:space="0" w:color="auto"/>
              <w:left w:val="single" w:sz="4" w:space="0" w:color="auto"/>
              <w:bottom w:val="single" w:sz="4" w:space="0" w:color="auto"/>
              <w:right w:val="single" w:sz="4" w:space="0" w:color="auto"/>
            </w:tcBorders>
          </w:tcPr>
          <w:p w14:paraId="7C7A1CA9" w14:textId="77777777" w:rsidR="006A276C" w:rsidRPr="009A67E7" w:rsidRDefault="006A276C" w:rsidP="009A67E7">
            <w:pPr>
              <w:pStyle w:val="Tabletext"/>
              <w:jc w:val="center"/>
            </w:pPr>
            <w:r w:rsidRPr="009A67E7">
              <w:t>429</w:t>
            </w:r>
          </w:p>
        </w:tc>
        <w:tc>
          <w:tcPr>
            <w:tcW w:w="1477" w:type="dxa"/>
            <w:tcBorders>
              <w:top w:val="single" w:sz="4" w:space="0" w:color="auto"/>
              <w:bottom w:val="single" w:sz="4" w:space="0" w:color="auto"/>
              <w:right w:val="single" w:sz="4" w:space="0" w:color="auto"/>
            </w:tcBorders>
            <w:shd w:val="clear" w:color="auto" w:fill="auto"/>
          </w:tcPr>
          <w:p w14:paraId="73AA8C42" w14:textId="77777777" w:rsidR="006A276C" w:rsidRPr="009A67E7" w:rsidRDefault="006A276C" w:rsidP="009A67E7">
            <w:pPr>
              <w:pStyle w:val="Tabletext"/>
              <w:jc w:val="center"/>
            </w:pPr>
            <w:r w:rsidRPr="009A67E7">
              <w:t>COM6/27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0D3AC65" w14:textId="77777777" w:rsidR="006A276C" w:rsidRPr="009A67E7" w:rsidRDefault="006A276C" w:rsidP="009A67E7">
            <w:pPr>
              <w:pStyle w:val="Tabletext"/>
              <w:jc w:val="center"/>
            </w:pPr>
            <w:r w:rsidRPr="009A67E7">
              <w:t>250</w:t>
            </w:r>
          </w:p>
        </w:tc>
      </w:tr>
      <w:tr w:rsidR="006A276C" w:rsidRPr="006A276C" w14:paraId="15B2F232"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0B013CD" w14:textId="77777777" w:rsidR="006A276C" w:rsidRPr="006A276C" w:rsidRDefault="006A276C" w:rsidP="009A67E7">
            <w:pPr>
              <w:pStyle w:val="Tabletext"/>
              <w:jc w:val="center"/>
            </w:pPr>
            <w:r w:rsidRPr="006A276C">
              <w:t>COM5/3</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DF480BC" w14:textId="77777777" w:rsidR="006A276C" w:rsidRPr="009A67E7" w:rsidRDefault="006A276C" w:rsidP="009A67E7">
            <w:pPr>
              <w:pStyle w:val="Tabletext"/>
              <w:jc w:val="center"/>
            </w:pPr>
            <w:r w:rsidRPr="009A67E7">
              <w:t>559</w:t>
            </w:r>
          </w:p>
        </w:tc>
        <w:tc>
          <w:tcPr>
            <w:tcW w:w="1502" w:type="dxa"/>
            <w:tcBorders>
              <w:top w:val="single" w:sz="4" w:space="0" w:color="auto"/>
              <w:left w:val="single" w:sz="4" w:space="0" w:color="auto"/>
              <w:bottom w:val="single" w:sz="4" w:space="0" w:color="auto"/>
              <w:right w:val="single" w:sz="4" w:space="0" w:color="auto"/>
            </w:tcBorders>
          </w:tcPr>
          <w:p w14:paraId="77FB56EE" w14:textId="77777777" w:rsidR="006A276C" w:rsidRPr="009A67E7" w:rsidRDefault="006A276C" w:rsidP="009A67E7">
            <w:pPr>
              <w:pStyle w:val="Tabletext"/>
              <w:jc w:val="center"/>
            </w:pPr>
            <w:r w:rsidRPr="009A67E7">
              <w:t>COM6/9</w:t>
            </w:r>
          </w:p>
        </w:tc>
        <w:tc>
          <w:tcPr>
            <w:tcW w:w="1783" w:type="dxa"/>
            <w:tcBorders>
              <w:top w:val="single" w:sz="4" w:space="0" w:color="auto"/>
              <w:left w:val="single" w:sz="4" w:space="0" w:color="auto"/>
              <w:bottom w:val="single" w:sz="4" w:space="0" w:color="auto"/>
              <w:right w:val="single" w:sz="4" w:space="0" w:color="auto"/>
            </w:tcBorders>
          </w:tcPr>
          <w:p w14:paraId="0042CFDE" w14:textId="77777777" w:rsidR="006A276C" w:rsidRPr="009A67E7" w:rsidRDefault="006A276C" w:rsidP="009A67E7">
            <w:pPr>
              <w:pStyle w:val="Tabletext"/>
              <w:jc w:val="center"/>
            </w:pPr>
            <w:r w:rsidRPr="009A67E7">
              <w:t>430</w:t>
            </w:r>
          </w:p>
        </w:tc>
        <w:tc>
          <w:tcPr>
            <w:tcW w:w="1477" w:type="dxa"/>
            <w:tcBorders>
              <w:top w:val="single" w:sz="4" w:space="0" w:color="auto"/>
              <w:bottom w:val="single" w:sz="4" w:space="0" w:color="auto"/>
              <w:right w:val="single" w:sz="4" w:space="0" w:color="auto"/>
            </w:tcBorders>
          </w:tcPr>
          <w:p w14:paraId="1E2D1E3D" w14:textId="77777777" w:rsidR="006A276C" w:rsidRPr="009A67E7" w:rsidRDefault="006A276C" w:rsidP="009A67E7">
            <w:pPr>
              <w:pStyle w:val="Tabletext"/>
              <w:jc w:val="center"/>
            </w:pPr>
            <w:r w:rsidRPr="009A67E7">
              <w:t>COM6/28</w:t>
            </w:r>
          </w:p>
        </w:tc>
        <w:tc>
          <w:tcPr>
            <w:tcW w:w="1809" w:type="dxa"/>
            <w:tcBorders>
              <w:top w:val="single" w:sz="4" w:space="0" w:color="auto"/>
              <w:left w:val="single" w:sz="4" w:space="0" w:color="auto"/>
              <w:bottom w:val="single" w:sz="4" w:space="0" w:color="auto"/>
              <w:right w:val="single" w:sz="4" w:space="0" w:color="auto"/>
            </w:tcBorders>
          </w:tcPr>
          <w:p w14:paraId="43EDD28B" w14:textId="77777777" w:rsidR="006A276C" w:rsidRPr="009A67E7" w:rsidRDefault="006A276C" w:rsidP="009A67E7">
            <w:pPr>
              <w:pStyle w:val="Tabletext"/>
              <w:jc w:val="center"/>
            </w:pPr>
            <w:r w:rsidRPr="009A67E7">
              <w:t>363</w:t>
            </w:r>
          </w:p>
        </w:tc>
      </w:tr>
      <w:tr w:rsidR="006A276C" w:rsidRPr="006A276C" w14:paraId="423BB2C4"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D021786" w14:textId="77777777" w:rsidR="006A276C" w:rsidRPr="006A276C" w:rsidRDefault="006A276C" w:rsidP="009A67E7">
            <w:pPr>
              <w:pStyle w:val="Tabletext"/>
              <w:jc w:val="center"/>
            </w:pPr>
            <w:r w:rsidRPr="006A276C">
              <w:t>COM5/4</w:t>
            </w:r>
          </w:p>
        </w:tc>
        <w:tc>
          <w:tcPr>
            <w:tcW w:w="1758" w:type="dxa"/>
            <w:tcBorders>
              <w:top w:val="single" w:sz="4" w:space="0" w:color="auto"/>
              <w:left w:val="single" w:sz="4" w:space="0" w:color="auto"/>
              <w:bottom w:val="single" w:sz="4" w:space="0" w:color="auto"/>
              <w:right w:val="single" w:sz="4" w:space="0" w:color="auto"/>
            </w:tcBorders>
          </w:tcPr>
          <w:p w14:paraId="244D1B5D" w14:textId="77777777" w:rsidR="006A276C" w:rsidRPr="009A67E7" w:rsidRDefault="006A276C" w:rsidP="009A67E7">
            <w:pPr>
              <w:pStyle w:val="Tabletext"/>
              <w:jc w:val="center"/>
            </w:pPr>
            <w:r w:rsidRPr="009A67E7">
              <w:t>768</w:t>
            </w:r>
          </w:p>
        </w:tc>
        <w:tc>
          <w:tcPr>
            <w:tcW w:w="1502" w:type="dxa"/>
            <w:tcBorders>
              <w:top w:val="single" w:sz="4" w:space="0" w:color="auto"/>
              <w:left w:val="single" w:sz="4" w:space="0" w:color="auto"/>
              <w:bottom w:val="single" w:sz="4" w:space="0" w:color="auto"/>
              <w:right w:val="single" w:sz="4" w:space="0" w:color="auto"/>
            </w:tcBorders>
          </w:tcPr>
          <w:p w14:paraId="3D1F94A7" w14:textId="77777777" w:rsidR="006A276C" w:rsidRPr="009A67E7" w:rsidRDefault="006A276C" w:rsidP="009A67E7">
            <w:pPr>
              <w:pStyle w:val="Tabletext"/>
              <w:jc w:val="center"/>
            </w:pPr>
            <w:r w:rsidRPr="009A67E7">
              <w:t>COM6/10</w:t>
            </w:r>
          </w:p>
        </w:tc>
        <w:tc>
          <w:tcPr>
            <w:tcW w:w="1783" w:type="dxa"/>
            <w:tcBorders>
              <w:top w:val="single" w:sz="4" w:space="0" w:color="auto"/>
              <w:left w:val="single" w:sz="4" w:space="0" w:color="auto"/>
              <w:bottom w:val="single" w:sz="4" w:space="0" w:color="auto"/>
              <w:right w:val="single" w:sz="4" w:space="0" w:color="auto"/>
            </w:tcBorders>
          </w:tcPr>
          <w:p w14:paraId="7F96AAA6" w14:textId="77777777" w:rsidR="006A276C" w:rsidRPr="009A67E7" w:rsidRDefault="006A276C" w:rsidP="009A67E7">
            <w:pPr>
              <w:pStyle w:val="Tabletext"/>
              <w:jc w:val="center"/>
            </w:pPr>
            <w:r w:rsidRPr="009A67E7">
              <w:t>661</w:t>
            </w:r>
          </w:p>
        </w:tc>
        <w:tc>
          <w:tcPr>
            <w:tcW w:w="1477" w:type="dxa"/>
            <w:tcBorders>
              <w:top w:val="single" w:sz="4" w:space="0" w:color="auto"/>
              <w:bottom w:val="single" w:sz="4" w:space="0" w:color="auto"/>
              <w:right w:val="single" w:sz="4" w:space="0" w:color="auto"/>
            </w:tcBorders>
          </w:tcPr>
          <w:p w14:paraId="521D964B" w14:textId="77777777" w:rsidR="006A276C" w:rsidRPr="009A67E7" w:rsidRDefault="006A276C" w:rsidP="009A67E7">
            <w:pPr>
              <w:pStyle w:val="Tabletext"/>
              <w:jc w:val="center"/>
            </w:pPr>
            <w:r w:rsidRPr="009A67E7">
              <w:t>COM6/29</w:t>
            </w:r>
          </w:p>
        </w:tc>
        <w:tc>
          <w:tcPr>
            <w:tcW w:w="1809" w:type="dxa"/>
            <w:tcBorders>
              <w:top w:val="single" w:sz="4" w:space="0" w:color="auto"/>
              <w:left w:val="single" w:sz="4" w:space="0" w:color="auto"/>
              <w:bottom w:val="single" w:sz="4" w:space="0" w:color="auto"/>
              <w:right w:val="single" w:sz="4" w:space="0" w:color="auto"/>
            </w:tcBorders>
          </w:tcPr>
          <w:p w14:paraId="541B9BFA" w14:textId="77777777" w:rsidR="006A276C" w:rsidRPr="009A67E7" w:rsidRDefault="006A276C" w:rsidP="009A67E7">
            <w:pPr>
              <w:pStyle w:val="Tabletext"/>
              <w:jc w:val="center"/>
            </w:pPr>
            <w:r w:rsidRPr="009A67E7">
              <w:t>664</w:t>
            </w:r>
          </w:p>
        </w:tc>
      </w:tr>
      <w:tr w:rsidR="006A276C" w:rsidRPr="006A276C" w14:paraId="59398C88"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745E718" w14:textId="77777777" w:rsidR="006A276C" w:rsidRPr="006A276C" w:rsidRDefault="006A276C" w:rsidP="009A67E7">
            <w:pPr>
              <w:pStyle w:val="Tabletext"/>
              <w:jc w:val="center"/>
            </w:pPr>
            <w:r w:rsidRPr="006A276C">
              <w:t>COM5/5</w:t>
            </w:r>
          </w:p>
        </w:tc>
        <w:tc>
          <w:tcPr>
            <w:tcW w:w="1758" w:type="dxa"/>
            <w:tcBorders>
              <w:top w:val="single" w:sz="4" w:space="0" w:color="auto"/>
              <w:left w:val="single" w:sz="4" w:space="0" w:color="auto"/>
              <w:bottom w:val="single" w:sz="4" w:space="0" w:color="auto"/>
              <w:right w:val="single" w:sz="4" w:space="0" w:color="auto"/>
            </w:tcBorders>
          </w:tcPr>
          <w:p w14:paraId="1FBF27B0" w14:textId="77777777" w:rsidR="006A276C" w:rsidRPr="009A67E7" w:rsidRDefault="006A276C" w:rsidP="009A67E7">
            <w:pPr>
              <w:pStyle w:val="Tabletext"/>
              <w:jc w:val="center"/>
            </w:pPr>
            <w:r w:rsidRPr="009A67E7">
              <w:t>32</w:t>
            </w:r>
          </w:p>
        </w:tc>
        <w:tc>
          <w:tcPr>
            <w:tcW w:w="1502" w:type="dxa"/>
            <w:tcBorders>
              <w:top w:val="single" w:sz="4" w:space="0" w:color="auto"/>
              <w:left w:val="single" w:sz="4" w:space="0" w:color="auto"/>
              <w:bottom w:val="single" w:sz="4" w:space="0" w:color="auto"/>
              <w:right w:val="single" w:sz="4" w:space="0" w:color="auto"/>
            </w:tcBorders>
          </w:tcPr>
          <w:p w14:paraId="0362459C" w14:textId="77777777" w:rsidR="006A276C" w:rsidRPr="009A67E7" w:rsidRDefault="006A276C" w:rsidP="009A67E7">
            <w:pPr>
              <w:pStyle w:val="Tabletext"/>
              <w:jc w:val="center"/>
            </w:pPr>
            <w:r w:rsidRPr="009A67E7">
              <w:t>COM6/11</w:t>
            </w:r>
          </w:p>
        </w:tc>
        <w:tc>
          <w:tcPr>
            <w:tcW w:w="1783" w:type="dxa"/>
            <w:tcBorders>
              <w:top w:val="single" w:sz="4" w:space="0" w:color="auto"/>
              <w:left w:val="single" w:sz="4" w:space="0" w:color="auto"/>
              <w:bottom w:val="single" w:sz="4" w:space="0" w:color="auto"/>
              <w:right w:val="single" w:sz="4" w:space="0" w:color="auto"/>
            </w:tcBorders>
          </w:tcPr>
          <w:p w14:paraId="6C152DC3" w14:textId="77777777" w:rsidR="006A276C" w:rsidRPr="009A67E7" w:rsidRDefault="006A276C" w:rsidP="009A67E7">
            <w:pPr>
              <w:pStyle w:val="Tabletext"/>
              <w:jc w:val="center"/>
            </w:pPr>
            <w:r w:rsidRPr="009A67E7">
              <w:t>662</w:t>
            </w:r>
          </w:p>
        </w:tc>
        <w:tc>
          <w:tcPr>
            <w:tcW w:w="1477" w:type="dxa"/>
            <w:tcBorders>
              <w:top w:val="single" w:sz="4" w:space="0" w:color="auto"/>
              <w:bottom w:val="single" w:sz="4" w:space="0" w:color="auto"/>
              <w:right w:val="single" w:sz="4" w:space="0" w:color="auto"/>
            </w:tcBorders>
          </w:tcPr>
          <w:p w14:paraId="0389859C" w14:textId="77777777" w:rsidR="006A276C" w:rsidRPr="009A67E7" w:rsidRDefault="006A276C" w:rsidP="009A67E7">
            <w:pPr>
              <w:pStyle w:val="Tabletext"/>
              <w:jc w:val="center"/>
            </w:pPr>
            <w:r w:rsidRPr="009A67E7">
              <w:t>COM6/30</w:t>
            </w:r>
          </w:p>
        </w:tc>
        <w:tc>
          <w:tcPr>
            <w:tcW w:w="1809" w:type="dxa"/>
            <w:tcBorders>
              <w:top w:val="single" w:sz="4" w:space="0" w:color="auto"/>
              <w:left w:val="single" w:sz="4" w:space="0" w:color="auto"/>
              <w:bottom w:val="single" w:sz="4" w:space="0" w:color="auto"/>
              <w:right w:val="single" w:sz="4" w:space="0" w:color="auto"/>
            </w:tcBorders>
          </w:tcPr>
          <w:p w14:paraId="4DD75736" w14:textId="77777777" w:rsidR="006A276C" w:rsidRPr="009A67E7" w:rsidRDefault="006A276C" w:rsidP="009A67E7">
            <w:pPr>
              <w:pStyle w:val="Tabletext"/>
              <w:jc w:val="center"/>
            </w:pPr>
            <w:r w:rsidRPr="009A67E7">
              <w:t>251</w:t>
            </w:r>
          </w:p>
        </w:tc>
      </w:tr>
      <w:tr w:rsidR="006A276C" w:rsidRPr="006A276C" w14:paraId="30907AEE"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FD1160D" w14:textId="77777777" w:rsidR="006A276C" w:rsidRPr="006A276C" w:rsidRDefault="006A276C" w:rsidP="009A67E7">
            <w:pPr>
              <w:pStyle w:val="Tabletext"/>
              <w:jc w:val="center"/>
            </w:pPr>
            <w:r w:rsidRPr="006A276C">
              <w:t>COM5/6</w:t>
            </w:r>
          </w:p>
        </w:tc>
        <w:tc>
          <w:tcPr>
            <w:tcW w:w="1758" w:type="dxa"/>
            <w:tcBorders>
              <w:top w:val="single" w:sz="4" w:space="0" w:color="auto"/>
              <w:left w:val="single" w:sz="4" w:space="0" w:color="auto"/>
              <w:bottom w:val="single" w:sz="4" w:space="0" w:color="auto"/>
              <w:right w:val="single" w:sz="4" w:space="0" w:color="auto"/>
            </w:tcBorders>
          </w:tcPr>
          <w:p w14:paraId="63479FA0" w14:textId="77777777" w:rsidR="006A276C" w:rsidRPr="009A67E7" w:rsidRDefault="006A276C" w:rsidP="009A67E7">
            <w:pPr>
              <w:pStyle w:val="Tabletext"/>
              <w:jc w:val="center"/>
            </w:pPr>
            <w:r w:rsidRPr="009A67E7">
              <w:t>169</w:t>
            </w:r>
          </w:p>
        </w:tc>
        <w:tc>
          <w:tcPr>
            <w:tcW w:w="1502" w:type="dxa"/>
            <w:tcBorders>
              <w:top w:val="single" w:sz="4" w:space="0" w:color="auto"/>
              <w:left w:val="single" w:sz="4" w:space="0" w:color="auto"/>
              <w:bottom w:val="single" w:sz="4" w:space="0" w:color="auto"/>
              <w:right w:val="single" w:sz="4" w:space="0" w:color="auto"/>
            </w:tcBorders>
          </w:tcPr>
          <w:p w14:paraId="4DC3B216" w14:textId="77777777" w:rsidR="006A276C" w:rsidRPr="009A67E7" w:rsidRDefault="006A276C" w:rsidP="009A67E7">
            <w:pPr>
              <w:pStyle w:val="Tabletext"/>
              <w:jc w:val="center"/>
            </w:pPr>
            <w:r w:rsidRPr="009A67E7">
              <w:t>COM6/12</w:t>
            </w:r>
          </w:p>
        </w:tc>
        <w:tc>
          <w:tcPr>
            <w:tcW w:w="1783" w:type="dxa"/>
            <w:tcBorders>
              <w:top w:val="single" w:sz="4" w:space="0" w:color="auto"/>
              <w:left w:val="single" w:sz="4" w:space="0" w:color="auto"/>
              <w:bottom w:val="single" w:sz="4" w:space="0" w:color="auto"/>
              <w:right w:val="single" w:sz="4" w:space="0" w:color="auto"/>
            </w:tcBorders>
          </w:tcPr>
          <w:p w14:paraId="6793E496" w14:textId="77777777" w:rsidR="006A276C" w:rsidRPr="009A67E7" w:rsidRDefault="006A276C" w:rsidP="009A67E7">
            <w:pPr>
              <w:pStyle w:val="Tabletext"/>
              <w:jc w:val="center"/>
            </w:pPr>
            <w:r w:rsidRPr="009A67E7">
              <w:t>172</w:t>
            </w:r>
          </w:p>
        </w:tc>
        <w:tc>
          <w:tcPr>
            <w:tcW w:w="1477" w:type="dxa"/>
            <w:tcBorders>
              <w:top w:val="single" w:sz="4" w:space="0" w:color="auto"/>
              <w:bottom w:val="single" w:sz="4" w:space="0" w:color="auto"/>
              <w:right w:val="single" w:sz="4" w:space="0" w:color="auto"/>
            </w:tcBorders>
            <w:shd w:val="clear" w:color="auto" w:fill="737373"/>
          </w:tcPr>
          <w:p w14:paraId="2FB52C3B" w14:textId="77777777" w:rsidR="006A276C" w:rsidRPr="009A67E7" w:rsidRDefault="006A276C" w:rsidP="009A67E7">
            <w:pPr>
              <w:pStyle w:val="Tabletext"/>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14:paraId="546E8FD3" w14:textId="77777777" w:rsidR="006A276C" w:rsidRPr="009A67E7" w:rsidRDefault="006A276C" w:rsidP="009A67E7">
            <w:pPr>
              <w:pStyle w:val="Tabletext"/>
              <w:jc w:val="center"/>
            </w:pPr>
          </w:p>
        </w:tc>
      </w:tr>
      <w:tr w:rsidR="006A276C" w:rsidRPr="006A276C" w14:paraId="412AA74F"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1C8B7CE" w14:textId="77777777" w:rsidR="006A276C" w:rsidRPr="006A276C" w:rsidRDefault="006A276C" w:rsidP="009A67E7">
            <w:pPr>
              <w:pStyle w:val="Tabletext"/>
              <w:jc w:val="center"/>
            </w:pPr>
            <w:r w:rsidRPr="006A276C">
              <w:t>COM5/7</w:t>
            </w:r>
          </w:p>
        </w:tc>
        <w:tc>
          <w:tcPr>
            <w:tcW w:w="1758" w:type="dxa"/>
            <w:tcBorders>
              <w:top w:val="single" w:sz="4" w:space="0" w:color="auto"/>
              <w:left w:val="single" w:sz="4" w:space="0" w:color="auto"/>
              <w:bottom w:val="single" w:sz="4" w:space="0" w:color="auto"/>
              <w:right w:val="single" w:sz="4" w:space="0" w:color="auto"/>
            </w:tcBorders>
          </w:tcPr>
          <w:p w14:paraId="7C402E47" w14:textId="77777777" w:rsidR="006A276C" w:rsidRPr="009A67E7" w:rsidRDefault="006A276C" w:rsidP="009A67E7">
            <w:pPr>
              <w:pStyle w:val="Tabletext"/>
              <w:jc w:val="center"/>
            </w:pPr>
            <w:r w:rsidRPr="009A67E7">
              <w:t>35</w:t>
            </w:r>
          </w:p>
        </w:tc>
        <w:tc>
          <w:tcPr>
            <w:tcW w:w="1502" w:type="dxa"/>
            <w:tcBorders>
              <w:top w:val="single" w:sz="4" w:space="0" w:color="auto"/>
              <w:left w:val="single" w:sz="4" w:space="0" w:color="auto"/>
              <w:bottom w:val="single" w:sz="4" w:space="0" w:color="auto"/>
              <w:right w:val="single" w:sz="4" w:space="0" w:color="auto"/>
            </w:tcBorders>
          </w:tcPr>
          <w:p w14:paraId="453C4ED5" w14:textId="77777777" w:rsidR="006A276C" w:rsidRPr="009A67E7" w:rsidRDefault="006A276C" w:rsidP="009A67E7">
            <w:pPr>
              <w:pStyle w:val="Tabletext"/>
              <w:jc w:val="center"/>
            </w:pPr>
            <w:r w:rsidRPr="009A67E7">
              <w:t>COM6/13</w:t>
            </w:r>
          </w:p>
        </w:tc>
        <w:tc>
          <w:tcPr>
            <w:tcW w:w="1783" w:type="dxa"/>
            <w:tcBorders>
              <w:top w:val="single" w:sz="4" w:space="0" w:color="auto"/>
              <w:left w:val="single" w:sz="4" w:space="0" w:color="auto"/>
              <w:bottom w:val="single" w:sz="4" w:space="0" w:color="auto"/>
              <w:right w:val="single" w:sz="4" w:space="0" w:color="auto"/>
            </w:tcBorders>
          </w:tcPr>
          <w:p w14:paraId="35A910BB" w14:textId="77777777" w:rsidR="006A276C" w:rsidRPr="009A67E7" w:rsidRDefault="006A276C" w:rsidP="009A67E7">
            <w:pPr>
              <w:pStyle w:val="Tabletext"/>
              <w:jc w:val="center"/>
            </w:pPr>
            <w:r w:rsidRPr="009A67E7">
              <w:t>173</w:t>
            </w:r>
          </w:p>
        </w:tc>
        <w:tc>
          <w:tcPr>
            <w:tcW w:w="1477" w:type="dxa"/>
            <w:tcBorders>
              <w:top w:val="single" w:sz="4" w:space="0" w:color="auto"/>
              <w:bottom w:val="single" w:sz="4" w:space="0" w:color="auto"/>
            </w:tcBorders>
            <w:shd w:val="clear" w:color="auto" w:fill="auto"/>
          </w:tcPr>
          <w:p w14:paraId="31F3971F" w14:textId="68A714F9" w:rsidR="006A276C" w:rsidRPr="0015772C" w:rsidRDefault="00ED3016" w:rsidP="009A67E7">
            <w:pPr>
              <w:pStyle w:val="Tabletext"/>
              <w:jc w:val="center"/>
              <w:rPr>
                <w:b/>
                <w:bCs/>
                <w:lang w:val="es-ES_tradnl"/>
              </w:rPr>
            </w:pPr>
            <w:r w:rsidRPr="0015772C">
              <w:rPr>
                <w:b/>
                <w:bCs/>
                <w:lang w:val="es-ES_tradnl"/>
              </w:rPr>
              <w:t>N</w:t>
            </w:r>
            <w:r w:rsidR="0015772C">
              <w:rPr>
                <w:b/>
                <w:bCs/>
                <w:lang w:val="es-ES_tradnl"/>
              </w:rPr>
              <w:t>º</w:t>
            </w:r>
            <w:r w:rsidRPr="0015772C">
              <w:rPr>
                <w:b/>
                <w:bCs/>
                <w:lang w:val="es-ES_tradnl"/>
              </w:rPr>
              <w:t xml:space="preserve"> Rec</w:t>
            </w:r>
            <w:r w:rsidR="0015772C">
              <w:rPr>
                <w:b/>
                <w:bCs/>
                <w:lang w:val="es-ES_tradnl"/>
              </w:rPr>
              <w:t>.</w:t>
            </w:r>
          </w:p>
        </w:tc>
        <w:tc>
          <w:tcPr>
            <w:tcW w:w="1809" w:type="dxa"/>
            <w:tcBorders>
              <w:top w:val="single" w:sz="4" w:space="0" w:color="auto"/>
              <w:bottom w:val="single" w:sz="4" w:space="0" w:color="auto"/>
              <w:right w:val="single" w:sz="4" w:space="0" w:color="auto"/>
            </w:tcBorders>
            <w:shd w:val="clear" w:color="auto" w:fill="auto"/>
          </w:tcPr>
          <w:p w14:paraId="68F95B26" w14:textId="40F77E76" w:rsidR="006A276C" w:rsidRPr="009A67E7" w:rsidRDefault="00D7162A" w:rsidP="009A67E7">
            <w:pPr>
              <w:pStyle w:val="Tabletext"/>
              <w:jc w:val="center"/>
              <w:rPr>
                <w:b/>
                <w:bCs/>
              </w:rPr>
            </w:pPr>
            <w:r w:rsidRPr="009A67E7">
              <w:rPr>
                <w:b/>
                <w:bCs/>
              </w:rPr>
              <w:t>Nº Provisional</w:t>
            </w:r>
          </w:p>
        </w:tc>
      </w:tr>
      <w:tr w:rsidR="006A276C" w:rsidRPr="006A276C" w14:paraId="2503CFD1" w14:textId="77777777" w:rsidTr="00D71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C6147C2" w14:textId="77777777" w:rsidR="006A276C" w:rsidRPr="006A276C" w:rsidRDefault="006A276C" w:rsidP="009A67E7">
            <w:pPr>
              <w:pStyle w:val="Tabletext"/>
              <w:jc w:val="center"/>
            </w:pPr>
            <w:r w:rsidRPr="006A276C">
              <w:t>COM5/8</w:t>
            </w:r>
          </w:p>
        </w:tc>
        <w:tc>
          <w:tcPr>
            <w:tcW w:w="1758" w:type="dxa"/>
            <w:tcBorders>
              <w:top w:val="single" w:sz="4" w:space="0" w:color="auto"/>
              <w:left w:val="single" w:sz="4" w:space="0" w:color="auto"/>
              <w:bottom w:val="single" w:sz="4" w:space="0" w:color="auto"/>
              <w:right w:val="single" w:sz="4" w:space="0" w:color="auto"/>
            </w:tcBorders>
          </w:tcPr>
          <w:p w14:paraId="5B0AB0F2" w14:textId="77777777" w:rsidR="006A276C" w:rsidRPr="009A67E7" w:rsidRDefault="006A276C" w:rsidP="009A67E7">
            <w:pPr>
              <w:pStyle w:val="Tabletext"/>
              <w:jc w:val="center"/>
            </w:pPr>
            <w:r w:rsidRPr="009A67E7">
              <w:t>170</w:t>
            </w:r>
          </w:p>
        </w:tc>
        <w:tc>
          <w:tcPr>
            <w:tcW w:w="1502" w:type="dxa"/>
            <w:tcBorders>
              <w:top w:val="single" w:sz="4" w:space="0" w:color="auto"/>
              <w:left w:val="single" w:sz="4" w:space="0" w:color="auto"/>
              <w:bottom w:val="single" w:sz="4" w:space="0" w:color="auto"/>
              <w:right w:val="single" w:sz="4" w:space="0" w:color="auto"/>
            </w:tcBorders>
          </w:tcPr>
          <w:p w14:paraId="44331B17" w14:textId="77777777" w:rsidR="006A276C" w:rsidRPr="009A67E7" w:rsidRDefault="006A276C" w:rsidP="009A67E7">
            <w:pPr>
              <w:pStyle w:val="Tabletext"/>
              <w:jc w:val="center"/>
            </w:pPr>
            <w:r w:rsidRPr="009A67E7">
              <w:t>COM6/14</w:t>
            </w:r>
          </w:p>
        </w:tc>
        <w:tc>
          <w:tcPr>
            <w:tcW w:w="1783" w:type="dxa"/>
            <w:tcBorders>
              <w:top w:val="single" w:sz="4" w:space="0" w:color="auto"/>
              <w:left w:val="single" w:sz="4" w:space="0" w:color="auto"/>
              <w:bottom w:val="single" w:sz="4" w:space="0" w:color="auto"/>
              <w:right w:val="single" w:sz="4" w:space="0" w:color="auto"/>
            </w:tcBorders>
          </w:tcPr>
          <w:p w14:paraId="77A31FC3" w14:textId="77777777" w:rsidR="006A276C" w:rsidRPr="009A67E7" w:rsidRDefault="006A276C" w:rsidP="009A67E7">
            <w:pPr>
              <w:pStyle w:val="Tabletext"/>
              <w:jc w:val="center"/>
            </w:pPr>
            <w:r w:rsidRPr="009A67E7">
              <w:t>773</w:t>
            </w:r>
          </w:p>
        </w:tc>
        <w:tc>
          <w:tcPr>
            <w:tcW w:w="1477" w:type="dxa"/>
            <w:tcBorders>
              <w:top w:val="single" w:sz="4" w:space="0" w:color="auto"/>
              <w:bottom w:val="single" w:sz="4" w:space="0" w:color="auto"/>
              <w:right w:val="single" w:sz="4" w:space="0" w:color="auto"/>
            </w:tcBorders>
          </w:tcPr>
          <w:p w14:paraId="480676F2" w14:textId="77777777" w:rsidR="006A276C" w:rsidRPr="009A67E7" w:rsidRDefault="006A276C" w:rsidP="009A67E7">
            <w:pPr>
              <w:pStyle w:val="Tabletext"/>
              <w:jc w:val="center"/>
            </w:pPr>
            <w:r w:rsidRPr="009A67E7">
              <w:t>COM4/1</w:t>
            </w:r>
          </w:p>
        </w:tc>
        <w:tc>
          <w:tcPr>
            <w:tcW w:w="1809" w:type="dxa"/>
            <w:tcBorders>
              <w:top w:val="single" w:sz="4" w:space="0" w:color="auto"/>
              <w:left w:val="single" w:sz="4" w:space="0" w:color="auto"/>
              <w:bottom w:val="single" w:sz="4" w:space="0" w:color="auto"/>
              <w:right w:val="single" w:sz="4" w:space="0" w:color="auto"/>
            </w:tcBorders>
          </w:tcPr>
          <w:p w14:paraId="3B0E0C8A" w14:textId="77777777" w:rsidR="006A276C" w:rsidRPr="009A67E7" w:rsidRDefault="006A276C" w:rsidP="009A67E7">
            <w:pPr>
              <w:pStyle w:val="Tabletext"/>
              <w:jc w:val="center"/>
            </w:pPr>
            <w:r w:rsidRPr="009A67E7">
              <w:t>208</w:t>
            </w:r>
          </w:p>
        </w:tc>
      </w:tr>
    </w:tbl>
    <w:p w14:paraId="78944179" w14:textId="0A8E7AFA" w:rsidR="00EB337E" w:rsidRDefault="00EB337E" w:rsidP="009A67E7">
      <w:pPr>
        <w:rPr>
          <w:lang w:val="es-ES_tradnl"/>
        </w:rPr>
      </w:pPr>
      <w:r>
        <w:rPr>
          <w:lang w:val="es-ES_tradnl"/>
        </w:rPr>
        <w:br w:type="page"/>
      </w:r>
    </w:p>
    <w:p w14:paraId="2BD9F46A" w14:textId="77777777" w:rsidR="00EB337E" w:rsidRPr="00EB337E" w:rsidRDefault="00EB337E" w:rsidP="00E772DA">
      <w:pPr>
        <w:pStyle w:val="AnnexNo"/>
        <w:rPr>
          <w:rFonts w:asciiTheme="minorHAnsi" w:hAnsiTheme="minorHAnsi"/>
          <w:bCs/>
          <w:lang w:val="es-ES_tradnl"/>
        </w:rPr>
      </w:pPr>
      <w:r w:rsidRPr="00EB337E">
        <w:rPr>
          <w:rFonts w:asciiTheme="minorHAnsi" w:hAnsiTheme="minorHAnsi"/>
          <w:bCs/>
          <w:lang w:val="es-ES_tradnl"/>
        </w:rPr>
        <w:lastRenderedPageBreak/>
        <w:t>ANEXO 4</w:t>
      </w:r>
    </w:p>
    <w:p w14:paraId="638253AF" w14:textId="7E48CEB4" w:rsidR="00EB337E" w:rsidRPr="00E772DA" w:rsidRDefault="00EB337E" w:rsidP="00E772DA">
      <w:pPr>
        <w:pStyle w:val="Annextitle0"/>
        <w:rPr>
          <w:lang w:val="es-ES"/>
        </w:rPr>
      </w:pPr>
      <w:r w:rsidRPr="00E772DA">
        <w:rPr>
          <w:lang w:val="es-ES"/>
        </w:rPr>
        <w:t>Informe sobre la primera sesión de la Reunión Preparatoria</w:t>
      </w:r>
      <w:r w:rsidRPr="00E772DA">
        <w:rPr>
          <w:lang w:val="es-ES"/>
        </w:rPr>
        <w:br/>
        <w:t>de la Conferencia para la CMR-</w:t>
      </w:r>
      <w:r w:rsidR="009A5544" w:rsidRPr="00E772DA">
        <w:rPr>
          <w:lang w:val="es-ES"/>
        </w:rPr>
        <w:t>23</w:t>
      </w:r>
    </w:p>
    <w:p w14:paraId="19D13DDD" w14:textId="2238598F" w:rsidR="00EB337E" w:rsidRPr="00EB337E" w:rsidRDefault="00EB337E" w:rsidP="009A67E7">
      <w:pPr>
        <w:pStyle w:val="Normalaftertitle"/>
        <w:rPr>
          <w:lang w:val="es-ES_tradnl"/>
        </w:rPr>
      </w:pPr>
      <w:r w:rsidRPr="00EB337E">
        <w:rPr>
          <w:lang w:val="es-ES_tradnl"/>
        </w:rPr>
        <w:t xml:space="preserve">La Reunión Preparatoria de la Conferencia de </w:t>
      </w:r>
      <w:r w:rsidR="009A5544">
        <w:rPr>
          <w:lang w:val="es-ES_tradnl"/>
        </w:rPr>
        <w:t>2023</w:t>
      </w:r>
      <w:r w:rsidRPr="00EB337E">
        <w:rPr>
          <w:lang w:val="es-ES_tradnl"/>
        </w:rPr>
        <w:t xml:space="preserve"> (RPC</w:t>
      </w:r>
      <w:r w:rsidRPr="00EB337E">
        <w:rPr>
          <w:lang w:val="es-ES_tradnl"/>
        </w:rPr>
        <w:noBreakHyphen/>
      </w:r>
      <w:r w:rsidR="009A5544">
        <w:rPr>
          <w:lang w:val="es-ES_tradnl"/>
        </w:rPr>
        <w:t>23</w:t>
      </w:r>
      <w:r w:rsidRPr="00EB337E">
        <w:rPr>
          <w:lang w:val="es-ES_tradnl"/>
        </w:rPr>
        <w:t>)</w:t>
      </w:r>
      <w:r w:rsidR="009A5544" w:rsidRPr="00564FF1">
        <w:rPr>
          <w:rFonts w:cs="Times New Roman"/>
          <w:szCs w:val="24"/>
          <w:lang w:val="es-ES"/>
        </w:rPr>
        <w:t xml:space="preserve">, </w:t>
      </w:r>
      <w:r w:rsidR="00ED3016">
        <w:rPr>
          <w:rFonts w:cs="Times New Roman"/>
          <w:szCs w:val="24"/>
          <w:lang w:val="es-ES"/>
        </w:rPr>
        <w:t>presidida por la Sra.</w:t>
      </w:r>
      <w:r w:rsidR="009A5544" w:rsidRPr="00564FF1">
        <w:rPr>
          <w:rFonts w:cs="Times New Roman"/>
          <w:szCs w:val="24"/>
          <w:lang w:val="es-ES"/>
        </w:rPr>
        <w:t xml:space="preserve"> Cindy COOK,</w:t>
      </w:r>
      <w:r w:rsidR="009A5544" w:rsidRPr="00564FF1">
        <w:rPr>
          <w:lang w:val="es-ES"/>
        </w:rPr>
        <w:t xml:space="preserve"> </w:t>
      </w:r>
      <w:r w:rsidRPr="00EB337E">
        <w:rPr>
          <w:lang w:val="es-ES_tradnl"/>
        </w:rPr>
        <w:t>celebró su primera sesión (</w:t>
      </w:r>
      <w:r w:rsidR="00ED3016">
        <w:rPr>
          <w:lang w:val="es-ES_tradnl"/>
        </w:rPr>
        <w:t>RPC</w:t>
      </w:r>
      <w:r w:rsidR="009A5544" w:rsidRPr="00E772DA">
        <w:rPr>
          <w:rFonts w:cs="Times New Roman"/>
          <w:szCs w:val="24"/>
          <w:lang w:val="es-ES"/>
        </w:rPr>
        <w:t>23</w:t>
      </w:r>
      <w:r w:rsidRPr="00EB337E">
        <w:rPr>
          <w:lang w:val="es-ES_tradnl"/>
        </w:rPr>
        <w:t xml:space="preserve">-1) en </w:t>
      </w:r>
      <w:r w:rsidR="009A5544" w:rsidRPr="009A5544">
        <w:rPr>
          <w:lang w:val="es-ES"/>
        </w:rPr>
        <w:t>Sharm el-Sheikh</w:t>
      </w:r>
      <w:r w:rsidR="00AE6CB2">
        <w:rPr>
          <w:lang w:val="es-ES"/>
        </w:rPr>
        <w:t xml:space="preserve"> </w:t>
      </w:r>
      <w:r w:rsidRPr="00EB337E">
        <w:rPr>
          <w:lang w:val="es-ES_tradnl"/>
        </w:rPr>
        <w:t>los días </w:t>
      </w:r>
      <w:r w:rsidR="009A5544" w:rsidRPr="00564FF1">
        <w:rPr>
          <w:rFonts w:cs="Times New Roman"/>
          <w:szCs w:val="24"/>
          <w:lang w:val="es-ES"/>
        </w:rPr>
        <w:t xml:space="preserve">25 </w:t>
      </w:r>
      <w:r w:rsidR="00ED3016">
        <w:rPr>
          <w:rFonts w:cs="Times New Roman"/>
          <w:szCs w:val="24"/>
          <w:lang w:val="es-ES"/>
        </w:rPr>
        <w:t>y</w:t>
      </w:r>
      <w:r w:rsidR="009A5544" w:rsidRPr="00564FF1">
        <w:rPr>
          <w:rFonts w:cs="Times New Roman"/>
          <w:szCs w:val="24"/>
          <w:lang w:val="es-ES"/>
        </w:rPr>
        <w:t xml:space="preserve"> 26</w:t>
      </w:r>
      <w:r w:rsidR="009A5544">
        <w:rPr>
          <w:rFonts w:cs="Times New Roman"/>
          <w:szCs w:val="24"/>
          <w:lang w:val="es-ES"/>
        </w:rPr>
        <w:t xml:space="preserve"> </w:t>
      </w:r>
      <w:r w:rsidRPr="00EB337E">
        <w:rPr>
          <w:lang w:val="es-ES_tradnl"/>
        </w:rPr>
        <w:t>de noviembre</w:t>
      </w:r>
      <w:r w:rsidR="00AE6CB2">
        <w:rPr>
          <w:lang w:val="es-ES_tradnl"/>
        </w:rPr>
        <w:t xml:space="preserve"> </w:t>
      </w:r>
      <w:r w:rsidR="00ED3016">
        <w:rPr>
          <w:lang w:val="es-ES_tradnl"/>
        </w:rPr>
        <w:t>de</w:t>
      </w:r>
      <w:r w:rsidRPr="00EB337E">
        <w:rPr>
          <w:lang w:val="es-ES_tradnl"/>
        </w:rPr>
        <w:t xml:space="preserve"> </w:t>
      </w:r>
      <w:r w:rsidR="009A5544" w:rsidRPr="00AE6CB2">
        <w:rPr>
          <w:rFonts w:cs="Times New Roman"/>
          <w:szCs w:val="24"/>
          <w:lang w:val="es-ES"/>
        </w:rPr>
        <w:t xml:space="preserve">2019 </w:t>
      </w:r>
      <w:r w:rsidR="00ED3016">
        <w:rPr>
          <w:rFonts w:cs="Times New Roman"/>
          <w:szCs w:val="24"/>
          <w:lang w:val="es-ES"/>
        </w:rPr>
        <w:t xml:space="preserve">por amable invitación de la Administración de Egipto. </w:t>
      </w:r>
      <w:r w:rsidR="00ED3016" w:rsidRPr="00A92266">
        <w:rPr>
          <w:rFonts w:cs="Times New Roman"/>
          <w:szCs w:val="24"/>
          <w:lang w:val="es-ES"/>
        </w:rPr>
        <w:t>El objetivo</w:t>
      </w:r>
      <w:r w:rsidR="00ED3016" w:rsidRPr="00AE6CB2">
        <w:rPr>
          <w:rFonts w:cs="Times New Roman"/>
          <w:szCs w:val="24"/>
          <w:lang w:val="es-ES"/>
        </w:rPr>
        <w:t xml:space="preserve"> de esta reunión era</w:t>
      </w:r>
      <w:r w:rsidRPr="00EB337E">
        <w:rPr>
          <w:lang w:val="es-ES_tradnl"/>
        </w:rPr>
        <w:t xml:space="preserve"> organizar y coordinar los estudios preparatorios de la CMR-</w:t>
      </w:r>
      <w:r w:rsidR="00991DDE">
        <w:rPr>
          <w:lang w:val="es-ES_tradnl"/>
        </w:rPr>
        <w:t>23</w:t>
      </w:r>
      <w:r w:rsidRPr="00EB337E">
        <w:rPr>
          <w:lang w:val="es-ES_tradnl"/>
        </w:rPr>
        <w:t xml:space="preserve">, a partir de los resultados de la Conferencia Mundial de Radiocomunicaciones de </w:t>
      </w:r>
      <w:r w:rsidR="00991DDE">
        <w:rPr>
          <w:lang w:val="es-ES_tradnl"/>
        </w:rPr>
        <w:t>2019</w:t>
      </w:r>
      <w:r w:rsidRPr="00EB337E">
        <w:rPr>
          <w:lang w:val="es-ES_tradnl"/>
        </w:rPr>
        <w:t xml:space="preserve"> (CMR</w:t>
      </w:r>
      <w:r w:rsidRPr="00EB337E">
        <w:rPr>
          <w:lang w:val="es-ES_tradnl"/>
        </w:rPr>
        <w:noBreakHyphen/>
      </w:r>
      <w:r w:rsidR="00991DDE">
        <w:rPr>
          <w:lang w:val="es-ES_tradnl"/>
        </w:rPr>
        <w:t>19</w:t>
      </w:r>
      <w:r w:rsidRPr="00EB337E">
        <w:rPr>
          <w:lang w:val="es-ES_tradnl"/>
        </w:rPr>
        <w:t>) (es decir, las Actas Finales provisionales de la CMR-</w:t>
      </w:r>
      <w:r w:rsidR="00991DDE">
        <w:rPr>
          <w:lang w:val="es-ES_tradnl"/>
        </w:rPr>
        <w:t>19</w:t>
      </w:r>
      <w:r w:rsidRPr="00EB337E">
        <w:rPr>
          <w:lang w:val="es-ES_tradnl"/>
        </w:rPr>
        <w:t xml:space="preserve">) y de las Resoluciones de la Asamblea de Radiocomunicaciones de </w:t>
      </w:r>
      <w:r w:rsidR="00991DDE">
        <w:rPr>
          <w:lang w:val="es-ES_tradnl"/>
        </w:rPr>
        <w:t>2019</w:t>
      </w:r>
      <w:r w:rsidRPr="00EB337E">
        <w:rPr>
          <w:lang w:val="es-ES_tradnl"/>
        </w:rPr>
        <w:t xml:space="preserve"> (AR-</w:t>
      </w:r>
      <w:r w:rsidR="00991DDE">
        <w:rPr>
          <w:lang w:val="es-ES_tradnl"/>
        </w:rPr>
        <w:t>19</w:t>
      </w:r>
      <w:r w:rsidRPr="00EB337E">
        <w:rPr>
          <w:lang w:val="es-ES_tradnl"/>
        </w:rPr>
        <w:t>) (es decir, las Resoluciones de la AR-</w:t>
      </w:r>
      <w:r w:rsidR="00991DDE">
        <w:rPr>
          <w:lang w:val="es-ES_tradnl"/>
        </w:rPr>
        <w:t>19</w:t>
      </w:r>
      <w:r w:rsidRPr="00EB337E">
        <w:rPr>
          <w:lang w:val="es-ES_tradnl"/>
        </w:rPr>
        <w:t>, en particular las Resoluciones UIT</w:t>
      </w:r>
      <w:r w:rsidRPr="00EB337E">
        <w:rPr>
          <w:lang w:val="es-ES_tradnl"/>
        </w:rPr>
        <w:noBreakHyphen/>
        <w:t>R 1-</w:t>
      </w:r>
      <w:r w:rsidR="00991DDE">
        <w:rPr>
          <w:lang w:val="es-ES_tradnl"/>
        </w:rPr>
        <w:t>8</w:t>
      </w:r>
      <w:r w:rsidRPr="00EB337E">
        <w:rPr>
          <w:lang w:val="es-ES_tradnl"/>
        </w:rPr>
        <w:t xml:space="preserve"> y UIT</w:t>
      </w:r>
      <w:r w:rsidRPr="00EB337E">
        <w:rPr>
          <w:lang w:val="es-ES_tradnl"/>
        </w:rPr>
        <w:noBreakHyphen/>
        <w:t>R 2-</w:t>
      </w:r>
      <w:r w:rsidR="00991DDE">
        <w:rPr>
          <w:lang w:val="es-ES_tradnl"/>
        </w:rPr>
        <w:t>8</w:t>
      </w:r>
      <w:r w:rsidRPr="00EB337E">
        <w:rPr>
          <w:lang w:val="es-ES_tradnl"/>
        </w:rPr>
        <w:t>).</w:t>
      </w:r>
    </w:p>
    <w:p w14:paraId="0AF8B313" w14:textId="7C894E02" w:rsidR="00EB337E" w:rsidRPr="00EB337E" w:rsidRDefault="00EB337E" w:rsidP="009A67E7">
      <w:pPr>
        <w:rPr>
          <w:lang w:val="es-ES_tradnl"/>
        </w:rPr>
      </w:pPr>
      <w:r w:rsidRPr="00EB337E">
        <w:rPr>
          <w:lang w:val="es-ES_tradnl"/>
        </w:rPr>
        <w:t xml:space="preserve">Asistieron a la reunión </w:t>
      </w:r>
      <w:r w:rsidR="00ED3016">
        <w:rPr>
          <w:lang w:val="es-ES_tradnl"/>
        </w:rPr>
        <w:t>330</w:t>
      </w:r>
      <w:r w:rsidR="00AE6CB2">
        <w:rPr>
          <w:szCs w:val="24"/>
          <w:lang w:val="es-ES"/>
        </w:rPr>
        <w:t xml:space="preserve"> </w:t>
      </w:r>
      <w:r w:rsidRPr="00EB337E">
        <w:rPr>
          <w:lang w:val="es-ES_tradnl"/>
        </w:rPr>
        <w:t>participantes pertenecientes a</w:t>
      </w:r>
      <w:r w:rsidR="00AE6CB2">
        <w:rPr>
          <w:lang w:val="es-ES_tradnl"/>
        </w:rPr>
        <w:t xml:space="preserve"> </w:t>
      </w:r>
      <w:r w:rsidR="00991DDE">
        <w:rPr>
          <w:lang w:val="es-ES_tradnl"/>
        </w:rPr>
        <w:t>73</w:t>
      </w:r>
      <w:r w:rsidRPr="00EB337E">
        <w:rPr>
          <w:lang w:val="es-ES_tradnl"/>
        </w:rPr>
        <w:t xml:space="preserve"> Estados Miembros, </w:t>
      </w:r>
      <w:r w:rsidR="00991DDE" w:rsidRPr="00564FF1">
        <w:rPr>
          <w:szCs w:val="24"/>
          <w:lang w:val="es-ES"/>
        </w:rPr>
        <w:t xml:space="preserve">11 </w:t>
      </w:r>
      <w:r w:rsidR="00ED3016">
        <w:rPr>
          <w:szCs w:val="24"/>
          <w:lang w:val="es-ES"/>
        </w:rPr>
        <w:t>empresas de explotación reconocidas, 9 organizaciones científicas o industriales, 5 organizaciones regionales e internacionales y 3 organizaciones regionales de telecomunicaciones, además de</w:t>
      </w:r>
      <w:r w:rsidRPr="00EB337E">
        <w:rPr>
          <w:lang w:val="es-ES_tradnl"/>
        </w:rPr>
        <w:t xml:space="preserve"> los Presidentes de las Comisiones de Estudio</w:t>
      </w:r>
      <w:r w:rsidR="0090457D">
        <w:rPr>
          <w:lang w:val="es-ES_tradnl"/>
        </w:rPr>
        <w:t xml:space="preserve"> (CE)</w:t>
      </w:r>
      <w:r w:rsidRPr="00EB337E">
        <w:rPr>
          <w:lang w:val="es-ES_tradnl"/>
        </w:rPr>
        <w:t xml:space="preserve"> 1, 3, 4, 5 y 6 del UIT-R</w:t>
      </w:r>
      <w:r w:rsidR="00AE6CB2">
        <w:rPr>
          <w:szCs w:val="24"/>
          <w:lang w:val="es-ES_tradnl"/>
        </w:rPr>
        <w:t xml:space="preserve"> </w:t>
      </w:r>
      <w:r w:rsidR="00ED3016">
        <w:rPr>
          <w:szCs w:val="24"/>
          <w:lang w:val="es-ES_tradnl"/>
        </w:rPr>
        <w:t>y del Presidente del GAR</w:t>
      </w:r>
      <w:r w:rsidRPr="00EB337E">
        <w:rPr>
          <w:lang w:val="es-ES_tradnl"/>
        </w:rPr>
        <w:t>.</w:t>
      </w:r>
    </w:p>
    <w:p w14:paraId="01FA9900" w14:textId="489C34A6" w:rsidR="00EB337E" w:rsidRPr="00EB337E" w:rsidRDefault="00EB337E" w:rsidP="009A67E7">
      <w:pPr>
        <w:rPr>
          <w:lang w:val="es-ES_tradnl"/>
        </w:rPr>
      </w:pPr>
      <w:r w:rsidRPr="00EB337E">
        <w:rPr>
          <w:lang w:val="es-ES_tradnl"/>
        </w:rPr>
        <w:t xml:space="preserve">Tras una detenida consideración de </w:t>
      </w:r>
      <w:r w:rsidR="00ED3016">
        <w:rPr>
          <w:lang w:val="es-ES_tradnl"/>
        </w:rPr>
        <w:t>once</w:t>
      </w:r>
      <w:r w:rsidRPr="00EB337E">
        <w:rPr>
          <w:lang w:val="es-ES_tradnl"/>
        </w:rPr>
        <w:t xml:space="preserve"> contribuciones, se acord</w:t>
      </w:r>
      <w:r w:rsidR="00ED3016">
        <w:rPr>
          <w:lang w:val="es-ES_tradnl"/>
        </w:rPr>
        <w:t>aron</w:t>
      </w:r>
      <w:r w:rsidRPr="00EB337E">
        <w:rPr>
          <w:lang w:val="es-ES_tradnl"/>
        </w:rPr>
        <w:t xml:space="preserve"> los métodos de trabajo para la preparación del proyecto de Informe de la RPC (véase el Anexo 5) junto con los capítulos, el índice y la estructura de temas del orden del día del proyecto de Informe de la RPC a la CMR</w:t>
      </w:r>
      <w:r w:rsidRPr="00EB337E">
        <w:rPr>
          <w:lang w:val="es-ES_tradnl"/>
        </w:rPr>
        <w:noBreakHyphen/>
      </w:r>
      <w:r w:rsidR="00ED3016">
        <w:rPr>
          <w:lang w:val="es-ES_tradnl"/>
        </w:rPr>
        <w:t>23</w:t>
      </w:r>
      <w:r w:rsidRPr="00EB337E">
        <w:rPr>
          <w:lang w:val="es-ES_tradnl"/>
        </w:rPr>
        <w:t xml:space="preserve"> (véase el Anexo 6).</w:t>
      </w:r>
    </w:p>
    <w:p w14:paraId="05CC5837" w14:textId="327D4FC3" w:rsidR="00EB337E" w:rsidRPr="00EB337E" w:rsidRDefault="00EB337E" w:rsidP="009A67E7">
      <w:pPr>
        <w:rPr>
          <w:lang w:val="es-ES_tradnl"/>
        </w:rPr>
      </w:pPr>
      <w:r w:rsidRPr="00EB337E">
        <w:rPr>
          <w:lang w:val="es-ES_tradnl"/>
        </w:rPr>
        <w:t>La atribución de los trabajos preparatorios se basó en la estructura de las Comisiones de Estudio del</w:t>
      </w:r>
      <w:r w:rsidR="00A96272">
        <w:rPr>
          <w:lang w:val="es-ES_tradnl"/>
        </w:rPr>
        <w:t> </w:t>
      </w:r>
      <w:r w:rsidRPr="00EB337E">
        <w:rPr>
          <w:lang w:val="es-ES_tradnl"/>
        </w:rPr>
        <w:t>UIT-R, que se recoge en el Documento</w:t>
      </w:r>
      <w:r w:rsidR="00AE6CB2">
        <w:rPr>
          <w:lang w:val="es-ES_tradnl"/>
        </w:rPr>
        <w:t xml:space="preserve"> </w:t>
      </w:r>
      <w:hyperlink r:id="rId9" w:history="1">
        <w:r w:rsidR="00991DDE" w:rsidRPr="00AE6CB2">
          <w:rPr>
            <w:rStyle w:val="Hyperlink"/>
            <w:rFonts w:asciiTheme="minorHAnsi" w:hAnsiTheme="minorHAnsi"/>
            <w:szCs w:val="24"/>
            <w:lang w:val="es-ES"/>
          </w:rPr>
          <w:t>CPM23-1/1</w:t>
        </w:r>
      </w:hyperlink>
      <w:r w:rsidRPr="00EB337E">
        <w:rPr>
          <w:lang w:val="es-ES_tradnl"/>
        </w:rPr>
        <w:t>. Cada punto o tema del orden del día de la CMR</w:t>
      </w:r>
      <w:r w:rsidRPr="00EB337E">
        <w:rPr>
          <w:lang w:val="es-ES_tradnl"/>
        </w:rPr>
        <w:noBreakHyphen/>
      </w:r>
      <w:r w:rsidR="00991DDE">
        <w:rPr>
          <w:lang w:val="es-ES_tradnl"/>
        </w:rPr>
        <w:t>23</w:t>
      </w:r>
      <w:r w:rsidRPr="00EB337E">
        <w:rPr>
          <w:lang w:val="es-ES_tradnl"/>
        </w:rPr>
        <w:t xml:space="preserve"> ha sido asignado</w:t>
      </w:r>
      <w:r w:rsidR="00ED3016">
        <w:rPr>
          <w:lang w:val="es-ES_tradnl"/>
        </w:rPr>
        <w:t>, siempre que ha sido posible,</w:t>
      </w:r>
      <w:r w:rsidRPr="00EB337E">
        <w:rPr>
          <w:lang w:val="es-ES_tradnl"/>
        </w:rPr>
        <w:t xml:space="preserve"> a un solo Grupo de Trabajo del UIT-R</w:t>
      </w:r>
      <w:r w:rsidR="00991DDE">
        <w:rPr>
          <w:lang w:val="es-ES_tradnl"/>
        </w:rPr>
        <w:t xml:space="preserve"> </w:t>
      </w:r>
      <w:r w:rsidR="00991DDE" w:rsidRPr="00991DDE">
        <w:rPr>
          <w:szCs w:val="24"/>
          <w:lang w:val="es-ES"/>
        </w:rPr>
        <w:t>(</w:t>
      </w:r>
      <w:r w:rsidR="00A92266">
        <w:rPr>
          <w:szCs w:val="24"/>
          <w:lang w:val="es-ES"/>
        </w:rPr>
        <w:t>GT</w:t>
      </w:r>
      <w:r w:rsidR="00991DDE" w:rsidRPr="00991DDE">
        <w:rPr>
          <w:szCs w:val="24"/>
          <w:lang w:val="es-ES"/>
        </w:rPr>
        <w:t>),</w:t>
      </w:r>
      <w:r w:rsidRPr="00EB337E">
        <w:rPr>
          <w:lang w:val="es-ES_tradnl"/>
        </w:rPr>
        <w:t xml:space="preserve"> que se encargará de realizar los trabajos preparatorios correspondientes y se ha invitado a otros Grupos del UIT-R </w:t>
      </w:r>
      <w:r w:rsidR="00553884" w:rsidRPr="00564FF1">
        <w:rPr>
          <w:szCs w:val="24"/>
          <w:lang w:val="es-ES"/>
        </w:rPr>
        <w:t>contribu</w:t>
      </w:r>
      <w:r w:rsidR="00ED3016">
        <w:rPr>
          <w:szCs w:val="24"/>
          <w:lang w:val="es-ES"/>
        </w:rPr>
        <w:t>yentes</w:t>
      </w:r>
      <w:r w:rsidRPr="00EB337E">
        <w:rPr>
          <w:position w:val="6"/>
          <w:sz w:val="18"/>
          <w:lang w:val="es-ES_tradnl"/>
        </w:rPr>
        <w:footnoteReference w:customMarkFollows="1" w:id="6"/>
        <w:sym w:font="Symbol" w:char="F02A"/>
      </w:r>
      <w:r w:rsidRPr="00EB337E">
        <w:rPr>
          <w:lang w:val="es-ES_tradnl"/>
        </w:rPr>
        <w:t xml:space="preserve">, según las necesidades (véanse los Anexos 7 y 8) a que aporten contribuciones y/o su participación. </w:t>
      </w:r>
      <w:r w:rsidR="00ED3016">
        <w:rPr>
          <w:lang w:val="es-ES_tradnl"/>
        </w:rPr>
        <w:t>En los casos en que ha sido necesario, se han añadido</w:t>
      </w:r>
      <w:r w:rsidRPr="00EB337E">
        <w:rPr>
          <w:lang w:val="es-ES_tradnl"/>
        </w:rPr>
        <w:t xml:space="preserve"> notas para aclarar las responsabilidades de los Grupos de Trabajo identificados.</w:t>
      </w:r>
      <w:r w:rsidR="00AE6CB2">
        <w:rPr>
          <w:lang w:val="es-ES_tradnl"/>
        </w:rPr>
        <w:t xml:space="preserve"> </w:t>
      </w:r>
      <w:r w:rsidR="00ED3016">
        <w:rPr>
          <w:lang w:val="es-ES_tradnl"/>
        </w:rPr>
        <w:t>En un caso</w:t>
      </w:r>
      <w:r w:rsidRPr="00EB337E">
        <w:rPr>
          <w:lang w:val="es-ES_tradnl"/>
        </w:rPr>
        <w:t xml:space="preserve">, a título excepcional, se </w:t>
      </w:r>
      <w:r w:rsidR="00ED3016">
        <w:rPr>
          <w:lang w:val="es-ES_tradnl"/>
        </w:rPr>
        <w:t>ha decidido</w:t>
      </w:r>
      <w:r w:rsidRPr="00EB337E">
        <w:rPr>
          <w:lang w:val="es-ES_tradnl"/>
        </w:rPr>
        <w:t xml:space="preserve"> invitar a la Comisión de Estudio </w:t>
      </w:r>
      <w:r w:rsidR="00553884">
        <w:rPr>
          <w:lang w:val="es-ES_tradnl"/>
        </w:rPr>
        <w:t>6</w:t>
      </w:r>
      <w:r w:rsidRPr="00EB337E">
        <w:rPr>
          <w:lang w:val="es-ES_tradnl"/>
        </w:rPr>
        <w:t xml:space="preserve"> a crear un Grupo de Tareas Especiales</w:t>
      </w:r>
      <w:r w:rsidR="00AE6CB2">
        <w:rPr>
          <w:lang w:val="es-ES_tradnl"/>
        </w:rPr>
        <w:t> </w:t>
      </w:r>
      <w:r w:rsidR="00553884">
        <w:rPr>
          <w:lang w:val="es-ES_tradnl"/>
        </w:rPr>
        <w:t>6</w:t>
      </w:r>
      <w:r w:rsidRPr="00EB337E">
        <w:rPr>
          <w:lang w:val="es-ES_tradnl"/>
        </w:rPr>
        <w:t xml:space="preserve">/1 (GTE </w:t>
      </w:r>
      <w:r w:rsidR="00553884">
        <w:rPr>
          <w:lang w:val="es-ES_tradnl"/>
        </w:rPr>
        <w:t>6</w:t>
      </w:r>
      <w:r w:rsidRPr="00EB337E">
        <w:rPr>
          <w:lang w:val="es-ES_tradnl"/>
        </w:rPr>
        <w:t>/1), encargado de realizar estudios preparatorios sobre el punto 1.</w:t>
      </w:r>
      <w:r w:rsidR="00553884">
        <w:rPr>
          <w:lang w:val="es-ES_tradnl"/>
        </w:rPr>
        <w:t>5</w:t>
      </w:r>
      <w:r w:rsidRPr="00EB337E">
        <w:rPr>
          <w:lang w:val="es-ES_tradnl"/>
        </w:rPr>
        <w:t xml:space="preserve"> del orden del día de la CMR-</w:t>
      </w:r>
      <w:r w:rsidR="00553884">
        <w:rPr>
          <w:lang w:val="es-ES_tradnl"/>
        </w:rPr>
        <w:t>23</w:t>
      </w:r>
      <w:r w:rsidRPr="00EB337E">
        <w:rPr>
          <w:lang w:val="es-ES_tradnl"/>
        </w:rPr>
        <w:t xml:space="preserve"> (véase la Decisión de la </w:t>
      </w:r>
      <w:r w:rsidR="00A96272">
        <w:rPr>
          <w:szCs w:val="24"/>
          <w:lang w:val="es-ES"/>
        </w:rPr>
        <w:t>R</w:t>
      </w:r>
      <w:r w:rsidR="00553884" w:rsidRPr="00553884">
        <w:rPr>
          <w:szCs w:val="24"/>
          <w:lang w:val="es-ES"/>
        </w:rPr>
        <w:t>P</w:t>
      </w:r>
      <w:r w:rsidR="00A96272">
        <w:rPr>
          <w:szCs w:val="24"/>
          <w:lang w:val="es-ES"/>
        </w:rPr>
        <w:t>C</w:t>
      </w:r>
      <w:r w:rsidR="00553884" w:rsidRPr="00553884">
        <w:rPr>
          <w:szCs w:val="24"/>
          <w:lang w:val="es-ES"/>
        </w:rPr>
        <w:t>23</w:t>
      </w:r>
      <w:r w:rsidRPr="00EB337E">
        <w:rPr>
          <w:lang w:val="es-ES_tradnl"/>
        </w:rPr>
        <w:noBreakHyphen/>
        <w:t>1 adjunta en el Anexo 9 a la presente Circular Administrativa).</w:t>
      </w:r>
    </w:p>
    <w:p w14:paraId="1C69EEB6" w14:textId="1051DCC2" w:rsidR="00553884" w:rsidRPr="00AE6CB2" w:rsidRDefault="00CA7347" w:rsidP="009A67E7">
      <w:pPr>
        <w:rPr>
          <w:lang w:val="es-ES_tradnl"/>
        </w:rPr>
      </w:pPr>
      <w:r w:rsidRPr="00AE6CB2">
        <w:rPr>
          <w:lang w:val="es-ES_tradnl"/>
        </w:rPr>
        <w:t xml:space="preserve">De acuerdo con el </w:t>
      </w:r>
      <w:r w:rsidRPr="00AE6CB2">
        <w:rPr>
          <w:i/>
          <w:iCs/>
          <w:lang w:val="es-ES_tradnl"/>
        </w:rPr>
        <w:t>decide</w:t>
      </w:r>
      <w:r w:rsidR="00553884" w:rsidRPr="00AE6CB2">
        <w:rPr>
          <w:i/>
          <w:lang w:val="es-ES_tradnl"/>
        </w:rPr>
        <w:t xml:space="preserve"> 7</w:t>
      </w:r>
      <w:r w:rsidR="00553884" w:rsidRPr="00AE6CB2">
        <w:rPr>
          <w:lang w:val="es-ES_tradnl"/>
        </w:rPr>
        <w:t xml:space="preserve"> </w:t>
      </w:r>
      <w:r w:rsidRPr="00AE6CB2">
        <w:rPr>
          <w:lang w:val="es-ES_tradnl"/>
        </w:rPr>
        <w:t>de la Decisión de la RPC</w:t>
      </w:r>
      <w:r w:rsidR="00553884" w:rsidRPr="00AE6CB2">
        <w:rPr>
          <w:lang w:val="es-ES_tradnl"/>
        </w:rPr>
        <w:t xml:space="preserve">23-1 </w:t>
      </w:r>
      <w:r w:rsidRPr="00AE6CB2">
        <w:rPr>
          <w:lang w:val="es-ES_tradnl"/>
        </w:rPr>
        <w:t>que se reproduce en el Anexo</w:t>
      </w:r>
      <w:r w:rsidR="00553884" w:rsidRPr="00AE6CB2">
        <w:rPr>
          <w:lang w:val="es-ES_tradnl"/>
        </w:rPr>
        <w:t xml:space="preserve"> 9, </w:t>
      </w:r>
      <w:r w:rsidRPr="00AE6CB2">
        <w:rPr>
          <w:lang w:val="es-ES_tradnl"/>
        </w:rPr>
        <w:t>la Comisión de Estudio 6 nombrará al Presidente del GTE</w:t>
      </w:r>
      <w:r w:rsidR="00AE6CB2">
        <w:rPr>
          <w:lang w:val="es-ES_tradnl"/>
        </w:rPr>
        <w:t> </w:t>
      </w:r>
      <w:r w:rsidR="00553884" w:rsidRPr="00AE6CB2">
        <w:rPr>
          <w:lang w:val="es-ES_tradnl"/>
        </w:rPr>
        <w:t xml:space="preserve">6/1 </w:t>
      </w:r>
      <w:r w:rsidRPr="00AE6CB2">
        <w:rPr>
          <w:lang w:val="es-ES_tradnl"/>
        </w:rPr>
        <w:t>y la Comisión d</w:t>
      </w:r>
      <w:r>
        <w:rPr>
          <w:lang w:val="es-ES_tradnl"/>
        </w:rPr>
        <w:t>e Estudio</w:t>
      </w:r>
      <w:r w:rsidR="00AE6CB2">
        <w:rPr>
          <w:lang w:val="es-ES_tradnl"/>
        </w:rPr>
        <w:t> </w:t>
      </w:r>
      <w:r>
        <w:rPr>
          <w:lang w:val="es-ES_tradnl"/>
        </w:rPr>
        <w:t>5 nombrará al Vicepresidente, habida cuenta de las negociaciones y consultas informales que se celebraron durante la RPC</w:t>
      </w:r>
      <w:r w:rsidR="00553884" w:rsidRPr="00AE6CB2">
        <w:rPr>
          <w:lang w:val="es-ES_tradnl"/>
        </w:rPr>
        <w:t xml:space="preserve">23-1. </w:t>
      </w:r>
      <w:r w:rsidRPr="00CA7347">
        <w:rPr>
          <w:lang w:val="es-ES_tradnl"/>
        </w:rPr>
        <w:t>En</w:t>
      </w:r>
      <w:r w:rsidRPr="00AE6CB2">
        <w:rPr>
          <w:lang w:val="es-ES_tradnl"/>
        </w:rPr>
        <w:t xml:space="preserve"> cuanto a la programación de las reuniones del GTE</w:t>
      </w:r>
      <w:r w:rsidR="00AE6CB2">
        <w:rPr>
          <w:lang w:val="es-ES_tradnl"/>
        </w:rPr>
        <w:t> </w:t>
      </w:r>
      <w:r w:rsidR="00553884" w:rsidRPr="00AE6CB2">
        <w:rPr>
          <w:lang w:val="es-ES_tradnl"/>
        </w:rPr>
        <w:t xml:space="preserve">6/1, </w:t>
      </w:r>
      <w:r w:rsidRPr="00AE6CB2">
        <w:rPr>
          <w:lang w:val="es-ES_tradnl"/>
        </w:rPr>
        <w:t>se invita al Departamento de Comisiones de Estudio de la Oficina de Radiocomunicaciones a tener en cuenta concretam</w:t>
      </w:r>
      <w:r>
        <w:rPr>
          <w:lang w:val="es-ES_tradnl"/>
        </w:rPr>
        <w:t xml:space="preserve">ente los </w:t>
      </w:r>
      <w:r>
        <w:rPr>
          <w:i/>
          <w:iCs/>
          <w:lang w:val="es-ES_tradnl"/>
        </w:rPr>
        <w:t>decide</w:t>
      </w:r>
      <w:r w:rsidR="00553884" w:rsidRPr="00AE6CB2">
        <w:rPr>
          <w:i/>
          <w:iCs/>
          <w:lang w:val="es-ES_tradnl"/>
        </w:rPr>
        <w:t xml:space="preserve"> </w:t>
      </w:r>
      <w:r w:rsidR="00553884" w:rsidRPr="00AE6CB2">
        <w:rPr>
          <w:iCs/>
          <w:lang w:val="es-ES_tradnl"/>
        </w:rPr>
        <w:t>8</w:t>
      </w:r>
      <w:r w:rsidR="00553884" w:rsidRPr="00AE6CB2">
        <w:rPr>
          <w:lang w:val="es-ES_tradnl"/>
        </w:rPr>
        <w:t xml:space="preserve"> </w:t>
      </w:r>
      <w:r>
        <w:rPr>
          <w:lang w:val="es-ES_tradnl"/>
        </w:rPr>
        <w:t>y</w:t>
      </w:r>
      <w:r w:rsidR="00553884" w:rsidRPr="00AE6CB2">
        <w:rPr>
          <w:lang w:val="es-ES_tradnl"/>
        </w:rPr>
        <w:t xml:space="preserve"> </w:t>
      </w:r>
      <w:r w:rsidR="00553884" w:rsidRPr="00AE6CB2">
        <w:rPr>
          <w:iCs/>
          <w:lang w:val="es-ES_tradnl"/>
        </w:rPr>
        <w:t>9</w:t>
      </w:r>
      <w:r w:rsidR="00553884" w:rsidRPr="00AE6CB2">
        <w:rPr>
          <w:lang w:val="es-ES_tradnl"/>
        </w:rPr>
        <w:t xml:space="preserve"> </w:t>
      </w:r>
      <w:r>
        <w:rPr>
          <w:lang w:val="es-ES_tradnl"/>
        </w:rPr>
        <w:t>de esa misma Decisión y a considerar, según proceda, la posibilidad de programar las reuniones simultáneamente con las de la</w:t>
      </w:r>
      <w:r w:rsidR="0090457D">
        <w:rPr>
          <w:lang w:val="es-ES_tradnl"/>
        </w:rPr>
        <w:t>s</w:t>
      </w:r>
      <w:r>
        <w:rPr>
          <w:lang w:val="es-ES_tradnl"/>
        </w:rPr>
        <w:t xml:space="preserve"> C</w:t>
      </w:r>
      <w:r w:rsidR="0090457D">
        <w:rPr>
          <w:lang w:val="es-ES_tradnl"/>
        </w:rPr>
        <w:t xml:space="preserve">omisiones de </w:t>
      </w:r>
      <w:r>
        <w:rPr>
          <w:lang w:val="es-ES_tradnl"/>
        </w:rPr>
        <w:t>E</w:t>
      </w:r>
      <w:r w:rsidR="0090457D">
        <w:rPr>
          <w:lang w:val="es-ES_tradnl"/>
        </w:rPr>
        <w:t>studio</w:t>
      </w:r>
      <w:r w:rsidR="00AB3FE9">
        <w:rPr>
          <w:lang w:val="es-ES_tradnl"/>
        </w:rPr>
        <w:t> </w:t>
      </w:r>
      <w:r>
        <w:rPr>
          <w:lang w:val="es-ES_tradnl"/>
        </w:rPr>
        <w:t>5 y 6</w:t>
      </w:r>
      <w:r w:rsidR="00553884" w:rsidRPr="00AE6CB2">
        <w:rPr>
          <w:lang w:val="es-ES_tradnl"/>
        </w:rPr>
        <w:t>.</w:t>
      </w:r>
    </w:p>
    <w:p w14:paraId="26F782A0" w14:textId="16484EAF" w:rsidR="00553884" w:rsidRPr="000C45A6" w:rsidRDefault="00CA7347" w:rsidP="009A67E7">
      <w:pPr>
        <w:rPr>
          <w:lang w:val="es-ES_tradnl"/>
        </w:rPr>
      </w:pPr>
      <w:r>
        <w:rPr>
          <w:lang w:val="es-ES_tradnl"/>
        </w:rPr>
        <w:t>Al asignar</w:t>
      </w:r>
      <w:r w:rsidRPr="000C45A6">
        <w:rPr>
          <w:lang w:val="es-ES_tradnl"/>
        </w:rPr>
        <w:t xml:space="preserve"> los puntos</w:t>
      </w:r>
      <w:r w:rsidR="00553884" w:rsidRPr="000C45A6">
        <w:rPr>
          <w:lang w:val="es-ES_tradnl"/>
        </w:rPr>
        <w:t xml:space="preserve"> 1.6, 1.7 </w:t>
      </w:r>
      <w:r w:rsidRPr="000C45A6">
        <w:rPr>
          <w:lang w:val="es-ES_tradnl"/>
        </w:rPr>
        <w:t>y</w:t>
      </w:r>
      <w:r w:rsidR="00553884" w:rsidRPr="000C45A6">
        <w:rPr>
          <w:lang w:val="es-ES_tradnl"/>
        </w:rPr>
        <w:t xml:space="preserve"> 1.8 </w:t>
      </w:r>
      <w:r>
        <w:rPr>
          <w:lang w:val="es-ES_tradnl"/>
        </w:rPr>
        <w:t xml:space="preserve">del orden del día al </w:t>
      </w:r>
      <w:r w:rsidR="00A92266">
        <w:rPr>
          <w:lang w:val="es-ES_tradnl"/>
        </w:rPr>
        <w:t>GT</w:t>
      </w:r>
      <w:r w:rsidR="000C45A6">
        <w:rPr>
          <w:lang w:val="es-ES_tradnl"/>
        </w:rPr>
        <w:t> </w:t>
      </w:r>
      <w:r w:rsidR="00553884" w:rsidRPr="000C45A6">
        <w:rPr>
          <w:lang w:val="es-ES_tradnl"/>
        </w:rPr>
        <w:t xml:space="preserve">5B, </w:t>
      </w:r>
      <w:r>
        <w:rPr>
          <w:lang w:val="es-ES_tradnl"/>
        </w:rPr>
        <w:t>la RPC</w:t>
      </w:r>
      <w:r w:rsidR="00553884" w:rsidRPr="000C45A6">
        <w:rPr>
          <w:lang w:val="es-ES_tradnl"/>
        </w:rPr>
        <w:t xml:space="preserve">23-1 </w:t>
      </w:r>
      <w:r>
        <w:rPr>
          <w:lang w:val="es-ES_tradnl"/>
        </w:rPr>
        <w:t>señaló que esos puntos del orden del día contienen aspectos relativos a los satélites que necesitan de los conocimientos de los participantes en la CE</w:t>
      </w:r>
      <w:r w:rsidR="000C45A6">
        <w:rPr>
          <w:lang w:val="es-ES_tradnl"/>
        </w:rPr>
        <w:t> </w:t>
      </w:r>
      <w:r>
        <w:rPr>
          <w:lang w:val="es-ES_tradnl"/>
        </w:rPr>
        <w:t xml:space="preserve">4. </w:t>
      </w:r>
      <w:r w:rsidRPr="00CA7347">
        <w:rPr>
          <w:lang w:val="es-ES_tradnl"/>
        </w:rPr>
        <w:t xml:space="preserve">Por </w:t>
      </w:r>
      <w:r w:rsidRPr="000C45A6">
        <w:rPr>
          <w:lang w:val="es-ES_tradnl"/>
        </w:rPr>
        <w:t xml:space="preserve">consiguiente, se invita al </w:t>
      </w:r>
      <w:r w:rsidR="00A92266">
        <w:rPr>
          <w:lang w:val="es-ES_tradnl"/>
        </w:rPr>
        <w:t>GT</w:t>
      </w:r>
      <w:r w:rsidR="000C45A6">
        <w:rPr>
          <w:lang w:val="es-ES_tradnl"/>
        </w:rPr>
        <w:t> </w:t>
      </w:r>
      <w:r w:rsidR="00553884" w:rsidRPr="000C45A6">
        <w:rPr>
          <w:lang w:val="es-ES_tradnl"/>
        </w:rPr>
        <w:t xml:space="preserve">5B </w:t>
      </w:r>
      <w:r w:rsidRPr="000C45A6">
        <w:rPr>
          <w:lang w:val="es-ES_tradnl"/>
        </w:rPr>
        <w:t>a crear un nuevo Grupo de Trabajo (GT) responsable de los pu</w:t>
      </w:r>
      <w:r>
        <w:rPr>
          <w:lang w:val="es-ES_tradnl"/>
        </w:rPr>
        <w:t>ntos</w:t>
      </w:r>
      <w:r w:rsidR="00553884" w:rsidRPr="000C45A6">
        <w:rPr>
          <w:lang w:val="es-ES_tradnl"/>
        </w:rPr>
        <w:t xml:space="preserve"> 1.6, 1.7 </w:t>
      </w:r>
      <w:r>
        <w:rPr>
          <w:lang w:val="es-ES_tradnl"/>
        </w:rPr>
        <w:t>y</w:t>
      </w:r>
      <w:r w:rsidR="00553884" w:rsidRPr="000C45A6">
        <w:rPr>
          <w:lang w:val="es-ES_tradnl"/>
        </w:rPr>
        <w:t xml:space="preserve"> 1.8 </w:t>
      </w:r>
      <w:r>
        <w:rPr>
          <w:lang w:val="es-ES_tradnl"/>
        </w:rPr>
        <w:t xml:space="preserve">del orden del día presidido por un experto en satélites. </w:t>
      </w:r>
      <w:r w:rsidRPr="00CA7347">
        <w:rPr>
          <w:lang w:val="es-ES_tradnl"/>
        </w:rPr>
        <w:t>También s</w:t>
      </w:r>
      <w:r w:rsidR="000C45A6">
        <w:rPr>
          <w:lang w:val="es-ES_tradnl"/>
        </w:rPr>
        <w:t>e</w:t>
      </w:r>
      <w:r w:rsidRPr="00CA7347">
        <w:rPr>
          <w:lang w:val="es-ES_tradnl"/>
        </w:rPr>
        <w:t xml:space="preserve"> invita al </w:t>
      </w:r>
      <w:r w:rsidR="00A92266">
        <w:rPr>
          <w:lang w:val="es-ES_tradnl"/>
        </w:rPr>
        <w:t>GT</w:t>
      </w:r>
      <w:r w:rsidR="000C45A6">
        <w:rPr>
          <w:lang w:val="es-ES_tradnl"/>
        </w:rPr>
        <w:t> </w:t>
      </w:r>
      <w:r w:rsidR="00553884" w:rsidRPr="000C45A6">
        <w:rPr>
          <w:lang w:val="es-ES_tradnl"/>
        </w:rPr>
        <w:t xml:space="preserve">5B </w:t>
      </w:r>
      <w:r w:rsidRPr="000C45A6">
        <w:rPr>
          <w:lang w:val="es-ES_tradnl"/>
        </w:rPr>
        <w:t>a organizar sus reuniones de tal manera que se facilite la presentación de contribu</w:t>
      </w:r>
      <w:r>
        <w:rPr>
          <w:lang w:val="es-ES_tradnl"/>
        </w:rPr>
        <w:t xml:space="preserve">ciones de expertos de los </w:t>
      </w:r>
      <w:r w:rsidR="00A92266">
        <w:rPr>
          <w:lang w:val="es-ES_tradnl"/>
        </w:rPr>
        <w:t>GT</w:t>
      </w:r>
      <w:r w:rsidR="000C45A6">
        <w:rPr>
          <w:lang w:val="es-ES_tradnl"/>
        </w:rPr>
        <w:t> </w:t>
      </w:r>
      <w:r w:rsidR="00553884" w:rsidRPr="000C45A6">
        <w:rPr>
          <w:lang w:val="es-ES_tradnl"/>
        </w:rPr>
        <w:t xml:space="preserve">4A </w:t>
      </w:r>
      <w:r>
        <w:rPr>
          <w:lang w:val="es-ES_tradnl"/>
        </w:rPr>
        <w:t>y</w:t>
      </w:r>
      <w:r w:rsidR="00553884" w:rsidRPr="000C45A6">
        <w:rPr>
          <w:lang w:val="es-ES_tradnl"/>
        </w:rPr>
        <w:t xml:space="preserve"> 4C </w:t>
      </w:r>
      <w:r>
        <w:rPr>
          <w:lang w:val="es-ES_tradnl"/>
        </w:rPr>
        <w:t xml:space="preserve">a los trabajos del mencionado GT y a los trabajos </w:t>
      </w:r>
      <w:r>
        <w:rPr>
          <w:lang w:val="es-ES_tradnl"/>
        </w:rPr>
        <w:lastRenderedPageBreak/>
        <w:t xml:space="preserve">relacionados con el punto 1.11 del orden del día. </w:t>
      </w:r>
      <w:r w:rsidRPr="00CA7347">
        <w:rPr>
          <w:lang w:val="es-ES_tradnl"/>
        </w:rPr>
        <w:t>Se invita a lo</w:t>
      </w:r>
      <w:r w:rsidRPr="000C45A6">
        <w:rPr>
          <w:lang w:val="es-ES_tradnl"/>
        </w:rPr>
        <w:t xml:space="preserve">s </w:t>
      </w:r>
      <w:r w:rsidR="00A92266">
        <w:rPr>
          <w:lang w:val="es-ES_tradnl"/>
        </w:rPr>
        <w:t>GT</w:t>
      </w:r>
      <w:r w:rsidR="000C45A6">
        <w:rPr>
          <w:lang w:val="es-ES_tradnl"/>
        </w:rPr>
        <w:t> </w:t>
      </w:r>
      <w:r w:rsidR="00553884" w:rsidRPr="000C45A6">
        <w:rPr>
          <w:lang w:val="es-ES_tradnl"/>
        </w:rPr>
        <w:t xml:space="preserve">4A </w:t>
      </w:r>
      <w:r w:rsidRPr="000C45A6">
        <w:rPr>
          <w:lang w:val="es-ES_tradnl"/>
        </w:rPr>
        <w:t>y</w:t>
      </w:r>
      <w:r w:rsidR="00553884" w:rsidRPr="000C45A6">
        <w:rPr>
          <w:lang w:val="es-ES_tradnl"/>
        </w:rPr>
        <w:t xml:space="preserve"> 4C a</w:t>
      </w:r>
      <w:r w:rsidRPr="000C45A6">
        <w:rPr>
          <w:lang w:val="es-ES_tradnl"/>
        </w:rPr>
        <w:t xml:space="preserve"> designar relatores para facilitar la interacción entre los Grupos de Trabajo y se anima a los</w:t>
      </w:r>
      <w:r>
        <w:rPr>
          <w:lang w:val="es-ES_tradnl"/>
        </w:rPr>
        <w:t xml:space="preserve"> expertos en satélites a participar en los trabajos del </w:t>
      </w:r>
      <w:r w:rsidR="00A92266">
        <w:rPr>
          <w:lang w:val="es-ES_tradnl"/>
        </w:rPr>
        <w:t>GT</w:t>
      </w:r>
      <w:r w:rsidR="000C45A6">
        <w:rPr>
          <w:lang w:val="es-ES_tradnl"/>
        </w:rPr>
        <w:t> </w:t>
      </w:r>
      <w:r w:rsidR="00553884" w:rsidRPr="000C45A6">
        <w:rPr>
          <w:lang w:val="es-ES_tradnl"/>
        </w:rPr>
        <w:t>5B.</w:t>
      </w:r>
    </w:p>
    <w:p w14:paraId="005B0B0C" w14:textId="3E7A90E7" w:rsidR="00553884" w:rsidRPr="000C45A6" w:rsidRDefault="00CA7347" w:rsidP="009A67E7">
      <w:pPr>
        <w:rPr>
          <w:lang w:val="es-ES"/>
        </w:rPr>
      </w:pPr>
      <w:r w:rsidRPr="000C45A6">
        <w:rPr>
          <w:lang w:val="es-ES_tradnl"/>
        </w:rPr>
        <w:t>Se señaló que varios puntos del orden del día tratan de la</w:t>
      </w:r>
      <w:r>
        <w:rPr>
          <w:lang w:val="es-ES_tradnl"/>
        </w:rPr>
        <w:t>s mismas bandas de frecuencias, como se muestra en el Cuadro</w:t>
      </w:r>
      <w:r w:rsidR="000C45A6">
        <w:rPr>
          <w:lang w:val="es-ES_tradnl"/>
        </w:rPr>
        <w:t> </w:t>
      </w:r>
      <w:r>
        <w:rPr>
          <w:lang w:val="es-ES_tradnl"/>
        </w:rPr>
        <w:t xml:space="preserve">1 siguiente. </w:t>
      </w:r>
      <w:r w:rsidRPr="00CA7347">
        <w:rPr>
          <w:lang w:val="es-ES_tradnl"/>
        </w:rPr>
        <w:t>Se in</w:t>
      </w:r>
      <w:r w:rsidRPr="000C45A6">
        <w:rPr>
          <w:lang w:val="es-ES_tradnl"/>
        </w:rPr>
        <w:t xml:space="preserve">vita a los </w:t>
      </w:r>
      <w:r w:rsidR="000C45A6">
        <w:rPr>
          <w:lang w:val="es-ES_tradnl"/>
        </w:rPr>
        <w:t>g</w:t>
      </w:r>
      <w:r w:rsidRPr="000C45A6">
        <w:rPr>
          <w:lang w:val="es-ES_tradnl"/>
        </w:rPr>
        <w:t>rupos respo</w:t>
      </w:r>
      <w:r>
        <w:rPr>
          <w:lang w:val="es-ES_tradnl"/>
        </w:rPr>
        <w:t>n</w:t>
      </w:r>
      <w:r w:rsidRPr="000C45A6">
        <w:rPr>
          <w:lang w:val="es-ES_tradnl"/>
        </w:rPr>
        <w:t>sables a intercambiar las características, parámetros y cr</w:t>
      </w:r>
      <w:r>
        <w:rPr>
          <w:lang w:val="es-ES_tradnl"/>
        </w:rPr>
        <w:t xml:space="preserve">iterios de protección necesarios para completar los estudios de compatibilidad mutua y viabilidad de la compartición entre los servicios/aplicaciones pertinentes. </w:t>
      </w:r>
      <w:r w:rsidRPr="00CA7347">
        <w:rPr>
          <w:lang w:val="es-ES_tradnl"/>
        </w:rPr>
        <w:t>Se</w:t>
      </w:r>
      <w:r w:rsidRPr="000C45A6">
        <w:rPr>
          <w:lang w:val="es-ES_tradnl"/>
        </w:rPr>
        <w:t>rá necesario coordinar los trabajos y examinar, según proceda, la evolución de l</w:t>
      </w:r>
      <w:r>
        <w:rPr>
          <w:lang w:val="es-ES_tradnl"/>
        </w:rPr>
        <w:t>os estudios a fin de resolver toda dificultad que pueda surgir</w:t>
      </w:r>
      <w:r w:rsidR="00553884" w:rsidRPr="000C45A6">
        <w:rPr>
          <w:lang w:val="es-ES"/>
        </w:rPr>
        <w:t>.</w:t>
      </w:r>
    </w:p>
    <w:p w14:paraId="3FC37372" w14:textId="519AAC77" w:rsidR="00553884" w:rsidRPr="00553884" w:rsidRDefault="00CA7347" w:rsidP="009A67E7">
      <w:pPr>
        <w:pStyle w:val="TableNo"/>
      </w:pPr>
      <w:r>
        <w:t>CUADRO</w:t>
      </w:r>
      <w:r w:rsidR="00553884" w:rsidRPr="00553884">
        <w:t xml:space="preserve"> 1</w:t>
      </w:r>
    </w:p>
    <w:tbl>
      <w:tblPr>
        <w:tblStyle w:val="TableGrid2"/>
        <w:tblW w:w="9639" w:type="dxa"/>
        <w:jc w:val="center"/>
        <w:tblLook w:val="04A0" w:firstRow="1" w:lastRow="0" w:firstColumn="1" w:lastColumn="0" w:noHBand="0" w:noVBand="1"/>
      </w:tblPr>
      <w:tblGrid>
        <w:gridCol w:w="1928"/>
        <w:gridCol w:w="2268"/>
        <w:gridCol w:w="2268"/>
        <w:gridCol w:w="3175"/>
      </w:tblGrid>
      <w:tr w:rsidR="00D2790C" w:rsidRPr="00882A01" w14:paraId="016B97C5" w14:textId="77777777" w:rsidTr="00D2790C">
        <w:trPr>
          <w:jc w:val="center"/>
        </w:trPr>
        <w:tc>
          <w:tcPr>
            <w:tcW w:w="1928" w:type="dxa"/>
          </w:tcPr>
          <w:p w14:paraId="10D24FE8" w14:textId="687FB0E4" w:rsidR="00D2790C" w:rsidRPr="00C90ECE" w:rsidRDefault="00D2790C" w:rsidP="00C90ECE">
            <w:pPr>
              <w:pStyle w:val="Tablehead"/>
              <w:rPr>
                <w:lang w:val="es-ES_tradnl"/>
              </w:rPr>
            </w:pPr>
            <w:r w:rsidRPr="00C90ECE">
              <w:rPr>
                <w:lang w:val="es-ES_tradnl"/>
              </w:rPr>
              <w:t>1.2 (IMT)</w:t>
            </w:r>
            <w:r w:rsidRPr="00C90ECE">
              <w:rPr>
                <w:lang w:val="es-ES_tradnl"/>
              </w:rPr>
              <w:br/>
              <w:t>GT 5D</w:t>
            </w:r>
          </w:p>
        </w:tc>
        <w:tc>
          <w:tcPr>
            <w:tcW w:w="2268" w:type="dxa"/>
          </w:tcPr>
          <w:p w14:paraId="0E789A76" w14:textId="4F669486" w:rsidR="00D2790C" w:rsidRPr="00C90ECE" w:rsidRDefault="00D2790C" w:rsidP="00C90ECE">
            <w:pPr>
              <w:pStyle w:val="Tablehead"/>
              <w:rPr>
                <w:lang w:val="es-ES_tradnl"/>
              </w:rPr>
            </w:pPr>
            <w:r w:rsidRPr="00C90ECE">
              <w:rPr>
                <w:lang w:val="es-ES_tradnl"/>
              </w:rPr>
              <w:t>1.16 (ETEM no-OSG)</w:t>
            </w:r>
            <w:r>
              <w:rPr>
                <w:lang w:val="es-ES_tradnl"/>
              </w:rPr>
              <w:br/>
            </w:r>
            <w:r w:rsidRPr="00C90ECE">
              <w:rPr>
                <w:lang w:val="es-ES_tradnl"/>
              </w:rPr>
              <w:t>GT 4A</w:t>
            </w:r>
          </w:p>
        </w:tc>
        <w:tc>
          <w:tcPr>
            <w:tcW w:w="2268" w:type="dxa"/>
          </w:tcPr>
          <w:p w14:paraId="47655F5C" w14:textId="5B7544BE" w:rsidR="00D2790C" w:rsidRPr="00C90ECE" w:rsidRDefault="00D2790C" w:rsidP="00C90ECE">
            <w:pPr>
              <w:pStyle w:val="Tablehead"/>
              <w:rPr>
                <w:lang w:val="es-ES_tradnl"/>
              </w:rPr>
            </w:pPr>
            <w:r w:rsidRPr="00C90ECE">
              <w:rPr>
                <w:lang w:val="es-ES_tradnl"/>
              </w:rPr>
              <w:t>1.17 (EES)</w:t>
            </w:r>
            <w:r>
              <w:rPr>
                <w:lang w:val="es-ES_tradnl"/>
              </w:rPr>
              <w:br/>
            </w:r>
            <w:r w:rsidRPr="00C90ECE">
              <w:rPr>
                <w:lang w:val="es-ES_tradnl"/>
              </w:rPr>
              <w:t>GT 4A</w:t>
            </w:r>
          </w:p>
        </w:tc>
        <w:tc>
          <w:tcPr>
            <w:tcW w:w="3175" w:type="dxa"/>
          </w:tcPr>
          <w:p w14:paraId="2FCA5D57" w14:textId="39EDDA98" w:rsidR="00D2790C" w:rsidRPr="00C90ECE" w:rsidRDefault="00D2790C" w:rsidP="00C90ECE">
            <w:pPr>
              <w:pStyle w:val="Tablehead"/>
              <w:rPr>
                <w:lang w:val="es-ES_tradnl"/>
              </w:rPr>
            </w:pPr>
            <w:r w:rsidRPr="00C90ECE">
              <w:rPr>
                <w:lang w:val="es-ES_tradnl"/>
              </w:rPr>
              <w:t>1.18 (SMS en banda estrecha)</w:t>
            </w:r>
            <w:r>
              <w:rPr>
                <w:lang w:val="es-ES_tradnl"/>
              </w:rPr>
              <w:br/>
            </w:r>
            <w:r w:rsidRPr="00C90ECE">
              <w:rPr>
                <w:lang w:val="es-ES_tradnl"/>
              </w:rPr>
              <w:t>GT 4C</w:t>
            </w:r>
          </w:p>
        </w:tc>
      </w:tr>
      <w:tr w:rsidR="00D2790C" w:rsidRPr="00C90ECE" w14:paraId="79B3A0F7" w14:textId="77777777" w:rsidTr="00D2790C">
        <w:trPr>
          <w:jc w:val="center"/>
        </w:trPr>
        <w:tc>
          <w:tcPr>
            <w:tcW w:w="1928" w:type="dxa"/>
          </w:tcPr>
          <w:p w14:paraId="17AA06C8" w14:textId="5B424837" w:rsidR="00D2790C" w:rsidRPr="00C90ECE" w:rsidRDefault="00D2790C" w:rsidP="009A67E7">
            <w:pPr>
              <w:pStyle w:val="Tabletext"/>
              <w:jc w:val="center"/>
              <w:rPr>
                <w:lang w:val="es-ES_tradnl" w:eastAsia="nl-NL"/>
              </w:rPr>
            </w:pPr>
            <w:r w:rsidRPr="00C90ECE">
              <w:rPr>
                <w:lang w:val="es-ES_tradnl" w:eastAsia="nl-NL"/>
              </w:rPr>
              <w:t>3</w:t>
            </w:r>
            <w:r>
              <w:rPr>
                <w:lang w:val="es-ES_tradnl" w:eastAsia="nl-NL"/>
              </w:rPr>
              <w:t> </w:t>
            </w:r>
            <w:r w:rsidRPr="00C90ECE">
              <w:rPr>
                <w:lang w:val="es-ES_tradnl" w:eastAsia="nl-NL"/>
              </w:rPr>
              <w:t>300-3</w:t>
            </w:r>
            <w:r>
              <w:rPr>
                <w:lang w:val="es-ES_tradnl" w:eastAsia="nl-NL"/>
              </w:rPr>
              <w:t> </w:t>
            </w:r>
            <w:r w:rsidRPr="00C90ECE">
              <w:rPr>
                <w:lang w:val="es-ES_tradnl" w:eastAsia="nl-NL"/>
              </w:rPr>
              <w:t>400</w:t>
            </w:r>
            <w:r>
              <w:rPr>
                <w:lang w:val="es-ES_tradnl" w:eastAsia="nl-NL"/>
              </w:rPr>
              <w:t> </w:t>
            </w:r>
            <w:r w:rsidRPr="00C90ECE">
              <w:rPr>
                <w:lang w:val="es-ES_tradnl" w:eastAsia="nl-NL"/>
              </w:rPr>
              <w:t>MHz (Regiones 1</w:t>
            </w:r>
            <w:r>
              <w:rPr>
                <w:lang w:val="es-ES_tradnl" w:eastAsia="nl-NL"/>
              </w:rPr>
              <w:t xml:space="preserve"> y </w:t>
            </w:r>
            <w:r w:rsidRPr="00C90ECE">
              <w:rPr>
                <w:lang w:val="es-ES_tradnl" w:eastAsia="nl-NL"/>
              </w:rPr>
              <w:t>2)</w:t>
            </w:r>
          </w:p>
        </w:tc>
        <w:tc>
          <w:tcPr>
            <w:tcW w:w="2268" w:type="dxa"/>
          </w:tcPr>
          <w:p w14:paraId="67B03D5D" w14:textId="77777777" w:rsidR="00D2790C" w:rsidRPr="00C90ECE" w:rsidRDefault="00D2790C" w:rsidP="009A67E7">
            <w:pPr>
              <w:pStyle w:val="Tabletext"/>
              <w:jc w:val="center"/>
              <w:rPr>
                <w:lang w:val="es-ES_tradnl" w:eastAsia="nl-NL"/>
              </w:rPr>
            </w:pPr>
          </w:p>
        </w:tc>
        <w:tc>
          <w:tcPr>
            <w:tcW w:w="2268" w:type="dxa"/>
          </w:tcPr>
          <w:p w14:paraId="6F2F001C" w14:textId="77777777" w:rsidR="00D2790C" w:rsidRPr="00C90ECE" w:rsidRDefault="00D2790C" w:rsidP="009A67E7">
            <w:pPr>
              <w:pStyle w:val="Tabletext"/>
              <w:jc w:val="center"/>
              <w:rPr>
                <w:lang w:val="es-ES_tradnl" w:eastAsia="nl-NL"/>
              </w:rPr>
            </w:pPr>
          </w:p>
        </w:tc>
        <w:tc>
          <w:tcPr>
            <w:tcW w:w="3175" w:type="dxa"/>
          </w:tcPr>
          <w:p w14:paraId="79241E84" w14:textId="65011CEA" w:rsidR="00D2790C" w:rsidRPr="00C90ECE" w:rsidRDefault="00D2790C" w:rsidP="009A67E7">
            <w:pPr>
              <w:pStyle w:val="Tabletext"/>
              <w:jc w:val="center"/>
              <w:rPr>
                <w:lang w:val="es-ES_tradnl" w:eastAsia="nl-NL"/>
              </w:rPr>
            </w:pPr>
            <w:r w:rsidRPr="00C90ECE">
              <w:rPr>
                <w:lang w:val="es-ES_tradnl" w:eastAsia="nl-NL"/>
              </w:rPr>
              <w:t>3</w:t>
            </w:r>
            <w:r>
              <w:rPr>
                <w:lang w:val="es-ES_tradnl" w:eastAsia="nl-NL"/>
              </w:rPr>
              <w:t> </w:t>
            </w:r>
            <w:r w:rsidRPr="00C90ECE">
              <w:rPr>
                <w:lang w:val="es-ES_tradnl" w:eastAsia="nl-NL"/>
              </w:rPr>
              <w:t>300-3</w:t>
            </w:r>
            <w:r>
              <w:rPr>
                <w:lang w:val="es-ES_tradnl" w:eastAsia="nl-NL"/>
              </w:rPr>
              <w:t> </w:t>
            </w:r>
            <w:r w:rsidRPr="00C90ECE">
              <w:rPr>
                <w:lang w:val="es-ES_tradnl" w:eastAsia="nl-NL"/>
              </w:rPr>
              <w:t>400 MHz</w:t>
            </w:r>
            <w:r w:rsidRPr="00C90ECE">
              <w:rPr>
                <w:lang w:val="es-ES_tradnl" w:eastAsia="nl-NL"/>
              </w:rPr>
              <w:br/>
              <w:t>(Región 2)</w:t>
            </w:r>
          </w:p>
        </w:tc>
      </w:tr>
      <w:tr w:rsidR="00D2790C" w:rsidRPr="00C90ECE" w14:paraId="2490F430" w14:textId="77777777" w:rsidTr="00D2790C">
        <w:trPr>
          <w:jc w:val="center"/>
        </w:trPr>
        <w:tc>
          <w:tcPr>
            <w:tcW w:w="1928" w:type="dxa"/>
          </w:tcPr>
          <w:p w14:paraId="770D16DA" w14:textId="77777777" w:rsidR="00D2790C" w:rsidRPr="00C90ECE" w:rsidRDefault="00D2790C" w:rsidP="009A67E7">
            <w:pPr>
              <w:pStyle w:val="Tabletext"/>
              <w:jc w:val="center"/>
              <w:rPr>
                <w:lang w:val="es-ES_tradnl" w:eastAsia="nl-NL"/>
              </w:rPr>
            </w:pPr>
          </w:p>
        </w:tc>
        <w:tc>
          <w:tcPr>
            <w:tcW w:w="2268" w:type="dxa"/>
          </w:tcPr>
          <w:p w14:paraId="4BC52064" w14:textId="2F96448B" w:rsidR="00D2790C" w:rsidRPr="00C90ECE" w:rsidRDefault="00D2790C" w:rsidP="009A67E7">
            <w:pPr>
              <w:pStyle w:val="Tabletext"/>
              <w:jc w:val="center"/>
              <w:rPr>
                <w:lang w:val="es-ES_tradnl" w:eastAsia="nl-NL"/>
              </w:rPr>
            </w:pPr>
            <w:r w:rsidRPr="00C90ECE">
              <w:rPr>
                <w:lang w:val="es-ES_tradnl" w:eastAsia="nl-NL"/>
              </w:rPr>
              <w:t>29,5-30 GHz (Tierra</w:t>
            </w:r>
            <w:r>
              <w:rPr>
                <w:lang w:val="es-ES_tradnl" w:eastAsia="nl-NL"/>
              </w:rPr>
              <w:noBreakHyphen/>
            </w:r>
            <w:r w:rsidRPr="00C90ECE">
              <w:rPr>
                <w:lang w:val="es-ES_tradnl" w:eastAsia="nl-NL"/>
              </w:rPr>
              <w:t>espacio)</w:t>
            </w:r>
          </w:p>
        </w:tc>
        <w:tc>
          <w:tcPr>
            <w:tcW w:w="2268" w:type="dxa"/>
          </w:tcPr>
          <w:p w14:paraId="64787F62" w14:textId="7D84DAFE" w:rsidR="00D2790C" w:rsidRPr="00C90ECE" w:rsidRDefault="00D2790C" w:rsidP="009A67E7">
            <w:pPr>
              <w:pStyle w:val="Tabletext"/>
              <w:jc w:val="center"/>
              <w:rPr>
                <w:lang w:val="es-ES_tradnl" w:eastAsia="nl-NL"/>
              </w:rPr>
            </w:pPr>
            <w:r w:rsidRPr="00C90ECE">
              <w:rPr>
                <w:lang w:val="es-ES_tradnl" w:eastAsia="nl-NL"/>
              </w:rPr>
              <w:t>27,5-30 GHz (espacio</w:t>
            </w:r>
            <w:r>
              <w:rPr>
                <w:lang w:val="es-ES_tradnl" w:eastAsia="nl-NL"/>
              </w:rPr>
              <w:noBreakHyphen/>
            </w:r>
            <w:r w:rsidRPr="00C90ECE">
              <w:rPr>
                <w:lang w:val="es-ES_tradnl" w:eastAsia="nl-NL"/>
              </w:rPr>
              <w:t>espacio)</w:t>
            </w:r>
          </w:p>
        </w:tc>
        <w:tc>
          <w:tcPr>
            <w:tcW w:w="3175" w:type="dxa"/>
          </w:tcPr>
          <w:p w14:paraId="7DBBB162" w14:textId="77777777" w:rsidR="00D2790C" w:rsidRPr="00C90ECE" w:rsidRDefault="00D2790C" w:rsidP="009A67E7">
            <w:pPr>
              <w:pStyle w:val="Tabletext"/>
              <w:jc w:val="center"/>
              <w:rPr>
                <w:lang w:val="es-ES_tradnl" w:eastAsia="nl-NL"/>
              </w:rPr>
            </w:pPr>
          </w:p>
        </w:tc>
      </w:tr>
    </w:tbl>
    <w:p w14:paraId="67F4AB61" w14:textId="52DD4028" w:rsidR="00553884" w:rsidRPr="00B01F52" w:rsidRDefault="00AC28F4" w:rsidP="009A67E7">
      <w:pPr>
        <w:pStyle w:val="Normalaftertitle"/>
        <w:rPr>
          <w:lang w:val="es-ES"/>
        </w:rPr>
      </w:pPr>
      <w:r w:rsidRPr="00B01F52">
        <w:rPr>
          <w:lang w:val="es-ES"/>
        </w:rPr>
        <w:t xml:space="preserve">En cuanto a los puntos del orden del día para los que las correspondientes Resoluciones no definen las bandas de frecuencias específicas que se han de estudiar, se invita a los </w:t>
      </w:r>
      <w:r w:rsidR="00B01F52">
        <w:rPr>
          <w:lang w:val="es-ES"/>
        </w:rPr>
        <w:t>g</w:t>
      </w:r>
      <w:r w:rsidRPr="00B01F52">
        <w:rPr>
          <w:lang w:val="es-ES"/>
        </w:rPr>
        <w:t xml:space="preserve">rupos responsables a identificar lo antes posible dichas bandas de frecuencias a fin de que se puedan confirmar los </w:t>
      </w:r>
      <w:r w:rsidR="00B01F52">
        <w:rPr>
          <w:lang w:val="es-ES"/>
        </w:rPr>
        <w:t>g</w:t>
      </w:r>
      <w:r w:rsidRPr="00B01F52">
        <w:rPr>
          <w:lang w:val="es-ES"/>
        </w:rPr>
        <w:t>rupos contribuyentes y los estudios se puedan efectuar a tiempo</w:t>
      </w:r>
      <w:r w:rsidR="00553884" w:rsidRPr="00B01F52">
        <w:rPr>
          <w:lang w:val="es-ES"/>
        </w:rPr>
        <w:t>.</w:t>
      </w:r>
    </w:p>
    <w:p w14:paraId="305F8F31" w14:textId="16E538AA" w:rsidR="00553884" w:rsidRPr="007C7311" w:rsidRDefault="00AC28F4" w:rsidP="009A67E7">
      <w:pPr>
        <w:rPr>
          <w:lang w:val="es-ES"/>
        </w:rPr>
      </w:pPr>
      <w:r w:rsidRPr="007C7311">
        <w:rPr>
          <w:lang w:val="es-ES"/>
        </w:rPr>
        <w:t>Para todos los puntos del orden del día en los que se necesitan las características y parámetros de los servicios/aplicaciones para realizar los estudios de compartición y compatibilidad, se solicita a los Grupos de Trabajo contribuyentes qu</w:t>
      </w:r>
      <w:r>
        <w:rPr>
          <w:lang w:val="es-ES"/>
        </w:rPr>
        <w:t xml:space="preserve">e los comuniquen a los </w:t>
      </w:r>
      <w:r w:rsidR="007C7311">
        <w:rPr>
          <w:lang w:val="es-ES"/>
        </w:rPr>
        <w:t>g</w:t>
      </w:r>
      <w:r>
        <w:rPr>
          <w:lang w:val="es-ES"/>
        </w:rPr>
        <w:t xml:space="preserve">rupos responsables antes del 15 de junio de 2021, a más tardar, a menos que se indique lo contrario. </w:t>
      </w:r>
      <w:r w:rsidRPr="00AC28F4">
        <w:rPr>
          <w:lang w:val="es-ES"/>
        </w:rPr>
        <w:t>Co</w:t>
      </w:r>
      <w:r w:rsidRPr="007C7311">
        <w:rPr>
          <w:lang w:val="es-ES"/>
        </w:rPr>
        <w:t xml:space="preserve">mo se indica en el A1.2.2 del Anexo 1 a la Resolución UIT-R 2-8, los </w:t>
      </w:r>
      <w:r w:rsidR="007C7311" w:rsidRPr="007C7311">
        <w:rPr>
          <w:lang w:val="es-ES"/>
        </w:rPr>
        <w:t>g</w:t>
      </w:r>
      <w:r w:rsidRPr="007C7311">
        <w:rPr>
          <w:lang w:val="es-ES"/>
        </w:rPr>
        <w:t>rupos responsables pueden solicitar esa información</w:t>
      </w:r>
      <w:r w:rsidR="00553884" w:rsidRPr="007C7311">
        <w:rPr>
          <w:lang w:val="es-ES"/>
        </w:rPr>
        <w:t>.</w:t>
      </w:r>
    </w:p>
    <w:p w14:paraId="5D05144E" w14:textId="1F467CB8" w:rsidR="00553884" w:rsidRPr="007C7311" w:rsidRDefault="00AC28F4" w:rsidP="009A67E7">
      <w:pPr>
        <w:rPr>
          <w:lang w:val="es-ES"/>
        </w:rPr>
      </w:pPr>
      <w:r w:rsidRPr="007C7311">
        <w:rPr>
          <w:lang w:val="es-ES"/>
        </w:rPr>
        <w:t xml:space="preserve">Se invita a los </w:t>
      </w:r>
      <w:r w:rsidR="007C7311" w:rsidRPr="007C7311">
        <w:rPr>
          <w:lang w:val="es-ES"/>
        </w:rPr>
        <w:t>g</w:t>
      </w:r>
      <w:r w:rsidRPr="007C7311">
        <w:rPr>
          <w:lang w:val="es-ES"/>
        </w:rPr>
        <w:t xml:space="preserve">rupos responsables de los temas del punto 9.1 del orden del día a preparar un breve resumen de los resultados de los estudios, como se </w:t>
      </w:r>
      <w:r>
        <w:rPr>
          <w:lang w:val="es-ES"/>
        </w:rPr>
        <w:t>indica en la Sección</w:t>
      </w:r>
      <w:r w:rsidR="00553884" w:rsidRPr="007C7311">
        <w:rPr>
          <w:lang w:val="es-ES"/>
        </w:rPr>
        <w:t xml:space="preserve"> 2.2 </w:t>
      </w:r>
      <w:r>
        <w:rPr>
          <w:lang w:val="es-ES"/>
        </w:rPr>
        <w:t>del Anexo 6 a la presente Circular Administrativa, para su inclusión en las secciones pertinentes del Capítulo</w:t>
      </w:r>
      <w:r w:rsidR="00553884" w:rsidRPr="007C7311">
        <w:rPr>
          <w:lang w:val="es-ES"/>
        </w:rPr>
        <w:t xml:space="preserve"> 5 (</w:t>
      </w:r>
      <w:r>
        <w:rPr>
          <w:lang w:val="es-ES"/>
        </w:rPr>
        <w:t>véanse los Anexos 6 y</w:t>
      </w:r>
      <w:r w:rsidR="00553884" w:rsidRPr="007C7311">
        <w:rPr>
          <w:lang w:val="es-ES"/>
        </w:rPr>
        <w:t xml:space="preserve"> 7).</w:t>
      </w:r>
    </w:p>
    <w:p w14:paraId="26E8D572" w14:textId="2B351969" w:rsidR="00553884" w:rsidRPr="00054C7D" w:rsidRDefault="00AC28F4" w:rsidP="009A67E7">
      <w:pPr>
        <w:rPr>
          <w:lang w:val="es-ES"/>
        </w:rPr>
      </w:pPr>
      <w:r w:rsidRPr="00054C7D">
        <w:rPr>
          <w:lang w:val="es-ES"/>
        </w:rPr>
        <w:t xml:space="preserve">Se señalaron a la atención de la RPC23-1 otros dos temas de la CMR-19 para los </w:t>
      </w:r>
      <w:r>
        <w:rPr>
          <w:lang w:val="es-ES"/>
        </w:rPr>
        <w:t xml:space="preserve">que se necesitan estudios del UIT-R. </w:t>
      </w:r>
      <w:r w:rsidRPr="00AC28F4">
        <w:rPr>
          <w:lang w:val="es-ES"/>
        </w:rPr>
        <w:t>Co</w:t>
      </w:r>
      <w:r w:rsidRPr="00054C7D">
        <w:rPr>
          <w:lang w:val="es-ES"/>
        </w:rPr>
        <w:t>mo esos temas no conllevan la obligación específica de información a la CMR</w:t>
      </w:r>
      <w:r w:rsidR="00054C7D">
        <w:rPr>
          <w:lang w:val="es-ES"/>
        </w:rPr>
        <w:noBreakHyphen/>
      </w:r>
      <w:r w:rsidRPr="00054C7D">
        <w:rPr>
          <w:lang w:val="es-ES"/>
        </w:rPr>
        <w:t>23 o de</w:t>
      </w:r>
      <w:r>
        <w:rPr>
          <w:lang w:val="es-ES"/>
        </w:rPr>
        <w:t xml:space="preserve"> que ésta tome medidas al respecto, no se han incluido en los temas del punto 9.1 del orden del día en el Anexo 7 a la presente Circular Administrativa. </w:t>
      </w:r>
      <w:r w:rsidRPr="00AC28F4">
        <w:rPr>
          <w:lang w:val="es-ES"/>
        </w:rPr>
        <w:t>Sin e</w:t>
      </w:r>
      <w:r w:rsidRPr="00054C7D">
        <w:rPr>
          <w:lang w:val="es-ES"/>
        </w:rPr>
        <w:t>mbargo, se invita a los Grupos de Trabajo del UIT-R pertinentes a llevar a cabo los estudios</w:t>
      </w:r>
      <w:r w:rsidRPr="00AC28F4">
        <w:rPr>
          <w:lang w:val="es-ES"/>
        </w:rPr>
        <w:t xml:space="preserve"> </w:t>
      </w:r>
      <w:r w:rsidRPr="00054C7D">
        <w:rPr>
          <w:lang w:val="es-ES"/>
        </w:rPr>
        <w:t>que</w:t>
      </w:r>
      <w:r>
        <w:rPr>
          <w:lang w:val="es-ES"/>
        </w:rPr>
        <w:t xml:space="preserve"> se indican a continuación y a comunicar sus resultados al Director de la Oficina de Radiocomunicaciones para que éste les dé el tratamiento que considere pertinente</w:t>
      </w:r>
      <w:r w:rsidR="00553884" w:rsidRPr="00054C7D">
        <w:rPr>
          <w:lang w:val="es-ES"/>
        </w:rPr>
        <w:t>.</w:t>
      </w:r>
    </w:p>
    <w:p w14:paraId="4D513979" w14:textId="03CE7AEC" w:rsidR="00553884" w:rsidRPr="003D6356" w:rsidRDefault="00553884" w:rsidP="003D6356">
      <w:pPr>
        <w:pStyle w:val="enumlev1"/>
        <w:rPr>
          <w:lang w:val="es-ES_tradnl"/>
        </w:rPr>
      </w:pPr>
      <w:r w:rsidRPr="003D6356">
        <w:rPr>
          <w:lang w:val="es-ES_tradnl"/>
        </w:rPr>
        <w:t>–</w:t>
      </w:r>
      <w:r w:rsidRPr="003D6356">
        <w:rPr>
          <w:lang w:val="es-ES_tradnl"/>
        </w:rPr>
        <w:tab/>
      </w:r>
      <w:r w:rsidR="000675DD" w:rsidRPr="003D6356">
        <w:rPr>
          <w:lang w:val="es-ES_tradnl"/>
        </w:rPr>
        <w:t>De la Resolución</w:t>
      </w:r>
      <w:r w:rsidRPr="003D6356">
        <w:rPr>
          <w:lang w:val="es-ES_tradnl"/>
        </w:rPr>
        <w:t xml:space="preserve"> </w:t>
      </w:r>
      <w:r w:rsidRPr="003D6356">
        <w:rPr>
          <w:b/>
          <w:bCs/>
          <w:lang w:val="es-ES_tradnl"/>
        </w:rPr>
        <w:t>427 (</w:t>
      </w:r>
      <w:r w:rsidR="000675DD" w:rsidRPr="003D6356">
        <w:rPr>
          <w:b/>
          <w:bCs/>
          <w:lang w:val="es-ES_tradnl"/>
        </w:rPr>
        <w:t>CMR</w:t>
      </w:r>
      <w:r w:rsidRPr="003D6356">
        <w:rPr>
          <w:b/>
          <w:bCs/>
          <w:lang w:val="es-ES_tradnl"/>
        </w:rPr>
        <w:t>-19)</w:t>
      </w:r>
      <w:r w:rsidRPr="003D6356">
        <w:rPr>
          <w:lang w:val="es-ES_tradnl"/>
        </w:rPr>
        <w:t xml:space="preserve"> </w:t>
      </w:r>
      <w:r w:rsidR="00054C7D" w:rsidRPr="003D6356">
        <w:rPr>
          <w:lang w:val="es-ES_tradnl"/>
        </w:rPr>
        <w:t>«</w:t>
      </w:r>
      <w:r w:rsidR="000675DD" w:rsidRPr="003D6356">
        <w:rPr>
          <w:lang w:val="es-ES_tradnl"/>
        </w:rPr>
        <w:t>Actualización de las disposiciones relativas a los servicios aeronáuticos en el Reglamento de Radi</w:t>
      </w:r>
      <w:r w:rsidR="00054C7D" w:rsidRPr="003D6356">
        <w:rPr>
          <w:lang w:val="es-ES_tradnl"/>
        </w:rPr>
        <w:t>o</w:t>
      </w:r>
      <w:r w:rsidR="000675DD" w:rsidRPr="003D6356">
        <w:rPr>
          <w:lang w:val="es-ES_tradnl"/>
        </w:rPr>
        <w:t>comunicaciones</w:t>
      </w:r>
      <w:r w:rsidR="00A665BE" w:rsidRPr="003D6356">
        <w:rPr>
          <w:lang w:val="es-ES_tradnl"/>
        </w:rPr>
        <w:t xml:space="preserve"> </w:t>
      </w:r>
      <w:r w:rsidRPr="003D6356">
        <w:rPr>
          <w:lang w:val="es-ES_tradnl"/>
        </w:rPr>
        <w:t xml:space="preserve">– </w:t>
      </w:r>
      <w:r w:rsidR="000675DD" w:rsidRPr="003D6356">
        <w:rPr>
          <w:lang w:val="es-ES_tradnl"/>
        </w:rPr>
        <w:t xml:space="preserve">en el </w:t>
      </w:r>
      <w:r w:rsidRPr="003D6356">
        <w:rPr>
          <w:i/>
          <w:iCs/>
          <w:lang w:val="es-ES_tradnl"/>
        </w:rPr>
        <w:t>res</w:t>
      </w:r>
      <w:r w:rsidR="000675DD" w:rsidRPr="003D6356">
        <w:rPr>
          <w:i/>
          <w:iCs/>
          <w:lang w:val="es-ES_tradnl"/>
        </w:rPr>
        <w:t>uelve invitar al UIT</w:t>
      </w:r>
      <w:r w:rsidRPr="003D6356">
        <w:rPr>
          <w:i/>
          <w:iCs/>
          <w:lang w:val="es-ES_tradnl"/>
        </w:rPr>
        <w:t>-R</w:t>
      </w:r>
      <w:r w:rsidRPr="003D6356">
        <w:rPr>
          <w:lang w:val="es-ES_tradnl"/>
        </w:rPr>
        <w:t xml:space="preserve"> s</w:t>
      </w:r>
      <w:r w:rsidR="000675DD" w:rsidRPr="003D6356">
        <w:rPr>
          <w:lang w:val="es-ES_tradnl"/>
        </w:rPr>
        <w:t>e pide</w:t>
      </w:r>
      <w:r w:rsidR="00054C7D" w:rsidRPr="003D6356">
        <w:rPr>
          <w:lang w:val="es-ES_tradnl"/>
        </w:rPr>
        <w:t>»</w:t>
      </w:r>
      <w:r w:rsidR="003D6356" w:rsidRPr="003D6356">
        <w:rPr>
          <w:lang w:val="es-ES_tradnl"/>
        </w:rPr>
        <w:t xml:space="preserve"> </w:t>
      </w:r>
      <w:r w:rsidR="000675DD" w:rsidRPr="003D6356">
        <w:rPr>
          <w:lang w:val="es-ES_tradnl"/>
        </w:rPr>
        <w:t>estudiar los Artículos de los Capítulos</w:t>
      </w:r>
      <w:r w:rsidRPr="003D6356">
        <w:rPr>
          <w:rFonts w:eastAsia="TimesNewRoman"/>
          <w:lang w:val="es-ES_tradnl"/>
        </w:rPr>
        <w:t xml:space="preserve"> IV, V, VI </w:t>
      </w:r>
      <w:r w:rsidR="000675DD" w:rsidRPr="003D6356">
        <w:rPr>
          <w:rFonts w:eastAsia="TimesNewRoman"/>
          <w:lang w:val="es-ES_tradnl"/>
        </w:rPr>
        <w:t>y</w:t>
      </w:r>
      <w:r w:rsidRPr="003D6356">
        <w:rPr>
          <w:rFonts w:eastAsia="TimesNewRoman"/>
          <w:lang w:val="es-ES_tradnl"/>
        </w:rPr>
        <w:t xml:space="preserve"> VIII </w:t>
      </w:r>
      <w:r w:rsidR="000675DD" w:rsidRPr="003D6356">
        <w:rPr>
          <w:rFonts w:eastAsia="TimesNewRoman"/>
          <w:lang w:val="es-ES_tradnl"/>
        </w:rPr>
        <w:t xml:space="preserve">del </w:t>
      </w:r>
      <w:r w:rsidRPr="003D6356">
        <w:rPr>
          <w:rFonts w:eastAsia="TimesNewRoman"/>
          <w:lang w:val="es-ES_tradnl"/>
        </w:rPr>
        <w:t>Volume</w:t>
      </w:r>
      <w:r w:rsidR="000675DD" w:rsidRPr="003D6356">
        <w:rPr>
          <w:rFonts w:eastAsia="TimesNewRoman"/>
          <w:lang w:val="es-ES_tradnl"/>
        </w:rPr>
        <w:t>n</w:t>
      </w:r>
      <w:r w:rsidRPr="003D6356">
        <w:rPr>
          <w:rFonts w:eastAsia="TimesNewRoman"/>
          <w:lang w:val="es-ES_tradnl"/>
        </w:rPr>
        <w:t xml:space="preserve"> I </w:t>
      </w:r>
      <w:r w:rsidR="000675DD" w:rsidRPr="003D6356">
        <w:rPr>
          <w:rFonts w:eastAsia="TimesNewRoman"/>
          <w:lang w:val="es-ES_tradnl"/>
        </w:rPr>
        <w:t xml:space="preserve">del Reglamento de Radiocomunicaciones y sus correspondientes Apéndices, según proceda, con el fin de identificar las disposiciones relativas a los servicios aeronáuticos obsoletas con respecto a las normas y prácticas recomendadas de la OACI y a elaborar ejemplos de textos reglamentarios para actualizar estas disposiciones, garantizando a su vez que cualquier posible modificación de dichas disposiciones no afecte a ningún sistema o servicio que </w:t>
      </w:r>
      <w:r w:rsidR="000675DD" w:rsidRPr="003D6356">
        <w:rPr>
          <w:rFonts w:eastAsia="TimesNewRoman"/>
          <w:lang w:val="es-ES_tradnl"/>
        </w:rPr>
        <w:lastRenderedPageBreak/>
        <w:t>funcione de conformidad con el Reglamento de Radiocomunicaciones</w:t>
      </w:r>
      <w:r w:rsidR="00D755CD">
        <w:rPr>
          <w:rFonts w:eastAsia="TimesNewRoman"/>
          <w:lang w:val="es-ES_tradnl"/>
        </w:rPr>
        <w:t>»</w:t>
      </w:r>
      <w:r w:rsidR="000675DD" w:rsidRPr="003D6356">
        <w:rPr>
          <w:rFonts w:eastAsia="TimesNewRoman"/>
          <w:lang w:val="es-ES_tradnl"/>
        </w:rPr>
        <w:t xml:space="preserve"> (</w:t>
      </w:r>
      <w:r w:rsidR="003D6356" w:rsidRPr="003D6356">
        <w:rPr>
          <w:rFonts w:eastAsia="TimesNewRoman"/>
          <w:lang w:val="es-ES_tradnl"/>
        </w:rPr>
        <w:t>g</w:t>
      </w:r>
      <w:r w:rsidR="000675DD" w:rsidRPr="003D6356">
        <w:rPr>
          <w:rFonts w:eastAsia="TimesNewRoman"/>
          <w:lang w:val="es-ES_tradnl"/>
        </w:rPr>
        <w:t>rupo respons</w:t>
      </w:r>
      <w:r w:rsidR="003D6356">
        <w:rPr>
          <w:rFonts w:eastAsia="TimesNewRoman"/>
          <w:lang w:val="es-ES_tradnl"/>
        </w:rPr>
        <w:t>a</w:t>
      </w:r>
      <w:r w:rsidR="000675DD" w:rsidRPr="003D6356">
        <w:rPr>
          <w:rFonts w:eastAsia="TimesNewRoman"/>
          <w:lang w:val="es-ES_tradnl"/>
        </w:rPr>
        <w:t xml:space="preserve">ble: </w:t>
      </w:r>
      <w:r w:rsidR="00A92266" w:rsidRPr="003D6356">
        <w:rPr>
          <w:rFonts w:eastAsia="TimesNewRoman"/>
          <w:lang w:val="es-ES_tradnl"/>
        </w:rPr>
        <w:t>GT</w:t>
      </w:r>
      <w:r w:rsidR="003D6356">
        <w:rPr>
          <w:rFonts w:eastAsia="TimesNewRoman"/>
          <w:lang w:val="es-ES_tradnl"/>
        </w:rPr>
        <w:t> </w:t>
      </w:r>
      <w:r w:rsidRPr="003D6356">
        <w:rPr>
          <w:rFonts w:eastAsia="TimesNewRoman"/>
          <w:lang w:val="es-ES_tradnl"/>
        </w:rPr>
        <w:t>5B)</w:t>
      </w:r>
      <w:r w:rsidR="003D6356">
        <w:rPr>
          <w:rFonts w:eastAsia="TimesNewRoman"/>
          <w:lang w:val="es-ES_tradnl"/>
        </w:rPr>
        <w:t>.</w:t>
      </w:r>
    </w:p>
    <w:p w14:paraId="1E47FFD1" w14:textId="6C619B50" w:rsidR="00553884" w:rsidRPr="003D6356" w:rsidRDefault="00553884" w:rsidP="003D6356">
      <w:pPr>
        <w:pStyle w:val="enumlev1"/>
        <w:rPr>
          <w:lang w:val="es-ES"/>
        </w:rPr>
      </w:pPr>
      <w:r w:rsidRPr="003D6356">
        <w:rPr>
          <w:lang w:val="es-ES"/>
        </w:rPr>
        <w:t>–</w:t>
      </w:r>
      <w:r w:rsidRPr="003D6356">
        <w:rPr>
          <w:lang w:val="es-ES"/>
        </w:rPr>
        <w:tab/>
      </w:r>
      <w:r w:rsidR="000675DD" w:rsidRPr="009A67E7">
        <w:rPr>
          <w:lang w:val="es-ES"/>
        </w:rPr>
        <w:t xml:space="preserve">Del </w:t>
      </w:r>
      <w:hyperlink r:id="rId10" w:history="1">
        <w:r w:rsidR="000675DD" w:rsidRPr="00D755CD">
          <w:rPr>
            <w:rStyle w:val="Hyperlink"/>
            <w:lang w:val="es-ES"/>
          </w:rPr>
          <w:t>Documento 550 de la CMR-19</w:t>
        </w:r>
      </w:hyperlink>
      <w:r w:rsidR="003D6356" w:rsidRPr="00D755CD">
        <w:rPr>
          <w:lang w:val="es-ES"/>
        </w:rPr>
        <w:t xml:space="preserve"> </w:t>
      </w:r>
      <w:r w:rsidRPr="003D6356">
        <w:rPr>
          <w:lang w:val="es-ES"/>
        </w:rPr>
        <w:t xml:space="preserve">– </w:t>
      </w:r>
      <w:r w:rsidR="003D6356">
        <w:rPr>
          <w:lang w:val="es-ES"/>
        </w:rPr>
        <w:t>«</w:t>
      </w:r>
      <w:r w:rsidR="00D674A2" w:rsidRPr="003D6356">
        <w:rPr>
          <w:lang w:val="es-ES_tradnl"/>
        </w:rPr>
        <w:t>Se invita al UIT-R a estudiar, con carácter urgente, la aplicabilidad del límite establecido en el número</w:t>
      </w:r>
      <w:r w:rsidR="003D6356">
        <w:rPr>
          <w:lang w:val="es-ES_tradnl"/>
        </w:rPr>
        <w:t> </w:t>
      </w:r>
      <w:r w:rsidR="00D674A2" w:rsidRPr="003D6356">
        <w:rPr>
          <w:b/>
          <w:bCs/>
          <w:lang w:val="es-ES_tradnl"/>
        </w:rPr>
        <w:t>21.5</w:t>
      </w:r>
      <w:r w:rsidR="00D674A2" w:rsidRPr="003D6356">
        <w:rPr>
          <w:lang w:val="es-ES_tradnl"/>
        </w:rPr>
        <w:t xml:space="preserve"> del Reglamento de Radiocomunicaciones a las estaciones IMT que utilizan una antena integrada por un sistema de elementos activos, con objeto de formular una recomendación sobre las posibilidades existentes para su reemplazo o revisión para dichas estaciones, así como las actualizaciones necesarias del Cuadro</w:t>
      </w:r>
      <w:r w:rsidR="003D6356">
        <w:rPr>
          <w:lang w:val="es-ES_tradnl"/>
        </w:rPr>
        <w:t> </w:t>
      </w:r>
      <w:r w:rsidR="00D674A2" w:rsidRPr="003D6356">
        <w:rPr>
          <w:b/>
          <w:bCs/>
          <w:lang w:val="es-ES_tradnl"/>
        </w:rPr>
        <w:t>21-2</w:t>
      </w:r>
      <w:r w:rsidR="00D674A2" w:rsidRPr="003D6356">
        <w:rPr>
          <w:lang w:val="es-ES_tradnl"/>
        </w:rPr>
        <w:t xml:space="preserve"> en relación con los servicios terrenales y espaciales que comparten bandas de frecuencias. Se invita asimismo al UIT-R a estudiar, con carácter urgente, la verificación del número</w:t>
      </w:r>
      <w:r w:rsidR="003D6356">
        <w:rPr>
          <w:lang w:val="es-ES_tradnl"/>
        </w:rPr>
        <w:t> </w:t>
      </w:r>
      <w:r w:rsidR="00D674A2" w:rsidRPr="003D6356">
        <w:rPr>
          <w:b/>
          <w:bCs/>
          <w:lang w:val="es-ES_tradnl"/>
        </w:rPr>
        <w:t>21.5</w:t>
      </w:r>
      <w:r w:rsidR="00D674A2" w:rsidRPr="003D6356">
        <w:rPr>
          <w:lang w:val="es-ES_tradnl"/>
        </w:rPr>
        <w:t xml:space="preserve"> en relación con la notificación de las estaciones IMT que utilizan una antena integrada por un sistema de elementos activos, si procede</w:t>
      </w:r>
      <w:r w:rsidR="003D6356">
        <w:rPr>
          <w:lang w:val="es-ES_tradnl"/>
        </w:rPr>
        <w:t>»</w:t>
      </w:r>
      <w:r w:rsidRPr="004A5136">
        <w:rPr>
          <w:lang w:val="es-ES"/>
        </w:rPr>
        <w:t xml:space="preserve"> </w:t>
      </w:r>
      <w:r w:rsidRPr="009A67E7">
        <w:rPr>
          <w:lang w:val="es-ES"/>
        </w:rPr>
        <w:t>(</w:t>
      </w:r>
      <w:r w:rsidR="003D6356" w:rsidRPr="009A67E7">
        <w:rPr>
          <w:lang w:val="es-ES"/>
        </w:rPr>
        <w:t>g</w:t>
      </w:r>
      <w:r w:rsidR="000675DD" w:rsidRPr="009A67E7">
        <w:rPr>
          <w:lang w:val="es-ES"/>
        </w:rPr>
        <w:t xml:space="preserve">rupo responsable: </w:t>
      </w:r>
      <w:r w:rsidR="00A92266" w:rsidRPr="009A67E7">
        <w:rPr>
          <w:lang w:val="es-ES"/>
        </w:rPr>
        <w:t>GT</w:t>
      </w:r>
      <w:r w:rsidR="003D6356">
        <w:rPr>
          <w:lang w:val="es-ES"/>
        </w:rPr>
        <w:t> </w:t>
      </w:r>
      <w:r w:rsidRPr="009A67E7">
        <w:rPr>
          <w:lang w:val="es-ES"/>
        </w:rPr>
        <w:t>5D)</w:t>
      </w:r>
      <w:r w:rsidR="003D6356">
        <w:rPr>
          <w:lang w:val="es-ES"/>
        </w:rPr>
        <w:t>.</w:t>
      </w:r>
    </w:p>
    <w:p w14:paraId="0B60E6D7" w14:textId="2F44566A" w:rsidR="00EB337E" w:rsidRPr="00EB337E" w:rsidRDefault="00EB337E" w:rsidP="009A67E7">
      <w:pPr>
        <w:rPr>
          <w:lang w:val="es-ES_tradnl"/>
        </w:rPr>
      </w:pPr>
      <w:r w:rsidRPr="00D674A2">
        <w:rPr>
          <w:lang w:val="es-ES_tradnl"/>
        </w:rPr>
        <w:t xml:space="preserve">El índice del </w:t>
      </w:r>
      <w:r w:rsidR="003D6356" w:rsidRPr="00D674A2">
        <w:rPr>
          <w:lang w:val="es-ES_tradnl"/>
        </w:rPr>
        <w:t>p</w:t>
      </w:r>
      <w:r w:rsidRPr="00D674A2">
        <w:rPr>
          <w:lang w:val="es-ES_tradnl"/>
        </w:rPr>
        <w:t>royecto de Informe de la RPC a la CMR-</w:t>
      </w:r>
      <w:r w:rsidR="00D674A2" w:rsidRPr="003D6356">
        <w:rPr>
          <w:lang w:val="es-ES_tradnl"/>
        </w:rPr>
        <w:t>23</w:t>
      </w:r>
      <w:r w:rsidRPr="00D674A2">
        <w:rPr>
          <w:lang w:val="es-ES_tradnl"/>
        </w:rPr>
        <w:t xml:space="preserve"> figura en el Anexo 10 a la presente Circular Administrativa.</w:t>
      </w:r>
    </w:p>
    <w:p w14:paraId="6A1D6AFE" w14:textId="5055DB71" w:rsidR="00EB337E" w:rsidRDefault="00EB337E" w:rsidP="009A67E7">
      <w:pPr>
        <w:rPr>
          <w:lang w:val="es-ES_tradnl"/>
        </w:rPr>
      </w:pPr>
      <w:r w:rsidRPr="00EB337E">
        <w:rPr>
          <w:lang w:val="es-ES_tradnl"/>
        </w:rPr>
        <w:t xml:space="preserve">En aras de economía y en reconocimiento de la necesidad de distribuir a tiempo el proyecto de Informe de la RPC, se </w:t>
      </w:r>
      <w:r w:rsidR="000675DD">
        <w:rPr>
          <w:lang w:val="es-ES_tradnl"/>
        </w:rPr>
        <w:t>anima</w:t>
      </w:r>
      <w:r w:rsidR="00D674A2" w:rsidRPr="003D6356">
        <w:rPr>
          <w:lang w:val="es-ES"/>
        </w:rPr>
        <w:t xml:space="preserve"> </w:t>
      </w:r>
      <w:r w:rsidRPr="00EB337E">
        <w:rPr>
          <w:lang w:val="es-ES_tradnl"/>
        </w:rPr>
        <w:t xml:space="preserve">a los </w:t>
      </w:r>
      <w:r w:rsidR="00A96272">
        <w:rPr>
          <w:lang w:val="es-ES_tradnl"/>
        </w:rPr>
        <w:t>g</w:t>
      </w:r>
      <w:r w:rsidRPr="00EB337E">
        <w:rPr>
          <w:lang w:val="es-ES_tradnl"/>
        </w:rPr>
        <w:t>rupos responsables a que se atengan a las directrices descritas en el Anexo 2 a la Resolución UIT</w:t>
      </w:r>
      <w:r w:rsidRPr="00EB337E">
        <w:rPr>
          <w:lang w:val="es-ES_tradnl"/>
        </w:rPr>
        <w:noBreakHyphen/>
        <w:t>R 2</w:t>
      </w:r>
      <w:r w:rsidRPr="00EB337E">
        <w:rPr>
          <w:lang w:val="es-ES_tradnl"/>
        </w:rPr>
        <w:noBreakHyphen/>
      </w:r>
      <w:r w:rsidR="000675DD">
        <w:rPr>
          <w:lang w:val="es-ES_tradnl"/>
        </w:rPr>
        <w:t>8</w:t>
      </w:r>
      <w:r w:rsidRPr="00EB337E">
        <w:rPr>
          <w:lang w:val="es-ES_tradnl"/>
        </w:rPr>
        <w:t xml:space="preserve"> y presenten sus contribuciones de forma concisa, siguiendo la estructura de Capítulo indicada en los Anexos 6, 10 y 11, antes de una fecha aún por determinar. Se reconoció además que los grupos responsables se reunirán al menos dos veces al año para llevar a buen término sus trabajos.</w:t>
      </w:r>
    </w:p>
    <w:p w14:paraId="60D7C15D" w14:textId="1131E6D1" w:rsidR="00D674A2" w:rsidRPr="003D6356" w:rsidRDefault="00D674A2" w:rsidP="009A67E7">
      <w:pPr>
        <w:rPr>
          <w:lang w:val="es-ES"/>
        </w:rPr>
      </w:pPr>
      <w:r w:rsidRPr="009A67E7">
        <w:rPr>
          <w:lang w:val="es-ES_tradnl"/>
        </w:rPr>
        <w:t xml:space="preserve">La reunión nombró Relatores </w:t>
      </w:r>
      <w:r w:rsidR="00202510" w:rsidRPr="009A67E7">
        <w:rPr>
          <w:lang w:val="es-ES_tradnl"/>
        </w:rPr>
        <w:t xml:space="preserve">o Correlatores </w:t>
      </w:r>
      <w:r w:rsidRPr="009A67E7">
        <w:rPr>
          <w:lang w:val="es-ES_tradnl"/>
        </w:rPr>
        <w:t xml:space="preserve">para cada uno de los </w:t>
      </w:r>
      <w:r w:rsidR="00202510" w:rsidRPr="009A67E7">
        <w:rPr>
          <w:lang w:val="es-ES_tradnl"/>
        </w:rPr>
        <w:t>cinco</w:t>
      </w:r>
      <w:r w:rsidRPr="009A67E7">
        <w:rPr>
          <w:lang w:val="es-ES_tradnl"/>
        </w:rPr>
        <w:t xml:space="preserve"> (</w:t>
      </w:r>
      <w:r w:rsidR="00202510" w:rsidRPr="009A67E7">
        <w:rPr>
          <w:lang w:val="es-ES_tradnl"/>
        </w:rPr>
        <w:t>5</w:t>
      </w:r>
      <w:r w:rsidRPr="009A67E7">
        <w:rPr>
          <w:lang w:val="es-ES_tradnl"/>
        </w:rPr>
        <w:t xml:space="preserve">) Capítulos (véase el Anexo 6) a fin de ayudar al Presidente a gestionar el volumen de contribuciones y la elaboración de los proyectos de textos de la RPC. La información de contacto de los Relatores </w:t>
      </w:r>
      <w:r w:rsidR="00202510" w:rsidRPr="009A67E7">
        <w:rPr>
          <w:lang w:val="es-ES_tradnl"/>
        </w:rPr>
        <w:t xml:space="preserve">y Correlatores </w:t>
      </w:r>
      <w:r w:rsidRPr="009A67E7">
        <w:rPr>
          <w:lang w:val="es-ES_tradnl"/>
        </w:rPr>
        <w:t>de Capítulo figura en el Anexo 12.</w:t>
      </w:r>
    </w:p>
    <w:p w14:paraId="059E8884" w14:textId="3F468F48" w:rsidR="00EB337E" w:rsidRPr="00EB337E" w:rsidRDefault="00EB337E" w:rsidP="009A67E7">
      <w:pPr>
        <w:rPr>
          <w:lang w:val="es-ES_tradnl"/>
        </w:rPr>
      </w:pPr>
      <w:r w:rsidRPr="00EB337E">
        <w:rPr>
          <w:lang w:val="es-ES_tradnl"/>
        </w:rPr>
        <w:t>Las fechas exactas de la segunda sesión de la RPC</w:t>
      </w:r>
      <w:r w:rsidRPr="00EB337E">
        <w:rPr>
          <w:lang w:val="es-ES_tradnl"/>
        </w:rPr>
        <w:noBreakHyphen/>
      </w:r>
      <w:r w:rsidR="00D674A2" w:rsidRPr="003D6356">
        <w:rPr>
          <w:szCs w:val="24"/>
          <w:lang w:val="es-ES"/>
        </w:rPr>
        <w:t>23 (</w:t>
      </w:r>
      <w:r w:rsidR="00202510">
        <w:rPr>
          <w:szCs w:val="24"/>
          <w:lang w:val="es-ES"/>
        </w:rPr>
        <w:t>RPC</w:t>
      </w:r>
      <w:r w:rsidR="00D674A2" w:rsidRPr="003D6356">
        <w:rPr>
          <w:szCs w:val="24"/>
          <w:lang w:val="es-ES"/>
        </w:rPr>
        <w:t>23</w:t>
      </w:r>
      <w:r w:rsidRPr="00EB337E">
        <w:rPr>
          <w:lang w:val="es-ES_tradnl"/>
        </w:rPr>
        <w:t xml:space="preserve">-2) así como el plazo acordado (es decir, 14 días naturales antes del inicio de la reunión para los documentos que </w:t>
      </w:r>
      <w:r w:rsidRPr="00EB337E">
        <w:rPr>
          <w:i/>
          <w:iCs/>
          <w:lang w:val="es-ES_tradnl"/>
        </w:rPr>
        <w:t>no exigen traducción</w:t>
      </w:r>
      <w:r w:rsidRPr="00EB337E">
        <w:rPr>
          <w:lang w:val="es-ES_tradnl"/>
        </w:rPr>
        <w:t>) serán comunicadas posteriormente a los miembros (tan pronto como el Consejo de la UIT tome una decisión sobre el periodo preciso de celebración de la CMR</w:t>
      </w:r>
      <w:r w:rsidRPr="00EB337E">
        <w:rPr>
          <w:lang w:val="es-ES_tradnl"/>
        </w:rPr>
        <w:noBreakHyphen/>
      </w:r>
      <w:r w:rsidR="00D674A2">
        <w:rPr>
          <w:lang w:val="es-ES_tradnl"/>
        </w:rPr>
        <w:t>23</w:t>
      </w:r>
      <w:r w:rsidRPr="00EB337E">
        <w:rPr>
          <w:lang w:val="es-ES_tradnl"/>
        </w:rPr>
        <w:t>). La Comisión de Dirección de la RPC</w:t>
      </w:r>
      <w:r w:rsidRPr="00EB337E">
        <w:rPr>
          <w:lang w:val="es-ES_tradnl"/>
        </w:rPr>
        <w:noBreakHyphen/>
      </w:r>
      <w:r w:rsidR="00D674A2">
        <w:rPr>
          <w:lang w:val="es-ES_tradnl"/>
        </w:rPr>
        <w:t>23</w:t>
      </w:r>
      <w:r w:rsidRPr="00EB337E">
        <w:rPr>
          <w:lang w:val="es-ES_tradnl"/>
        </w:rPr>
        <w:t>, en consulta con los Presidentes de las Comisiones de Estudio del UIT</w:t>
      </w:r>
      <w:r w:rsidRPr="00EB337E">
        <w:rPr>
          <w:lang w:val="es-ES_tradnl"/>
        </w:rPr>
        <w:noBreakHyphen/>
        <w:t xml:space="preserve">R y de los Grupos de Trabajo/Grupo de Tareas Especiales, determinará el plazo para completar los proyectos de textos de la RPC por los </w:t>
      </w:r>
      <w:r w:rsidR="00A96272">
        <w:rPr>
          <w:lang w:val="es-ES_tradnl"/>
        </w:rPr>
        <w:t>g</w:t>
      </w:r>
      <w:r w:rsidRPr="00EB337E">
        <w:rPr>
          <w:lang w:val="es-ES_tradnl"/>
        </w:rPr>
        <w:t>rupos responsables. Se convino en que la Comisión Permanente de la RPC-</w:t>
      </w:r>
      <w:r w:rsidR="00D674A2">
        <w:rPr>
          <w:lang w:val="es-ES_tradnl"/>
        </w:rPr>
        <w:t>23</w:t>
      </w:r>
      <w:r w:rsidRPr="00EB337E">
        <w:rPr>
          <w:lang w:val="es-ES_tradnl"/>
        </w:rPr>
        <w:t xml:space="preserve"> también examinaría cuando fuera necesario la información presentada por los Presidentes de las Comisiones de Estudio del UIT-R, en particular en lo que respecta a la lista de los grupos </w:t>
      </w:r>
      <w:r w:rsidR="00202510">
        <w:rPr>
          <w:lang w:val="es-ES_tradnl"/>
        </w:rPr>
        <w:t xml:space="preserve">contribuyentes </w:t>
      </w:r>
      <w:r w:rsidRPr="00EB337E">
        <w:rPr>
          <w:lang w:val="es-ES_tradnl"/>
        </w:rPr>
        <w:t>identificados a fin de realizar, si procede, los ajustes necesarios. Esta información también se comunicará a los miembros.</w:t>
      </w:r>
    </w:p>
    <w:p w14:paraId="2DE7D532" w14:textId="77777777" w:rsidR="00EB337E" w:rsidRPr="00EB337E" w:rsidRDefault="00EB337E" w:rsidP="009A67E7">
      <w:pPr>
        <w:rPr>
          <w:lang w:val="es-ES_tradnl"/>
        </w:rPr>
      </w:pPr>
      <w:r w:rsidRPr="00EB337E">
        <w:rPr>
          <w:lang w:val="es-ES_tradnl"/>
        </w:rPr>
        <w:br w:type="page"/>
      </w:r>
    </w:p>
    <w:p w14:paraId="31EA9D35" w14:textId="77777777" w:rsidR="00EB337E" w:rsidRPr="004A5136" w:rsidRDefault="00EB337E" w:rsidP="00FE4A02">
      <w:pPr>
        <w:pStyle w:val="AnnexNo"/>
        <w:rPr>
          <w:lang w:val="es-ES"/>
        </w:rPr>
      </w:pPr>
      <w:r w:rsidRPr="004A5136">
        <w:rPr>
          <w:lang w:val="es-ES"/>
        </w:rPr>
        <w:lastRenderedPageBreak/>
        <w:t>ANEXO 5</w:t>
      </w:r>
    </w:p>
    <w:p w14:paraId="109DBD05" w14:textId="77903CD4" w:rsidR="00EB337E" w:rsidRPr="00FE4A02" w:rsidRDefault="00EB337E" w:rsidP="00FE4A02">
      <w:pPr>
        <w:pStyle w:val="Annextitle0"/>
        <w:rPr>
          <w:lang w:val="es-ES"/>
        </w:rPr>
      </w:pPr>
      <w:r w:rsidRPr="00FE4A02">
        <w:rPr>
          <w:lang w:val="es-ES"/>
        </w:rPr>
        <w:t xml:space="preserve">Funciones de los Relatores de Capítulo </w:t>
      </w:r>
      <w:r w:rsidR="00D755CD">
        <w:rPr>
          <w:lang w:val="es-ES"/>
        </w:rPr>
        <w:br/>
      </w:r>
      <w:r w:rsidRPr="00FE4A02">
        <w:rPr>
          <w:lang w:val="es-ES"/>
        </w:rPr>
        <w:t>y métodos de trabajo de la RPC-</w:t>
      </w:r>
      <w:r w:rsidR="00D674A2" w:rsidRPr="00FE4A02">
        <w:rPr>
          <w:lang w:val="es-ES"/>
        </w:rPr>
        <w:t>23</w:t>
      </w:r>
    </w:p>
    <w:p w14:paraId="0E69163A" w14:textId="77777777" w:rsidR="00EB337E" w:rsidRPr="00EB337E" w:rsidRDefault="00EB337E" w:rsidP="00342DAA">
      <w:pPr>
        <w:pStyle w:val="Heading1"/>
        <w:rPr>
          <w:lang w:val="es-ES_tradnl"/>
        </w:rPr>
      </w:pPr>
      <w:r w:rsidRPr="00EB337E">
        <w:rPr>
          <w:lang w:val="es-ES_tradnl"/>
        </w:rPr>
        <w:t>1</w:t>
      </w:r>
      <w:r w:rsidRPr="00EB337E">
        <w:rPr>
          <w:lang w:val="es-ES_tradnl"/>
        </w:rPr>
        <w:tab/>
        <w:t>Funciones de los Relatores de Capítulo</w:t>
      </w:r>
    </w:p>
    <w:p w14:paraId="70866564" w14:textId="68D232E6" w:rsidR="00EB337E" w:rsidRPr="00D674A2" w:rsidRDefault="00EB337E" w:rsidP="00342DAA">
      <w:pPr>
        <w:rPr>
          <w:lang w:val="es-ES_tradnl"/>
        </w:rPr>
      </w:pPr>
      <w:r w:rsidRPr="00EB337E">
        <w:rPr>
          <w:lang w:val="es-ES_tradnl"/>
        </w:rPr>
        <w:t>1.1</w:t>
      </w:r>
      <w:r w:rsidRPr="00EB337E">
        <w:rPr>
          <w:lang w:val="es-ES_tradnl"/>
        </w:rPr>
        <w:tab/>
      </w:r>
      <w:r w:rsidR="002B7957">
        <w:rPr>
          <w:lang w:val="es-ES_tradnl"/>
        </w:rPr>
        <w:t>De concierto con el Presidente de la RPC, g</w:t>
      </w:r>
      <w:r w:rsidRPr="00EB337E">
        <w:rPr>
          <w:lang w:val="es-ES_tradnl"/>
        </w:rPr>
        <w:t xml:space="preserve">arantizar que se observa escrupulosamente la coherencia del formato, y la estructura y las directrices </w:t>
      </w:r>
      <w:r w:rsidR="002B7957">
        <w:rPr>
          <w:lang w:val="es-ES_tradnl"/>
        </w:rPr>
        <w:t>en cuanto a la longitud del texto</w:t>
      </w:r>
      <w:r w:rsidRPr="00EB337E">
        <w:rPr>
          <w:lang w:val="es-ES_tradnl"/>
        </w:rPr>
        <w:t>.</w:t>
      </w:r>
    </w:p>
    <w:p w14:paraId="6EECA19D" w14:textId="77777777" w:rsidR="00EB337E" w:rsidRPr="00EB337E" w:rsidRDefault="00EB337E" w:rsidP="00342DAA">
      <w:pPr>
        <w:rPr>
          <w:lang w:val="es-ES_tradnl"/>
        </w:rPr>
      </w:pPr>
      <w:r w:rsidRPr="00EB337E">
        <w:rPr>
          <w:lang w:val="es-ES_tradnl"/>
        </w:rPr>
        <w:t>1.2</w:t>
      </w:r>
      <w:r w:rsidRPr="00EB337E">
        <w:rPr>
          <w:lang w:val="es-ES_tradnl"/>
        </w:rPr>
        <w:tab/>
        <w:t>Asegurar la incorporación de los resultados más recientes de los Grupos de Trabajo en el texto refundido de la RPC mediante consulta con los Presidentes de los Grupos de Trabajo o con su ayuda, para garantizar que se completan a su debido tiempo los trabajos de la RPC.</w:t>
      </w:r>
    </w:p>
    <w:p w14:paraId="070100A5" w14:textId="62F793BE" w:rsidR="00EB337E" w:rsidRPr="00342DAA" w:rsidRDefault="00EB337E" w:rsidP="00342DAA">
      <w:pPr>
        <w:pStyle w:val="Heading1"/>
        <w:rPr>
          <w:lang w:val="es-ES_tradnl"/>
        </w:rPr>
      </w:pPr>
      <w:r w:rsidRPr="00342DAA">
        <w:rPr>
          <w:lang w:val="es-ES_tradnl"/>
        </w:rPr>
        <w:t>2</w:t>
      </w:r>
      <w:r w:rsidRPr="00342DAA">
        <w:rPr>
          <w:lang w:val="es-ES_tradnl"/>
        </w:rPr>
        <w:tab/>
        <w:t>Procedimientos de trabajo de la RPC-</w:t>
      </w:r>
      <w:r w:rsidR="00D674A2" w:rsidRPr="00342DAA">
        <w:rPr>
          <w:lang w:val="es-ES_tradnl"/>
        </w:rPr>
        <w:t>23</w:t>
      </w:r>
    </w:p>
    <w:p w14:paraId="763B51FA" w14:textId="48FD6EA4" w:rsidR="00ED4AC0" w:rsidRPr="00564FF1" w:rsidRDefault="00EB337E" w:rsidP="00FE4A02">
      <w:pPr>
        <w:rPr>
          <w:lang w:val="es-ES_tradnl"/>
        </w:rPr>
      </w:pPr>
      <w:r w:rsidRPr="00FE4A02">
        <w:rPr>
          <w:lang w:val="es-ES_tradnl"/>
        </w:rPr>
        <w:t>2.1</w:t>
      </w:r>
      <w:r w:rsidRPr="00FE4A02">
        <w:rPr>
          <w:lang w:val="es-ES_tradnl"/>
        </w:rPr>
        <w:tab/>
      </w:r>
      <w:r w:rsidR="00ED4AC0" w:rsidRPr="00FE4A02">
        <w:rPr>
          <w:lang w:val="es-ES_tradnl"/>
        </w:rPr>
        <w:t xml:space="preserve">Para cada punto del orden del día se identifica una única Comisión de Estudio o Grupo de Trabajo </w:t>
      </w:r>
      <w:r w:rsidR="00ED4AC0" w:rsidRPr="00FE4A02">
        <w:rPr>
          <w:i/>
          <w:iCs/>
          <w:lang w:val="es-ES_tradnl"/>
        </w:rPr>
        <w:t>responsable</w:t>
      </w:r>
      <w:r w:rsidR="00ED4AC0" w:rsidRPr="00FE4A02">
        <w:rPr>
          <w:lang w:val="es-ES_tradnl"/>
        </w:rPr>
        <w:t xml:space="preserve">. También puede designarse un </w:t>
      </w:r>
      <w:r w:rsidR="00FE4A02" w:rsidRPr="00FE4A02">
        <w:rPr>
          <w:lang w:val="es-ES_tradnl"/>
        </w:rPr>
        <w:t>g</w:t>
      </w:r>
      <w:r w:rsidR="00ED4AC0" w:rsidRPr="00FE4A02">
        <w:rPr>
          <w:lang w:val="es-ES_tradnl"/>
        </w:rPr>
        <w:t xml:space="preserve">rupo </w:t>
      </w:r>
      <w:r w:rsidR="00ED4AC0" w:rsidRPr="00FE4A02">
        <w:rPr>
          <w:i/>
          <w:iCs/>
          <w:lang w:val="es-ES_tradnl"/>
        </w:rPr>
        <w:t>responsable</w:t>
      </w:r>
      <w:r w:rsidR="00ED4AC0" w:rsidRPr="00FE4A02">
        <w:rPr>
          <w:lang w:val="es-ES_tradnl"/>
        </w:rPr>
        <w:t xml:space="preserve"> para cada subpunto cuando un punto del orden del día pueda dividirse fácilmente en paquetes de trabajo coherentes; por ejemplo, en relación con una Resolución o Recomendación específica o con parte de la misma.</w:t>
      </w:r>
    </w:p>
    <w:p w14:paraId="4C82701D" w14:textId="3C16B1F4" w:rsidR="00EB337E" w:rsidRPr="00EB337E" w:rsidRDefault="00ED4AC0" w:rsidP="00342DAA">
      <w:pPr>
        <w:rPr>
          <w:lang w:val="es-ES_tradnl"/>
        </w:rPr>
      </w:pPr>
      <w:r>
        <w:rPr>
          <w:lang w:val="es-ES_tradnl"/>
        </w:rPr>
        <w:t>2.2</w:t>
      </w:r>
      <w:r>
        <w:rPr>
          <w:lang w:val="es-ES_tradnl"/>
        </w:rPr>
        <w:tab/>
      </w:r>
      <w:r w:rsidR="00EB337E" w:rsidRPr="00EB337E">
        <w:rPr>
          <w:lang w:val="es-ES_tradnl"/>
        </w:rPr>
        <w:t xml:space="preserve">Las Comisiones de Estudio o Grupos Trabajo </w:t>
      </w:r>
      <w:r w:rsidR="00EB337E" w:rsidRPr="00EB337E">
        <w:rPr>
          <w:i/>
          <w:iCs/>
          <w:lang w:val="es-ES_tradnl"/>
        </w:rPr>
        <w:t>responsables</w:t>
      </w:r>
      <w:r w:rsidR="00EB337E" w:rsidRPr="00EB337E">
        <w:rPr>
          <w:lang w:val="es-ES_tradnl"/>
        </w:rPr>
        <w:t xml:space="preserve"> se encargan de preparar un proyecto de elemento del Informe de la RPC relativo a un determinado punto o subpunto del orden del día del que son los principales responsables. Estas Comisiones de Estudio o Grupos de Trabajo deben garantizar la coordinación necesaria con los grupos </w:t>
      </w:r>
      <w:r w:rsidR="00EB337E" w:rsidRPr="00EB337E">
        <w:rPr>
          <w:i/>
          <w:lang w:val="es-ES_tradnl"/>
        </w:rPr>
        <w:t>contribu</w:t>
      </w:r>
      <w:r w:rsidR="002B7957">
        <w:rPr>
          <w:i/>
          <w:lang w:val="es-ES_tradnl"/>
        </w:rPr>
        <w:t>yentes</w:t>
      </w:r>
      <w:r w:rsidRPr="00564FF1">
        <w:rPr>
          <w:iCs/>
          <w:position w:val="6"/>
          <w:sz w:val="18"/>
          <w:lang w:val="es-ES"/>
        </w:rPr>
        <w:footnoteReference w:customMarkFollows="1" w:id="7"/>
        <w:t>*</w:t>
      </w:r>
      <w:r w:rsidR="00EB337E" w:rsidRPr="00FE4A02">
        <w:rPr>
          <w:iCs/>
          <w:lang w:val="es-ES_tradnl"/>
        </w:rPr>
        <w:t>.</w:t>
      </w:r>
    </w:p>
    <w:p w14:paraId="0C7F882B" w14:textId="0C5C39F5" w:rsidR="00EB337E" w:rsidRPr="00EB337E" w:rsidRDefault="00EB337E" w:rsidP="00342DAA">
      <w:pPr>
        <w:rPr>
          <w:lang w:val="es-ES_tradnl"/>
        </w:rPr>
      </w:pPr>
      <w:r w:rsidRPr="00EB337E">
        <w:rPr>
          <w:lang w:val="es-ES_tradnl"/>
        </w:rPr>
        <w:t>2.3</w:t>
      </w:r>
      <w:r w:rsidRPr="00EB337E">
        <w:rPr>
          <w:lang w:val="es-ES_tradnl"/>
        </w:rPr>
        <w:tab/>
        <w:t xml:space="preserve">En la preparación del Informe de la RPC, deberán armonizarse en la medida de lo posible las diferencias de criterio que figuran en el material de origen. </w:t>
      </w:r>
      <w:r w:rsidR="002B7957">
        <w:rPr>
          <w:lang w:val="es-ES_tradnl"/>
        </w:rPr>
        <w:t xml:space="preserve">Cuando se hayan agotado todas las vías exploradas para reconciliar las divergencias, podrán incluirse métodos alternativos, </w:t>
      </w:r>
      <w:r w:rsidR="00BA60FA">
        <w:rPr>
          <w:lang w:val="es-ES_tradnl"/>
        </w:rPr>
        <w:t>justificándolos</w:t>
      </w:r>
      <w:r w:rsidR="002B7957">
        <w:rPr>
          <w:lang w:val="es-ES_tradnl"/>
        </w:rPr>
        <w:t xml:space="preserve"> debidamente</w:t>
      </w:r>
      <w:r w:rsidRPr="00EB337E">
        <w:rPr>
          <w:lang w:val="es-ES_tradnl"/>
        </w:rPr>
        <w:t>.</w:t>
      </w:r>
    </w:p>
    <w:p w14:paraId="35DF22D8" w14:textId="1FF200D4" w:rsidR="00EB337E" w:rsidRPr="00EB337E" w:rsidRDefault="00EB337E" w:rsidP="00342DAA">
      <w:pPr>
        <w:rPr>
          <w:lang w:val="es-ES_tradnl"/>
        </w:rPr>
      </w:pPr>
      <w:r w:rsidRPr="00EB337E">
        <w:rPr>
          <w:lang w:val="es-ES_tradnl"/>
        </w:rPr>
        <w:t>2.4</w:t>
      </w:r>
      <w:r w:rsidRPr="00EB337E">
        <w:rPr>
          <w:lang w:val="es-ES_tradnl"/>
        </w:rPr>
        <w:tab/>
        <w:t xml:space="preserve">Las Comisiones de Estudio o los Grupos de Trabajo </w:t>
      </w:r>
      <w:r w:rsidRPr="00EB337E">
        <w:rPr>
          <w:i/>
          <w:iCs/>
          <w:lang w:val="es-ES_tradnl"/>
        </w:rPr>
        <w:t>contribu</w:t>
      </w:r>
      <w:r w:rsidR="002B7957">
        <w:rPr>
          <w:i/>
          <w:iCs/>
          <w:lang w:val="es-ES_tradnl"/>
        </w:rPr>
        <w:t>yentes</w:t>
      </w:r>
      <w:r w:rsidRPr="00EB337E">
        <w:rPr>
          <w:lang w:val="es-ES_tradnl"/>
        </w:rPr>
        <w:t xml:space="preserve"> encargados de los puntos o subpuntos no contribuirán directamente a la RPC, sino que pueden contribuir a la labor de los grupos </w:t>
      </w:r>
      <w:r w:rsidRPr="00EB337E">
        <w:rPr>
          <w:i/>
          <w:lang w:val="es-ES_tradnl"/>
        </w:rPr>
        <w:t>responsables</w:t>
      </w:r>
      <w:r w:rsidRPr="00EB337E">
        <w:rPr>
          <w:lang w:val="es-ES_tradnl"/>
        </w:rPr>
        <w:t xml:space="preserve"> encargados de dicho punto o subpunto, en el orden de preferencia siguiente:</w:t>
      </w:r>
    </w:p>
    <w:p w14:paraId="4C488BB7" w14:textId="1053539F" w:rsidR="00EB337E" w:rsidRPr="00EB337E" w:rsidRDefault="00EB337E" w:rsidP="00342DAA">
      <w:pPr>
        <w:pStyle w:val="enumlev1"/>
        <w:rPr>
          <w:lang w:val="es-ES_tradnl"/>
        </w:rPr>
      </w:pPr>
      <w:r w:rsidRPr="00EB337E">
        <w:rPr>
          <w:lang w:val="es-ES_tradnl"/>
        </w:rPr>
        <w:t>–</w:t>
      </w:r>
      <w:r w:rsidRPr="00EB337E">
        <w:rPr>
          <w:lang w:val="es-ES_tradnl"/>
        </w:rPr>
        <w:tab/>
      </w:r>
      <w:r w:rsidR="004A5136">
        <w:rPr>
          <w:lang w:val="es-ES_tradnl"/>
        </w:rPr>
        <w:t>p</w:t>
      </w:r>
      <w:r w:rsidRPr="00EB337E">
        <w:rPr>
          <w:lang w:val="es-ES_tradnl"/>
        </w:rPr>
        <w:t xml:space="preserve">articipación de miembros de los grupos </w:t>
      </w:r>
      <w:r w:rsidRPr="00EB337E">
        <w:rPr>
          <w:i/>
          <w:iCs/>
          <w:lang w:val="es-ES_tradnl"/>
        </w:rPr>
        <w:t>contribu</w:t>
      </w:r>
      <w:r w:rsidR="00A96272">
        <w:rPr>
          <w:i/>
          <w:iCs/>
          <w:lang w:val="es-ES_tradnl"/>
        </w:rPr>
        <w:t>yentes</w:t>
      </w:r>
      <w:r w:rsidRPr="00EB337E">
        <w:rPr>
          <w:b/>
          <w:bCs/>
          <w:i/>
          <w:iCs/>
          <w:lang w:val="es-ES_tradnl"/>
        </w:rPr>
        <w:t xml:space="preserve"> </w:t>
      </w:r>
      <w:r w:rsidRPr="00EB337E">
        <w:rPr>
          <w:lang w:val="es-ES_tradnl"/>
        </w:rPr>
        <w:t xml:space="preserve">en el trabajo y las reuniones de los grupos </w:t>
      </w:r>
      <w:r w:rsidRPr="00EB337E">
        <w:rPr>
          <w:i/>
          <w:lang w:val="es-ES_tradnl"/>
        </w:rPr>
        <w:t>responsables</w:t>
      </w:r>
      <w:r w:rsidR="006C2C14">
        <w:rPr>
          <w:lang w:val="es-ES_tradnl"/>
        </w:rPr>
        <w:t>;</w:t>
      </w:r>
    </w:p>
    <w:p w14:paraId="1624BDC1" w14:textId="5C361F4B" w:rsidR="00EB337E" w:rsidRPr="00EB337E" w:rsidRDefault="00EB337E" w:rsidP="00342DAA">
      <w:pPr>
        <w:pStyle w:val="enumlev1"/>
        <w:rPr>
          <w:lang w:val="es-ES_tradnl"/>
        </w:rPr>
      </w:pPr>
      <w:r w:rsidRPr="00EB337E">
        <w:rPr>
          <w:lang w:val="es-ES_tradnl"/>
        </w:rPr>
        <w:t>–</w:t>
      </w:r>
      <w:r w:rsidRPr="00EB337E">
        <w:rPr>
          <w:lang w:val="es-ES_tradnl"/>
        </w:rPr>
        <w:tab/>
      </w:r>
      <w:r w:rsidR="004A5136">
        <w:rPr>
          <w:lang w:val="es-ES_tradnl"/>
        </w:rPr>
        <w:t>n</w:t>
      </w:r>
      <w:r w:rsidRPr="00EB337E">
        <w:rPr>
          <w:lang w:val="es-ES_tradnl"/>
        </w:rPr>
        <w:t xml:space="preserve">ombramiento de relatores que representen sus intereses en el trabajo y las reuniones de los grupos </w:t>
      </w:r>
      <w:r w:rsidRPr="00EB337E">
        <w:rPr>
          <w:i/>
          <w:lang w:val="es-ES_tradnl"/>
        </w:rPr>
        <w:t>responsables</w:t>
      </w:r>
      <w:r w:rsidR="006C2C14">
        <w:rPr>
          <w:lang w:val="es-ES_tradnl"/>
        </w:rPr>
        <w:t>;</w:t>
      </w:r>
    </w:p>
    <w:p w14:paraId="1A905987" w14:textId="749837B8" w:rsidR="00EB337E" w:rsidRPr="00EB337E" w:rsidRDefault="00EB337E" w:rsidP="00342DAA">
      <w:pPr>
        <w:pStyle w:val="enumlev1"/>
        <w:rPr>
          <w:lang w:val="es-ES_tradnl"/>
        </w:rPr>
      </w:pPr>
      <w:r w:rsidRPr="00EB337E">
        <w:rPr>
          <w:lang w:val="es-ES_tradnl"/>
        </w:rPr>
        <w:t>–</w:t>
      </w:r>
      <w:r w:rsidRPr="00EB337E">
        <w:rPr>
          <w:lang w:val="es-ES_tradnl"/>
        </w:rPr>
        <w:tab/>
      </w:r>
      <w:r w:rsidR="006C2C14">
        <w:rPr>
          <w:lang w:val="es-ES_tradnl"/>
        </w:rPr>
        <w:t>d</w:t>
      </w:r>
      <w:r w:rsidRPr="00EB337E">
        <w:rPr>
          <w:lang w:val="es-ES_tradnl"/>
        </w:rPr>
        <w:t xml:space="preserve">eclaraciones de </w:t>
      </w:r>
      <w:r w:rsidR="006C2C14">
        <w:rPr>
          <w:lang w:val="es-ES_tradnl"/>
        </w:rPr>
        <w:t>c</w:t>
      </w:r>
      <w:r w:rsidRPr="00EB337E">
        <w:rPr>
          <w:lang w:val="es-ES_tradnl"/>
        </w:rPr>
        <w:t>oordinación, si el tiempo lo permite.</w:t>
      </w:r>
    </w:p>
    <w:p w14:paraId="3DB2745E" w14:textId="23C6A5E3" w:rsidR="00EB337E" w:rsidRPr="00EB337E" w:rsidRDefault="00EB337E" w:rsidP="00342DAA">
      <w:pPr>
        <w:rPr>
          <w:lang w:val="es-ES_tradnl"/>
        </w:rPr>
      </w:pPr>
      <w:r w:rsidRPr="00EB337E">
        <w:rPr>
          <w:lang w:val="es-ES_tradnl"/>
        </w:rPr>
        <w:t>2.5</w:t>
      </w:r>
      <w:r w:rsidRPr="00EB337E">
        <w:rPr>
          <w:lang w:val="es-ES_tradnl"/>
        </w:rPr>
        <w:tab/>
        <w:t xml:space="preserve">En la medida de lo posible, los grupos </w:t>
      </w:r>
      <w:r w:rsidRPr="00EB337E">
        <w:rPr>
          <w:i/>
          <w:iCs/>
          <w:lang w:val="es-ES_tradnl"/>
        </w:rPr>
        <w:t>contribu</w:t>
      </w:r>
      <w:r w:rsidR="002B7957">
        <w:rPr>
          <w:i/>
          <w:iCs/>
          <w:lang w:val="es-ES_tradnl"/>
        </w:rPr>
        <w:t>yentes</w:t>
      </w:r>
      <w:r w:rsidRPr="00EB337E">
        <w:rPr>
          <w:lang w:val="es-ES_tradnl"/>
        </w:rPr>
        <w:t xml:space="preserve"> deben evitar crear grupos específicos o celebrar reuniones para acordar el envío de contribuciones a grupos </w:t>
      </w:r>
      <w:r w:rsidRPr="00EB337E">
        <w:rPr>
          <w:i/>
          <w:lang w:val="es-ES_tradnl"/>
        </w:rPr>
        <w:t>responsables</w:t>
      </w:r>
      <w:r w:rsidRPr="00EB337E">
        <w:rPr>
          <w:lang w:val="es-ES_tradnl"/>
        </w:rPr>
        <w:t xml:space="preserve"> ya que, de hacerlo, sin duda se duplicaría el trabajo de los grupos </w:t>
      </w:r>
      <w:r w:rsidRPr="00EB337E">
        <w:rPr>
          <w:i/>
          <w:lang w:val="es-ES_tradnl"/>
        </w:rPr>
        <w:t>responsables</w:t>
      </w:r>
      <w:r w:rsidRPr="00EB337E">
        <w:rPr>
          <w:lang w:val="es-ES_tradnl"/>
        </w:rPr>
        <w:t xml:space="preserve"> y aumentaría el número de reuniones a las que habrían de asistir los expertos interesados.</w:t>
      </w:r>
    </w:p>
    <w:p w14:paraId="02271DA8" w14:textId="7F60BCA8" w:rsidR="00EB337E" w:rsidRPr="00EB337E" w:rsidRDefault="00EB337E" w:rsidP="00342DAA">
      <w:pPr>
        <w:rPr>
          <w:lang w:val="es-ES_tradnl"/>
        </w:rPr>
      </w:pPr>
      <w:r w:rsidRPr="00EB337E">
        <w:rPr>
          <w:lang w:val="es-ES_tradnl"/>
        </w:rPr>
        <w:lastRenderedPageBreak/>
        <w:t>2.6</w:t>
      </w:r>
      <w:r w:rsidRPr="00EB337E">
        <w:rPr>
          <w:lang w:val="es-ES_tradnl"/>
        </w:rPr>
        <w:tab/>
        <w:t xml:space="preserve">Los </w:t>
      </w:r>
      <w:r w:rsidR="002B7957">
        <w:rPr>
          <w:lang w:val="es-ES_tradnl"/>
        </w:rPr>
        <w:t>documentos finales</w:t>
      </w:r>
      <w:r w:rsidR="00BA60FA">
        <w:rPr>
          <w:lang w:val="es-ES"/>
        </w:rPr>
        <w:t xml:space="preserve"> </w:t>
      </w:r>
      <w:r w:rsidRPr="00EB337E">
        <w:rPr>
          <w:lang w:val="es-ES_tradnl"/>
        </w:rPr>
        <w:t xml:space="preserve">de los grupos </w:t>
      </w:r>
      <w:r w:rsidRPr="00EB337E">
        <w:rPr>
          <w:i/>
          <w:lang w:val="es-ES_tradnl"/>
        </w:rPr>
        <w:t>responsables</w:t>
      </w:r>
      <w:r w:rsidRPr="00EB337E">
        <w:rPr>
          <w:lang w:val="es-ES_tradnl"/>
        </w:rPr>
        <w:t xml:space="preserve"> deberán someterse </w:t>
      </w:r>
      <w:r w:rsidR="002B7957">
        <w:rPr>
          <w:lang w:val="es-ES_tradnl"/>
        </w:rPr>
        <w:t xml:space="preserve">directamente </w:t>
      </w:r>
      <w:r w:rsidRPr="00EB337E">
        <w:rPr>
          <w:lang w:val="es-ES_tradnl"/>
        </w:rPr>
        <w:t>a la</w:t>
      </w:r>
      <w:r w:rsidR="00BA60FA">
        <w:rPr>
          <w:lang w:val="es-ES_tradnl"/>
        </w:rPr>
        <w:t> </w:t>
      </w:r>
      <w:r w:rsidRPr="00EB337E">
        <w:rPr>
          <w:lang w:val="es-ES_tradnl"/>
        </w:rPr>
        <w:t>RPC de conformidad con lo dispuesto en la Resolución UIT-R 2-</w:t>
      </w:r>
      <w:r w:rsidR="008A3741">
        <w:rPr>
          <w:lang w:val="es-ES_tradnl"/>
        </w:rPr>
        <w:t xml:space="preserve">8 </w:t>
      </w:r>
      <w:r w:rsidR="002B7957">
        <w:rPr>
          <w:lang w:val="es-ES_tradnl"/>
        </w:rPr>
        <w:t>y con</w:t>
      </w:r>
      <w:r w:rsidRPr="00EB337E">
        <w:rPr>
          <w:lang w:val="es-ES_tradnl"/>
        </w:rPr>
        <w:t xml:space="preserve"> </w:t>
      </w:r>
      <w:r w:rsidR="002B7957">
        <w:rPr>
          <w:lang w:val="es-ES_tradnl"/>
        </w:rPr>
        <w:t>los</w:t>
      </w:r>
      <w:r w:rsidRPr="00EB337E">
        <w:rPr>
          <w:lang w:val="es-ES_tradnl"/>
        </w:rPr>
        <w:t xml:space="preserve"> métodos de trabajo</w:t>
      </w:r>
      <w:r w:rsidR="002B7957">
        <w:rPr>
          <w:lang w:val="es-ES_tradnl"/>
        </w:rPr>
        <w:t xml:space="preserve"> definidos en su Anexo 1</w:t>
      </w:r>
      <w:r w:rsidRPr="00EB337E">
        <w:rPr>
          <w:lang w:val="es-ES_tradnl"/>
        </w:rPr>
        <w:t>.</w:t>
      </w:r>
    </w:p>
    <w:p w14:paraId="31A971E6" w14:textId="42C13E5B" w:rsidR="00EB337E" w:rsidRPr="00EB337E" w:rsidRDefault="00EB337E" w:rsidP="00342DAA">
      <w:pPr>
        <w:rPr>
          <w:lang w:val="es-ES_tradnl"/>
        </w:rPr>
      </w:pPr>
      <w:r w:rsidRPr="00EB337E">
        <w:rPr>
          <w:lang w:val="es-ES_tradnl"/>
        </w:rPr>
        <w:t>2.7</w:t>
      </w:r>
      <w:r w:rsidRPr="00EB337E">
        <w:rPr>
          <w:lang w:val="es-ES_tradnl"/>
        </w:rPr>
        <w:tab/>
        <w:t xml:space="preserve">El Equipo de Gestión de la RPC preparará, con la asistencia, si procede, de los Presidentes de las Comisiones de Estudio o Grupos de Trabajo, un proyecto de Informe de la RPC refundido para su presentación a los Estados Miembros y Miembros de Sector a tiempo para la segunda </w:t>
      </w:r>
      <w:r w:rsidR="002B7957">
        <w:rPr>
          <w:lang w:val="es-ES_tradnl"/>
        </w:rPr>
        <w:t>sesión</w:t>
      </w:r>
      <w:r w:rsidR="00BA60FA">
        <w:rPr>
          <w:lang w:val="es-ES_tradnl"/>
        </w:rPr>
        <w:t xml:space="preserve"> </w:t>
      </w:r>
      <w:r w:rsidRPr="00EB337E">
        <w:rPr>
          <w:lang w:val="es-ES_tradnl"/>
        </w:rPr>
        <w:t>de la RPC.</w:t>
      </w:r>
    </w:p>
    <w:p w14:paraId="4C83636A" w14:textId="099A0F3C" w:rsidR="00EB337E" w:rsidRPr="00EB337E" w:rsidRDefault="00EB337E" w:rsidP="00BA60FA">
      <w:pPr>
        <w:pStyle w:val="Note"/>
        <w:rPr>
          <w:lang w:val="es-ES_tradnl"/>
        </w:rPr>
      </w:pPr>
      <w:r w:rsidRPr="00EB337E">
        <w:rPr>
          <w:lang w:val="es-ES_tradnl"/>
        </w:rPr>
        <w:t xml:space="preserve">NOTA – </w:t>
      </w:r>
      <w:r w:rsidR="00DA5CCB">
        <w:rPr>
          <w:lang w:val="es-ES_tradnl"/>
        </w:rPr>
        <w:t>La</w:t>
      </w:r>
      <w:r w:rsidRPr="00EB337E">
        <w:rPr>
          <w:lang w:val="es-ES_tradnl"/>
        </w:rPr>
        <w:t xml:space="preserve"> President</w:t>
      </w:r>
      <w:r w:rsidR="00DA5CCB">
        <w:rPr>
          <w:lang w:val="es-ES_tradnl"/>
        </w:rPr>
        <w:t>a</w:t>
      </w:r>
      <w:r w:rsidRPr="00EB337E">
        <w:rPr>
          <w:lang w:val="es-ES_tradnl"/>
        </w:rPr>
        <w:t>, Vicepresidente</w:t>
      </w:r>
      <w:r w:rsidR="0090457D">
        <w:rPr>
          <w:lang w:val="es-ES_tradnl"/>
        </w:rPr>
        <w:t>s</w:t>
      </w:r>
      <w:r w:rsidRPr="00EB337E">
        <w:rPr>
          <w:lang w:val="es-ES_tradnl"/>
        </w:rPr>
        <w:t xml:space="preserve"> y Relatores de Capítulo y el </w:t>
      </w:r>
      <w:r w:rsidR="008A3741" w:rsidRPr="00564FF1">
        <w:rPr>
          <w:lang w:val="es-ES"/>
        </w:rPr>
        <w:t>Co</w:t>
      </w:r>
      <w:r w:rsidR="002B7957">
        <w:rPr>
          <w:lang w:val="es-ES"/>
        </w:rPr>
        <w:t>nsejero</w:t>
      </w:r>
      <w:r w:rsidR="00BA60FA">
        <w:rPr>
          <w:lang w:val="es-ES_tradnl"/>
        </w:rPr>
        <w:t xml:space="preserve"> </w:t>
      </w:r>
      <w:r w:rsidRPr="00EB337E">
        <w:rPr>
          <w:lang w:val="es-ES_tradnl"/>
        </w:rPr>
        <w:t>de la RPC constituirán el Comité de Dirección de la RPC.</w:t>
      </w:r>
    </w:p>
    <w:p w14:paraId="17108165" w14:textId="2BE56A26" w:rsidR="00EB337E" w:rsidRDefault="00EB337E" w:rsidP="00342DAA">
      <w:pPr>
        <w:rPr>
          <w:lang w:val="es-ES_tradnl"/>
        </w:rPr>
      </w:pPr>
      <w:r>
        <w:rPr>
          <w:lang w:val="es-ES_tradnl"/>
        </w:rPr>
        <w:br w:type="page"/>
      </w:r>
    </w:p>
    <w:p w14:paraId="7DF2421A" w14:textId="77777777" w:rsidR="008D60CF" w:rsidRPr="004A5136" w:rsidRDefault="008D60CF" w:rsidP="006C2C14">
      <w:pPr>
        <w:pStyle w:val="AnnexNo"/>
        <w:rPr>
          <w:lang w:val="es-ES"/>
        </w:rPr>
      </w:pPr>
      <w:r w:rsidRPr="004A5136">
        <w:rPr>
          <w:lang w:val="es-ES"/>
        </w:rPr>
        <w:lastRenderedPageBreak/>
        <w:t>ANEXO 6</w:t>
      </w:r>
    </w:p>
    <w:p w14:paraId="51DECDBD" w14:textId="281F3D75" w:rsidR="008D60CF" w:rsidRPr="00494563" w:rsidRDefault="008D60CF" w:rsidP="00DA5CCB">
      <w:pPr>
        <w:pStyle w:val="Annextitle0"/>
        <w:spacing w:before="200" w:after="120"/>
        <w:rPr>
          <w:lang w:val="es-ES"/>
        </w:rPr>
      </w:pPr>
      <w:r w:rsidRPr="00494563">
        <w:rPr>
          <w:lang w:val="es-ES"/>
        </w:rPr>
        <w:t>Capítulo e índice del proyecto de Informe de la RPC a la CMR-</w:t>
      </w:r>
      <w:r w:rsidR="00096595" w:rsidRPr="00494563">
        <w:rPr>
          <w:lang w:val="es-ES"/>
        </w:rPr>
        <w:t>23</w:t>
      </w:r>
      <w:r w:rsidRPr="00494563">
        <w:rPr>
          <w:lang w:val="es-ES"/>
        </w:rPr>
        <w:br/>
        <w:t xml:space="preserve">y estructura de las secciones de los puntos del </w:t>
      </w:r>
      <w:r w:rsidRPr="00494563">
        <w:rPr>
          <w:lang w:val="es-ES"/>
        </w:rPr>
        <w:br/>
        <w:t>orden del día en los capítulos</w:t>
      </w:r>
    </w:p>
    <w:p w14:paraId="6B87B3E2" w14:textId="77777777" w:rsidR="008D60CF" w:rsidRPr="006C2C14" w:rsidRDefault="008D60CF" w:rsidP="00DA5CCB">
      <w:pPr>
        <w:pStyle w:val="Heading1"/>
        <w:spacing w:before="360"/>
        <w:rPr>
          <w:lang w:val="es-ES_tradnl"/>
        </w:rPr>
      </w:pPr>
      <w:r w:rsidRPr="006C2C14">
        <w:rPr>
          <w:lang w:val="es-ES_tradnl"/>
        </w:rPr>
        <w:t>1</w:t>
      </w:r>
      <w:r w:rsidRPr="006C2C14">
        <w:rPr>
          <w:lang w:val="es-ES_tradnl"/>
        </w:rPr>
        <w:tab/>
        <w:t>Capítulos e índice del proyecto de Informe de la RPC a la CMR-19</w:t>
      </w:r>
    </w:p>
    <w:p w14:paraId="6EF3AD1B" w14:textId="4831ADC3" w:rsidR="00096595" w:rsidRPr="008E1B78" w:rsidRDefault="002E670F" w:rsidP="00494563">
      <w:pPr>
        <w:pStyle w:val="Headingb"/>
        <w:tabs>
          <w:tab w:val="clear" w:pos="794"/>
          <w:tab w:val="clear" w:pos="1191"/>
          <w:tab w:val="clear" w:pos="1588"/>
          <w:tab w:val="clear" w:pos="1985"/>
          <w:tab w:val="left" w:pos="2835"/>
        </w:tabs>
        <w:rPr>
          <w:lang w:val="es-ES"/>
        </w:rPr>
      </w:pPr>
      <w:r w:rsidRPr="008E1B78">
        <w:rPr>
          <w:lang w:val="es-ES"/>
        </w:rPr>
        <w:t>CAPÍTULO</w:t>
      </w:r>
      <w:r w:rsidR="00096595" w:rsidRPr="008E1B78">
        <w:rPr>
          <w:lang w:val="es-ES"/>
        </w:rPr>
        <w:t xml:space="preserve"> 1</w:t>
      </w:r>
      <w:r w:rsidR="00096595" w:rsidRPr="008E1B78">
        <w:rPr>
          <w:lang w:val="es-ES"/>
        </w:rPr>
        <w:tab/>
      </w:r>
      <w:r w:rsidRPr="008E1B78">
        <w:rPr>
          <w:lang w:val="es-ES"/>
        </w:rPr>
        <w:t>Temas fijos, móviles y de ra</w:t>
      </w:r>
      <w:r>
        <w:rPr>
          <w:lang w:val="es-ES"/>
        </w:rPr>
        <w:t>diodifusión</w:t>
      </w:r>
    </w:p>
    <w:p w14:paraId="1544CAB7" w14:textId="5C5E3F96" w:rsidR="00096595" w:rsidRPr="008E1B78" w:rsidRDefault="002E670F" w:rsidP="008E1B78">
      <w:pPr>
        <w:tabs>
          <w:tab w:val="clear" w:pos="1985"/>
          <w:tab w:val="left" w:pos="2835"/>
        </w:tabs>
        <w:jc w:val="left"/>
        <w:rPr>
          <w:lang w:val="es-ES"/>
        </w:rPr>
      </w:pPr>
      <w:r>
        <w:rPr>
          <w:lang w:val="es-ES"/>
        </w:rPr>
        <w:t>Puntos del orden del día</w:t>
      </w:r>
      <w:r w:rsidR="00096595" w:rsidRPr="008E1B78">
        <w:rPr>
          <w:lang w:val="es-ES"/>
        </w:rPr>
        <w:t>:</w:t>
      </w:r>
      <w:r w:rsidR="00096595" w:rsidRPr="008E1B78">
        <w:rPr>
          <w:lang w:val="es-ES"/>
        </w:rPr>
        <w:tab/>
        <w:t>1.1, 1.2, 1.3, 1.4, 1.5</w:t>
      </w:r>
    </w:p>
    <w:p w14:paraId="0B218329" w14:textId="4C861A53"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w:t>
      </w:r>
      <w:r w:rsidRPr="008E1B78">
        <w:rPr>
          <w:lang w:val="es-ES"/>
        </w:rPr>
        <w:tab/>
        <w:t xml:space="preserve">Dr. Hiroyuki ATARASHI (J), </w:t>
      </w:r>
      <w:r w:rsidR="002E670F" w:rsidRPr="008E1B78">
        <w:rPr>
          <w:lang w:val="es-ES"/>
        </w:rPr>
        <w:t>para los puntos</w:t>
      </w:r>
      <w:r w:rsidRPr="008E1B78">
        <w:rPr>
          <w:lang w:val="es-ES"/>
        </w:rPr>
        <w:t xml:space="preserve"> 1.1, 1.2 </w:t>
      </w:r>
      <w:r w:rsidR="002E670F">
        <w:rPr>
          <w:lang w:val="es-ES"/>
        </w:rPr>
        <w:t>y</w:t>
      </w:r>
      <w:r w:rsidRPr="008E1B78">
        <w:rPr>
          <w:lang w:val="es-ES"/>
        </w:rPr>
        <w:t xml:space="preserve"> 1.4</w:t>
      </w:r>
      <w:r w:rsidR="002E670F">
        <w:rPr>
          <w:lang w:val="es-ES"/>
        </w:rPr>
        <w:t xml:space="preserve"> </w:t>
      </w:r>
      <w:r w:rsidR="00494563">
        <w:rPr>
          <w:lang w:val="es-ES"/>
        </w:rPr>
        <w:br/>
      </w:r>
      <w:r w:rsidR="002E670F">
        <w:rPr>
          <w:lang w:val="es-ES"/>
        </w:rPr>
        <w:t>del orden del día</w:t>
      </w:r>
      <w:r w:rsidRPr="008E1B78">
        <w:rPr>
          <w:lang w:val="es-ES"/>
        </w:rPr>
        <w:t>,</w:t>
      </w:r>
      <w:r w:rsidR="00494563">
        <w:rPr>
          <w:lang w:val="es-ES"/>
        </w:rPr>
        <w:br/>
      </w:r>
      <w:r w:rsidR="002E670F">
        <w:rPr>
          <w:lang w:val="es-ES"/>
        </w:rPr>
        <w:t>correo-e</w:t>
      </w:r>
      <w:r w:rsidRPr="008E1B78">
        <w:rPr>
          <w:lang w:val="es-ES"/>
        </w:rPr>
        <w:t xml:space="preserve">: </w:t>
      </w:r>
      <w:hyperlink r:id="rId11" w:history="1">
        <w:r w:rsidRPr="008E1B78">
          <w:rPr>
            <w:rStyle w:val="Hyperlink"/>
            <w:lang w:val="es-ES"/>
          </w:rPr>
          <w:t>hiroyuki.atarashi.yt@nttdocomo.com</w:t>
        </w:r>
      </w:hyperlink>
    </w:p>
    <w:p w14:paraId="1FB1639C" w14:textId="22159672"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w:t>
      </w:r>
      <w:r w:rsidRPr="008E1B78">
        <w:rPr>
          <w:lang w:val="es-ES"/>
        </w:rPr>
        <w:tab/>
      </w:r>
      <w:r w:rsidR="002E670F" w:rsidRPr="008E1B78">
        <w:rPr>
          <w:lang w:val="es-ES"/>
        </w:rPr>
        <w:t>S</w:t>
      </w:r>
      <w:r w:rsidRPr="008E1B78">
        <w:rPr>
          <w:lang w:val="es-ES"/>
        </w:rPr>
        <w:t xml:space="preserve">r. Usman Aliyu MAHMUD (NIG), </w:t>
      </w:r>
      <w:r w:rsidR="002E670F" w:rsidRPr="008E1B78">
        <w:rPr>
          <w:lang w:val="es-ES"/>
        </w:rPr>
        <w:t>para los puntos</w:t>
      </w:r>
      <w:r w:rsidRPr="008E1B78">
        <w:rPr>
          <w:lang w:val="es-ES"/>
        </w:rPr>
        <w:t xml:space="preserve"> 1.3 </w:t>
      </w:r>
      <w:r w:rsidR="002E670F" w:rsidRPr="008E1B78">
        <w:rPr>
          <w:lang w:val="es-ES"/>
        </w:rPr>
        <w:t>y</w:t>
      </w:r>
      <w:r w:rsidRPr="008E1B78">
        <w:rPr>
          <w:lang w:val="es-ES"/>
        </w:rPr>
        <w:t xml:space="preserve"> 1.5</w:t>
      </w:r>
      <w:r w:rsidR="002E670F">
        <w:rPr>
          <w:lang w:val="es-ES"/>
        </w:rPr>
        <w:t xml:space="preserve"> </w:t>
      </w:r>
      <w:r w:rsidR="008E1B78">
        <w:rPr>
          <w:lang w:val="es-ES"/>
        </w:rPr>
        <w:br/>
      </w:r>
      <w:r w:rsidR="002E670F">
        <w:rPr>
          <w:lang w:val="es-ES"/>
        </w:rPr>
        <w:t>del orden del día</w:t>
      </w:r>
      <w:r w:rsidRPr="008E1B78">
        <w:rPr>
          <w:lang w:val="es-ES"/>
        </w:rPr>
        <w:t xml:space="preserve">, </w:t>
      </w:r>
      <w:r w:rsidRPr="008E1B78">
        <w:rPr>
          <w:lang w:val="es-ES"/>
        </w:rPr>
        <w:br/>
      </w:r>
      <w:r w:rsidR="002E670F">
        <w:rPr>
          <w:lang w:val="es-ES"/>
        </w:rPr>
        <w:t>correo-e</w:t>
      </w:r>
      <w:r w:rsidRPr="008E1B78">
        <w:rPr>
          <w:lang w:val="es-ES"/>
        </w:rPr>
        <w:t xml:space="preserve">: </w:t>
      </w:r>
      <w:hyperlink r:id="rId12" w:history="1">
        <w:r w:rsidRPr="008E1B78">
          <w:rPr>
            <w:rStyle w:val="Hyperlink"/>
            <w:lang w:val="es-ES"/>
          </w:rPr>
          <w:t>ualiyu@ncc.gov.ng</w:t>
        </w:r>
      </w:hyperlink>
    </w:p>
    <w:p w14:paraId="7347157C" w14:textId="2797A2DA" w:rsidR="00096595" w:rsidRPr="008E1B78" w:rsidRDefault="002E670F" w:rsidP="008E1B78">
      <w:pPr>
        <w:pStyle w:val="Headingb"/>
        <w:tabs>
          <w:tab w:val="clear" w:pos="794"/>
          <w:tab w:val="clear" w:pos="1191"/>
          <w:tab w:val="clear" w:pos="1588"/>
          <w:tab w:val="clear" w:pos="1985"/>
          <w:tab w:val="left" w:pos="2835"/>
        </w:tabs>
        <w:rPr>
          <w:lang w:val="es-ES"/>
        </w:rPr>
      </w:pPr>
      <w:r w:rsidRPr="008E1B78">
        <w:rPr>
          <w:lang w:val="es-ES"/>
        </w:rPr>
        <w:t>CAPÍTULO</w:t>
      </w:r>
      <w:r w:rsidR="00096595" w:rsidRPr="008E1B78">
        <w:rPr>
          <w:lang w:val="es-ES"/>
        </w:rPr>
        <w:t xml:space="preserve"> 2</w:t>
      </w:r>
      <w:r w:rsidR="00096595" w:rsidRPr="008E1B78">
        <w:rPr>
          <w:lang w:val="es-ES"/>
        </w:rPr>
        <w:tab/>
      </w:r>
      <w:r w:rsidRPr="008E1B78">
        <w:rPr>
          <w:lang w:val="es-ES"/>
        </w:rPr>
        <w:t>Temas aeronáuticos y marítimos</w:t>
      </w:r>
    </w:p>
    <w:p w14:paraId="091030A2" w14:textId="6D414D41" w:rsidR="00096595" w:rsidRPr="008E1B78" w:rsidRDefault="002E670F" w:rsidP="008E1B78">
      <w:pPr>
        <w:tabs>
          <w:tab w:val="clear" w:pos="1985"/>
          <w:tab w:val="left" w:pos="2835"/>
        </w:tabs>
        <w:jc w:val="left"/>
        <w:rPr>
          <w:lang w:val="es-ES"/>
        </w:rPr>
      </w:pPr>
      <w:r w:rsidRPr="008E1B78">
        <w:rPr>
          <w:lang w:val="es-ES"/>
        </w:rPr>
        <w:t>Puntos del orden del día</w:t>
      </w:r>
      <w:r w:rsidR="00096595" w:rsidRPr="008E1B78">
        <w:rPr>
          <w:lang w:val="es-ES"/>
        </w:rPr>
        <w:t>:</w:t>
      </w:r>
      <w:r w:rsidR="00096595" w:rsidRPr="008E1B78">
        <w:rPr>
          <w:lang w:val="es-ES"/>
        </w:rPr>
        <w:tab/>
        <w:t>1.6, 1.7, 1.8, 1.9, 1.10, 1.11</w:t>
      </w:r>
    </w:p>
    <w:p w14:paraId="4D26709F" w14:textId="2392680A" w:rsidR="00096595" w:rsidRPr="008E1B78" w:rsidRDefault="00096595" w:rsidP="008E1B78">
      <w:pPr>
        <w:tabs>
          <w:tab w:val="clear" w:pos="794"/>
          <w:tab w:val="clear" w:pos="1191"/>
          <w:tab w:val="clear" w:pos="1588"/>
          <w:tab w:val="clear" w:pos="1985"/>
          <w:tab w:val="left" w:pos="2835"/>
        </w:tabs>
        <w:ind w:left="2835" w:hanging="2835"/>
        <w:jc w:val="left"/>
        <w:rPr>
          <w:lang w:val="es-ES"/>
        </w:rPr>
      </w:pPr>
      <w:r w:rsidRPr="008E1B78">
        <w:rPr>
          <w:lang w:val="es-ES"/>
        </w:rPr>
        <w:t>R</w:t>
      </w:r>
      <w:r w:rsidR="002E670F" w:rsidRPr="008E1B78">
        <w:rPr>
          <w:lang w:val="es-ES"/>
        </w:rPr>
        <w:t>elator</w:t>
      </w:r>
      <w:r w:rsidRPr="008E1B78">
        <w:rPr>
          <w:lang w:val="es-ES"/>
        </w:rPr>
        <w:tab/>
      </w:r>
      <w:r w:rsidR="002E670F" w:rsidRPr="008E1B78">
        <w:rPr>
          <w:lang w:val="es-ES"/>
        </w:rPr>
        <w:t>S</w:t>
      </w:r>
      <w:r w:rsidRPr="008E1B78">
        <w:rPr>
          <w:lang w:val="es-ES"/>
        </w:rPr>
        <w:t>r. Mohammed ALHASSANI (</w:t>
      </w:r>
      <w:r w:rsidR="002E670F" w:rsidRPr="008E1B78">
        <w:rPr>
          <w:lang w:val="es-ES"/>
        </w:rPr>
        <w:t>EAU</w:t>
      </w:r>
      <w:r w:rsidRPr="008E1B78">
        <w:rPr>
          <w:lang w:val="es-ES"/>
        </w:rPr>
        <w:t xml:space="preserve">), </w:t>
      </w:r>
      <w:r w:rsidR="008E1B78">
        <w:rPr>
          <w:lang w:val="es-ES"/>
        </w:rPr>
        <w:br/>
      </w:r>
      <w:r w:rsidR="002E670F" w:rsidRPr="008E1B78">
        <w:rPr>
          <w:lang w:val="es-ES"/>
        </w:rPr>
        <w:t>correo-e</w:t>
      </w:r>
      <w:r w:rsidRPr="008E1B78">
        <w:rPr>
          <w:lang w:val="es-ES"/>
        </w:rPr>
        <w:t xml:space="preserve">: </w:t>
      </w:r>
      <w:hyperlink r:id="rId13" w:history="1">
        <w:r w:rsidRPr="008E1B78">
          <w:rPr>
            <w:rStyle w:val="Hyperlink"/>
            <w:lang w:val="es-ES"/>
          </w:rPr>
          <w:t>mohammed.alhassani@tra.gov.ae</w:t>
        </w:r>
      </w:hyperlink>
    </w:p>
    <w:p w14:paraId="56BB5F53" w14:textId="30ADC5BA" w:rsidR="00096595" w:rsidRPr="008E1B78" w:rsidRDefault="002E670F" w:rsidP="008E1B78">
      <w:pPr>
        <w:pStyle w:val="Headingb"/>
        <w:tabs>
          <w:tab w:val="clear" w:pos="794"/>
          <w:tab w:val="clear" w:pos="1191"/>
          <w:tab w:val="clear" w:pos="1588"/>
          <w:tab w:val="clear" w:pos="1985"/>
          <w:tab w:val="left" w:pos="2835"/>
        </w:tabs>
        <w:rPr>
          <w:lang w:val="es-ES"/>
        </w:rPr>
      </w:pPr>
      <w:r w:rsidRPr="008E1B78">
        <w:rPr>
          <w:lang w:val="es-ES"/>
        </w:rPr>
        <w:t>CAPÍTULO</w:t>
      </w:r>
      <w:r w:rsidR="00096595" w:rsidRPr="008E1B78">
        <w:rPr>
          <w:lang w:val="es-ES"/>
        </w:rPr>
        <w:t xml:space="preserve"> 3</w:t>
      </w:r>
      <w:r w:rsidR="00096595" w:rsidRPr="008E1B78">
        <w:rPr>
          <w:lang w:val="es-ES"/>
        </w:rPr>
        <w:tab/>
      </w:r>
      <w:r w:rsidRPr="008E1B78">
        <w:rPr>
          <w:lang w:val="es-ES"/>
        </w:rPr>
        <w:t>Temas científicos</w:t>
      </w:r>
    </w:p>
    <w:p w14:paraId="6D44CBA4" w14:textId="608811A5" w:rsidR="00096595" w:rsidRPr="008E1B78" w:rsidRDefault="002E670F" w:rsidP="008E1B78">
      <w:pPr>
        <w:tabs>
          <w:tab w:val="clear" w:pos="1985"/>
          <w:tab w:val="left" w:pos="2835"/>
        </w:tabs>
        <w:jc w:val="left"/>
        <w:rPr>
          <w:lang w:val="es-ES"/>
        </w:rPr>
      </w:pPr>
      <w:r w:rsidRPr="008E1B78">
        <w:rPr>
          <w:lang w:val="es-ES"/>
        </w:rPr>
        <w:t>Puntos del orden del día</w:t>
      </w:r>
      <w:r w:rsidR="00096595" w:rsidRPr="008E1B78">
        <w:rPr>
          <w:lang w:val="es-ES"/>
        </w:rPr>
        <w:t>:</w:t>
      </w:r>
      <w:r w:rsidR="00096595" w:rsidRPr="008E1B78">
        <w:rPr>
          <w:lang w:val="es-ES"/>
        </w:rPr>
        <w:tab/>
        <w:t>1.12, 1.13, 1.14</w:t>
      </w:r>
    </w:p>
    <w:p w14:paraId="03454047" w14:textId="64CC50A8" w:rsidR="00096595" w:rsidRPr="008E1B78" w:rsidRDefault="00096595" w:rsidP="008E1B78">
      <w:pPr>
        <w:tabs>
          <w:tab w:val="clear" w:pos="794"/>
          <w:tab w:val="clear" w:pos="1191"/>
          <w:tab w:val="clear" w:pos="1588"/>
          <w:tab w:val="clear" w:pos="1985"/>
          <w:tab w:val="left" w:pos="2835"/>
        </w:tabs>
        <w:ind w:left="2835" w:hanging="2835"/>
        <w:jc w:val="left"/>
        <w:rPr>
          <w:lang w:val="es-ES"/>
        </w:rPr>
      </w:pPr>
      <w:r w:rsidRPr="008E1B78">
        <w:rPr>
          <w:lang w:val="es-ES"/>
        </w:rPr>
        <w:t>R</w:t>
      </w:r>
      <w:r w:rsidR="002E670F" w:rsidRPr="008E1B78">
        <w:rPr>
          <w:lang w:val="es-ES"/>
        </w:rPr>
        <w:t>elator</w:t>
      </w:r>
      <w:r w:rsidRPr="008E1B78">
        <w:rPr>
          <w:lang w:val="es-ES"/>
        </w:rPr>
        <w:tab/>
      </w:r>
      <w:r w:rsidR="002E670F" w:rsidRPr="008E1B78">
        <w:rPr>
          <w:lang w:val="es-ES"/>
        </w:rPr>
        <w:t>S</w:t>
      </w:r>
      <w:r w:rsidRPr="008E1B78">
        <w:rPr>
          <w:lang w:val="es-ES"/>
        </w:rPr>
        <w:t xml:space="preserve">r. Tarcisio Aurélio BAKAUS (B), </w:t>
      </w:r>
      <w:r w:rsidR="008E1B78">
        <w:rPr>
          <w:lang w:val="es-ES"/>
        </w:rPr>
        <w:br/>
      </w:r>
      <w:r w:rsidR="002E670F" w:rsidRPr="008E1B78">
        <w:rPr>
          <w:lang w:val="es-ES"/>
        </w:rPr>
        <w:t>correo-e</w:t>
      </w:r>
      <w:r w:rsidRPr="008E1B78">
        <w:rPr>
          <w:lang w:val="es-ES"/>
        </w:rPr>
        <w:t xml:space="preserve">: </w:t>
      </w:r>
      <w:hyperlink r:id="rId14" w:history="1">
        <w:r w:rsidRPr="008E1B78">
          <w:rPr>
            <w:rStyle w:val="Hyperlink"/>
            <w:lang w:val="es-ES"/>
          </w:rPr>
          <w:t>bakaust@anatel.gov.br</w:t>
        </w:r>
      </w:hyperlink>
      <w:r w:rsidRPr="008E1B78">
        <w:rPr>
          <w:lang w:val="es-ES"/>
        </w:rPr>
        <w:t xml:space="preserve"> </w:t>
      </w:r>
    </w:p>
    <w:p w14:paraId="12BF9446" w14:textId="71DAFF9B" w:rsidR="00096595" w:rsidRPr="008E1B78" w:rsidRDefault="002E670F" w:rsidP="008E1B78">
      <w:pPr>
        <w:pStyle w:val="Headingb"/>
        <w:tabs>
          <w:tab w:val="clear" w:pos="794"/>
          <w:tab w:val="clear" w:pos="1191"/>
          <w:tab w:val="clear" w:pos="1588"/>
          <w:tab w:val="clear" w:pos="1985"/>
          <w:tab w:val="left" w:pos="2835"/>
        </w:tabs>
        <w:rPr>
          <w:lang w:val="es-ES"/>
        </w:rPr>
      </w:pPr>
      <w:r w:rsidRPr="008E1B78">
        <w:rPr>
          <w:lang w:val="es-ES"/>
        </w:rPr>
        <w:t>CAPÍTULO</w:t>
      </w:r>
      <w:r w:rsidR="00096595" w:rsidRPr="008E1B78">
        <w:rPr>
          <w:lang w:val="es-ES"/>
        </w:rPr>
        <w:t xml:space="preserve"> 4</w:t>
      </w:r>
      <w:r w:rsidR="00096595" w:rsidRPr="008E1B78">
        <w:rPr>
          <w:lang w:val="es-ES"/>
        </w:rPr>
        <w:tab/>
      </w:r>
      <w:r>
        <w:rPr>
          <w:lang w:val="es-ES"/>
        </w:rPr>
        <w:t>Temas de satélites</w:t>
      </w:r>
    </w:p>
    <w:p w14:paraId="5AA808EA" w14:textId="6C204EFC" w:rsidR="00096595" w:rsidRPr="008E1B78" w:rsidRDefault="002E670F" w:rsidP="008E1B78">
      <w:pPr>
        <w:tabs>
          <w:tab w:val="clear" w:pos="1985"/>
          <w:tab w:val="left" w:pos="2835"/>
        </w:tabs>
        <w:jc w:val="left"/>
        <w:rPr>
          <w:lang w:val="es-ES"/>
        </w:rPr>
      </w:pPr>
      <w:r w:rsidRPr="008E1B78">
        <w:rPr>
          <w:lang w:val="es-ES"/>
        </w:rPr>
        <w:t>Puntos del orden del día</w:t>
      </w:r>
      <w:r w:rsidR="00096595" w:rsidRPr="008E1B78">
        <w:rPr>
          <w:lang w:val="es-ES"/>
        </w:rPr>
        <w:t>:</w:t>
      </w:r>
      <w:r w:rsidR="00096595" w:rsidRPr="008E1B78">
        <w:rPr>
          <w:lang w:val="es-ES"/>
        </w:rPr>
        <w:tab/>
        <w:t>1.15, 1.16, 1.17, 1.18, 1.19, 7</w:t>
      </w:r>
    </w:p>
    <w:p w14:paraId="7B6ACE6C" w14:textId="5D100AA8"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rrelatora</w:t>
      </w:r>
      <w:r w:rsidRPr="008E1B78">
        <w:rPr>
          <w:lang w:val="es-ES"/>
        </w:rPr>
        <w:tab/>
      </w:r>
      <w:r w:rsidR="002E670F" w:rsidRPr="008E1B78">
        <w:rPr>
          <w:lang w:val="es-ES"/>
        </w:rPr>
        <w:t>Sra</w:t>
      </w:r>
      <w:r w:rsidRPr="008E1B78">
        <w:rPr>
          <w:lang w:val="es-ES"/>
        </w:rPr>
        <w:t xml:space="preserve">. Florence Magnier (F) </w:t>
      </w:r>
      <w:r w:rsidR="002E670F" w:rsidRPr="008E1B78">
        <w:rPr>
          <w:lang w:val="es-ES"/>
        </w:rPr>
        <w:t>para los pu</w:t>
      </w:r>
      <w:r w:rsidR="002E670F">
        <w:rPr>
          <w:lang w:val="es-ES"/>
        </w:rPr>
        <w:t>ntos</w:t>
      </w:r>
      <w:r w:rsidRPr="008E1B78">
        <w:rPr>
          <w:lang w:val="es-ES"/>
        </w:rPr>
        <w:t xml:space="preserve"> 1.15, 1.16, 1.17, 1.18, 1.19</w:t>
      </w:r>
      <w:r w:rsidR="002E670F">
        <w:rPr>
          <w:lang w:val="es-ES"/>
        </w:rPr>
        <w:t xml:space="preserve"> del orden del día</w:t>
      </w:r>
      <w:r w:rsidRPr="008E1B78">
        <w:rPr>
          <w:lang w:val="es-ES"/>
        </w:rPr>
        <w:t>,</w:t>
      </w:r>
      <w:r w:rsidRPr="008E1B78">
        <w:rPr>
          <w:lang w:val="es-ES"/>
        </w:rPr>
        <w:br/>
      </w:r>
      <w:r w:rsidR="002E670F">
        <w:rPr>
          <w:lang w:val="es-ES"/>
        </w:rPr>
        <w:t>correo-e</w:t>
      </w:r>
      <w:r w:rsidRPr="008E1B78">
        <w:rPr>
          <w:lang w:val="es-ES"/>
        </w:rPr>
        <w:t xml:space="preserve">: </w:t>
      </w:r>
      <w:hyperlink r:id="rId15" w:history="1">
        <w:r w:rsidRPr="008E1B78">
          <w:rPr>
            <w:rStyle w:val="Hyperlink"/>
            <w:lang w:val="es-ES"/>
          </w:rPr>
          <w:t>fmagnier@eutelsat.fr</w:t>
        </w:r>
      </w:hyperlink>
    </w:p>
    <w:p w14:paraId="4B7E0822" w14:textId="7D4F13FF"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w:t>
      </w:r>
      <w:r w:rsidRPr="008E1B78">
        <w:rPr>
          <w:lang w:val="es-ES"/>
        </w:rPr>
        <w:tab/>
      </w:r>
      <w:r w:rsidR="002E670F" w:rsidRPr="008E1B78">
        <w:rPr>
          <w:lang w:val="es-ES"/>
        </w:rPr>
        <w:t>S</w:t>
      </w:r>
      <w:r w:rsidRPr="008E1B78">
        <w:rPr>
          <w:lang w:val="es-ES"/>
        </w:rPr>
        <w:t xml:space="preserve">r. Georges KWIZERA (RRW) </w:t>
      </w:r>
      <w:r w:rsidR="002E670F" w:rsidRPr="008E1B78">
        <w:rPr>
          <w:lang w:val="es-ES"/>
        </w:rPr>
        <w:t>para el punto 7 del orden de</w:t>
      </w:r>
      <w:r w:rsidR="002E670F">
        <w:rPr>
          <w:lang w:val="es-ES"/>
        </w:rPr>
        <w:t>l día,</w:t>
      </w:r>
      <w:r w:rsidR="008E1B78">
        <w:rPr>
          <w:lang w:val="es-ES"/>
        </w:rPr>
        <w:br/>
      </w:r>
      <w:r w:rsidR="002E670F">
        <w:rPr>
          <w:lang w:val="es-ES"/>
        </w:rPr>
        <w:t>correo-e</w:t>
      </w:r>
      <w:r w:rsidRPr="008E1B78">
        <w:rPr>
          <w:lang w:val="es-ES"/>
        </w:rPr>
        <w:t xml:space="preserve">: </w:t>
      </w:r>
      <w:hyperlink r:id="rId16" w:history="1">
        <w:r w:rsidRPr="008E1B78">
          <w:rPr>
            <w:rStyle w:val="Hyperlink"/>
            <w:lang w:val="es-ES"/>
          </w:rPr>
          <w:t>george.kwizera@rura.rw</w:t>
        </w:r>
      </w:hyperlink>
    </w:p>
    <w:p w14:paraId="3D0AE6C7" w14:textId="5CC72C19" w:rsidR="00096595" w:rsidRPr="008E1B78" w:rsidRDefault="002E670F" w:rsidP="00AB516B">
      <w:pPr>
        <w:pStyle w:val="Headingb"/>
        <w:tabs>
          <w:tab w:val="clear" w:pos="794"/>
          <w:tab w:val="clear" w:pos="1191"/>
          <w:tab w:val="clear" w:pos="1588"/>
          <w:tab w:val="clear" w:pos="1985"/>
          <w:tab w:val="left" w:pos="2835"/>
        </w:tabs>
        <w:spacing w:before="200"/>
        <w:rPr>
          <w:lang w:val="es-ES"/>
        </w:rPr>
      </w:pPr>
      <w:r w:rsidRPr="008E1B78">
        <w:rPr>
          <w:lang w:val="es-ES"/>
        </w:rPr>
        <w:t>CAPÍTULO</w:t>
      </w:r>
      <w:r w:rsidR="00096595" w:rsidRPr="008E1B78">
        <w:rPr>
          <w:lang w:val="es-ES"/>
        </w:rPr>
        <w:t xml:space="preserve"> 5</w:t>
      </w:r>
      <w:r w:rsidR="00096595" w:rsidRPr="008E1B78">
        <w:rPr>
          <w:lang w:val="es-ES"/>
        </w:rPr>
        <w:tab/>
      </w:r>
      <w:r w:rsidRPr="008E1B78">
        <w:rPr>
          <w:lang w:val="es-ES"/>
        </w:rPr>
        <w:t>Temas generales</w:t>
      </w:r>
    </w:p>
    <w:p w14:paraId="664445BE" w14:textId="03518216" w:rsidR="00096595" w:rsidRPr="008E1B78" w:rsidRDefault="002E670F" w:rsidP="008E1B78">
      <w:pPr>
        <w:tabs>
          <w:tab w:val="clear" w:pos="1985"/>
          <w:tab w:val="left" w:pos="2835"/>
        </w:tabs>
        <w:ind w:left="4111" w:hanging="4111"/>
        <w:jc w:val="left"/>
        <w:rPr>
          <w:spacing w:val="-8"/>
          <w:lang w:val="es-ES"/>
        </w:rPr>
      </w:pPr>
      <w:r w:rsidRPr="008E1B78">
        <w:rPr>
          <w:lang w:val="es-ES"/>
        </w:rPr>
        <w:t>Puntos del orden del día</w:t>
      </w:r>
      <w:r w:rsidR="00096595" w:rsidRPr="008E1B78">
        <w:rPr>
          <w:lang w:val="es-ES"/>
        </w:rPr>
        <w:t>:</w:t>
      </w:r>
      <w:r w:rsidR="00096595" w:rsidRPr="008E1B78">
        <w:rPr>
          <w:lang w:val="es-ES"/>
        </w:rPr>
        <w:tab/>
      </w:r>
      <w:r w:rsidR="00096595" w:rsidRPr="008E1B78">
        <w:rPr>
          <w:spacing w:val="-4"/>
          <w:lang w:val="es-ES"/>
        </w:rPr>
        <w:t xml:space="preserve">2, 4 </w:t>
      </w:r>
      <w:r>
        <w:rPr>
          <w:spacing w:val="-4"/>
          <w:lang w:val="es-ES"/>
        </w:rPr>
        <w:t>y temas</w:t>
      </w:r>
      <w:r w:rsidR="00096595" w:rsidRPr="008E1B78">
        <w:rPr>
          <w:spacing w:val="-4"/>
          <w:lang w:val="es-ES"/>
        </w:rPr>
        <w:tab/>
        <w:t xml:space="preserve">a) Res. </w:t>
      </w:r>
      <w:r w:rsidR="00096595" w:rsidRPr="008E1B78">
        <w:rPr>
          <w:b/>
          <w:spacing w:val="-4"/>
          <w:lang w:val="es-ES"/>
        </w:rPr>
        <w:t>657 (Rev.</w:t>
      </w:r>
      <w:r>
        <w:rPr>
          <w:b/>
          <w:spacing w:val="-4"/>
          <w:lang w:val="es-ES"/>
        </w:rPr>
        <w:t>CMR</w:t>
      </w:r>
      <w:r w:rsidR="00096595" w:rsidRPr="008E1B78">
        <w:rPr>
          <w:b/>
          <w:spacing w:val="-4"/>
          <w:lang w:val="es-ES"/>
        </w:rPr>
        <w:t>-19)</w:t>
      </w:r>
      <w:r w:rsidR="00096595" w:rsidRPr="008E1B78">
        <w:rPr>
          <w:spacing w:val="-4"/>
          <w:lang w:val="es-ES"/>
        </w:rPr>
        <w:t xml:space="preserve">, b) Res. </w:t>
      </w:r>
      <w:r w:rsidR="00096595" w:rsidRPr="008E1B78">
        <w:rPr>
          <w:b/>
          <w:bCs/>
          <w:spacing w:val="-4"/>
          <w:lang w:val="es-ES"/>
        </w:rPr>
        <w:t xml:space="preserve">744 </w:t>
      </w:r>
      <w:r w:rsidR="00096595" w:rsidRPr="008E1B78">
        <w:rPr>
          <w:b/>
          <w:spacing w:val="-4"/>
          <w:lang w:val="es-ES"/>
        </w:rPr>
        <w:t>(</w:t>
      </w:r>
      <w:r>
        <w:rPr>
          <w:b/>
          <w:spacing w:val="-4"/>
          <w:lang w:val="es-ES"/>
        </w:rPr>
        <w:t>CMR</w:t>
      </w:r>
      <w:r w:rsidR="00096595" w:rsidRPr="008E1B78">
        <w:rPr>
          <w:b/>
          <w:spacing w:val="-4"/>
          <w:lang w:val="es-ES"/>
        </w:rPr>
        <w:t>-19)</w:t>
      </w:r>
      <w:r w:rsidR="00096595" w:rsidRPr="008E1B78">
        <w:rPr>
          <w:spacing w:val="-4"/>
          <w:lang w:val="es-ES"/>
        </w:rPr>
        <w:t xml:space="preserve">, </w:t>
      </w:r>
      <w:r w:rsidR="00096595" w:rsidRPr="008E1B78">
        <w:rPr>
          <w:spacing w:val="-4"/>
          <w:lang w:val="es-ES"/>
        </w:rPr>
        <w:br/>
      </w:r>
      <w:r w:rsidR="00096595" w:rsidRPr="008E1B78">
        <w:rPr>
          <w:lang w:val="es-ES"/>
        </w:rPr>
        <w:t xml:space="preserve">c) Res. </w:t>
      </w:r>
      <w:r w:rsidR="00096595" w:rsidRPr="008E1B78">
        <w:rPr>
          <w:b/>
          <w:bCs/>
          <w:lang w:val="es-ES"/>
        </w:rPr>
        <w:t xml:space="preserve">175 </w:t>
      </w:r>
      <w:r w:rsidR="00096595" w:rsidRPr="008E1B78">
        <w:rPr>
          <w:b/>
          <w:lang w:val="es-ES"/>
        </w:rPr>
        <w:t>(</w:t>
      </w:r>
      <w:r>
        <w:rPr>
          <w:b/>
          <w:lang w:val="es-ES"/>
        </w:rPr>
        <w:t>CMR</w:t>
      </w:r>
      <w:r w:rsidR="00096595" w:rsidRPr="008E1B78">
        <w:rPr>
          <w:b/>
          <w:lang w:val="es-ES"/>
        </w:rPr>
        <w:t>-19</w:t>
      </w:r>
      <w:r w:rsidR="00096595" w:rsidRPr="008E1B78">
        <w:rPr>
          <w:b/>
          <w:spacing w:val="-4"/>
          <w:lang w:val="es-ES"/>
        </w:rPr>
        <w:t>)</w:t>
      </w:r>
      <w:r w:rsidR="00096595" w:rsidRPr="008E1B78">
        <w:rPr>
          <w:lang w:val="es-ES"/>
        </w:rPr>
        <w:t xml:space="preserve"> </w:t>
      </w:r>
      <w:r>
        <w:rPr>
          <w:lang w:val="es-ES"/>
        </w:rPr>
        <w:t>y</w:t>
      </w:r>
      <w:r w:rsidR="00096595" w:rsidRPr="008E1B78">
        <w:rPr>
          <w:lang w:val="es-ES"/>
        </w:rPr>
        <w:t xml:space="preserve"> d) </w:t>
      </w:r>
      <w:r>
        <w:rPr>
          <w:lang w:val="es-ES"/>
        </w:rPr>
        <w:t>Documento 535 de la CMR</w:t>
      </w:r>
      <w:r w:rsidR="008E1B78">
        <w:rPr>
          <w:lang w:val="es-ES"/>
        </w:rPr>
        <w:noBreakHyphen/>
      </w:r>
      <w:r>
        <w:rPr>
          <w:lang w:val="es-ES"/>
        </w:rPr>
        <w:t>19, 2ª sección del Anexo del punto 9.1</w:t>
      </w:r>
    </w:p>
    <w:p w14:paraId="643487FA" w14:textId="4F5562B2"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w:t>
      </w:r>
      <w:r w:rsidRPr="008E1B78">
        <w:rPr>
          <w:lang w:val="es-ES"/>
        </w:rPr>
        <w:tab/>
      </w:r>
      <w:r w:rsidR="002E670F" w:rsidRPr="008E1B78">
        <w:rPr>
          <w:lang w:val="es-ES"/>
        </w:rPr>
        <w:t>S</w:t>
      </w:r>
      <w:r w:rsidRPr="008E1B78">
        <w:rPr>
          <w:lang w:val="es-ES"/>
        </w:rPr>
        <w:t>r. Jia HUANG (CHN),</w:t>
      </w:r>
      <w:r w:rsidR="008E1B78">
        <w:rPr>
          <w:lang w:val="es-ES"/>
        </w:rPr>
        <w:br/>
      </w:r>
      <w:r w:rsidR="002E670F" w:rsidRPr="008E1B78">
        <w:rPr>
          <w:lang w:val="es-ES"/>
        </w:rPr>
        <w:t>correo-e</w:t>
      </w:r>
      <w:r w:rsidRPr="008E1B78">
        <w:rPr>
          <w:lang w:val="es-ES"/>
        </w:rPr>
        <w:t xml:space="preserve">: </w:t>
      </w:r>
      <w:hyperlink r:id="rId17" w:history="1">
        <w:r w:rsidRPr="008E1B78">
          <w:rPr>
            <w:rStyle w:val="Hyperlink"/>
            <w:lang w:val="es-ES"/>
          </w:rPr>
          <w:t>ferrero.huang@srrc.org.cn</w:t>
        </w:r>
      </w:hyperlink>
      <w:r w:rsidRPr="008E1B78">
        <w:rPr>
          <w:lang w:val="es-ES"/>
        </w:rPr>
        <w:t xml:space="preserve"> </w:t>
      </w:r>
    </w:p>
    <w:p w14:paraId="4E51689F" w14:textId="4611BA10" w:rsidR="00096595" w:rsidRPr="008E1B78" w:rsidRDefault="00096595" w:rsidP="008E1B78">
      <w:pPr>
        <w:tabs>
          <w:tab w:val="clear" w:pos="1191"/>
          <w:tab w:val="clear" w:pos="1588"/>
          <w:tab w:val="clear" w:pos="1985"/>
          <w:tab w:val="left" w:pos="2835"/>
        </w:tabs>
        <w:ind w:left="2835" w:hanging="2835"/>
        <w:jc w:val="left"/>
        <w:rPr>
          <w:lang w:val="es-ES"/>
        </w:rPr>
      </w:pPr>
      <w:r w:rsidRPr="008E1B78">
        <w:rPr>
          <w:lang w:val="es-ES"/>
        </w:rPr>
        <w:t>Co</w:t>
      </w:r>
      <w:r w:rsidR="002E670F" w:rsidRPr="008E1B78">
        <w:rPr>
          <w:lang w:val="es-ES"/>
        </w:rPr>
        <w:t>rrelator</w:t>
      </w:r>
      <w:r w:rsidRPr="008E1B78">
        <w:rPr>
          <w:lang w:val="es-ES"/>
        </w:rPr>
        <w:tab/>
        <w:t>Dr. Jong Min PARK (KOR),</w:t>
      </w:r>
      <w:r w:rsidR="008E1B78">
        <w:rPr>
          <w:lang w:val="es-ES"/>
        </w:rPr>
        <w:br/>
      </w:r>
      <w:r w:rsidR="002E670F" w:rsidRPr="008E1B78">
        <w:rPr>
          <w:lang w:val="es-ES"/>
        </w:rPr>
        <w:t>correo-e</w:t>
      </w:r>
      <w:r w:rsidRPr="008E1B78">
        <w:rPr>
          <w:lang w:val="es-ES"/>
        </w:rPr>
        <w:t xml:space="preserve">: </w:t>
      </w:r>
      <w:hyperlink r:id="rId18" w:history="1">
        <w:r w:rsidRPr="008E1B78">
          <w:rPr>
            <w:rStyle w:val="Hyperlink"/>
            <w:lang w:val="es-ES"/>
          </w:rPr>
          <w:t>jongmin@etri.re.kr</w:t>
        </w:r>
      </w:hyperlink>
    </w:p>
    <w:p w14:paraId="24277DB2" w14:textId="74E4F9BA" w:rsidR="00096595" w:rsidRPr="008E1B78" w:rsidRDefault="00096595" w:rsidP="00AB516B">
      <w:pPr>
        <w:pStyle w:val="Headingb"/>
        <w:keepNext w:val="0"/>
        <w:spacing w:before="100"/>
        <w:rPr>
          <w:lang w:val="es-ES_tradnl"/>
        </w:rPr>
      </w:pPr>
      <w:r w:rsidRPr="008E1B78">
        <w:rPr>
          <w:lang w:val="es-ES_tradnl"/>
        </w:rPr>
        <w:t>A</w:t>
      </w:r>
      <w:r w:rsidR="002E670F" w:rsidRPr="008E1B78">
        <w:rPr>
          <w:lang w:val="es-ES_tradnl"/>
        </w:rPr>
        <w:t>NEXO</w:t>
      </w:r>
      <w:r w:rsidRPr="008E1B78">
        <w:rPr>
          <w:lang w:val="es-ES_tradnl"/>
        </w:rPr>
        <w:t xml:space="preserve"> 1</w:t>
      </w:r>
      <w:r w:rsidRPr="008E1B78">
        <w:rPr>
          <w:lang w:val="es-ES_tradnl"/>
        </w:rPr>
        <w:tab/>
        <w:t>Informa</w:t>
      </w:r>
      <w:r w:rsidR="002E670F" w:rsidRPr="008E1B78">
        <w:rPr>
          <w:lang w:val="es-ES_tradnl"/>
        </w:rPr>
        <w:t>ción sobre el punto 10 del orden del día de la CMR-23</w:t>
      </w:r>
    </w:p>
    <w:p w14:paraId="536438B9" w14:textId="72859687" w:rsidR="008D60CF" w:rsidRPr="008D60CF" w:rsidRDefault="008D60CF" w:rsidP="00342DAA">
      <w:pPr>
        <w:pStyle w:val="Heading1"/>
        <w:rPr>
          <w:lang w:val="es-ES_tradnl"/>
        </w:rPr>
      </w:pPr>
      <w:r w:rsidRPr="008D60CF">
        <w:rPr>
          <w:lang w:val="es-ES_tradnl"/>
        </w:rPr>
        <w:lastRenderedPageBreak/>
        <w:t>2</w:t>
      </w:r>
      <w:r w:rsidRPr="008D60CF">
        <w:rPr>
          <w:lang w:val="es-ES_tradnl"/>
        </w:rPr>
        <w:tab/>
        <w:t>Estructura de las secciones de los puntos del orden del día en los Capítulos del proyecto de Informe de la RPC a la CMR</w:t>
      </w:r>
      <w:r w:rsidRPr="008D60CF">
        <w:rPr>
          <w:lang w:val="es-ES_tradnl"/>
        </w:rPr>
        <w:noBreakHyphen/>
      </w:r>
      <w:r w:rsidR="00096595">
        <w:rPr>
          <w:lang w:val="es-ES_tradnl"/>
        </w:rPr>
        <w:t>23</w:t>
      </w:r>
    </w:p>
    <w:p w14:paraId="57ACBA95" w14:textId="43B4983D" w:rsidR="00096595" w:rsidRPr="00E95AE3" w:rsidRDefault="00096595" w:rsidP="00E95AE3">
      <w:pPr>
        <w:pStyle w:val="Heading2"/>
        <w:rPr>
          <w:lang w:val="es-ES"/>
        </w:rPr>
      </w:pPr>
      <w:bookmarkStart w:id="8" w:name="_Toc284401780"/>
      <w:r w:rsidRPr="00A665BE">
        <w:rPr>
          <w:lang w:val="es-ES"/>
        </w:rPr>
        <w:t>2.1</w:t>
      </w:r>
      <w:r w:rsidRPr="00A665BE">
        <w:rPr>
          <w:lang w:val="es-ES"/>
        </w:rPr>
        <w:tab/>
      </w:r>
      <w:r w:rsidR="002E670F" w:rsidRPr="00A665BE">
        <w:rPr>
          <w:lang w:val="es-ES"/>
        </w:rPr>
        <w:t>Puntos 1.x o punto 7 del orden del día de la CMR-23</w:t>
      </w:r>
    </w:p>
    <w:p w14:paraId="3F88E74E" w14:textId="737A7917" w:rsidR="008D60CF" w:rsidRPr="00E95AE3" w:rsidRDefault="008D60CF" w:rsidP="00E95AE3">
      <w:pPr>
        <w:pStyle w:val="Heading2"/>
        <w:rPr>
          <w:lang w:val="es-ES"/>
        </w:rPr>
      </w:pPr>
      <w:r w:rsidRPr="00E95AE3">
        <w:rPr>
          <w:lang w:val="es-ES"/>
        </w:rPr>
        <w:t>1.x</w:t>
      </w:r>
      <w:r w:rsidRPr="00E95AE3">
        <w:rPr>
          <w:lang w:val="es-ES"/>
        </w:rPr>
        <w:tab/>
        <w:t>[etiqueta del tema del orden del día]</w:t>
      </w:r>
    </w:p>
    <w:p w14:paraId="021E72EE" w14:textId="239B5486" w:rsidR="008D60CF" w:rsidRPr="008D60CF" w:rsidRDefault="008D60CF" w:rsidP="00C163BA">
      <w:pPr>
        <w:rPr>
          <w:i/>
          <w:iCs/>
          <w:lang w:val="es-ES_tradnl"/>
        </w:rPr>
      </w:pPr>
      <w:r w:rsidRPr="008D60CF">
        <w:rPr>
          <w:lang w:val="es-ES_tradnl"/>
        </w:rPr>
        <w:t xml:space="preserve">[Si el punto del orden del día tiene asociada una Resolución] Resolución </w:t>
      </w:r>
      <w:r w:rsidR="00096595">
        <w:rPr>
          <w:b/>
          <w:bCs/>
          <w:lang w:val="es-ES_tradnl"/>
        </w:rPr>
        <w:t>xxx</w:t>
      </w:r>
      <w:r w:rsidR="00266E2D">
        <w:rPr>
          <w:b/>
          <w:bCs/>
          <w:lang w:val="es-ES_tradnl"/>
        </w:rPr>
        <w:t xml:space="preserve"> </w:t>
      </w:r>
      <w:r w:rsidRPr="008D60CF">
        <w:rPr>
          <w:b/>
          <w:bCs/>
          <w:lang w:val="es-ES_tradnl"/>
        </w:rPr>
        <w:t>(CMR</w:t>
      </w:r>
      <w:r w:rsidRPr="008D60CF">
        <w:rPr>
          <w:b/>
          <w:bCs/>
          <w:lang w:val="es-ES_tradnl"/>
        </w:rPr>
        <w:noBreakHyphen/>
      </w:r>
      <w:r w:rsidR="00096595">
        <w:rPr>
          <w:b/>
          <w:bCs/>
          <w:lang w:val="es-ES_tradnl"/>
        </w:rPr>
        <w:t>19</w:t>
      </w:r>
      <w:r w:rsidRPr="008D60CF">
        <w:rPr>
          <w:b/>
          <w:bCs/>
          <w:lang w:val="es-ES_tradnl"/>
        </w:rPr>
        <w:t>)</w:t>
      </w:r>
      <w:r w:rsidRPr="008D60CF">
        <w:rPr>
          <w:lang w:val="es-ES_tradnl"/>
        </w:rPr>
        <w:t xml:space="preserve">: </w:t>
      </w:r>
      <w:r w:rsidRPr="008D60CF">
        <w:rPr>
          <w:i/>
          <w:iCs/>
          <w:lang w:val="es-ES_tradnl"/>
        </w:rPr>
        <w:t>[Título de la Resolución]</w:t>
      </w:r>
    </w:p>
    <w:p w14:paraId="652BD4E6" w14:textId="77777777" w:rsidR="008D60CF" w:rsidRPr="008D60CF" w:rsidRDefault="008D60CF" w:rsidP="00C163BA">
      <w:pPr>
        <w:pStyle w:val="Headingb"/>
        <w:rPr>
          <w:lang w:val="es-ES_tradnl"/>
        </w:rPr>
      </w:pPr>
      <w:bookmarkStart w:id="9" w:name="_Toc397360924"/>
      <w:bookmarkStart w:id="10" w:name="_Toc398214034"/>
      <w:bookmarkStart w:id="11" w:name="_Toc416346627"/>
      <w:bookmarkEnd w:id="8"/>
      <w:r w:rsidRPr="008D60CF">
        <w:rPr>
          <w:lang w:val="es-ES_tradnl"/>
        </w:rPr>
        <w:t>[Número de capítulo]/1.x/1</w:t>
      </w:r>
      <w:r w:rsidRPr="008D60CF">
        <w:rPr>
          <w:lang w:val="es-ES_tradnl"/>
        </w:rPr>
        <w:tab/>
        <w:t>Resumen ejecutivo</w:t>
      </w:r>
    </w:p>
    <w:p w14:paraId="5D935D7D" w14:textId="77777777" w:rsidR="008D60CF" w:rsidRPr="008D60CF"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[Texto del resumen ejecutivo, o más de media página para describir brevemente el propósito del punto del orden del día, presentar un resumen de los resultados de los estudios que se han llevado a cabo y, sobre todo, ofrecer una breve descripción de los métodos identificados que pueden dar respuesta al punto del orden del día]</w:t>
      </w:r>
    </w:p>
    <w:p w14:paraId="79765E65" w14:textId="3C844CBC" w:rsidR="008D60CF" w:rsidRPr="00C163BA" w:rsidRDefault="008D60CF" w:rsidP="00C163BA">
      <w:pPr>
        <w:pStyle w:val="Headingb"/>
        <w:rPr>
          <w:lang w:val="es-ES_tradnl"/>
        </w:rPr>
      </w:pPr>
      <w:r w:rsidRPr="00C163BA">
        <w:rPr>
          <w:lang w:val="es-ES_tradnl"/>
        </w:rPr>
        <w:t>[Número de capítulo]/1.x/2</w:t>
      </w:r>
      <w:r w:rsidRPr="00C163BA">
        <w:rPr>
          <w:lang w:val="es-ES_tradnl"/>
        </w:rPr>
        <w:tab/>
      </w:r>
      <w:bookmarkEnd w:id="9"/>
      <w:bookmarkEnd w:id="10"/>
      <w:bookmarkEnd w:id="11"/>
      <w:r w:rsidRPr="00C163BA">
        <w:rPr>
          <w:lang w:val="es-ES_tradnl"/>
        </w:rPr>
        <w:t>Antecedentes</w:t>
      </w:r>
    </w:p>
    <w:p w14:paraId="4D104EAA" w14:textId="77777777" w:rsidR="008D60CF" w:rsidRPr="008D60CF"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[Texto de los antecedentes, no más de media página de texto para presentar la información de carácter general de una manera concisa a fin de describir el motivo del punto del orden del día (o de los temas pertinentes)]</w:t>
      </w:r>
    </w:p>
    <w:p w14:paraId="05A6A0E9" w14:textId="77777777" w:rsidR="008D60CF" w:rsidRPr="00C163BA" w:rsidRDefault="008D60CF" w:rsidP="00C163BA">
      <w:pPr>
        <w:pStyle w:val="Headingb"/>
        <w:rPr>
          <w:lang w:val="es-ES_tradnl"/>
        </w:rPr>
      </w:pPr>
      <w:bookmarkStart w:id="12" w:name="_Toc397360925"/>
      <w:bookmarkStart w:id="13" w:name="_Toc398214035"/>
      <w:bookmarkStart w:id="14" w:name="_Toc416346628"/>
      <w:r w:rsidRPr="00C163BA">
        <w:rPr>
          <w:lang w:val="es-ES_tradnl"/>
        </w:rPr>
        <w:t>[Número de capítulo]/1.x/3</w:t>
      </w:r>
      <w:r w:rsidRPr="00C163BA">
        <w:rPr>
          <w:lang w:val="es-ES_tradnl"/>
        </w:rPr>
        <w:tab/>
      </w:r>
      <w:bookmarkEnd w:id="12"/>
      <w:bookmarkEnd w:id="13"/>
      <w:bookmarkEnd w:id="14"/>
      <w:r w:rsidRPr="00C163BA">
        <w:rPr>
          <w:lang w:val="es-ES_tradnl"/>
        </w:rPr>
        <w:t>Resumen y análisis de los resultados de los estudios del UIT-R</w:t>
      </w:r>
    </w:p>
    <w:p w14:paraId="3808B1F1" w14:textId="65E35A44" w:rsidR="00096595"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[Esta sección debe contener un resumen de los estudios técnicos y operativos realizados en el UIT</w:t>
      </w:r>
      <w:r w:rsidRPr="008D60CF">
        <w:rPr>
          <w:rFonts w:asciiTheme="minorHAnsi" w:hAnsiTheme="minorHAnsi"/>
          <w:i/>
          <w:iCs/>
          <w:szCs w:val="24"/>
          <w:lang w:val="es-ES_tradnl"/>
        </w:rPr>
        <w:noBreakHyphen/>
        <w:t xml:space="preserve">R, comprendida una lista de las Recomendaciones UIT-R pertinentes. Dependiendo del punto del orden del día, esta sección podría dividirse en dos partes, una </w:t>
      </w:r>
      <w:r w:rsidR="002E670F">
        <w:rPr>
          <w:rFonts w:asciiTheme="minorHAnsi" w:hAnsiTheme="minorHAnsi"/>
          <w:i/>
          <w:iCs/>
          <w:szCs w:val="24"/>
          <w:lang w:val="es-ES_tradnl"/>
        </w:rPr>
        <w:t>para</w:t>
      </w:r>
      <w:r w:rsidRPr="008D60CF">
        <w:rPr>
          <w:rFonts w:asciiTheme="minorHAnsi" w:hAnsiTheme="minorHAnsi"/>
          <w:i/>
          <w:iCs/>
          <w:szCs w:val="24"/>
          <w:lang w:val="es-ES_tradnl"/>
        </w:rPr>
        <w:t xml:space="preserve"> el resumen y otra </w:t>
      </w:r>
      <w:r w:rsidR="002E670F">
        <w:rPr>
          <w:rFonts w:asciiTheme="minorHAnsi" w:hAnsiTheme="minorHAnsi"/>
          <w:i/>
          <w:iCs/>
          <w:szCs w:val="24"/>
          <w:lang w:val="es-ES_tradnl"/>
        </w:rPr>
        <w:t>para</w:t>
      </w:r>
      <w:r w:rsidRPr="008D60CF">
        <w:rPr>
          <w:rFonts w:asciiTheme="minorHAnsi" w:hAnsiTheme="minorHAnsi"/>
          <w:i/>
          <w:iCs/>
          <w:szCs w:val="24"/>
          <w:lang w:val="es-ES_tradnl"/>
        </w:rPr>
        <w:t xml:space="preserve"> el análisis.</w:t>
      </w:r>
    </w:p>
    <w:p w14:paraId="6477B341" w14:textId="70A14182" w:rsidR="008D60CF" w:rsidRPr="008D60CF"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Los resultados de los estudios del</w:t>
      </w:r>
      <w:r w:rsidR="00564FF1">
        <w:rPr>
          <w:rFonts w:asciiTheme="minorHAnsi" w:hAnsiTheme="minorHAnsi"/>
          <w:i/>
          <w:iCs/>
          <w:szCs w:val="24"/>
          <w:lang w:val="es-ES_tradnl"/>
        </w:rPr>
        <w:t xml:space="preserve"> </w:t>
      </w:r>
      <w:r w:rsidRPr="008D60CF">
        <w:rPr>
          <w:rFonts w:asciiTheme="minorHAnsi" w:hAnsiTheme="minorHAnsi"/>
          <w:i/>
          <w:iCs/>
          <w:szCs w:val="24"/>
          <w:lang w:val="es-ES_tradnl"/>
        </w:rPr>
        <w:t>UIT-R también deben analizarse con respecto a los posibles métodos para satisfacer el punto del orden del día, y se deben presentar de manera concisa.]</w:t>
      </w:r>
    </w:p>
    <w:p w14:paraId="5F24AFAF" w14:textId="77777777" w:rsidR="008D60CF" w:rsidRPr="00C163BA" w:rsidRDefault="008D60CF" w:rsidP="00C163BA">
      <w:pPr>
        <w:pStyle w:val="Headingb"/>
        <w:rPr>
          <w:lang w:val="es-ES_tradnl"/>
        </w:rPr>
      </w:pPr>
      <w:bookmarkStart w:id="15" w:name="_Toc397360928"/>
      <w:bookmarkStart w:id="16" w:name="_Toc398214038"/>
      <w:bookmarkStart w:id="17" w:name="_Toc416346631"/>
      <w:r w:rsidRPr="00C163BA">
        <w:rPr>
          <w:lang w:val="es-ES_tradnl"/>
        </w:rPr>
        <w:t>[Número de capítulo]/1.x/4</w:t>
      </w:r>
      <w:r w:rsidRPr="00C163BA">
        <w:rPr>
          <w:lang w:val="es-ES_tradnl"/>
        </w:rPr>
        <w:tab/>
        <w:t>Métodos para satisfacer el punto del orden del día</w:t>
      </w:r>
      <w:bookmarkEnd w:id="15"/>
      <w:bookmarkEnd w:id="16"/>
      <w:bookmarkEnd w:id="17"/>
    </w:p>
    <w:p w14:paraId="1D74BC12" w14:textId="5E0ACCBA" w:rsidR="008D60CF" w:rsidRPr="008D60CF"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w:t>
      </w:r>
      <w:r w:rsidRPr="008D60CF">
        <w:rPr>
          <w:rFonts w:asciiTheme="minorHAnsi" w:hAnsiTheme="minorHAnsi"/>
          <w:i/>
          <w:iCs/>
          <w:color w:val="000000"/>
          <w:szCs w:val="24"/>
          <w:lang w:val="es-ES_tradnl"/>
        </w:rPr>
        <w:t xml:space="preserve">Esta sección debe contener una descripción sucinta del método o métodos para satisfacer el punto del orden del día, con arreglo a la sección </w:t>
      </w:r>
      <w:r w:rsidR="002E670F">
        <w:rPr>
          <w:rFonts w:asciiTheme="minorHAnsi" w:hAnsiTheme="minorHAnsi"/>
          <w:i/>
          <w:iCs/>
          <w:color w:val="000000"/>
          <w:szCs w:val="24"/>
          <w:lang w:val="es-ES_tradnl"/>
        </w:rPr>
        <w:t>A2.</w:t>
      </w:r>
      <w:r w:rsidRPr="008D60CF">
        <w:rPr>
          <w:rFonts w:asciiTheme="minorHAnsi" w:hAnsiTheme="minorHAnsi"/>
          <w:i/>
          <w:iCs/>
          <w:szCs w:val="24"/>
          <w:lang w:val="es-ES_tradnl"/>
        </w:rPr>
        <w:t>4 del Anexo 2 a la Resolución UIT-R 2-</w:t>
      </w:r>
      <w:r w:rsidR="002E670F">
        <w:rPr>
          <w:rFonts w:asciiTheme="minorHAnsi" w:hAnsiTheme="minorHAnsi"/>
          <w:i/>
          <w:iCs/>
          <w:szCs w:val="24"/>
          <w:lang w:val="es-ES_tradnl"/>
        </w:rPr>
        <w:t>8</w:t>
      </w:r>
      <w:r w:rsidRPr="008D60CF">
        <w:rPr>
          <w:rFonts w:asciiTheme="minorHAnsi" w:hAnsiTheme="minorHAnsi"/>
          <w:i/>
          <w:iCs/>
          <w:szCs w:val="24"/>
          <w:lang w:val="es-ES_tradnl"/>
        </w:rPr>
        <w:t>]</w:t>
      </w:r>
    </w:p>
    <w:p w14:paraId="0957F2E1" w14:textId="1195842D" w:rsidR="008D60CF" w:rsidRPr="00C163BA" w:rsidRDefault="008D60CF" w:rsidP="00C163BA">
      <w:pPr>
        <w:pStyle w:val="Headingb"/>
        <w:rPr>
          <w:lang w:val="es-ES_tradnl"/>
        </w:rPr>
      </w:pPr>
      <w:bookmarkStart w:id="18" w:name="_Toc397360929"/>
      <w:bookmarkStart w:id="19" w:name="_Toc398214039"/>
      <w:bookmarkStart w:id="20" w:name="_Toc416346632"/>
      <w:r w:rsidRPr="00C163BA">
        <w:rPr>
          <w:lang w:val="es-ES_tradnl"/>
        </w:rPr>
        <w:t>[Número de capítulo]/1.x/5</w:t>
      </w:r>
      <w:r w:rsidRPr="00C163BA">
        <w:rPr>
          <w:lang w:val="es-ES_tradnl"/>
        </w:rPr>
        <w:tab/>
        <w:t>Consideraciones reglamentarias y de procedimiento</w:t>
      </w:r>
      <w:bookmarkEnd w:id="18"/>
      <w:bookmarkEnd w:id="19"/>
      <w:bookmarkEnd w:id="20"/>
    </w:p>
    <w:p w14:paraId="0E0D651A" w14:textId="77777777" w:rsidR="008D60CF" w:rsidRPr="008D60CF" w:rsidRDefault="008D60CF" w:rsidP="008D60CF">
      <w:pPr>
        <w:spacing w:line="240" w:lineRule="auto"/>
        <w:rPr>
          <w:rFonts w:asciiTheme="minorHAnsi" w:hAnsiTheme="minorHAnsi"/>
          <w:i/>
          <w:iCs/>
          <w:szCs w:val="24"/>
          <w:lang w:val="es-ES_tradnl"/>
        </w:rPr>
      </w:pPr>
      <w:r w:rsidRPr="008D60CF">
        <w:rPr>
          <w:rFonts w:asciiTheme="minorHAnsi" w:hAnsiTheme="minorHAnsi"/>
          <w:i/>
          <w:iCs/>
          <w:szCs w:val="24"/>
          <w:lang w:val="es-ES_tradnl"/>
        </w:rPr>
        <w:t>[Ejemplos de texto reglamentario relativo a los métodos para satisfacer el punto del orden del día]</w:t>
      </w:r>
    </w:p>
    <w:p w14:paraId="004FC1BF" w14:textId="14ED2506" w:rsidR="00096595" w:rsidRPr="00D755CD" w:rsidRDefault="00096595" w:rsidP="00E95AE3">
      <w:pPr>
        <w:pStyle w:val="Heading2"/>
        <w:rPr>
          <w:lang w:val="es-ES_tradnl"/>
        </w:rPr>
      </w:pPr>
      <w:r w:rsidRPr="00D755CD">
        <w:rPr>
          <w:lang w:val="es-ES_tradnl"/>
        </w:rPr>
        <w:t>2.2</w:t>
      </w:r>
      <w:r w:rsidRPr="00D755CD">
        <w:rPr>
          <w:lang w:val="es-ES_tradnl"/>
        </w:rPr>
        <w:tab/>
      </w:r>
      <w:r w:rsidR="002E670F" w:rsidRPr="00D755CD">
        <w:rPr>
          <w:lang w:val="es-ES_tradnl"/>
        </w:rPr>
        <w:t>Temas del punto 9.1 del orden del día de la CMR-23</w:t>
      </w:r>
    </w:p>
    <w:p w14:paraId="128A48AA" w14:textId="7C8E508F" w:rsidR="008D60CF" w:rsidRPr="00D755CD" w:rsidRDefault="008D60CF" w:rsidP="00E95AE3">
      <w:pPr>
        <w:pStyle w:val="Headingb"/>
        <w:rPr>
          <w:lang w:val="es-ES_tradnl"/>
        </w:rPr>
      </w:pPr>
      <w:r w:rsidRPr="00D755CD">
        <w:rPr>
          <w:lang w:val="es-ES_tradnl"/>
        </w:rPr>
        <w:t>[etiqueta</w:t>
      </w:r>
      <w:r w:rsidR="00E95AE3" w:rsidRPr="00D755CD">
        <w:rPr>
          <w:lang w:val="es-ES_tradnl"/>
        </w:rPr>
        <w:t xml:space="preserve"> </w:t>
      </w:r>
      <w:r w:rsidR="002E670F" w:rsidRPr="00D755CD">
        <w:rPr>
          <w:lang w:val="es-ES_tradnl"/>
        </w:rPr>
        <w:t xml:space="preserve">del tema </w:t>
      </w:r>
      <w:r w:rsidR="00096595" w:rsidRPr="00D755CD">
        <w:rPr>
          <w:lang w:val="es-ES_tradnl"/>
        </w:rPr>
        <w:t>1</w:t>
      </w:r>
      <w:r w:rsidRPr="00D755CD">
        <w:rPr>
          <w:lang w:val="es-ES_tradnl"/>
        </w:rPr>
        <w:t>]</w:t>
      </w:r>
    </w:p>
    <w:p w14:paraId="5E125BD3" w14:textId="6A4661AB" w:rsidR="008D60CF" w:rsidRPr="00D755CD" w:rsidRDefault="008D60CF" w:rsidP="00E95AE3">
      <w:pPr>
        <w:rPr>
          <w:i/>
          <w:iCs/>
          <w:lang w:val="es-ES_tradnl"/>
        </w:rPr>
      </w:pPr>
      <w:r w:rsidRPr="00D755CD">
        <w:rPr>
          <w:lang w:val="es-ES_tradnl"/>
        </w:rPr>
        <w:t xml:space="preserve">[Si el </w:t>
      </w:r>
      <w:r w:rsidR="00096595" w:rsidRPr="00D755CD">
        <w:rPr>
          <w:lang w:val="es-ES_tradnl"/>
        </w:rPr>
        <w:t>t</w:t>
      </w:r>
      <w:r w:rsidR="002E670F" w:rsidRPr="00D755CD">
        <w:rPr>
          <w:lang w:val="es-ES_tradnl"/>
        </w:rPr>
        <w:t>ema</w:t>
      </w:r>
      <w:r w:rsidR="00E95AE3" w:rsidRPr="00D755CD">
        <w:rPr>
          <w:lang w:val="es-ES_tradnl"/>
        </w:rPr>
        <w:t xml:space="preserve"> </w:t>
      </w:r>
      <w:r w:rsidRPr="00D755CD">
        <w:rPr>
          <w:lang w:val="es-ES_tradnl"/>
        </w:rPr>
        <w:t xml:space="preserve">tiene asociada una Resolución] Resolución </w:t>
      </w:r>
      <w:r w:rsidR="002E670F" w:rsidRPr="00D755CD">
        <w:rPr>
          <w:rFonts w:cs="Times New Roman Bold"/>
          <w:b/>
          <w:bCs/>
          <w:lang w:val="es-ES_tradnl"/>
        </w:rPr>
        <w:t>xxx</w:t>
      </w:r>
      <w:r w:rsidR="00096595" w:rsidRPr="00D755CD">
        <w:rPr>
          <w:b/>
          <w:bCs/>
          <w:lang w:val="es-ES_tradnl"/>
        </w:rPr>
        <w:t xml:space="preserve"> </w:t>
      </w:r>
      <w:r w:rsidRPr="00D755CD">
        <w:rPr>
          <w:b/>
          <w:bCs/>
          <w:lang w:val="es-ES_tradnl"/>
        </w:rPr>
        <w:t>(CMR</w:t>
      </w:r>
      <w:r w:rsidRPr="00D755CD">
        <w:rPr>
          <w:b/>
          <w:bCs/>
          <w:lang w:val="es-ES_tradnl"/>
        </w:rPr>
        <w:noBreakHyphen/>
      </w:r>
      <w:r w:rsidR="00096595" w:rsidRPr="00D755CD">
        <w:rPr>
          <w:b/>
          <w:bCs/>
          <w:lang w:val="es-ES_tradnl"/>
        </w:rPr>
        <w:t>19</w:t>
      </w:r>
      <w:r w:rsidRPr="00D755CD">
        <w:rPr>
          <w:b/>
          <w:bCs/>
          <w:lang w:val="es-ES_tradnl"/>
        </w:rPr>
        <w:t>)</w:t>
      </w:r>
      <w:r w:rsidRPr="00D755CD">
        <w:rPr>
          <w:lang w:val="es-ES_tradnl"/>
        </w:rPr>
        <w:t xml:space="preserve">: </w:t>
      </w:r>
      <w:r w:rsidRPr="00D755CD">
        <w:rPr>
          <w:i/>
          <w:iCs/>
          <w:lang w:val="es-ES_tradnl"/>
        </w:rPr>
        <w:t>[Título de la Resolución]</w:t>
      </w:r>
    </w:p>
    <w:p w14:paraId="113BFEC7" w14:textId="69DF728D" w:rsidR="00096595" w:rsidRPr="00E95AE3" w:rsidRDefault="002E670F" w:rsidP="00E95AE3">
      <w:pPr>
        <w:pStyle w:val="Headingb"/>
        <w:rPr>
          <w:lang w:val="es-ES"/>
        </w:rPr>
      </w:pPr>
      <w:r w:rsidRPr="00E95AE3">
        <w:rPr>
          <w:lang w:val="es-ES"/>
        </w:rPr>
        <w:t xml:space="preserve">Resumen de los resultados de los estudios </w:t>
      </w:r>
      <w:r>
        <w:rPr>
          <w:lang w:val="es-ES"/>
        </w:rPr>
        <w:t>del UIT-R</w:t>
      </w:r>
    </w:p>
    <w:p w14:paraId="45A9DC67" w14:textId="454C2D0B" w:rsidR="00096595" w:rsidRPr="00E95AE3" w:rsidRDefault="00096595" w:rsidP="00096595">
      <w:pPr>
        <w:rPr>
          <w:color w:val="000000"/>
          <w:lang w:val="es-ES"/>
        </w:rPr>
      </w:pPr>
      <w:r w:rsidRPr="00E95AE3">
        <w:rPr>
          <w:color w:val="000000"/>
          <w:lang w:val="es-ES"/>
        </w:rPr>
        <w:t>[</w:t>
      </w:r>
      <w:r w:rsidR="002E670F" w:rsidRPr="00E95AE3">
        <w:rPr>
          <w:i/>
          <w:iCs/>
          <w:color w:val="000000"/>
          <w:lang w:val="es-ES"/>
        </w:rPr>
        <w:t xml:space="preserve">Esta sección debe contener un resumen de los resultados de los </w:t>
      </w:r>
      <w:r w:rsidR="002E670F">
        <w:rPr>
          <w:i/>
          <w:iCs/>
          <w:color w:val="000000"/>
          <w:lang w:val="es-ES"/>
        </w:rPr>
        <w:t>estudios realizados por el UIT-R</w:t>
      </w:r>
      <w:r w:rsidRPr="00E95AE3">
        <w:rPr>
          <w:color w:val="000000"/>
          <w:lang w:val="es-ES"/>
        </w:rPr>
        <w:t>]</w:t>
      </w:r>
    </w:p>
    <w:p w14:paraId="20793988" w14:textId="6A3AB931" w:rsidR="00096595" w:rsidRPr="00E95AE3" w:rsidRDefault="00096595" w:rsidP="00AB516B">
      <w:pPr>
        <w:pStyle w:val="Heading2"/>
        <w:keepNext w:val="0"/>
        <w:keepLines w:val="0"/>
        <w:rPr>
          <w:lang w:val="es-ES_tradnl"/>
        </w:rPr>
      </w:pPr>
      <w:r w:rsidRPr="00E95AE3">
        <w:rPr>
          <w:lang w:val="es-ES_tradnl"/>
        </w:rPr>
        <w:t>2.3</w:t>
      </w:r>
      <w:r w:rsidRPr="00E95AE3">
        <w:rPr>
          <w:lang w:val="es-ES_tradnl"/>
        </w:rPr>
        <w:tab/>
      </w:r>
      <w:r w:rsidR="002E670F" w:rsidRPr="00E95AE3">
        <w:rPr>
          <w:lang w:val="es-ES_tradnl"/>
        </w:rPr>
        <w:t>Punto 10 del orden del día de la CMR-23</w:t>
      </w:r>
    </w:p>
    <w:p w14:paraId="65A0CF46" w14:textId="19D0FF21" w:rsidR="00096595" w:rsidRPr="00E95AE3" w:rsidRDefault="00096595" w:rsidP="00E95AE3">
      <w:pPr>
        <w:pStyle w:val="AnnexNo"/>
        <w:rPr>
          <w:lang w:val="es-ES"/>
        </w:rPr>
      </w:pPr>
      <w:r w:rsidRPr="00E95AE3">
        <w:rPr>
          <w:lang w:val="es-ES"/>
        </w:rPr>
        <w:lastRenderedPageBreak/>
        <w:t>ANEX</w:t>
      </w:r>
      <w:r w:rsidR="002E670F" w:rsidRPr="00E95AE3">
        <w:rPr>
          <w:lang w:val="es-ES"/>
        </w:rPr>
        <w:t>O</w:t>
      </w:r>
      <w:r w:rsidRPr="00E95AE3">
        <w:rPr>
          <w:lang w:val="es-ES"/>
        </w:rPr>
        <w:t xml:space="preserve"> 1 – INFORMA</w:t>
      </w:r>
      <w:r w:rsidR="002E670F" w:rsidRPr="00E95AE3">
        <w:rPr>
          <w:lang w:val="es-ES"/>
        </w:rPr>
        <w:t>CIÓN SOBRE EL PUNT</w:t>
      </w:r>
      <w:r w:rsidR="002E670F">
        <w:rPr>
          <w:lang w:val="es-ES"/>
        </w:rPr>
        <w:t xml:space="preserve">O 10 </w:t>
      </w:r>
      <w:r w:rsidR="00152DD6">
        <w:rPr>
          <w:lang w:val="es-ES"/>
        </w:rPr>
        <w:br/>
      </w:r>
      <w:r w:rsidR="002E670F">
        <w:rPr>
          <w:lang w:val="es-ES"/>
        </w:rPr>
        <w:t>DEL ORDEN DEL DÍA DE LA CMR-23</w:t>
      </w:r>
    </w:p>
    <w:p w14:paraId="653CAB76" w14:textId="01D84AB7" w:rsidR="00096595" w:rsidRPr="00E95AE3" w:rsidRDefault="00096595" w:rsidP="00E95AE3">
      <w:pPr>
        <w:pStyle w:val="Heading2"/>
        <w:rPr>
          <w:lang w:val="es-ES"/>
        </w:rPr>
      </w:pPr>
      <w:r w:rsidRPr="00E95AE3">
        <w:rPr>
          <w:lang w:val="es-ES"/>
        </w:rPr>
        <w:t>2.x</w:t>
      </w:r>
      <w:r w:rsidRPr="00E95AE3">
        <w:rPr>
          <w:lang w:val="es-ES"/>
        </w:rPr>
        <w:tab/>
        <w:t>[</w:t>
      </w:r>
      <w:r w:rsidR="008D1C1F" w:rsidRPr="00E95AE3">
        <w:rPr>
          <w:lang w:val="es-ES"/>
        </w:rPr>
        <w:t>etiqueta del punto del orden del día</w:t>
      </w:r>
      <w:r w:rsidRPr="00E95AE3">
        <w:rPr>
          <w:lang w:val="es-ES"/>
        </w:rPr>
        <w:t>]</w:t>
      </w:r>
    </w:p>
    <w:p w14:paraId="638AB172" w14:textId="7E721383" w:rsidR="00096595" w:rsidRPr="00152DD6" w:rsidRDefault="008D1C1F" w:rsidP="00E95AE3">
      <w:pPr>
        <w:rPr>
          <w:lang w:val="es-ES"/>
        </w:rPr>
      </w:pPr>
      <w:r w:rsidRPr="008D60CF">
        <w:rPr>
          <w:lang w:val="es-ES_tradnl"/>
        </w:rPr>
        <w:t xml:space="preserve">[Si el </w:t>
      </w:r>
      <w:r>
        <w:rPr>
          <w:lang w:val="es-ES_tradnl"/>
        </w:rPr>
        <w:t xml:space="preserve">punto del orden del día </w:t>
      </w:r>
      <w:r w:rsidRPr="008D60CF">
        <w:rPr>
          <w:lang w:val="es-ES_tradnl"/>
        </w:rPr>
        <w:t xml:space="preserve">tiene asociada una Resolución] Resolución </w:t>
      </w:r>
      <w:r>
        <w:rPr>
          <w:rFonts w:cs="Times New Roman Bold"/>
          <w:b/>
          <w:bCs/>
          <w:lang w:val="es-ES_tradnl"/>
        </w:rPr>
        <w:t>xxx</w:t>
      </w:r>
      <w:r w:rsidRPr="008D60CF">
        <w:rPr>
          <w:b/>
          <w:bCs/>
          <w:lang w:val="es-ES_tradnl"/>
        </w:rPr>
        <w:t xml:space="preserve"> (CMR</w:t>
      </w:r>
      <w:r w:rsidRPr="008D60CF">
        <w:rPr>
          <w:b/>
          <w:bCs/>
          <w:lang w:val="es-ES_tradnl"/>
        </w:rPr>
        <w:noBreakHyphen/>
      </w:r>
      <w:r>
        <w:rPr>
          <w:b/>
          <w:bCs/>
          <w:lang w:val="es-ES_tradnl"/>
        </w:rPr>
        <w:t>19</w:t>
      </w:r>
      <w:r w:rsidRPr="008D60CF">
        <w:rPr>
          <w:b/>
          <w:bCs/>
          <w:lang w:val="es-ES_tradnl"/>
        </w:rPr>
        <w:t>)</w:t>
      </w:r>
      <w:r w:rsidRPr="008D60CF">
        <w:rPr>
          <w:lang w:val="es-ES_tradnl"/>
        </w:rPr>
        <w:t xml:space="preserve">: </w:t>
      </w:r>
      <w:r w:rsidRPr="008D60CF">
        <w:rPr>
          <w:i/>
          <w:iCs/>
          <w:lang w:val="es-ES_tradnl"/>
        </w:rPr>
        <w:t>[Título de la Resolución]</w:t>
      </w:r>
    </w:p>
    <w:p w14:paraId="5AC64B9D" w14:textId="7B20A6D1" w:rsidR="00096595" w:rsidRPr="00564FF1" w:rsidRDefault="00096595" w:rsidP="00E95AE3">
      <w:pPr>
        <w:rPr>
          <w:rFonts w:asciiTheme="minorHAnsi" w:hAnsiTheme="minorHAnsi" w:cstheme="majorBidi"/>
          <w:szCs w:val="24"/>
          <w:lang w:val="es-ES"/>
        </w:rPr>
      </w:pPr>
      <w:r w:rsidRPr="00564FF1">
        <w:rPr>
          <w:lang w:val="es-ES"/>
        </w:rPr>
        <w:t>[</w:t>
      </w:r>
      <w:r w:rsidR="008D1C1F" w:rsidRPr="00564FF1">
        <w:rPr>
          <w:i/>
          <w:iCs/>
          <w:lang w:val="es-ES"/>
        </w:rPr>
        <w:t>Breve resumen de los estudios del UIT-R completados en</w:t>
      </w:r>
      <w:r w:rsidR="008D1C1F" w:rsidRPr="00E95AE3">
        <w:rPr>
          <w:i/>
          <w:iCs/>
          <w:lang w:val="es-ES"/>
        </w:rPr>
        <w:t xml:space="preserve"> el marco del punto del orden del día provisional</w:t>
      </w:r>
      <w:r w:rsidRPr="00564FF1">
        <w:rPr>
          <w:lang w:val="es-ES"/>
        </w:rPr>
        <w:t>]</w:t>
      </w:r>
    </w:p>
    <w:p w14:paraId="7C809396" w14:textId="36DC30D5" w:rsidR="008D60CF" w:rsidRPr="00564FF1" w:rsidRDefault="008D60CF" w:rsidP="00E95AE3">
      <w:pPr>
        <w:rPr>
          <w:lang w:val="es-ES"/>
        </w:rPr>
      </w:pPr>
      <w:r w:rsidRPr="00564FF1">
        <w:rPr>
          <w:lang w:val="es-ES"/>
        </w:rPr>
        <w:br w:type="page"/>
      </w:r>
    </w:p>
    <w:p w14:paraId="6BAACC30" w14:textId="64F0CB62" w:rsidR="008D60CF" w:rsidRPr="004A5136" w:rsidRDefault="008D60CF" w:rsidP="00E95AE3">
      <w:pPr>
        <w:pStyle w:val="AnnexNo"/>
        <w:rPr>
          <w:lang w:val="es-ES"/>
        </w:rPr>
      </w:pPr>
      <w:r w:rsidRPr="004A5136">
        <w:rPr>
          <w:lang w:val="es-ES"/>
        </w:rPr>
        <w:lastRenderedPageBreak/>
        <w:t>ANEXO 7</w:t>
      </w:r>
      <w:r w:rsidR="00561013" w:rsidRPr="00997307">
        <w:rPr>
          <w:position w:val="6"/>
          <w:sz w:val="18"/>
          <w:lang w:val="es-ES"/>
        </w:rPr>
        <w:footnoteReference w:customMarkFollows="1" w:id="8"/>
        <w:t>**</w:t>
      </w:r>
    </w:p>
    <w:p w14:paraId="447D7516" w14:textId="26EAEF7F" w:rsidR="008D60CF" w:rsidRPr="00E95AE3" w:rsidRDefault="008D60CF" w:rsidP="00E95AE3">
      <w:pPr>
        <w:pStyle w:val="Annextitle0"/>
        <w:rPr>
          <w:lang w:val="es-ES"/>
        </w:rPr>
      </w:pPr>
      <w:r w:rsidRPr="00E95AE3">
        <w:rPr>
          <w:lang w:val="es-ES"/>
        </w:rPr>
        <w:t>Atribución de los trabajos preparatorios del UIT</w:t>
      </w:r>
      <w:r w:rsidRPr="00E95AE3">
        <w:rPr>
          <w:lang w:val="es-ES"/>
        </w:rPr>
        <w:noBreakHyphen/>
        <w:t>R para la CMR-</w:t>
      </w:r>
      <w:r w:rsidR="00CD0DD6" w:rsidRPr="00E95AE3">
        <w:rPr>
          <w:lang w:val="es-ES"/>
        </w:rPr>
        <w:t>23</w:t>
      </w:r>
    </w:p>
    <w:p w14:paraId="1C01A9C2" w14:textId="2A596889" w:rsidR="008D60CF" w:rsidRPr="008D60CF" w:rsidRDefault="008D60CF" w:rsidP="00C163BA">
      <w:pPr>
        <w:pStyle w:val="Normalaftertitle"/>
        <w:rPr>
          <w:b/>
          <w:bCs/>
          <w:lang w:val="es-ES_tradnl"/>
        </w:rPr>
      </w:pPr>
      <w:r w:rsidRPr="008D60CF">
        <w:rPr>
          <w:lang w:val="es-ES_tradnl"/>
        </w:rPr>
        <w:t>El Cuadro que figura a continuación recoge la atribución de los trabajos preparatorios del UIT-R para los puntos del orden del día de la CMR-</w:t>
      </w:r>
      <w:r w:rsidR="00E95AE3">
        <w:rPr>
          <w:lang w:val="es-ES_tradnl"/>
        </w:rPr>
        <w:t>23</w:t>
      </w:r>
      <w:r w:rsidRPr="008D60CF">
        <w:rPr>
          <w:lang w:val="es-ES_tradnl"/>
        </w:rPr>
        <w:t xml:space="preserve">, que se proponen en la Resolución </w:t>
      </w:r>
      <w:r w:rsidR="00CD0DD6" w:rsidRPr="00CD0DD6">
        <w:rPr>
          <w:b/>
          <w:lang w:val="es-ES"/>
        </w:rPr>
        <w:t>811</w:t>
      </w:r>
      <w:r w:rsidR="00CD0DD6" w:rsidRPr="008D60CF">
        <w:rPr>
          <w:b/>
          <w:bCs/>
          <w:lang w:val="es-ES_tradnl"/>
        </w:rPr>
        <w:t xml:space="preserve"> </w:t>
      </w:r>
      <w:r w:rsidRPr="008D60CF">
        <w:rPr>
          <w:b/>
          <w:bCs/>
          <w:lang w:val="es-ES_tradnl"/>
        </w:rPr>
        <w:t>(CMR</w:t>
      </w:r>
      <w:r w:rsidRPr="008D60CF">
        <w:rPr>
          <w:b/>
          <w:bCs/>
          <w:lang w:val="es-ES_tradnl"/>
        </w:rPr>
        <w:noBreakHyphen/>
      </w:r>
      <w:r w:rsidR="00CD0DD6">
        <w:rPr>
          <w:b/>
          <w:bCs/>
          <w:lang w:val="es-ES_tradnl"/>
        </w:rPr>
        <w:t>19</w:t>
      </w:r>
      <w:r w:rsidRPr="008D60CF">
        <w:rPr>
          <w:b/>
          <w:bCs/>
          <w:lang w:val="es-ES_tradnl"/>
        </w:rPr>
        <w:t>)</w:t>
      </w:r>
      <w:r w:rsidRPr="008D60CF">
        <w:rPr>
          <w:lang w:val="es-ES_tradnl"/>
        </w:rPr>
        <w:t>.</w:t>
      </w:r>
    </w:p>
    <w:p w14:paraId="06DA2603" w14:textId="77210A81" w:rsidR="008D60CF" w:rsidRPr="008D60CF" w:rsidRDefault="008D60CF" w:rsidP="008D60CF">
      <w:pPr>
        <w:rPr>
          <w:lang w:val="es-ES_tradnl"/>
        </w:rPr>
      </w:pPr>
      <w:r w:rsidRPr="008D60CF">
        <w:rPr>
          <w:lang w:val="es-ES_tradnl"/>
        </w:rPr>
        <w:t>Incluye anotaciones para la identificación de los «</w:t>
      </w:r>
      <w:r w:rsidR="00B84217">
        <w:rPr>
          <w:lang w:val="es-ES_tradnl"/>
        </w:rPr>
        <w:t>g</w:t>
      </w:r>
      <w:r w:rsidRPr="008D60CF">
        <w:rPr>
          <w:lang w:val="es-ES_tradnl"/>
        </w:rPr>
        <w:t>rupos responsables» y los «</w:t>
      </w:r>
      <w:r w:rsidR="00B84217">
        <w:rPr>
          <w:lang w:val="es-ES_tradnl"/>
        </w:rPr>
        <w:t>g</w:t>
      </w:r>
      <w:r w:rsidRPr="008D60CF">
        <w:rPr>
          <w:lang w:val="es-ES_tradnl"/>
        </w:rPr>
        <w:t xml:space="preserve">rupos </w:t>
      </w:r>
      <w:r w:rsidR="00CD0DD6" w:rsidRPr="00E95AE3">
        <w:rPr>
          <w:rFonts w:asciiTheme="minorHAnsi" w:hAnsiTheme="minorHAnsi"/>
          <w:szCs w:val="24"/>
          <w:lang w:val="es-ES"/>
        </w:rPr>
        <w:t>contribu</w:t>
      </w:r>
      <w:r w:rsidR="008D1C1F">
        <w:rPr>
          <w:rFonts w:asciiTheme="minorHAnsi" w:hAnsiTheme="minorHAnsi"/>
          <w:szCs w:val="24"/>
          <w:lang w:val="es-ES"/>
        </w:rPr>
        <w:t>yentes</w:t>
      </w:r>
      <w:r w:rsidRPr="008D60CF">
        <w:rPr>
          <w:lang w:val="es-ES_tradnl"/>
        </w:rPr>
        <w:t>»</w:t>
      </w:r>
      <w:r w:rsidR="00561013" w:rsidRPr="00564FF1">
        <w:rPr>
          <w:i/>
          <w:position w:val="6"/>
          <w:sz w:val="18"/>
          <w:lang w:val="es-ES"/>
        </w:rPr>
        <w:footnoteReference w:customMarkFollows="1" w:id="9"/>
        <w:t>*</w:t>
      </w:r>
      <w:r w:rsidR="00561013" w:rsidRPr="00564FF1">
        <w:rPr>
          <w:rFonts w:asciiTheme="minorHAnsi" w:hAnsiTheme="minorHAnsi"/>
          <w:lang w:val="es-ES"/>
        </w:rPr>
        <w:t xml:space="preserve"> </w:t>
      </w:r>
      <w:r w:rsidRPr="008D60CF">
        <w:rPr>
          <w:lang w:val="es-ES_tradnl"/>
        </w:rPr>
        <w:t>del UIT-R para los puntos del orden del día de la CMR-19.</w:t>
      </w:r>
    </w:p>
    <w:p w14:paraId="79F0ECD8" w14:textId="2EF01DF9" w:rsidR="008D60CF" w:rsidRPr="008D60CF" w:rsidRDefault="008D60CF" w:rsidP="00E95AE3">
      <w:pPr>
        <w:pStyle w:val="Note"/>
        <w:rPr>
          <w:lang w:val="es-ES_tradnl"/>
        </w:rPr>
      </w:pPr>
      <w:r w:rsidRPr="008D60CF">
        <w:rPr>
          <w:lang w:val="es-ES_tradnl"/>
        </w:rPr>
        <w:t>NOTA 1 – Los Grupos de Trabajo del UIT-R indicados en el siguiente Cuadro se han identificado basándose en la estructura de las Comisiones de Estudio contenida en el Documento</w:t>
      </w:r>
      <w:r w:rsidR="00E95AE3">
        <w:rPr>
          <w:lang w:val="es-ES_tradnl"/>
        </w:rPr>
        <w:t xml:space="preserve"> </w:t>
      </w:r>
      <w:hyperlink r:id="rId19" w:history="1">
        <w:r w:rsidR="00CD0DD6" w:rsidRPr="00E95AE3">
          <w:rPr>
            <w:rStyle w:val="Hyperlink"/>
            <w:rFonts w:asciiTheme="minorHAnsi" w:hAnsiTheme="minorHAnsi"/>
            <w:szCs w:val="24"/>
            <w:lang w:val="es-ES"/>
          </w:rPr>
          <w:t>CPM23-1/1</w:t>
        </w:r>
      </w:hyperlink>
      <w:r w:rsidRPr="008D60CF">
        <w:rPr>
          <w:lang w:val="es-ES_tradnl"/>
        </w:rPr>
        <w:t>.</w:t>
      </w:r>
    </w:p>
    <w:p w14:paraId="2ABB1DAB" w14:textId="2E94BDC7" w:rsidR="008D60CF" w:rsidRDefault="008D60CF" w:rsidP="00E95AE3">
      <w:pPr>
        <w:pStyle w:val="Note"/>
        <w:rPr>
          <w:lang w:val="es-ES_tradnl"/>
        </w:rPr>
      </w:pPr>
      <w:r w:rsidRPr="008D60CF">
        <w:rPr>
          <w:lang w:val="es-ES_tradnl"/>
        </w:rPr>
        <w:t xml:space="preserve">NOTA 2 – Se ruega a los grupos responsables que comuniquen periódicamente a las Comisiones </w:t>
      </w:r>
      <w:r w:rsidR="00CD0DD6" w:rsidRPr="00E95AE3">
        <w:rPr>
          <w:lang w:val="es-ES"/>
        </w:rPr>
        <w:t>contribu</w:t>
      </w:r>
      <w:r w:rsidR="008D1C1F">
        <w:rPr>
          <w:lang w:val="es-ES"/>
        </w:rPr>
        <w:t>yentes</w:t>
      </w:r>
      <w:r w:rsidRPr="008D60CF">
        <w:rPr>
          <w:lang w:val="es-ES_tradnl"/>
        </w:rPr>
        <w:t xml:space="preserve"> los progresos realizados y los resultados de sus estudios.</w:t>
      </w:r>
    </w:p>
    <w:p w14:paraId="03F98CA5" w14:textId="77777777" w:rsidR="004A7B85" w:rsidRPr="008D60CF" w:rsidRDefault="004A7B85" w:rsidP="00C163BA">
      <w:pPr>
        <w:rPr>
          <w:lang w:val="es-ES_tradnl"/>
        </w:rPr>
      </w:pPr>
    </w:p>
    <w:p w14:paraId="168BB842" w14:textId="77777777" w:rsidR="004A7B85" w:rsidRDefault="004A7B85" w:rsidP="00152DD6">
      <w:pPr>
        <w:rPr>
          <w:lang w:val="es-ES_tradnl"/>
        </w:rPr>
        <w:sectPr w:rsidR="004A7B85" w:rsidSect="009A67E7">
          <w:headerReference w:type="even" r:id="rId20"/>
          <w:headerReference w:type="default" r:id="rId21"/>
          <w:headerReference w:type="first" r:id="rId22"/>
          <w:footerReference w:type="first" r:id="rId23"/>
          <w:pgSz w:w="11907" w:h="16834" w:code="9"/>
          <w:pgMar w:top="1134" w:right="1134" w:bottom="1134" w:left="1134" w:header="567" w:footer="397" w:gutter="0"/>
          <w:cols w:space="720"/>
          <w:titlePg/>
        </w:sect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4"/>
        <w:gridCol w:w="1517"/>
        <w:gridCol w:w="7809"/>
        <w:gridCol w:w="1406"/>
        <w:gridCol w:w="27"/>
      </w:tblGrid>
      <w:tr w:rsidR="004A7B85" w:rsidRPr="00882A01" w14:paraId="49CA58C6" w14:textId="77777777" w:rsidTr="003F05FF">
        <w:trPr>
          <w:gridAfter w:val="1"/>
          <w:wAfter w:w="27" w:type="dxa"/>
          <w:cantSplit/>
          <w:tblHeader/>
          <w:jc w:val="center"/>
        </w:trPr>
        <w:tc>
          <w:tcPr>
            <w:tcW w:w="14036" w:type="dxa"/>
            <w:gridSpan w:val="4"/>
            <w:tcBorders>
              <w:top w:val="nil"/>
              <w:left w:val="nil"/>
              <w:right w:val="nil"/>
            </w:tcBorders>
          </w:tcPr>
          <w:p w14:paraId="0BBC16FB" w14:textId="77140D10" w:rsidR="004A7B85" w:rsidRPr="00C163BA" w:rsidRDefault="004A7B85" w:rsidP="00C163BA">
            <w:pPr>
              <w:pStyle w:val="Tablehead"/>
              <w:rPr>
                <w:color w:val="000000" w:themeColor="text1"/>
                <w:sz w:val="22"/>
                <w:lang w:val="es-ES"/>
              </w:rPr>
            </w:pPr>
            <w:bookmarkStart w:id="21" w:name="_Hlk26879998"/>
            <w:r w:rsidRPr="00C163BA">
              <w:rPr>
                <w:color w:val="000000" w:themeColor="text1"/>
                <w:lang w:val="es-ES_tradnl"/>
              </w:rPr>
              <w:lastRenderedPageBreak/>
              <w:t>Atribución de los trabajos preparatorios del UIT-R para la CMR-</w:t>
            </w:r>
            <w:r w:rsidR="00BD3E06" w:rsidRPr="00C163BA">
              <w:rPr>
                <w:color w:val="000000" w:themeColor="text1"/>
                <w:lang w:val="es-ES_tradnl"/>
              </w:rPr>
              <w:t>23</w:t>
            </w:r>
          </w:p>
        </w:tc>
      </w:tr>
      <w:tr w:rsidR="004A7B85" w:rsidRPr="004A7B85" w14:paraId="4D362BD5" w14:textId="77777777" w:rsidTr="003F05FF">
        <w:trPr>
          <w:gridAfter w:val="1"/>
          <w:wAfter w:w="27" w:type="dxa"/>
          <w:cantSplit/>
          <w:tblHeader/>
          <w:jc w:val="center"/>
        </w:trPr>
        <w:tc>
          <w:tcPr>
            <w:tcW w:w="3304" w:type="dxa"/>
            <w:vAlign w:val="center"/>
          </w:tcPr>
          <w:p w14:paraId="72BC899B" w14:textId="278C76D6" w:rsidR="004A7B85" w:rsidRPr="00C163BA" w:rsidRDefault="00A5775C" w:rsidP="00C163BA">
            <w:pPr>
              <w:pStyle w:val="Tablehead"/>
              <w:rPr>
                <w:color w:val="000000" w:themeColor="text1"/>
                <w:lang w:val="es-ES_tradnl"/>
              </w:rPr>
            </w:pPr>
            <w:r w:rsidRPr="00C163BA">
              <w:rPr>
                <w:color w:val="000000" w:themeColor="text1"/>
                <w:lang w:val="es-ES_tradnl"/>
              </w:rPr>
              <w:t>Tema</w:t>
            </w:r>
          </w:p>
        </w:tc>
        <w:tc>
          <w:tcPr>
            <w:tcW w:w="1517" w:type="dxa"/>
            <w:vAlign w:val="center"/>
          </w:tcPr>
          <w:p w14:paraId="45F7EBCE" w14:textId="603002CA" w:rsidR="004A7B85" w:rsidRPr="00C163BA" w:rsidRDefault="002603D5" w:rsidP="00C163BA">
            <w:pPr>
              <w:pStyle w:val="Tablehead"/>
              <w:rPr>
                <w:color w:val="000000" w:themeColor="text1"/>
                <w:lang w:val="es-ES_tradnl"/>
              </w:rPr>
            </w:pPr>
            <w:r w:rsidRPr="00C163BA">
              <w:rPr>
                <w:color w:val="000000" w:themeColor="text1"/>
                <w:lang w:val="es-ES_tradnl"/>
              </w:rPr>
              <w:t xml:space="preserve">Grupo </w:t>
            </w:r>
            <w:r w:rsidR="00826E16" w:rsidRPr="00C163BA">
              <w:rPr>
                <w:color w:val="000000" w:themeColor="text1"/>
                <w:lang w:val="es-ES_tradnl"/>
              </w:rPr>
              <w:t>responsable</w:t>
            </w:r>
          </w:p>
        </w:tc>
        <w:tc>
          <w:tcPr>
            <w:tcW w:w="7809" w:type="dxa"/>
            <w:vAlign w:val="center"/>
          </w:tcPr>
          <w:p w14:paraId="531E1846" w14:textId="5A632C65" w:rsidR="004A7B85" w:rsidRPr="00C163BA" w:rsidRDefault="002603D5" w:rsidP="00C163BA">
            <w:pPr>
              <w:pStyle w:val="Tablehead"/>
              <w:rPr>
                <w:color w:val="000000" w:themeColor="text1"/>
                <w:lang w:val="es-ES_tradnl"/>
              </w:rPr>
            </w:pPr>
            <w:r w:rsidRPr="00C163BA">
              <w:rPr>
                <w:color w:val="000000" w:themeColor="text1"/>
                <w:lang w:val="es-ES_tradnl"/>
              </w:rPr>
              <w:t>Cometido del Grupo</w:t>
            </w:r>
          </w:p>
        </w:tc>
        <w:tc>
          <w:tcPr>
            <w:tcW w:w="1406" w:type="dxa"/>
            <w:vAlign w:val="center"/>
          </w:tcPr>
          <w:p w14:paraId="4496187C" w14:textId="3114E1A6" w:rsidR="004A7B85" w:rsidRPr="00C163BA" w:rsidRDefault="002603D5" w:rsidP="00C163BA">
            <w:pPr>
              <w:pStyle w:val="Tablehead"/>
              <w:rPr>
                <w:color w:val="000000" w:themeColor="text1"/>
                <w:lang w:val="es-ES_tradnl"/>
              </w:rPr>
            </w:pPr>
            <w:r w:rsidRPr="00C163BA">
              <w:rPr>
                <w:color w:val="000000" w:themeColor="text1"/>
                <w:lang w:val="es-ES_tradnl"/>
              </w:rPr>
              <w:t xml:space="preserve">Grupo </w:t>
            </w:r>
            <w:r w:rsidR="00826E16" w:rsidRPr="00C163BA">
              <w:rPr>
                <w:color w:val="000000" w:themeColor="text1"/>
                <w:lang w:val="es-ES_tradnl"/>
              </w:rPr>
              <w:t>contribuyente</w:t>
            </w:r>
          </w:p>
        </w:tc>
      </w:tr>
      <w:tr w:rsidR="004A7B85" w:rsidRPr="00882A01" w14:paraId="5092F8E3" w14:textId="77777777" w:rsidTr="003F05FF">
        <w:trPr>
          <w:gridAfter w:val="1"/>
          <w:wAfter w:w="27" w:type="dxa"/>
          <w:cantSplit/>
          <w:jc w:val="center"/>
        </w:trPr>
        <w:tc>
          <w:tcPr>
            <w:tcW w:w="14036" w:type="dxa"/>
            <w:gridSpan w:val="4"/>
            <w:vAlign w:val="center"/>
          </w:tcPr>
          <w:p w14:paraId="323C5B9A" w14:textId="59797256" w:rsidR="004A7B85" w:rsidRPr="00C163BA" w:rsidRDefault="005B01A7" w:rsidP="001E2EFF">
            <w:pPr>
              <w:pStyle w:val="Tabletext"/>
              <w:tabs>
                <w:tab w:val="clear" w:pos="284"/>
                <w:tab w:val="left" w:pos="594"/>
              </w:tabs>
              <w:jc w:val="both"/>
              <w:rPr>
                <w:lang w:val="es-ES_tradnl" w:eastAsia="nl-NL"/>
              </w:rPr>
            </w:pPr>
            <w:r w:rsidRPr="00C163BA">
              <w:rPr>
                <w:lang w:val="es-ES_tradnl" w:eastAsia="nl-NL"/>
              </w:rPr>
              <w:t>1</w:t>
            </w:r>
            <w:r w:rsidRPr="00C163BA">
              <w:rPr>
                <w:lang w:val="es-ES_tradnl" w:eastAsia="nl-NL"/>
              </w:rPr>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tc>
      </w:tr>
      <w:tr w:rsidR="004A7B85" w:rsidRPr="00882A01" w14:paraId="3E86E960" w14:textId="77777777" w:rsidTr="003F05FF">
        <w:trPr>
          <w:gridAfter w:val="1"/>
          <w:wAfter w:w="27" w:type="dxa"/>
          <w:cantSplit/>
          <w:jc w:val="center"/>
        </w:trPr>
        <w:tc>
          <w:tcPr>
            <w:tcW w:w="14036" w:type="dxa"/>
            <w:gridSpan w:val="4"/>
          </w:tcPr>
          <w:p w14:paraId="3163036B" w14:textId="00303306" w:rsidR="004A7B85" w:rsidRPr="00C163BA" w:rsidRDefault="005B01A7" w:rsidP="001E2EFF">
            <w:pPr>
              <w:pStyle w:val="Tabletext"/>
              <w:tabs>
                <w:tab w:val="clear" w:pos="284"/>
                <w:tab w:val="left" w:pos="594"/>
              </w:tabs>
              <w:jc w:val="both"/>
              <w:rPr>
                <w:lang w:val="es-ES_tradnl" w:eastAsia="nl-NL"/>
              </w:rPr>
            </w:pPr>
            <w:r w:rsidRPr="005C6D27">
              <w:rPr>
                <w:lang w:val="es-ES_tradnl" w:eastAsia="nl-NL"/>
              </w:rPr>
              <w:t>1.1</w:t>
            </w:r>
            <w:r w:rsidRPr="005C6D27">
              <w:rPr>
                <w:lang w:val="es-ES_tradnl" w:eastAsia="nl-NL"/>
              </w:rPr>
              <w:tab/>
            </w:r>
            <w:r w:rsidRPr="00C163BA">
              <w:rPr>
                <w:lang w:val="es-ES_tradnl" w:eastAsia="nl-NL"/>
              </w:rPr>
              <w:t xml:space="preserve">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dfp del número </w:t>
            </w:r>
            <w:r w:rsidRPr="00152DD6">
              <w:rPr>
                <w:b/>
                <w:bCs/>
                <w:lang w:val="es-ES_tradnl" w:eastAsia="nl-NL"/>
              </w:rPr>
              <w:t>5.441B</w:t>
            </w:r>
            <w:r w:rsidRPr="00C163BA">
              <w:rPr>
                <w:lang w:val="es-ES_tradnl" w:eastAsia="nl-NL"/>
              </w:rPr>
              <w:t xml:space="preserve">, de conformidad con la Resolución </w:t>
            </w:r>
            <w:r w:rsidRPr="00B84217">
              <w:rPr>
                <w:b/>
                <w:bCs/>
                <w:lang w:val="es-ES_tradnl" w:eastAsia="nl-NL"/>
              </w:rPr>
              <w:t>223 (Rev.CMR-19)</w:t>
            </w:r>
            <w:r w:rsidRPr="00C163BA">
              <w:rPr>
                <w:lang w:val="es-ES_tradnl" w:eastAsia="nl-NL"/>
              </w:rPr>
              <w:t>;</w:t>
            </w:r>
          </w:p>
        </w:tc>
      </w:tr>
      <w:tr w:rsidR="004A7B85" w:rsidRPr="00C163BA" w14:paraId="4C19279F" w14:textId="77777777" w:rsidTr="003F05FF">
        <w:trPr>
          <w:gridAfter w:val="1"/>
          <w:wAfter w:w="27" w:type="dxa"/>
          <w:jc w:val="center"/>
        </w:trPr>
        <w:tc>
          <w:tcPr>
            <w:tcW w:w="3304" w:type="dxa"/>
          </w:tcPr>
          <w:p w14:paraId="58B3E8FB" w14:textId="472789C9" w:rsidR="004A7B85" w:rsidRPr="00C163BA" w:rsidRDefault="0022340A" w:rsidP="00C163BA">
            <w:pPr>
              <w:pStyle w:val="Tabletext"/>
              <w:tabs>
                <w:tab w:val="clear" w:pos="284"/>
                <w:tab w:val="left" w:pos="463"/>
              </w:tabs>
              <w:rPr>
                <w:lang w:val="es-ES_tradnl" w:eastAsia="nl-NL"/>
              </w:rPr>
            </w:pPr>
            <w:r w:rsidRPr="0022340A">
              <w:rPr>
                <w:lang w:val="es-ES_tradnl" w:eastAsia="nl-NL"/>
              </w:rPr>
              <w:t xml:space="preserve">Resolución </w:t>
            </w:r>
            <w:r w:rsidRPr="00C163BA">
              <w:rPr>
                <w:b/>
                <w:bCs/>
                <w:lang w:val="es-ES_tradnl" w:eastAsia="nl-NL"/>
              </w:rPr>
              <w:t>223 (Rev.CMR-19)</w:t>
            </w:r>
          </w:p>
          <w:p w14:paraId="08FDCE9D" w14:textId="712A2F21" w:rsidR="004A7B85" w:rsidRPr="00C163BA" w:rsidRDefault="0022340A" w:rsidP="00C163BA">
            <w:pPr>
              <w:pStyle w:val="Tabletext"/>
              <w:tabs>
                <w:tab w:val="clear" w:pos="284"/>
                <w:tab w:val="left" w:pos="463"/>
              </w:tabs>
              <w:rPr>
                <w:lang w:val="es-ES_tradnl" w:eastAsia="nl-NL"/>
              </w:rPr>
            </w:pPr>
            <w:bookmarkStart w:id="22" w:name="_Toc320536498"/>
            <w:bookmarkStart w:id="23" w:name="_Toc328141326"/>
            <w:r w:rsidRPr="00C163BA">
              <w:rPr>
                <w:lang w:val="es-ES_tradnl" w:eastAsia="nl-NL"/>
              </w:rPr>
              <w:t>Bandas de frecuencias adicionales identificadas para</w:t>
            </w:r>
            <w:r w:rsidR="00B84217">
              <w:rPr>
                <w:lang w:val="es-ES_tradnl" w:eastAsia="nl-NL"/>
              </w:rPr>
              <w:t xml:space="preserve"> </w:t>
            </w:r>
            <w:r w:rsidRPr="00C163BA">
              <w:rPr>
                <w:lang w:val="es-ES_tradnl" w:eastAsia="nl-NL"/>
              </w:rPr>
              <w:t xml:space="preserve">las </w:t>
            </w:r>
            <w:bookmarkEnd w:id="22"/>
            <w:bookmarkEnd w:id="23"/>
            <w:r w:rsidRPr="00C163BA">
              <w:rPr>
                <w:lang w:val="es-ES_tradnl" w:eastAsia="nl-NL"/>
              </w:rPr>
              <w:t>Telecomunicaciones Móviles Internacionales</w:t>
            </w:r>
          </w:p>
        </w:tc>
        <w:tc>
          <w:tcPr>
            <w:tcW w:w="1517" w:type="dxa"/>
          </w:tcPr>
          <w:p w14:paraId="0BEBFFF5" w14:textId="11058AB2" w:rsidR="004A7B85" w:rsidRPr="00B84217" w:rsidRDefault="00A92266"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 w:eastAsia="nl-NL"/>
              </w:rPr>
            </w:pPr>
            <w:r w:rsidRPr="00B84217">
              <w:rPr>
                <w:b/>
                <w:sz w:val="20"/>
                <w:lang w:val="es-ES" w:eastAsia="nl-NL"/>
              </w:rPr>
              <w:t>GT</w:t>
            </w:r>
            <w:r w:rsidR="004A7B85" w:rsidRPr="00B84217">
              <w:rPr>
                <w:b/>
                <w:sz w:val="20"/>
                <w:lang w:val="es-ES" w:eastAsia="nl-NL"/>
              </w:rPr>
              <w:t> 5B</w:t>
            </w:r>
            <w:r w:rsidR="004A7B85" w:rsidRPr="00B84217">
              <w:rPr>
                <w:sz w:val="20"/>
                <w:lang w:val="es-ES" w:eastAsia="nl-NL"/>
              </w:rPr>
              <w:t xml:space="preserve"> </w:t>
            </w:r>
            <w:r w:rsidR="00826E16" w:rsidRPr="00B84217">
              <w:rPr>
                <w:sz w:val="20"/>
                <w:lang w:val="es-ES" w:eastAsia="nl-NL"/>
              </w:rPr>
              <w:t>y</w:t>
            </w:r>
            <w:r w:rsidR="004A7B85" w:rsidRPr="00B84217">
              <w:rPr>
                <w:sz w:val="20"/>
                <w:lang w:val="es-ES" w:eastAsia="nl-NL"/>
              </w:rPr>
              <w:t xml:space="preserve"> </w:t>
            </w:r>
            <w:r w:rsidRPr="00B84217">
              <w:rPr>
                <w:b/>
                <w:sz w:val="20"/>
                <w:lang w:val="es-ES" w:eastAsia="nl-NL"/>
              </w:rPr>
              <w:t>GT</w:t>
            </w:r>
            <w:r w:rsidR="004A7B85" w:rsidRPr="00B84217">
              <w:rPr>
                <w:b/>
                <w:sz w:val="20"/>
                <w:lang w:val="es-ES" w:eastAsia="nl-NL"/>
              </w:rPr>
              <w:t> 5D</w:t>
            </w:r>
          </w:p>
          <w:p w14:paraId="77C6FFD7" w14:textId="5408C744" w:rsidR="004A7B85" w:rsidRPr="00564FF1" w:rsidRDefault="004A7B85" w:rsidP="009E6C92">
            <w:pPr>
              <w:pStyle w:val="Tabletext"/>
              <w:tabs>
                <w:tab w:val="clear" w:pos="284"/>
                <w:tab w:val="left" w:pos="463"/>
              </w:tabs>
              <w:rPr>
                <w:lang w:val="es-ES" w:eastAsia="nl-NL"/>
              </w:rPr>
            </w:pPr>
            <w:r w:rsidRPr="00B84217">
              <w:rPr>
                <w:u w:val="single"/>
                <w:lang w:val="es-ES" w:eastAsia="nl-NL"/>
              </w:rPr>
              <w:t>Not</w:t>
            </w:r>
            <w:r w:rsidR="00826E16" w:rsidRPr="00B84217">
              <w:rPr>
                <w:u w:val="single"/>
                <w:lang w:val="es-ES" w:eastAsia="nl-NL"/>
              </w:rPr>
              <w:t>a</w:t>
            </w:r>
            <w:r w:rsidRPr="00B84217">
              <w:rPr>
                <w:lang w:val="es-ES" w:eastAsia="nl-NL"/>
              </w:rPr>
              <w:t xml:space="preserve">: </w:t>
            </w:r>
            <w:r w:rsidR="007115A4" w:rsidRPr="00B84217">
              <w:rPr>
                <w:lang w:val="es-ES" w:eastAsia="nl-NL"/>
              </w:rPr>
              <w:t xml:space="preserve">Los </w:t>
            </w:r>
            <w:r w:rsidR="00A92266">
              <w:rPr>
                <w:lang w:val="es-ES" w:eastAsia="nl-NL"/>
              </w:rPr>
              <w:t>GT</w:t>
            </w:r>
            <w:r w:rsidR="00B84217">
              <w:rPr>
                <w:lang w:val="es-ES" w:eastAsia="nl-NL"/>
              </w:rPr>
              <w:t> </w:t>
            </w:r>
            <w:r w:rsidRPr="00B84217">
              <w:rPr>
                <w:lang w:val="es-ES" w:eastAsia="nl-NL"/>
              </w:rPr>
              <w:t xml:space="preserve">5B </w:t>
            </w:r>
            <w:r w:rsidR="00826E16" w:rsidRPr="00B84217">
              <w:rPr>
                <w:lang w:val="es-ES" w:eastAsia="nl-NL"/>
              </w:rPr>
              <w:t xml:space="preserve">y </w:t>
            </w:r>
            <w:r w:rsidR="00A92266">
              <w:rPr>
                <w:lang w:val="es-ES" w:eastAsia="nl-NL"/>
              </w:rPr>
              <w:t>GT</w:t>
            </w:r>
            <w:r w:rsidR="00B84217">
              <w:rPr>
                <w:lang w:val="es-ES" w:eastAsia="nl-NL"/>
              </w:rPr>
              <w:t> </w:t>
            </w:r>
            <w:r w:rsidRPr="00B84217">
              <w:rPr>
                <w:lang w:val="es-ES" w:eastAsia="nl-NL"/>
              </w:rPr>
              <w:t xml:space="preserve">5D </w:t>
            </w:r>
            <w:r w:rsidR="00826E16" w:rsidRPr="00B84217">
              <w:rPr>
                <w:lang w:val="es-ES" w:eastAsia="nl-NL"/>
              </w:rPr>
              <w:t xml:space="preserve">trabajarán de consuno como se </w:t>
            </w:r>
            <w:r w:rsidR="00826E16">
              <w:rPr>
                <w:lang w:val="es-ES" w:eastAsia="nl-NL"/>
              </w:rPr>
              <w:t xml:space="preserve">indica </w:t>
            </w:r>
            <w:r w:rsidR="00826E16">
              <w:rPr>
                <w:i/>
                <w:iCs/>
                <w:lang w:val="es-ES" w:eastAsia="nl-NL"/>
              </w:rPr>
              <w:t>infra</w:t>
            </w:r>
            <w:r w:rsidRPr="00B84217">
              <w:rPr>
                <w:lang w:val="es-ES" w:eastAsia="nl-NL"/>
              </w:rPr>
              <w:t>.</w:t>
            </w:r>
            <w:r w:rsidRPr="00513B2F">
              <w:rPr>
                <w:rStyle w:val="FootnoteReference"/>
              </w:rPr>
              <w:footnoteReference w:id="10"/>
            </w:r>
          </w:p>
        </w:tc>
        <w:tc>
          <w:tcPr>
            <w:tcW w:w="7809" w:type="dxa"/>
          </w:tcPr>
          <w:p w14:paraId="65C7A958" w14:textId="669385F2" w:rsidR="004A7B85" w:rsidRPr="00564FF1" w:rsidRDefault="004A7B85" w:rsidP="001E2EFF">
            <w:pPr>
              <w:pStyle w:val="Tabletext"/>
              <w:tabs>
                <w:tab w:val="clear" w:pos="284"/>
                <w:tab w:val="left" w:pos="463"/>
              </w:tabs>
              <w:ind w:left="454"/>
              <w:jc w:val="both"/>
              <w:rPr>
                <w:rFonts w:eastAsia="???"/>
                <w:i/>
                <w:iCs/>
                <w:lang w:val="es-ES" w:eastAsia="nl-NL"/>
              </w:rPr>
            </w:pPr>
            <w:r w:rsidRPr="00564FF1">
              <w:rPr>
                <w:rFonts w:eastAsia="???"/>
                <w:i/>
                <w:iCs/>
                <w:lang w:val="es-ES" w:eastAsia="nl-NL"/>
              </w:rPr>
              <w:t>res</w:t>
            </w:r>
            <w:r w:rsidR="00826E16" w:rsidRPr="00564FF1">
              <w:rPr>
                <w:rFonts w:eastAsia="???"/>
                <w:i/>
                <w:iCs/>
                <w:lang w:val="es-ES" w:eastAsia="nl-NL"/>
              </w:rPr>
              <w:t>uelve</w:t>
            </w:r>
          </w:p>
          <w:p w14:paraId="37B8921A" w14:textId="67F65024" w:rsidR="004A7B85" w:rsidRPr="00564FF1" w:rsidRDefault="004A7B85" w:rsidP="001E2EFF">
            <w:pPr>
              <w:pStyle w:val="Tabletext"/>
              <w:tabs>
                <w:tab w:val="clear" w:pos="284"/>
                <w:tab w:val="left" w:pos="463"/>
              </w:tabs>
              <w:jc w:val="both"/>
              <w:rPr>
                <w:rFonts w:eastAsia="???"/>
                <w:lang w:val="es-ES" w:eastAsia="nl-NL"/>
              </w:rPr>
            </w:pPr>
            <w:r w:rsidRPr="00564FF1">
              <w:rPr>
                <w:rFonts w:eastAsia="???"/>
                <w:lang w:val="es-ES" w:eastAsia="nl-NL"/>
              </w:rPr>
              <w:t>1</w:t>
            </w:r>
            <w:r w:rsidRPr="00564FF1">
              <w:rPr>
                <w:rFonts w:eastAsia="???"/>
                <w:lang w:val="es-ES" w:eastAsia="nl-NL"/>
              </w:rPr>
              <w:tab/>
              <w:t>[no aplicable]</w:t>
            </w:r>
          </w:p>
          <w:p w14:paraId="3EC9AFF5" w14:textId="4FBB7C11" w:rsidR="004A7B85" w:rsidRPr="00564FF1" w:rsidRDefault="004A7B85" w:rsidP="001E2EFF">
            <w:pPr>
              <w:pStyle w:val="Tabletext"/>
              <w:tabs>
                <w:tab w:val="clear" w:pos="284"/>
                <w:tab w:val="left" w:pos="463"/>
              </w:tabs>
              <w:jc w:val="both"/>
              <w:rPr>
                <w:rFonts w:eastAsia="???"/>
                <w:lang w:val="es-ES" w:eastAsia="nl-NL"/>
              </w:rPr>
            </w:pPr>
            <w:r w:rsidRPr="00564FF1">
              <w:rPr>
                <w:rFonts w:eastAsia="???"/>
                <w:lang w:val="es-ES" w:eastAsia="nl-NL"/>
              </w:rPr>
              <w:t>2</w:t>
            </w:r>
            <w:r w:rsidRPr="00564FF1">
              <w:rPr>
                <w:rFonts w:eastAsia="???"/>
                <w:lang w:val="es-ES" w:eastAsia="nl-NL"/>
              </w:rPr>
              <w:tab/>
              <w:t>[no aplicable]</w:t>
            </w:r>
          </w:p>
          <w:p w14:paraId="1BFD8ECB" w14:textId="67CE577A" w:rsidR="0022340A" w:rsidRPr="00C163BA" w:rsidRDefault="0022340A" w:rsidP="001E2EFF">
            <w:pPr>
              <w:pStyle w:val="Tabletext"/>
              <w:tabs>
                <w:tab w:val="clear" w:pos="284"/>
                <w:tab w:val="left" w:pos="463"/>
              </w:tabs>
              <w:jc w:val="both"/>
              <w:rPr>
                <w:rFonts w:eastAsia="???"/>
                <w:lang w:val="es-ES" w:eastAsia="nl-NL"/>
              </w:rPr>
            </w:pPr>
            <w:r w:rsidRPr="00C163BA">
              <w:rPr>
                <w:rFonts w:eastAsia="???"/>
                <w:lang w:val="es-ES" w:eastAsia="nl-NL"/>
              </w:rPr>
              <w:t>3</w:t>
            </w:r>
            <w:r w:rsidRPr="00C163BA">
              <w:rPr>
                <w:rFonts w:eastAsia="???"/>
                <w:lang w:val="es-ES" w:eastAsia="nl-NL"/>
              </w:rPr>
              <w:tab/>
              <w:t xml:space="preserve">que, a fin de identificar las administraciones posiblemente afectadas al aplicar el procedimiento de solicitud de acuerdo de conformidad con el número </w:t>
            </w:r>
            <w:r w:rsidRPr="00C163BA">
              <w:rPr>
                <w:rFonts w:eastAsia="???"/>
                <w:b/>
                <w:bCs/>
                <w:lang w:val="es-ES" w:eastAsia="nl-NL"/>
              </w:rPr>
              <w:t>9.21</w:t>
            </w:r>
            <w:r w:rsidRPr="00C163BA">
              <w:rPr>
                <w:rFonts w:eastAsia="???"/>
                <w:lang w:val="es-ES" w:eastAsia="nl-NL"/>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C163BA">
              <w:rPr>
                <w:rFonts w:eastAsia="???"/>
                <w:lang w:val="es-ES" w:eastAsia="nl-NL"/>
              </w:rPr>
              <w:noBreakHyphen/>
              <w:t>4 825 MHz y 4 835-4 950 MHz;</w:t>
            </w:r>
          </w:p>
          <w:p w14:paraId="695BB73E" w14:textId="77777777" w:rsidR="0022340A" w:rsidRPr="00C163BA" w:rsidRDefault="0022340A" w:rsidP="001E2EFF">
            <w:pPr>
              <w:pStyle w:val="Tabletext"/>
              <w:tabs>
                <w:tab w:val="clear" w:pos="284"/>
                <w:tab w:val="left" w:pos="463"/>
              </w:tabs>
              <w:jc w:val="both"/>
              <w:rPr>
                <w:rFonts w:eastAsia="???"/>
                <w:lang w:val="es-ES" w:eastAsia="nl-NL"/>
              </w:rPr>
            </w:pPr>
            <w:r w:rsidRPr="00C163BA">
              <w:rPr>
                <w:rFonts w:eastAsia="???"/>
                <w:lang w:val="es-ES" w:eastAsia="nl-NL"/>
              </w:rPr>
              <w:t>4</w:t>
            </w:r>
            <w:r w:rsidRPr="00C163BA">
              <w:rPr>
                <w:rFonts w:eastAsia="???"/>
                <w:lang w:val="es-ES" w:eastAsia="nl-NL"/>
              </w:rPr>
              <w:tab/>
              <w:t xml:space="preserve">que, a fin de identificar las administraciones posiblemente afectadas al aplicar el procedimiento de solicitud de acuerdo de conformidad con el número </w:t>
            </w:r>
            <w:r w:rsidRPr="00C163BA">
              <w:rPr>
                <w:rFonts w:eastAsia="???"/>
                <w:b/>
                <w:bCs/>
                <w:lang w:val="es-ES" w:eastAsia="nl-NL"/>
              </w:rPr>
              <w:t>9.21</w:t>
            </w:r>
            <w:r w:rsidRPr="00C163BA">
              <w:rPr>
                <w:rFonts w:eastAsia="???"/>
                <w:lang w:val="es-ES" w:eastAsia="nl-NL"/>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p>
          <w:p w14:paraId="2DC84D7E" w14:textId="11D5B239" w:rsidR="004A7B85" w:rsidRPr="00C163BA" w:rsidRDefault="0022340A" w:rsidP="001E2EFF">
            <w:pPr>
              <w:pStyle w:val="Tabletext"/>
              <w:tabs>
                <w:tab w:val="clear" w:pos="284"/>
                <w:tab w:val="left" w:pos="463"/>
              </w:tabs>
              <w:jc w:val="both"/>
              <w:rPr>
                <w:rFonts w:eastAsia="???"/>
                <w:lang w:val="es-ES" w:eastAsia="nl-NL"/>
              </w:rPr>
            </w:pPr>
            <w:r w:rsidRPr="00C163BA">
              <w:rPr>
                <w:rFonts w:eastAsia="???"/>
                <w:lang w:val="es-ES" w:eastAsia="nl-NL"/>
              </w:rPr>
              <w:t>5</w:t>
            </w:r>
            <w:r w:rsidRPr="00C163BA">
              <w:rPr>
                <w:rFonts w:eastAsia="???"/>
                <w:lang w:val="es-ES" w:eastAsia="nl-NL"/>
              </w:rPr>
              <w:tab/>
              <w:t xml:space="preserve">que los límites de densidad de flujo de potencia del número </w:t>
            </w:r>
            <w:r w:rsidRPr="00C163BA">
              <w:rPr>
                <w:rFonts w:eastAsia="???"/>
                <w:b/>
                <w:bCs/>
                <w:lang w:val="es-ES" w:eastAsia="nl-NL"/>
              </w:rPr>
              <w:t>5.441B</w:t>
            </w:r>
            <w:r w:rsidRPr="00C163BA">
              <w:rPr>
                <w:rFonts w:eastAsia="???"/>
                <w:lang w:val="es-ES" w:eastAsia="nl-NL"/>
              </w:rPr>
              <w:t>, que están sujetos a revisión por la CMR-23, no se aplicarán a los siguientes países: Armenia, Brasil, Camboya, China, Federación de Rusia, Kazajstán, Lao (R.D.P.), Uzbekistán, Sudafricana (Rep.), Viet Nam y Zimbabwe,</w:t>
            </w:r>
          </w:p>
          <w:p w14:paraId="582F2205" w14:textId="1D050BEE" w:rsidR="004B1F8A" w:rsidRPr="00C163BA" w:rsidRDefault="004B1F8A" w:rsidP="001E2EFF">
            <w:pPr>
              <w:pStyle w:val="Tabletext"/>
              <w:keepNext/>
              <w:keepLines/>
              <w:tabs>
                <w:tab w:val="clear" w:pos="284"/>
                <w:tab w:val="left" w:pos="463"/>
              </w:tabs>
              <w:ind w:left="454"/>
              <w:jc w:val="both"/>
              <w:rPr>
                <w:rFonts w:eastAsia="???"/>
                <w:i/>
                <w:iCs/>
                <w:lang w:val="es-ES" w:eastAsia="nl-NL"/>
              </w:rPr>
            </w:pPr>
            <w:r w:rsidRPr="00C163BA">
              <w:rPr>
                <w:rFonts w:eastAsia="???"/>
                <w:i/>
                <w:iCs/>
                <w:lang w:val="es-ES" w:eastAsia="nl-NL"/>
              </w:rPr>
              <w:lastRenderedPageBreak/>
              <w:t>invita al Sector de Radiocomunicaciones de la UIT</w:t>
            </w:r>
          </w:p>
          <w:p w14:paraId="6F969335" w14:textId="2E69A2BD" w:rsidR="004A7B85" w:rsidRPr="00C163BA" w:rsidRDefault="004A7B85" w:rsidP="001E2EFF">
            <w:pPr>
              <w:pStyle w:val="Tabletext"/>
              <w:tabs>
                <w:tab w:val="clear" w:pos="284"/>
                <w:tab w:val="left" w:pos="463"/>
              </w:tabs>
              <w:jc w:val="both"/>
              <w:rPr>
                <w:rFonts w:eastAsia="???"/>
                <w:lang w:val="es-ES" w:eastAsia="nl-NL"/>
              </w:rPr>
            </w:pPr>
            <w:r w:rsidRPr="00C163BA">
              <w:rPr>
                <w:rFonts w:eastAsia="???"/>
                <w:lang w:val="es-ES" w:eastAsia="nl-NL"/>
              </w:rPr>
              <w:t>1</w:t>
            </w:r>
            <w:r w:rsidRPr="00C163BA">
              <w:rPr>
                <w:rFonts w:eastAsia="???"/>
                <w:lang w:val="es-ES" w:eastAsia="nl-NL"/>
              </w:rPr>
              <w:tab/>
              <w:t>[no aplicable]</w:t>
            </w:r>
          </w:p>
          <w:p w14:paraId="618CF333" w14:textId="60471159" w:rsidR="004B1F8A" w:rsidRPr="00C163BA" w:rsidRDefault="004B1F8A" w:rsidP="001E2EFF">
            <w:pPr>
              <w:pStyle w:val="Tabletext"/>
              <w:tabs>
                <w:tab w:val="clear" w:pos="284"/>
                <w:tab w:val="left" w:pos="463"/>
              </w:tabs>
              <w:jc w:val="both"/>
              <w:rPr>
                <w:rFonts w:eastAsia="???"/>
                <w:lang w:val="es-ES" w:eastAsia="nl-NL"/>
              </w:rPr>
            </w:pPr>
            <w:r w:rsidRPr="00C163BA">
              <w:rPr>
                <w:rFonts w:eastAsia="???"/>
                <w:lang w:val="es-ES" w:eastAsia="nl-NL"/>
              </w:rPr>
              <w:t>2</w:t>
            </w:r>
            <w:r w:rsidRPr="00C163BA">
              <w:rPr>
                <w:rFonts w:eastAsia="???"/>
                <w:lang w:val="es-ES" w:eastAsia="nl-NL"/>
              </w:rPr>
              <w:tab/>
              <w:t>a que estudie las condiciones técnicas y reglamentarias para la protección de las estaciones del servicio móvil aeronáutico y marítimo situadas en aguas internacionales o en el espacio aéreo internacional (es decir, fuera de los territorios nacionales) y que funcionan en la banda de frecuencias 4 800-4 990 MHz;</w:t>
            </w:r>
          </w:p>
          <w:p w14:paraId="0068E777" w14:textId="5C41E68E" w:rsidR="004A7B85" w:rsidRPr="00C163BA" w:rsidRDefault="004A7B85" w:rsidP="001E2EFF">
            <w:pPr>
              <w:pStyle w:val="Tabletext"/>
              <w:tabs>
                <w:tab w:val="clear" w:pos="284"/>
                <w:tab w:val="left" w:pos="463"/>
              </w:tabs>
              <w:jc w:val="both"/>
              <w:rPr>
                <w:rFonts w:eastAsia="???"/>
                <w:lang w:val="es-ES" w:eastAsia="nl-NL"/>
              </w:rPr>
            </w:pPr>
            <w:r w:rsidRPr="00C163BA">
              <w:rPr>
                <w:rFonts w:eastAsia="???"/>
                <w:lang w:val="es-ES" w:eastAsia="nl-NL"/>
              </w:rPr>
              <w:t>3</w:t>
            </w:r>
            <w:r w:rsidRPr="00C163BA">
              <w:rPr>
                <w:rFonts w:eastAsia="???"/>
                <w:lang w:val="es-ES" w:eastAsia="nl-NL"/>
              </w:rPr>
              <w:tab/>
              <w:t>[no aplicable];</w:t>
            </w:r>
          </w:p>
          <w:p w14:paraId="32282936" w14:textId="5047E5AA" w:rsidR="004B1F8A" w:rsidRPr="00C163BA" w:rsidRDefault="004B1F8A" w:rsidP="001E2EFF">
            <w:pPr>
              <w:pStyle w:val="Tabletext"/>
              <w:tabs>
                <w:tab w:val="clear" w:pos="284"/>
                <w:tab w:val="left" w:pos="463"/>
              </w:tabs>
              <w:jc w:val="both"/>
              <w:rPr>
                <w:rFonts w:eastAsia="???"/>
                <w:lang w:val="es-ES" w:eastAsia="nl-NL"/>
              </w:rPr>
            </w:pPr>
            <w:r w:rsidRPr="00C163BA">
              <w:rPr>
                <w:rFonts w:eastAsia="???"/>
                <w:lang w:val="es-ES" w:eastAsia="nl-NL"/>
              </w:rPr>
              <w:t>4</w:t>
            </w:r>
            <w:r w:rsidRPr="00C163BA">
              <w:rPr>
                <w:rFonts w:eastAsia="???"/>
                <w:lang w:val="es-ES" w:eastAsia="nl-NL"/>
              </w:rPr>
              <w:tab/>
              <w:t xml:space="preserve">a que incluya los resultados de los estudios citados en el </w:t>
            </w:r>
            <w:r w:rsidRPr="00B84217">
              <w:rPr>
                <w:rFonts w:eastAsia="???"/>
                <w:i/>
                <w:iCs/>
                <w:lang w:val="es-ES" w:eastAsia="nl-NL"/>
              </w:rPr>
              <w:t>invita al Sector de Radiocomunicaciones de la UIT</w:t>
            </w:r>
            <w:r w:rsidRPr="00C163BA">
              <w:rPr>
                <w:rFonts w:eastAsia="???"/>
                <w:lang w:val="es-ES" w:eastAsia="nl-NL"/>
              </w:rPr>
              <w:t xml:space="preserve"> anterior en una o en varias Recomendaciones o Informes del</w:t>
            </w:r>
            <w:r w:rsidR="003B5935">
              <w:rPr>
                <w:rFonts w:eastAsia="???"/>
                <w:lang w:val="es-ES" w:eastAsia="nl-NL"/>
              </w:rPr>
              <w:t> </w:t>
            </w:r>
            <w:r w:rsidRPr="00C163BA">
              <w:rPr>
                <w:rFonts w:eastAsia="???"/>
                <w:lang w:val="es-ES" w:eastAsia="nl-NL"/>
              </w:rPr>
              <w:t>UIT</w:t>
            </w:r>
            <w:r w:rsidRPr="00C163BA">
              <w:rPr>
                <w:rFonts w:eastAsia="???"/>
                <w:lang w:val="es-ES" w:eastAsia="nl-NL"/>
              </w:rPr>
              <w:noBreakHyphen/>
              <w:t>R, según corresponda,</w:t>
            </w:r>
          </w:p>
          <w:p w14:paraId="1A214666" w14:textId="02D5DD18" w:rsidR="004A7B85" w:rsidRPr="00C163BA" w:rsidRDefault="004B1F8A" w:rsidP="001E2EFF">
            <w:pPr>
              <w:pStyle w:val="Tabletext"/>
              <w:tabs>
                <w:tab w:val="clear" w:pos="284"/>
                <w:tab w:val="left" w:pos="463"/>
              </w:tabs>
              <w:ind w:left="454"/>
              <w:jc w:val="both"/>
              <w:rPr>
                <w:rFonts w:eastAsia="???"/>
                <w:i/>
                <w:iCs/>
                <w:lang w:val="es-ES" w:eastAsia="nl-NL"/>
              </w:rPr>
            </w:pPr>
            <w:r w:rsidRPr="00C163BA">
              <w:rPr>
                <w:rFonts w:eastAsia="???"/>
                <w:i/>
                <w:iCs/>
                <w:lang w:val="es-ES" w:eastAsia="nl-NL"/>
              </w:rPr>
              <w:t>invita a la Conferencia Mundial de Radiocomunicaciones de 2023</w:t>
            </w:r>
          </w:p>
          <w:p w14:paraId="0996692F" w14:textId="0F765EB9" w:rsidR="004A7B85" w:rsidRPr="00C163BA" w:rsidRDefault="004B1F8A" w:rsidP="001E2EFF">
            <w:pPr>
              <w:pStyle w:val="Tabletext"/>
              <w:tabs>
                <w:tab w:val="clear" w:pos="284"/>
                <w:tab w:val="left" w:pos="463"/>
              </w:tabs>
              <w:jc w:val="both"/>
              <w:rPr>
                <w:rFonts w:eastAsia="???"/>
                <w:lang w:val="es-ES" w:eastAsia="nl-NL"/>
              </w:rPr>
            </w:pPr>
            <w:r w:rsidRPr="00C163BA">
              <w:rPr>
                <w:rFonts w:eastAsia="???"/>
                <w:lang w:val="es-ES" w:eastAsia="nl-NL"/>
              </w:rPr>
              <w:t xml:space="preserve">a que considere, sobre la base de los resultados de los estudios indicados en el </w:t>
            </w:r>
            <w:r w:rsidRPr="00B84217">
              <w:rPr>
                <w:rFonts w:eastAsia="???"/>
                <w:i/>
                <w:iCs/>
                <w:lang w:val="es-ES" w:eastAsia="nl-NL"/>
              </w:rPr>
              <w:t>invita al Sector de Radiocomunicaciones de la UIT</w:t>
            </w:r>
            <w:r w:rsidRPr="00C163BA">
              <w:rPr>
                <w:rFonts w:eastAsia="???"/>
                <w:lang w:val="es-ES" w:eastAsia="nl-NL"/>
              </w:rPr>
              <w:t xml:space="preserve"> 2 anterior, posibles medidas de protección, en la banda de frecuencias 4 800-4 990 MHz, de las estaciones de los servicios móvil aeronáutico y marítimo situadas en aguas internacionales o en el espacio aéreo internacional respecto de otras estaciones situadas en territorios nacionales, y a que revise los criterios de dfp del número </w:t>
            </w:r>
            <w:r w:rsidRPr="00C163BA">
              <w:rPr>
                <w:rFonts w:eastAsia="???"/>
                <w:b/>
                <w:bCs/>
                <w:lang w:val="es-ES" w:eastAsia="nl-NL"/>
              </w:rPr>
              <w:t>5.441B</w:t>
            </w:r>
            <w:r w:rsidRPr="00C163BA">
              <w:rPr>
                <w:rFonts w:eastAsia="???"/>
                <w:lang w:val="es-ES" w:eastAsia="nl-NL"/>
              </w:rPr>
              <w:t>.</w:t>
            </w:r>
          </w:p>
        </w:tc>
        <w:tc>
          <w:tcPr>
            <w:tcW w:w="1406" w:type="dxa"/>
          </w:tcPr>
          <w:p w14:paraId="6A4DF767" w14:textId="63BB0E37" w:rsidR="004A7B85" w:rsidRPr="00C163BA" w:rsidRDefault="00A92266" w:rsidP="00C163BA">
            <w:pPr>
              <w:pStyle w:val="Tabletext"/>
              <w:tabs>
                <w:tab w:val="clear" w:pos="284"/>
                <w:tab w:val="left" w:pos="463"/>
              </w:tabs>
              <w:jc w:val="center"/>
              <w:rPr>
                <w:b/>
                <w:bCs/>
                <w:lang w:eastAsia="nl-NL"/>
              </w:rPr>
            </w:pPr>
            <w:r w:rsidRPr="00564FF1">
              <w:rPr>
                <w:b/>
                <w:bCs/>
                <w:lang w:eastAsia="nl-NL"/>
              </w:rPr>
              <w:lastRenderedPageBreak/>
              <w:t>G</w:t>
            </w:r>
            <w:r w:rsidRPr="00B84217">
              <w:rPr>
                <w:b/>
                <w:bCs/>
                <w:lang w:eastAsia="nl-NL"/>
              </w:rPr>
              <w:t>T</w:t>
            </w:r>
            <w:r w:rsidR="00152DD6">
              <w:rPr>
                <w:b/>
                <w:bCs/>
                <w:lang w:eastAsia="nl-NL"/>
              </w:rPr>
              <w:t> </w:t>
            </w:r>
            <w:r w:rsidR="004A7B85" w:rsidRPr="00C163BA">
              <w:rPr>
                <w:b/>
                <w:bCs/>
                <w:lang w:eastAsia="nl-NL"/>
              </w:rPr>
              <w:t>1B,</w:t>
            </w:r>
            <w:r w:rsidR="00C163BA">
              <w:rPr>
                <w:b/>
                <w:bCs/>
                <w:lang w:eastAsia="nl-NL"/>
              </w:rPr>
              <w:br/>
            </w:r>
            <w:r w:rsidRPr="00B84217">
              <w:rPr>
                <w:b/>
                <w:bCs/>
                <w:lang w:eastAsia="nl-NL"/>
              </w:rPr>
              <w:t>GT</w:t>
            </w:r>
            <w:r w:rsidR="004A7B85" w:rsidRPr="00C163BA">
              <w:rPr>
                <w:b/>
                <w:bCs/>
                <w:lang w:eastAsia="nl-NL"/>
              </w:rPr>
              <w:t> 3K,</w:t>
            </w:r>
            <w:r w:rsidR="00C163BA">
              <w:rPr>
                <w:b/>
                <w:bCs/>
                <w:lang w:eastAsia="nl-NL"/>
              </w:rPr>
              <w:br/>
            </w:r>
            <w:r w:rsidRPr="00B84217">
              <w:rPr>
                <w:b/>
                <w:bCs/>
                <w:lang w:eastAsia="nl-NL"/>
              </w:rPr>
              <w:t>GT</w:t>
            </w:r>
            <w:r w:rsidR="004A7B85" w:rsidRPr="00C163BA">
              <w:rPr>
                <w:b/>
                <w:bCs/>
                <w:lang w:eastAsia="nl-NL"/>
              </w:rPr>
              <w:t> 3M,</w:t>
            </w:r>
            <w:r w:rsidR="00C163BA">
              <w:rPr>
                <w:b/>
                <w:bCs/>
                <w:lang w:eastAsia="nl-NL"/>
              </w:rPr>
              <w:br/>
            </w:r>
            <w:r w:rsidRPr="00B84217">
              <w:rPr>
                <w:b/>
                <w:bCs/>
                <w:lang w:eastAsia="nl-NL"/>
              </w:rPr>
              <w:t>GT</w:t>
            </w:r>
            <w:r w:rsidR="004A7B85" w:rsidRPr="00C163BA">
              <w:rPr>
                <w:b/>
                <w:bCs/>
                <w:lang w:eastAsia="nl-NL"/>
              </w:rPr>
              <w:t> 5C,</w:t>
            </w:r>
            <w:r w:rsidR="004A7B85" w:rsidRPr="00C163BA">
              <w:rPr>
                <w:b/>
                <w:bCs/>
                <w:lang w:eastAsia="nl-NL"/>
              </w:rPr>
              <w:br/>
            </w:r>
            <w:r w:rsidRPr="00B84217">
              <w:rPr>
                <w:b/>
                <w:bCs/>
                <w:lang w:eastAsia="nl-NL"/>
              </w:rPr>
              <w:t>GT</w:t>
            </w:r>
            <w:r w:rsidR="004A7B85" w:rsidRPr="00C163BA">
              <w:rPr>
                <w:b/>
                <w:bCs/>
                <w:lang w:eastAsia="nl-NL"/>
              </w:rPr>
              <w:t> 7D</w:t>
            </w:r>
          </w:p>
        </w:tc>
      </w:tr>
      <w:tr w:rsidR="004A7B85" w:rsidRPr="00882A01" w14:paraId="56AEDB16" w14:textId="77777777" w:rsidTr="003F05FF">
        <w:trPr>
          <w:gridAfter w:val="1"/>
          <w:wAfter w:w="27" w:type="dxa"/>
          <w:cantSplit/>
          <w:jc w:val="center"/>
        </w:trPr>
        <w:tc>
          <w:tcPr>
            <w:tcW w:w="14036" w:type="dxa"/>
            <w:gridSpan w:val="4"/>
          </w:tcPr>
          <w:p w14:paraId="7C11EC9A" w14:textId="61570D0B" w:rsidR="004A7B85" w:rsidRPr="00C163BA" w:rsidRDefault="004B1F8A" w:rsidP="001E2EFF">
            <w:pPr>
              <w:pStyle w:val="Tabletext"/>
              <w:tabs>
                <w:tab w:val="clear" w:pos="284"/>
                <w:tab w:val="left" w:pos="594"/>
              </w:tabs>
              <w:jc w:val="both"/>
              <w:rPr>
                <w:lang w:val="es-ES_tradnl" w:eastAsia="nl-NL"/>
              </w:rPr>
            </w:pPr>
            <w:r w:rsidRPr="00C163BA">
              <w:rPr>
                <w:lang w:val="es-ES_tradnl" w:eastAsia="nl-NL"/>
              </w:rPr>
              <w:t>1.2</w:t>
            </w:r>
            <w:r w:rsidRPr="00C163BA">
              <w:rPr>
                <w:lang w:val="es-ES_tradnl" w:eastAsia="nl-NL"/>
              </w:rPr>
              <w:tab/>
              <w:t>considerar la identificación de las bandas de frecuencias 3 300-3 400 MHz, 3 600</w:t>
            </w:r>
            <w:r w:rsidRPr="00C163BA">
              <w:rPr>
                <w:lang w:val="es-ES_tradnl" w:eastAsia="nl-NL"/>
              </w:rPr>
              <w:noBreakHyphen/>
              <w:t>3 800 MHz, 6 425-7</w:t>
            </w:r>
            <w:r w:rsidR="00B84217">
              <w:rPr>
                <w:lang w:val="es-ES_tradnl" w:eastAsia="nl-NL"/>
              </w:rPr>
              <w:t> </w:t>
            </w:r>
            <w:r w:rsidRPr="00C163BA">
              <w:rPr>
                <w:lang w:val="es-ES_tradnl" w:eastAsia="nl-NL"/>
              </w:rPr>
              <w:t>025</w:t>
            </w:r>
            <w:r w:rsidR="00B84217">
              <w:rPr>
                <w:lang w:val="es-ES_tradnl" w:eastAsia="nl-NL"/>
              </w:rPr>
              <w:t> </w:t>
            </w:r>
            <w:r w:rsidRPr="00C163BA">
              <w:rPr>
                <w:lang w:val="es-ES_tradnl" w:eastAsia="nl-NL"/>
              </w:rPr>
              <w:t xml:space="preserve">MHz, 7 025-7 125 MHz y 10,0-10,5 GHz para las Telecomunicaciones Móviles Internacionales (IMT), incluidas posibles atribuciones adicionales al servicio móvil a título primario, de conformidad con la Resolución </w:t>
            </w:r>
            <w:r w:rsidRPr="00C163BA">
              <w:rPr>
                <w:b/>
                <w:bCs/>
                <w:lang w:val="es-ES_tradnl" w:eastAsia="nl-NL"/>
              </w:rPr>
              <w:t>245 (CMR-19)</w:t>
            </w:r>
            <w:r w:rsidRPr="00C163BA">
              <w:rPr>
                <w:lang w:val="es-ES_tradnl" w:eastAsia="nl-NL"/>
              </w:rPr>
              <w:t>;</w:t>
            </w:r>
          </w:p>
        </w:tc>
      </w:tr>
      <w:tr w:rsidR="004A7B85" w:rsidRPr="004A7B85" w14:paraId="29F79A45" w14:textId="77777777" w:rsidTr="003F05FF">
        <w:trPr>
          <w:gridAfter w:val="1"/>
          <w:wAfter w:w="27" w:type="dxa"/>
          <w:jc w:val="center"/>
        </w:trPr>
        <w:tc>
          <w:tcPr>
            <w:tcW w:w="3304" w:type="dxa"/>
          </w:tcPr>
          <w:p w14:paraId="0D17C0AC" w14:textId="4D4AC829" w:rsidR="004A7B85" w:rsidRPr="00C163BA" w:rsidRDefault="004A7B85" w:rsidP="00C163BA">
            <w:pPr>
              <w:pStyle w:val="Tabletext"/>
              <w:tabs>
                <w:tab w:val="clear" w:pos="284"/>
                <w:tab w:val="left" w:pos="463"/>
              </w:tabs>
              <w:rPr>
                <w:lang w:val="es-ES_tradnl" w:eastAsia="nl-NL"/>
              </w:rPr>
            </w:pPr>
            <w:r w:rsidRPr="00821AB2">
              <w:rPr>
                <w:lang w:val="es-ES_tradnl" w:eastAsia="nl-NL"/>
              </w:rPr>
              <w:t>Resolu</w:t>
            </w:r>
            <w:r w:rsidR="00821AB2" w:rsidRPr="00821AB2">
              <w:rPr>
                <w:lang w:val="es-ES_tradnl" w:eastAsia="nl-NL"/>
              </w:rPr>
              <w:t>c</w:t>
            </w:r>
            <w:r w:rsidRPr="00821AB2">
              <w:rPr>
                <w:lang w:val="es-ES_tradnl" w:eastAsia="nl-NL"/>
              </w:rPr>
              <w:t>i</w:t>
            </w:r>
            <w:r w:rsidR="00821AB2" w:rsidRPr="00821AB2">
              <w:rPr>
                <w:lang w:val="es-ES_tradnl" w:eastAsia="nl-NL"/>
              </w:rPr>
              <w:t>ó</w:t>
            </w:r>
            <w:r w:rsidRPr="00821AB2">
              <w:rPr>
                <w:lang w:val="es-ES_tradnl" w:eastAsia="nl-NL"/>
              </w:rPr>
              <w:t xml:space="preserve">n </w:t>
            </w:r>
            <w:r w:rsidRPr="00C163BA">
              <w:rPr>
                <w:b/>
                <w:bCs/>
                <w:lang w:val="es-ES_tradnl" w:eastAsia="nl-NL"/>
              </w:rPr>
              <w:t>245 (C</w:t>
            </w:r>
            <w:r w:rsidR="00821AB2" w:rsidRPr="00C163BA">
              <w:rPr>
                <w:b/>
                <w:bCs/>
                <w:lang w:val="es-ES_tradnl" w:eastAsia="nl-NL"/>
              </w:rPr>
              <w:t>MR</w:t>
            </w:r>
            <w:r w:rsidRPr="00C163BA">
              <w:rPr>
                <w:b/>
                <w:bCs/>
                <w:lang w:val="es-ES_tradnl" w:eastAsia="nl-NL"/>
              </w:rPr>
              <w:noBreakHyphen/>
              <w:t>19)</w:t>
            </w:r>
          </w:p>
          <w:p w14:paraId="68EFB4E6" w14:textId="7017405A" w:rsidR="00BD3E06" w:rsidRPr="00C163BA" w:rsidRDefault="00BD3E06" w:rsidP="00C163BA">
            <w:pPr>
              <w:pStyle w:val="Tabletext"/>
              <w:tabs>
                <w:tab w:val="clear" w:pos="284"/>
                <w:tab w:val="left" w:pos="463"/>
              </w:tabs>
              <w:rPr>
                <w:lang w:val="es-ES_tradnl" w:eastAsia="nl-NL"/>
              </w:rPr>
            </w:pPr>
            <w:r w:rsidRPr="00C163BA">
              <w:rPr>
                <w:lang w:val="es-ES_tradnl" w:eastAsia="nl-NL"/>
              </w:rPr>
              <w:t>Estudios sobre asuntos relacionados con la identificación de las</w:t>
            </w:r>
            <w:r w:rsidR="00B84217">
              <w:rPr>
                <w:lang w:val="es-ES_tradnl" w:eastAsia="nl-NL"/>
              </w:rPr>
              <w:t xml:space="preserve"> </w:t>
            </w:r>
            <w:r w:rsidRPr="00C163BA">
              <w:rPr>
                <w:lang w:val="es-ES_tradnl" w:eastAsia="nl-NL"/>
              </w:rPr>
              <w:t>bandas de frecuencias 3 300-3 400 MHz, 3 600</w:t>
            </w:r>
            <w:r w:rsidRPr="00C163BA">
              <w:rPr>
                <w:lang w:val="es-ES_tradnl" w:eastAsia="nl-NL"/>
              </w:rPr>
              <w:noBreakHyphen/>
              <w:t>3 800 MHz,</w:t>
            </w:r>
            <w:r w:rsidR="00B84217">
              <w:rPr>
                <w:lang w:val="es-ES_tradnl" w:eastAsia="nl-NL"/>
              </w:rPr>
              <w:t xml:space="preserve"> </w:t>
            </w:r>
            <w:r w:rsidRPr="00C163BA">
              <w:rPr>
                <w:lang w:val="es-ES_tradnl" w:eastAsia="nl-NL"/>
              </w:rPr>
              <w:t>6 425-7 025 MHz, 7 025</w:t>
            </w:r>
            <w:r w:rsidRPr="00C163BA">
              <w:rPr>
                <w:lang w:val="es-ES_tradnl" w:eastAsia="nl-NL"/>
              </w:rPr>
              <w:noBreakHyphen/>
              <w:t>7 125 MHz, y 10,0-10,5 GHz</w:t>
            </w:r>
            <w:r w:rsidR="00B84217">
              <w:rPr>
                <w:lang w:val="es-ES_tradnl" w:eastAsia="nl-NL"/>
              </w:rPr>
              <w:t xml:space="preserve"> </w:t>
            </w:r>
            <w:r w:rsidRPr="00C163BA">
              <w:rPr>
                <w:lang w:val="es-ES_tradnl" w:eastAsia="nl-NL"/>
              </w:rPr>
              <w:t>para la componente terrenal de las telecomunicaciones</w:t>
            </w:r>
            <w:r w:rsidR="00B84217">
              <w:rPr>
                <w:lang w:val="es-ES_tradnl" w:eastAsia="nl-NL"/>
              </w:rPr>
              <w:t xml:space="preserve"> </w:t>
            </w:r>
            <w:r w:rsidRPr="00C163BA">
              <w:rPr>
                <w:lang w:val="es-ES_tradnl" w:eastAsia="nl-NL"/>
              </w:rPr>
              <w:t>móviles internacionales (IMT)</w:t>
            </w:r>
          </w:p>
          <w:p w14:paraId="6ED58FE4" w14:textId="4B703B10" w:rsidR="004A7B85" w:rsidRPr="00564FF1" w:rsidRDefault="004A7B85" w:rsidP="00C163BA">
            <w:pPr>
              <w:pStyle w:val="Tabletext"/>
              <w:tabs>
                <w:tab w:val="clear" w:pos="284"/>
                <w:tab w:val="left" w:pos="463"/>
              </w:tabs>
              <w:rPr>
                <w:lang w:val="es-ES_tradnl" w:eastAsia="nl-NL"/>
              </w:rPr>
            </w:pPr>
            <w:r w:rsidRPr="00B84217">
              <w:rPr>
                <w:u w:val="single"/>
                <w:lang w:val="es-ES_tradnl" w:eastAsia="nl-NL"/>
              </w:rPr>
              <w:t>Not</w:t>
            </w:r>
            <w:r w:rsidR="00A92266" w:rsidRPr="00B84217">
              <w:rPr>
                <w:u w:val="single"/>
                <w:lang w:val="es-ES_tradnl" w:eastAsia="nl-NL"/>
              </w:rPr>
              <w:t>a</w:t>
            </w:r>
            <w:r w:rsidRPr="00B84217">
              <w:rPr>
                <w:lang w:val="es-ES_tradnl" w:eastAsia="nl-NL"/>
              </w:rPr>
              <w:t xml:space="preserve">: </w:t>
            </w:r>
            <w:r w:rsidR="00A92266" w:rsidRPr="00B84217">
              <w:rPr>
                <w:lang w:val="es-ES_tradnl" w:eastAsia="nl-NL"/>
              </w:rPr>
              <w:t xml:space="preserve">En lo que respecta al </w:t>
            </w:r>
            <w:r w:rsidR="00A92266" w:rsidRPr="00B84217">
              <w:rPr>
                <w:i/>
                <w:iCs/>
                <w:lang w:val="es-ES_tradnl" w:eastAsia="nl-NL"/>
              </w:rPr>
              <w:t>resuelve</w:t>
            </w:r>
            <w:r w:rsidRPr="00B84217">
              <w:rPr>
                <w:lang w:val="es-ES_tradnl" w:eastAsia="nl-NL"/>
              </w:rPr>
              <w:t xml:space="preserve"> 1 </w:t>
            </w:r>
            <w:r w:rsidR="00A92266" w:rsidRPr="00B84217">
              <w:rPr>
                <w:lang w:val="es-ES_tradnl" w:eastAsia="nl-NL"/>
              </w:rPr>
              <w:t>de la Resolución</w:t>
            </w:r>
            <w:r w:rsidRPr="00B84217">
              <w:rPr>
                <w:lang w:val="es-ES_tradnl" w:eastAsia="nl-NL"/>
              </w:rPr>
              <w:t xml:space="preserve"> </w:t>
            </w:r>
            <w:r w:rsidRPr="00B84217">
              <w:rPr>
                <w:b/>
                <w:bCs/>
                <w:lang w:val="es-ES_tradnl" w:eastAsia="nl-NL"/>
              </w:rPr>
              <w:t>245 (</w:t>
            </w:r>
            <w:r w:rsidR="00A92266" w:rsidRPr="00B84217">
              <w:rPr>
                <w:b/>
                <w:bCs/>
                <w:lang w:val="es-ES_tradnl" w:eastAsia="nl-NL"/>
              </w:rPr>
              <w:t>CMR</w:t>
            </w:r>
            <w:r w:rsidRPr="00B84217">
              <w:rPr>
                <w:b/>
                <w:bCs/>
                <w:lang w:val="es-ES_tradnl" w:eastAsia="nl-NL"/>
              </w:rPr>
              <w:t>-19)</w:t>
            </w:r>
            <w:r w:rsidRPr="00B84217">
              <w:rPr>
                <w:lang w:val="es-ES_tradnl" w:eastAsia="nl-NL"/>
              </w:rPr>
              <w:t xml:space="preserve">, </w:t>
            </w:r>
            <w:r w:rsidR="00A92266" w:rsidRPr="00B84217">
              <w:rPr>
                <w:lang w:val="es-ES_tradnl" w:eastAsia="nl-NL"/>
              </w:rPr>
              <w:t>la RPC</w:t>
            </w:r>
            <w:r w:rsidRPr="00B84217">
              <w:rPr>
                <w:lang w:val="es-ES_tradnl" w:eastAsia="nl-NL"/>
              </w:rPr>
              <w:t xml:space="preserve">23-1 </w:t>
            </w:r>
            <w:r w:rsidR="00A92266" w:rsidRPr="00B84217">
              <w:rPr>
                <w:lang w:val="es-ES_tradnl" w:eastAsia="nl-NL"/>
              </w:rPr>
              <w:t xml:space="preserve">determinó que la fecha en </w:t>
            </w:r>
            <w:r w:rsidR="00A92266" w:rsidRPr="00B84217">
              <w:rPr>
                <w:lang w:val="es-ES_tradnl" w:eastAsia="nl-NL"/>
              </w:rPr>
              <w:lastRenderedPageBreak/>
              <w:t xml:space="preserve">que se ha de disponer de las características técnicas </w:t>
            </w:r>
            <w:r w:rsidR="00A92266" w:rsidRPr="00C163BA">
              <w:rPr>
                <w:lang w:val="es-ES_tradnl" w:eastAsia="nl-NL"/>
              </w:rPr>
              <w:t>y operativas necesarias para los estudios de</w:t>
            </w:r>
            <w:r w:rsidR="00AA3DC8" w:rsidRPr="00C163BA">
              <w:rPr>
                <w:lang w:val="es-ES_tradnl" w:eastAsia="nl-NL"/>
              </w:rPr>
              <w:t xml:space="preserve"> compartición y compatibilidad es el 15</w:t>
            </w:r>
            <w:r w:rsidR="00B84217">
              <w:rPr>
                <w:lang w:val="es-ES_tradnl" w:eastAsia="nl-NL"/>
              </w:rPr>
              <w:t> </w:t>
            </w:r>
            <w:r w:rsidR="00AA3DC8" w:rsidRPr="00C163BA">
              <w:rPr>
                <w:lang w:val="es-ES_tradnl" w:eastAsia="nl-NL"/>
              </w:rPr>
              <w:t>de junio de</w:t>
            </w:r>
            <w:r w:rsidRPr="00B84217">
              <w:rPr>
                <w:lang w:val="es-ES_tradnl" w:eastAsia="nl-NL"/>
              </w:rPr>
              <w:t xml:space="preserve"> 2021.</w:t>
            </w:r>
          </w:p>
        </w:tc>
        <w:tc>
          <w:tcPr>
            <w:tcW w:w="1517" w:type="dxa"/>
          </w:tcPr>
          <w:p w14:paraId="11FE156B" w14:textId="3CB1C3B2" w:rsidR="004A7B85" w:rsidRPr="00C163BA" w:rsidRDefault="00A92266" w:rsidP="00C163BA">
            <w:pPr>
              <w:pStyle w:val="Tabletext"/>
              <w:tabs>
                <w:tab w:val="clear" w:pos="284"/>
                <w:tab w:val="left" w:pos="463"/>
              </w:tabs>
              <w:jc w:val="center"/>
              <w:rPr>
                <w:b/>
                <w:bCs/>
                <w:lang w:eastAsia="nl-NL"/>
              </w:rPr>
            </w:pPr>
            <w:r w:rsidRPr="00C163BA">
              <w:rPr>
                <w:b/>
                <w:bCs/>
                <w:lang w:eastAsia="nl-NL"/>
              </w:rPr>
              <w:lastRenderedPageBreak/>
              <w:t>GT</w:t>
            </w:r>
            <w:r w:rsidR="004A7B85" w:rsidRPr="00C163BA">
              <w:rPr>
                <w:b/>
                <w:bCs/>
                <w:lang w:eastAsia="nl-NL"/>
              </w:rPr>
              <w:t> 5D</w:t>
            </w:r>
          </w:p>
        </w:tc>
        <w:tc>
          <w:tcPr>
            <w:tcW w:w="7809" w:type="dxa"/>
          </w:tcPr>
          <w:p w14:paraId="18DC77BB" w14:textId="4CC7331D" w:rsidR="004A7B85" w:rsidRPr="00C163BA" w:rsidRDefault="00821AB2" w:rsidP="001E2EFF">
            <w:pPr>
              <w:pStyle w:val="Tabletext"/>
              <w:tabs>
                <w:tab w:val="clear" w:pos="284"/>
                <w:tab w:val="left" w:pos="463"/>
              </w:tabs>
              <w:ind w:left="454"/>
              <w:jc w:val="both"/>
              <w:rPr>
                <w:rFonts w:eastAsia="???"/>
                <w:i/>
                <w:iCs/>
                <w:lang w:val="es-ES" w:eastAsia="nl-NL"/>
              </w:rPr>
            </w:pPr>
            <w:r w:rsidRPr="00C163BA">
              <w:rPr>
                <w:rFonts w:eastAsia="???"/>
                <w:i/>
                <w:iCs/>
                <w:lang w:val="es-ES" w:eastAsia="nl-NL"/>
              </w:rPr>
              <w:t>resuelve invitar al Sector de Radiocomunicaciones de la UIT</w:t>
            </w:r>
          </w:p>
          <w:p w14:paraId="48301011" w14:textId="77777777" w:rsidR="00821AB2" w:rsidRPr="00C163BA" w:rsidRDefault="00821AB2" w:rsidP="001E2EFF">
            <w:pPr>
              <w:pStyle w:val="Tabletext"/>
              <w:tabs>
                <w:tab w:val="clear" w:pos="284"/>
                <w:tab w:val="left" w:pos="463"/>
              </w:tabs>
              <w:jc w:val="both"/>
              <w:rPr>
                <w:lang w:val="es-ES_tradnl" w:eastAsia="nl-NL"/>
              </w:rPr>
            </w:pPr>
            <w:r w:rsidRPr="00821AB2">
              <w:rPr>
                <w:lang w:val="es-ES_tradnl" w:eastAsia="nl-NL"/>
              </w:rPr>
              <w:t>1</w:t>
            </w:r>
            <w:r w:rsidRPr="00821AB2">
              <w:rPr>
                <w:lang w:val="es-ES_tradnl" w:eastAsia="nl-NL"/>
              </w:rPr>
              <w:tab/>
            </w:r>
            <w:r w:rsidRPr="00C163BA">
              <w:rPr>
                <w:lang w:val="es-ES_tradnl" w:eastAsia="nl-NL"/>
              </w:rPr>
              <w:t>a realizar y completar a tiempo para la CMR-23 los estudios adecuados sobre las</w:t>
            </w:r>
            <w:r w:rsidRPr="00821AB2">
              <w:rPr>
                <w:lang w:val="es-ES_tradnl" w:eastAsia="nl-NL"/>
              </w:rPr>
              <w:t xml:space="preserve"> </w:t>
            </w:r>
            <w:r w:rsidRPr="00C163BA">
              <w:rPr>
                <w:lang w:val="es-ES_tradnl" w:eastAsia="nl-NL"/>
              </w:rPr>
              <w:t xml:space="preserve">cuestiones técnicas, operativas y reglamentarias asociadas a la posible utilización de la componente terrenal de las IMT en las bandas de frecuencias del </w:t>
            </w:r>
            <w:r w:rsidRPr="00513B2F">
              <w:rPr>
                <w:i/>
                <w:iCs/>
                <w:lang w:val="es-ES_tradnl" w:eastAsia="nl-NL"/>
              </w:rPr>
              <w:t>resuelve invitar al Sector de Radiocomunicaciones de la UIT</w:t>
            </w:r>
            <w:r w:rsidRPr="00C163BA">
              <w:rPr>
                <w:lang w:val="es-ES_tradnl" w:eastAsia="nl-NL"/>
              </w:rPr>
              <w:t xml:space="preserve"> 2, teniendo en cuenta:</w:t>
            </w:r>
          </w:p>
          <w:p w14:paraId="76E52B39" w14:textId="77066A2A" w:rsidR="00821AB2" w:rsidRPr="00C163BA" w:rsidRDefault="00821AB2" w:rsidP="001E2EFF">
            <w:pPr>
              <w:pStyle w:val="Tabletext"/>
              <w:tabs>
                <w:tab w:val="clear" w:pos="284"/>
                <w:tab w:val="left" w:pos="463"/>
              </w:tabs>
              <w:ind w:left="463" w:hanging="463"/>
              <w:jc w:val="both"/>
              <w:rPr>
                <w:lang w:val="es-ES_tradnl" w:eastAsia="nl-NL"/>
              </w:rPr>
            </w:pPr>
            <w:r w:rsidRPr="00C163BA">
              <w:rPr>
                <w:lang w:val="es-ES_tradnl" w:eastAsia="nl-NL"/>
              </w:rPr>
              <w:t>–</w:t>
            </w:r>
            <w:r w:rsidRPr="00C163BA">
              <w:rPr>
                <w:lang w:val="es-ES_tradnl" w:eastAsia="nl-NL"/>
              </w:rPr>
              <w:tab/>
              <w:t>la evolución de las necesidades para atender las nuevas demandas en materia de IMT;</w:t>
            </w:r>
          </w:p>
          <w:p w14:paraId="50B81BBF" w14:textId="77777777" w:rsidR="00821AB2" w:rsidRPr="00C163BA" w:rsidRDefault="00821AB2" w:rsidP="001E2EFF">
            <w:pPr>
              <w:pStyle w:val="Tabletext"/>
              <w:tabs>
                <w:tab w:val="clear" w:pos="284"/>
                <w:tab w:val="left" w:pos="463"/>
              </w:tabs>
              <w:ind w:left="463" w:hanging="463"/>
              <w:jc w:val="both"/>
              <w:rPr>
                <w:lang w:val="es-ES_tradnl" w:eastAsia="nl-NL"/>
              </w:rPr>
            </w:pPr>
            <w:r w:rsidRPr="00C163BA">
              <w:rPr>
                <w:lang w:val="es-ES_tradnl" w:eastAsia="nl-NL"/>
              </w:rPr>
              <w:t>–</w:t>
            </w:r>
            <w:r w:rsidRPr="00C163BA">
              <w:rPr>
                <w:lang w:val="es-ES_tradnl" w:eastAsia="nl-NL"/>
              </w:rPr>
              <w:tab/>
              <w:t>las características técnicas y operativas de los sistemas IMT terrenales que funcionarían en estas bandas de frecuencias específicas y, en particular, la evolución de las IMT gracias a los adelantos tecnológicos y de las técnicas de eficiencia espectral;</w:t>
            </w:r>
          </w:p>
          <w:p w14:paraId="420D59E9" w14:textId="77777777" w:rsidR="00821AB2" w:rsidRPr="00C163BA" w:rsidRDefault="00821AB2" w:rsidP="001E2EFF">
            <w:pPr>
              <w:pStyle w:val="Tabletext"/>
              <w:tabs>
                <w:tab w:val="clear" w:pos="284"/>
                <w:tab w:val="left" w:pos="463"/>
              </w:tabs>
              <w:ind w:left="463" w:hanging="463"/>
              <w:jc w:val="both"/>
              <w:rPr>
                <w:lang w:val="es-ES_tradnl" w:eastAsia="nl-NL"/>
              </w:rPr>
            </w:pPr>
            <w:r w:rsidRPr="00C163BA">
              <w:rPr>
                <w:lang w:val="es-ES_tradnl" w:eastAsia="nl-NL"/>
              </w:rPr>
              <w:t>–</w:t>
            </w:r>
            <w:r w:rsidRPr="00C163BA">
              <w:rPr>
                <w:lang w:val="es-ES_tradnl" w:eastAsia="nl-NL"/>
              </w:rPr>
              <w:tab/>
              <w:t>los casos de despliegue previstos de los sistemas IMT y los requisitos conexos de capacidad y cobertura equilibradas;</w:t>
            </w:r>
          </w:p>
          <w:p w14:paraId="153F0C39"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w:t>
            </w:r>
            <w:r w:rsidRPr="00C163BA">
              <w:rPr>
                <w:lang w:val="es-ES_tradnl" w:eastAsia="nl-NL"/>
              </w:rPr>
              <w:tab/>
              <w:t>las necesidades de los países en desarrollo;</w:t>
            </w:r>
          </w:p>
          <w:p w14:paraId="2EC4B29C"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lastRenderedPageBreak/>
              <w:t>–</w:t>
            </w:r>
            <w:r w:rsidRPr="00C163BA">
              <w:rPr>
                <w:lang w:val="es-ES_tradnl" w:eastAsia="nl-NL"/>
              </w:rPr>
              <w:tab/>
              <w:t>el periodo de tiempo en el que se necesitaría el espectro;</w:t>
            </w:r>
          </w:p>
          <w:p w14:paraId="4B04E496"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2</w:t>
            </w:r>
            <w:r w:rsidRPr="00C163BA">
              <w:rPr>
                <w:lang w:val="es-ES_tradnl" w:eastAsia="nl-NL"/>
              </w:rPr>
              <w:tab/>
              <w:t>a realizar y completar a tiempo para la CMR-23 los estudios</w:t>
            </w:r>
            <w:r w:rsidRPr="00E56659">
              <w:rPr>
                <w:rStyle w:val="FootnoteReference"/>
                <w:lang w:val="es-ES"/>
              </w:rPr>
              <w:footnoteReference w:customMarkFollows="1" w:id="11"/>
              <w:t>1</w:t>
            </w:r>
            <w:r w:rsidRPr="00C163BA">
              <w:rPr>
                <w:lang w:val="es-ES_tradnl" w:eastAsia="nl-NL"/>
              </w:rPr>
              <w:t xml:space="preserve"> de compartición y compatibilidad con miras a garantizar la protección de los servicios a los que esté atribuida la banda de frecuencias a título primario, sin imponer nuevas limitaciones reglamentarias o técnicas a esos servicios, y también, según proceda, la protección de los servicios en las bandas adyacentes, para las bandas de frecuencias:</w:t>
            </w:r>
          </w:p>
          <w:p w14:paraId="15C22723"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w:t>
            </w:r>
            <w:r w:rsidRPr="00C163BA">
              <w:rPr>
                <w:lang w:val="es-ES_tradnl" w:eastAsia="nl-NL"/>
              </w:rPr>
              <w:tab/>
              <w:t>3 600-3 800 MHz y 3 300</w:t>
            </w:r>
            <w:r w:rsidRPr="00C163BA">
              <w:rPr>
                <w:lang w:val="es-ES_tradnl" w:eastAsia="nl-NL"/>
              </w:rPr>
              <w:noBreakHyphen/>
              <w:t xml:space="preserve">3 400 MHz </w:t>
            </w:r>
            <w:bookmarkStart w:id="24" w:name="_Hlk25057862"/>
            <w:r w:rsidRPr="00C163BA">
              <w:rPr>
                <w:lang w:val="es-ES_tradnl" w:eastAsia="nl-NL"/>
              </w:rPr>
              <w:t>(Región 2);</w:t>
            </w:r>
            <w:bookmarkEnd w:id="24"/>
          </w:p>
          <w:p w14:paraId="5464189E"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w:t>
            </w:r>
            <w:r w:rsidRPr="00C163BA">
              <w:rPr>
                <w:lang w:val="es-ES_tradnl" w:eastAsia="nl-NL"/>
              </w:rPr>
              <w:tab/>
              <w:t>3 300-3 400 MHz (modificación del número existente para la Región 1);</w:t>
            </w:r>
          </w:p>
          <w:p w14:paraId="1F115A5D"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w:t>
            </w:r>
            <w:r w:rsidRPr="00C163BA">
              <w:rPr>
                <w:lang w:val="es-ES_tradnl" w:eastAsia="nl-NL"/>
              </w:rPr>
              <w:tab/>
              <w:t>7 025-7 125 MHz (en todo el mundo);</w:t>
            </w:r>
          </w:p>
          <w:p w14:paraId="77C46A03" w14:textId="77777777" w:rsidR="00821AB2" w:rsidRPr="00C163BA" w:rsidRDefault="00821AB2" w:rsidP="001E2EFF">
            <w:pPr>
              <w:pStyle w:val="Tabletext"/>
              <w:tabs>
                <w:tab w:val="clear" w:pos="284"/>
                <w:tab w:val="left" w:pos="463"/>
              </w:tabs>
              <w:jc w:val="both"/>
              <w:rPr>
                <w:lang w:val="es-ES_tradnl" w:eastAsia="nl-NL"/>
              </w:rPr>
            </w:pPr>
            <w:bookmarkStart w:id="25" w:name="_Hlk25057961"/>
            <w:r w:rsidRPr="00C163BA">
              <w:rPr>
                <w:lang w:val="es-ES_tradnl" w:eastAsia="nl-NL"/>
              </w:rPr>
              <w:t>–</w:t>
            </w:r>
            <w:r w:rsidRPr="00C163BA">
              <w:rPr>
                <w:lang w:val="es-ES_tradnl" w:eastAsia="nl-NL"/>
              </w:rPr>
              <w:tab/>
            </w:r>
            <w:bookmarkEnd w:id="25"/>
            <w:r w:rsidRPr="00C163BA">
              <w:rPr>
                <w:lang w:val="es-ES_tradnl" w:eastAsia="nl-NL"/>
              </w:rPr>
              <w:t>6 425</w:t>
            </w:r>
            <w:r w:rsidRPr="00C163BA">
              <w:rPr>
                <w:lang w:val="es-ES_tradnl" w:eastAsia="nl-NL"/>
              </w:rPr>
              <w:noBreakHyphen/>
              <w:t>7 025 MHz (Región 1)</w:t>
            </w:r>
          </w:p>
          <w:p w14:paraId="4523F930" w14:textId="22A313B3"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w:t>
            </w:r>
            <w:r w:rsidRPr="00C163BA">
              <w:rPr>
                <w:lang w:val="es-ES_tradnl" w:eastAsia="nl-NL"/>
              </w:rPr>
              <w:tab/>
              <w:t>10 000</w:t>
            </w:r>
            <w:r w:rsidRPr="00C163BA">
              <w:rPr>
                <w:lang w:val="es-ES_tradnl" w:eastAsia="nl-NL"/>
              </w:rPr>
              <w:noBreakHyphen/>
              <w:t>10 500 MHz (Región 2)</w:t>
            </w:r>
            <w:r w:rsidR="003B5935">
              <w:rPr>
                <w:lang w:val="es-ES_tradnl" w:eastAsia="nl-NL"/>
              </w:rPr>
              <w:t>,</w:t>
            </w:r>
          </w:p>
          <w:p w14:paraId="101B8945" w14:textId="77777777" w:rsidR="00821AB2" w:rsidRPr="00C163BA" w:rsidRDefault="00821AB2" w:rsidP="001E2EFF">
            <w:pPr>
              <w:pStyle w:val="Tabletext"/>
              <w:tabs>
                <w:tab w:val="clear" w:pos="284"/>
                <w:tab w:val="left" w:pos="463"/>
              </w:tabs>
              <w:ind w:left="454"/>
              <w:jc w:val="both"/>
              <w:rPr>
                <w:rFonts w:eastAsia="???"/>
                <w:i/>
                <w:iCs/>
                <w:lang w:val="es-ES" w:eastAsia="nl-NL"/>
              </w:rPr>
            </w:pPr>
            <w:r w:rsidRPr="00C163BA">
              <w:rPr>
                <w:rFonts w:eastAsia="???"/>
                <w:i/>
                <w:iCs/>
                <w:lang w:val="es-ES" w:eastAsia="nl-NL"/>
              </w:rPr>
              <w:t>resuelve</w:t>
            </w:r>
          </w:p>
          <w:p w14:paraId="0B6DE5F3" w14:textId="77777777"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1</w:t>
            </w:r>
            <w:r w:rsidRPr="00C163BA">
              <w:rPr>
                <w:lang w:val="es-ES_tradnl" w:eastAsia="nl-NL"/>
              </w:rPr>
              <w:tab/>
              <w:t xml:space="preserve">invitar a la RPC23-1 a establecer la fecha en la que deberán estar disponibles las características técnicas y operativas necesarias para los estudios sobre compartición y compatibilidad, con el fin de garantizar que los estudios mencionados en el </w:t>
            </w:r>
            <w:r w:rsidRPr="00FD0ADD">
              <w:rPr>
                <w:i/>
                <w:iCs/>
                <w:lang w:val="es-ES_tradnl" w:eastAsia="nl-NL"/>
              </w:rPr>
              <w:t>resuelve invitar al UIT</w:t>
            </w:r>
            <w:r w:rsidRPr="00FD0ADD">
              <w:rPr>
                <w:i/>
                <w:iCs/>
                <w:lang w:val="es-ES_tradnl" w:eastAsia="nl-NL"/>
              </w:rPr>
              <w:noBreakHyphen/>
              <w:t>R</w:t>
            </w:r>
            <w:r w:rsidRPr="00C163BA">
              <w:rPr>
                <w:lang w:val="es-ES_tradnl" w:eastAsia="nl-NL"/>
              </w:rPr>
              <w:t xml:space="preserve"> puedan concluirse a tiempo para ser examinados en la CMR-23;</w:t>
            </w:r>
          </w:p>
          <w:p w14:paraId="121B5281" w14:textId="10F386E4" w:rsidR="00821AB2" w:rsidRPr="00C163BA" w:rsidRDefault="00821AB2" w:rsidP="001E2EFF">
            <w:pPr>
              <w:pStyle w:val="Tabletext"/>
              <w:tabs>
                <w:tab w:val="clear" w:pos="284"/>
                <w:tab w:val="left" w:pos="463"/>
              </w:tabs>
              <w:jc w:val="both"/>
              <w:rPr>
                <w:lang w:val="es-ES_tradnl" w:eastAsia="nl-NL"/>
              </w:rPr>
            </w:pPr>
            <w:r w:rsidRPr="00C163BA">
              <w:rPr>
                <w:lang w:val="es-ES_tradnl" w:eastAsia="nl-NL"/>
              </w:rPr>
              <w:t>2</w:t>
            </w:r>
            <w:r w:rsidRPr="00C163BA">
              <w:rPr>
                <w:lang w:val="es-ES_tradnl" w:eastAsia="nl-NL"/>
              </w:rPr>
              <w:tab/>
              <w:t>invitar a la CMR-23 a considerar, basándose en los resultados de los estudios mencionados, atribuciones adicionales de espectro al servicio móvil a título primario, y a considerar la identificación de bandas de frecuencia</w:t>
            </w:r>
            <w:r w:rsidR="00A96272">
              <w:rPr>
                <w:lang w:val="es-ES_tradnl" w:eastAsia="nl-NL"/>
              </w:rPr>
              <w:t>s</w:t>
            </w:r>
            <w:r w:rsidRPr="00C163BA">
              <w:rPr>
                <w:lang w:val="es-ES_tradnl" w:eastAsia="nl-NL"/>
              </w:rPr>
              <w:t xml:space="preserve"> para la componente terrenal de las telecomunicaciones móviles internacionales, estando las bandas de frecuencias a considerar limitadas a parte o a la totalidad de las bandas de frecuencias enumeradas en el </w:t>
            </w:r>
            <w:r w:rsidRPr="00FD0ADD">
              <w:rPr>
                <w:i/>
                <w:iCs/>
                <w:lang w:val="es-ES_tradnl" w:eastAsia="nl-NL"/>
              </w:rPr>
              <w:t>resuelve invitar al UIT-R</w:t>
            </w:r>
            <w:r w:rsidRPr="00C163BA">
              <w:rPr>
                <w:lang w:val="es-ES_tradnl" w:eastAsia="nl-NL"/>
              </w:rPr>
              <w:t xml:space="preserve"> 2,</w:t>
            </w:r>
          </w:p>
          <w:p w14:paraId="3D38CD52" w14:textId="77777777" w:rsidR="00821AB2" w:rsidRPr="00C163BA" w:rsidRDefault="00821AB2" w:rsidP="001E2EFF">
            <w:pPr>
              <w:pStyle w:val="Tabletext"/>
              <w:keepNext/>
              <w:keepLines/>
              <w:tabs>
                <w:tab w:val="clear" w:pos="284"/>
                <w:tab w:val="left" w:pos="463"/>
              </w:tabs>
              <w:ind w:left="454"/>
              <w:jc w:val="both"/>
              <w:rPr>
                <w:rFonts w:eastAsia="???"/>
                <w:i/>
                <w:iCs/>
                <w:lang w:val="es-ES" w:eastAsia="nl-NL"/>
              </w:rPr>
            </w:pPr>
            <w:r w:rsidRPr="00C163BA">
              <w:rPr>
                <w:rFonts w:eastAsia="???"/>
                <w:i/>
                <w:iCs/>
                <w:lang w:val="es-ES" w:eastAsia="nl-NL"/>
              </w:rPr>
              <w:t>invita a las administraciones</w:t>
            </w:r>
          </w:p>
          <w:p w14:paraId="028340BC" w14:textId="3A80BE04" w:rsidR="004A7B85" w:rsidRPr="00C163BA" w:rsidRDefault="00821AB2" w:rsidP="001E2EFF">
            <w:pPr>
              <w:pStyle w:val="Tabletext"/>
              <w:tabs>
                <w:tab w:val="clear" w:pos="284"/>
                <w:tab w:val="left" w:pos="463"/>
              </w:tabs>
              <w:jc w:val="both"/>
              <w:rPr>
                <w:lang w:val="es-ES_tradnl" w:eastAsia="nl-NL"/>
              </w:rPr>
            </w:pPr>
            <w:r w:rsidRPr="00C163BA">
              <w:rPr>
                <w:lang w:val="es-ES_tradnl" w:eastAsia="nl-NL"/>
              </w:rPr>
              <w:t>a participar activamente en dichos estudios, presentando contribuciones al UIT-R.</w:t>
            </w:r>
          </w:p>
        </w:tc>
        <w:tc>
          <w:tcPr>
            <w:tcW w:w="1406" w:type="dxa"/>
          </w:tcPr>
          <w:p w14:paraId="00572373" w14:textId="2BFBD96B" w:rsidR="004A7B85" w:rsidRPr="00C163BA" w:rsidRDefault="00A92266" w:rsidP="00C163BA">
            <w:pPr>
              <w:pStyle w:val="Tabletext"/>
              <w:tabs>
                <w:tab w:val="clear" w:pos="284"/>
                <w:tab w:val="left" w:pos="463"/>
              </w:tabs>
              <w:jc w:val="center"/>
              <w:rPr>
                <w:b/>
                <w:bCs/>
                <w:lang w:eastAsia="nl-NL"/>
              </w:rPr>
            </w:pPr>
            <w:r w:rsidRPr="00C163BA">
              <w:rPr>
                <w:b/>
                <w:bCs/>
                <w:lang w:eastAsia="nl-NL"/>
              </w:rPr>
              <w:lastRenderedPageBreak/>
              <w:t>GT</w:t>
            </w:r>
            <w:r w:rsidR="004A7B85" w:rsidRPr="00C163BA">
              <w:rPr>
                <w:b/>
                <w:bCs/>
                <w:lang w:eastAsia="nl-NL"/>
              </w:rPr>
              <w:t> 3K,</w:t>
            </w:r>
            <w:r w:rsidR="00C163BA">
              <w:rPr>
                <w:b/>
                <w:bCs/>
                <w:lang w:eastAsia="nl-NL"/>
              </w:rPr>
              <w:br/>
            </w:r>
            <w:r w:rsidRPr="00C163BA">
              <w:rPr>
                <w:b/>
                <w:bCs/>
                <w:lang w:eastAsia="nl-NL"/>
              </w:rPr>
              <w:t>GT</w:t>
            </w:r>
            <w:r w:rsidR="004A7B85" w:rsidRPr="00C163BA">
              <w:rPr>
                <w:b/>
                <w:bCs/>
                <w:lang w:eastAsia="nl-NL"/>
              </w:rPr>
              <w:t> 3M,</w:t>
            </w:r>
            <w:r w:rsidR="00C163BA">
              <w:rPr>
                <w:b/>
                <w:bCs/>
                <w:lang w:eastAsia="nl-NL"/>
              </w:rPr>
              <w:br/>
            </w:r>
            <w:r w:rsidRPr="00C163BA">
              <w:rPr>
                <w:b/>
                <w:bCs/>
                <w:lang w:eastAsia="nl-NL"/>
              </w:rPr>
              <w:t>GT</w:t>
            </w:r>
            <w:r w:rsidR="004A7B85" w:rsidRPr="00C163BA">
              <w:rPr>
                <w:b/>
                <w:bCs/>
                <w:lang w:eastAsia="nl-NL"/>
              </w:rPr>
              <w:t> 4A,</w:t>
            </w:r>
            <w:r w:rsidR="00C163BA">
              <w:rPr>
                <w:b/>
                <w:bCs/>
                <w:lang w:eastAsia="nl-NL"/>
              </w:rPr>
              <w:br/>
            </w:r>
            <w:r w:rsidRPr="00C163BA">
              <w:rPr>
                <w:b/>
                <w:bCs/>
                <w:lang w:eastAsia="nl-NL"/>
              </w:rPr>
              <w:t>GT</w:t>
            </w:r>
            <w:r w:rsidR="004A7B85" w:rsidRPr="00C163BA">
              <w:rPr>
                <w:b/>
                <w:bCs/>
                <w:lang w:eastAsia="nl-NL"/>
              </w:rPr>
              <w:t> 4B,</w:t>
            </w:r>
            <w:r w:rsidR="00C163BA">
              <w:rPr>
                <w:b/>
                <w:bCs/>
                <w:lang w:eastAsia="nl-NL"/>
              </w:rPr>
              <w:br/>
            </w:r>
            <w:r w:rsidRPr="00C163BA">
              <w:rPr>
                <w:b/>
                <w:bCs/>
                <w:lang w:eastAsia="nl-NL"/>
              </w:rPr>
              <w:t>GT</w:t>
            </w:r>
            <w:r w:rsidR="004A7B85" w:rsidRPr="00C163BA">
              <w:rPr>
                <w:b/>
                <w:bCs/>
                <w:lang w:eastAsia="nl-NL"/>
              </w:rPr>
              <w:t> 4C,</w:t>
            </w:r>
            <w:r w:rsidR="00C163BA">
              <w:rPr>
                <w:b/>
                <w:bCs/>
                <w:lang w:eastAsia="nl-NL"/>
              </w:rPr>
              <w:br/>
            </w:r>
            <w:r w:rsidRPr="00C163BA">
              <w:rPr>
                <w:b/>
                <w:bCs/>
                <w:lang w:eastAsia="nl-NL"/>
              </w:rPr>
              <w:t>GT</w:t>
            </w:r>
            <w:r w:rsidR="004A7B85" w:rsidRPr="00C163BA">
              <w:rPr>
                <w:b/>
                <w:bCs/>
                <w:lang w:eastAsia="nl-NL"/>
              </w:rPr>
              <w:t> 5A,</w:t>
            </w:r>
            <w:r w:rsidR="00C163BA">
              <w:rPr>
                <w:b/>
                <w:bCs/>
                <w:lang w:eastAsia="nl-NL"/>
              </w:rPr>
              <w:br/>
            </w:r>
            <w:r w:rsidRPr="00C163BA">
              <w:rPr>
                <w:b/>
                <w:bCs/>
                <w:lang w:eastAsia="nl-NL"/>
              </w:rPr>
              <w:t>GT</w:t>
            </w:r>
            <w:r w:rsidR="004A7B85" w:rsidRPr="00C163BA">
              <w:rPr>
                <w:b/>
                <w:bCs/>
                <w:lang w:eastAsia="nl-NL"/>
              </w:rPr>
              <w:t> 5B,</w:t>
            </w:r>
            <w:r w:rsidR="00C163BA">
              <w:rPr>
                <w:b/>
                <w:bCs/>
                <w:lang w:eastAsia="nl-NL"/>
              </w:rPr>
              <w:br/>
            </w:r>
            <w:r w:rsidRPr="00C163BA">
              <w:rPr>
                <w:b/>
                <w:bCs/>
                <w:lang w:eastAsia="nl-NL"/>
              </w:rPr>
              <w:t>GT</w:t>
            </w:r>
            <w:r w:rsidR="004A7B85" w:rsidRPr="00C163BA">
              <w:rPr>
                <w:b/>
                <w:bCs/>
                <w:lang w:eastAsia="nl-NL"/>
              </w:rPr>
              <w:t> 5C,</w:t>
            </w:r>
            <w:r w:rsidR="00C163BA">
              <w:rPr>
                <w:b/>
                <w:bCs/>
                <w:lang w:eastAsia="nl-NL"/>
              </w:rPr>
              <w:br/>
            </w:r>
            <w:r w:rsidRPr="00C163BA">
              <w:rPr>
                <w:b/>
                <w:bCs/>
                <w:lang w:eastAsia="nl-NL"/>
              </w:rPr>
              <w:t>GT</w:t>
            </w:r>
            <w:r w:rsidR="004A7B85" w:rsidRPr="00C163BA">
              <w:rPr>
                <w:b/>
                <w:bCs/>
                <w:lang w:eastAsia="nl-NL"/>
              </w:rPr>
              <w:t xml:space="preserve"> 7B, </w:t>
            </w:r>
            <w:r w:rsidR="004A7B85" w:rsidRPr="00C163BA">
              <w:rPr>
                <w:b/>
                <w:bCs/>
                <w:lang w:eastAsia="nl-NL"/>
              </w:rPr>
              <w:br/>
            </w:r>
            <w:r w:rsidRPr="00C163BA">
              <w:rPr>
                <w:b/>
                <w:bCs/>
                <w:lang w:eastAsia="nl-NL"/>
              </w:rPr>
              <w:t>GT</w:t>
            </w:r>
            <w:r w:rsidR="004A7B85" w:rsidRPr="00C163BA">
              <w:rPr>
                <w:b/>
                <w:bCs/>
                <w:lang w:eastAsia="nl-NL"/>
              </w:rPr>
              <w:t> 7C</w:t>
            </w:r>
          </w:p>
        </w:tc>
      </w:tr>
      <w:tr w:rsidR="004A7B85" w:rsidRPr="00882A01" w14:paraId="5C089D23" w14:textId="77777777" w:rsidTr="003F05FF">
        <w:trPr>
          <w:gridAfter w:val="1"/>
          <w:wAfter w:w="27" w:type="dxa"/>
          <w:cantSplit/>
          <w:jc w:val="center"/>
        </w:trPr>
        <w:tc>
          <w:tcPr>
            <w:tcW w:w="14036" w:type="dxa"/>
            <w:gridSpan w:val="4"/>
          </w:tcPr>
          <w:p w14:paraId="05F32615" w14:textId="377177CD" w:rsidR="004A7B85" w:rsidRPr="009E58DC" w:rsidRDefault="007712F2" w:rsidP="001E2EFF">
            <w:pPr>
              <w:pStyle w:val="Tabletext"/>
              <w:keepNext/>
              <w:tabs>
                <w:tab w:val="clear" w:pos="284"/>
                <w:tab w:val="left" w:pos="594"/>
              </w:tabs>
              <w:jc w:val="both"/>
              <w:rPr>
                <w:lang w:val="es-ES_tradnl" w:eastAsia="nl-NL"/>
              </w:rPr>
            </w:pPr>
            <w:r w:rsidRPr="009E58DC">
              <w:rPr>
                <w:lang w:val="es-ES_tradnl" w:eastAsia="nl-NL"/>
              </w:rPr>
              <w:lastRenderedPageBreak/>
              <w:t>1.3</w:t>
            </w:r>
            <w:r w:rsidRPr="009E58DC">
              <w:rPr>
                <w:lang w:val="es-ES_tradnl" w:eastAsia="nl-NL"/>
              </w:rPr>
              <w:tab/>
              <w:t xml:space="preserve">considerar la atribución a título primario de la banda de frecuencias 3 600-3 800 MHz al servicio móvil en la Región 1 y la adopción de las medidas reglamentarias convenientes, de conformidad con la Resolución </w:t>
            </w:r>
            <w:r w:rsidRPr="009E58DC">
              <w:rPr>
                <w:b/>
                <w:bCs/>
                <w:lang w:val="es-ES_tradnl" w:eastAsia="nl-NL"/>
              </w:rPr>
              <w:t>246 (CMR-19)</w:t>
            </w:r>
            <w:r w:rsidRPr="009E58DC">
              <w:rPr>
                <w:lang w:val="es-ES_tradnl" w:eastAsia="nl-NL"/>
              </w:rPr>
              <w:t>;</w:t>
            </w:r>
          </w:p>
        </w:tc>
      </w:tr>
      <w:tr w:rsidR="004A7B85" w:rsidRPr="004A7B85" w14:paraId="088EBF85" w14:textId="77777777" w:rsidTr="003F05FF">
        <w:trPr>
          <w:gridAfter w:val="1"/>
          <w:wAfter w:w="27" w:type="dxa"/>
          <w:cantSplit/>
          <w:jc w:val="center"/>
        </w:trPr>
        <w:tc>
          <w:tcPr>
            <w:tcW w:w="3304" w:type="dxa"/>
          </w:tcPr>
          <w:p w14:paraId="518139AE" w14:textId="1A4EA242" w:rsidR="004A7B85" w:rsidRPr="009E58DC" w:rsidRDefault="004A7B85" w:rsidP="009E58DC">
            <w:pPr>
              <w:pStyle w:val="Tabletext"/>
              <w:tabs>
                <w:tab w:val="clear" w:pos="284"/>
                <w:tab w:val="left" w:pos="463"/>
              </w:tabs>
              <w:rPr>
                <w:lang w:val="es-ES_tradnl" w:eastAsia="nl-NL"/>
              </w:rPr>
            </w:pPr>
            <w:r w:rsidRPr="007712F2">
              <w:rPr>
                <w:lang w:val="es-ES_tradnl" w:eastAsia="nl-NL"/>
              </w:rPr>
              <w:t>Resolu</w:t>
            </w:r>
            <w:r w:rsidR="007712F2" w:rsidRPr="007712F2">
              <w:rPr>
                <w:lang w:val="es-ES_tradnl" w:eastAsia="nl-NL"/>
              </w:rPr>
              <w:t>c</w:t>
            </w:r>
            <w:r w:rsidRPr="007712F2">
              <w:rPr>
                <w:lang w:val="es-ES_tradnl" w:eastAsia="nl-NL"/>
              </w:rPr>
              <w:t>i</w:t>
            </w:r>
            <w:r w:rsidR="007712F2" w:rsidRPr="007712F2">
              <w:rPr>
                <w:lang w:val="es-ES_tradnl" w:eastAsia="nl-NL"/>
              </w:rPr>
              <w:t>ó</w:t>
            </w:r>
            <w:r w:rsidRPr="007712F2">
              <w:rPr>
                <w:lang w:val="es-ES_tradnl" w:eastAsia="nl-NL"/>
              </w:rPr>
              <w:t>n </w:t>
            </w:r>
            <w:r w:rsidRPr="009E58DC">
              <w:rPr>
                <w:b/>
                <w:bCs/>
                <w:lang w:val="es-ES_tradnl" w:eastAsia="nl-NL"/>
              </w:rPr>
              <w:t>246 (C</w:t>
            </w:r>
            <w:r w:rsidR="007712F2" w:rsidRPr="009E58DC">
              <w:rPr>
                <w:b/>
                <w:bCs/>
                <w:lang w:val="es-ES_tradnl" w:eastAsia="nl-NL"/>
              </w:rPr>
              <w:t>MR</w:t>
            </w:r>
            <w:r w:rsidRPr="009E58DC">
              <w:rPr>
                <w:b/>
                <w:bCs/>
                <w:lang w:val="es-ES_tradnl" w:eastAsia="nl-NL"/>
              </w:rPr>
              <w:noBreakHyphen/>
              <w:t>19</w:t>
            </w:r>
            <w:r w:rsidRPr="009E58DC">
              <w:rPr>
                <w:lang w:val="es-ES_tradnl" w:eastAsia="nl-NL"/>
              </w:rPr>
              <w:t>)</w:t>
            </w:r>
          </w:p>
          <w:p w14:paraId="658EAC9D" w14:textId="47B77981" w:rsidR="004A7B85" w:rsidRPr="009E58DC" w:rsidRDefault="007712F2" w:rsidP="009E58DC">
            <w:pPr>
              <w:pStyle w:val="Tabletext"/>
              <w:tabs>
                <w:tab w:val="clear" w:pos="284"/>
                <w:tab w:val="left" w:pos="463"/>
              </w:tabs>
              <w:rPr>
                <w:lang w:val="es-ES_tradnl" w:eastAsia="nl-NL"/>
              </w:rPr>
            </w:pPr>
            <w:r w:rsidRPr="009E58DC">
              <w:rPr>
                <w:lang w:val="es-ES_tradnl" w:eastAsia="nl-NL"/>
              </w:rPr>
              <w:t>Estudios sobre la posible atribución de la banda de frecuencias 3 600</w:t>
            </w:r>
            <w:r w:rsidR="009E58DC">
              <w:rPr>
                <w:lang w:val="es-ES_tradnl" w:eastAsia="nl-NL"/>
              </w:rPr>
              <w:noBreakHyphen/>
            </w:r>
            <w:r w:rsidRPr="009E58DC">
              <w:rPr>
                <w:lang w:val="es-ES_tradnl" w:eastAsia="nl-NL"/>
              </w:rPr>
              <w:t>3 800 MHz al servicio móvil, salvo móvil aeronáutico, a título primario en la Región 1</w:t>
            </w:r>
          </w:p>
        </w:tc>
        <w:tc>
          <w:tcPr>
            <w:tcW w:w="1517" w:type="dxa"/>
          </w:tcPr>
          <w:p w14:paraId="2D80EC29" w14:textId="20FB97E0" w:rsidR="004A7B85" w:rsidRPr="009E58DC" w:rsidRDefault="00A92266" w:rsidP="009E58DC">
            <w:pPr>
              <w:pStyle w:val="Tabletext"/>
              <w:tabs>
                <w:tab w:val="clear" w:pos="284"/>
                <w:tab w:val="left" w:pos="463"/>
              </w:tabs>
              <w:jc w:val="center"/>
              <w:rPr>
                <w:b/>
                <w:bCs/>
                <w:lang w:eastAsia="nl-NL"/>
              </w:rPr>
            </w:pPr>
            <w:r w:rsidRPr="009E58DC">
              <w:rPr>
                <w:b/>
                <w:bCs/>
                <w:lang w:eastAsia="nl-NL"/>
              </w:rPr>
              <w:t>GT</w:t>
            </w:r>
            <w:r w:rsidR="004A7B85" w:rsidRPr="009E58DC">
              <w:rPr>
                <w:b/>
                <w:bCs/>
                <w:lang w:eastAsia="nl-NL"/>
              </w:rPr>
              <w:t> 5A</w:t>
            </w:r>
          </w:p>
        </w:tc>
        <w:tc>
          <w:tcPr>
            <w:tcW w:w="7809" w:type="dxa"/>
          </w:tcPr>
          <w:p w14:paraId="71280F9E" w14:textId="28EC2480" w:rsidR="007712F2" w:rsidRPr="009E58DC" w:rsidRDefault="007712F2"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resuelve invitar al UIT-R</w:t>
            </w:r>
          </w:p>
          <w:p w14:paraId="3E867D17" w14:textId="77777777" w:rsidR="007712F2" w:rsidRPr="009E58DC" w:rsidRDefault="007712F2" w:rsidP="001E2EFF">
            <w:pPr>
              <w:pStyle w:val="Tabletext"/>
              <w:tabs>
                <w:tab w:val="clear" w:pos="284"/>
                <w:tab w:val="left" w:pos="463"/>
              </w:tabs>
              <w:jc w:val="both"/>
              <w:rPr>
                <w:lang w:val="es-ES_tradnl" w:eastAsia="nl-NL"/>
              </w:rPr>
            </w:pPr>
            <w:r w:rsidRPr="009E58DC">
              <w:rPr>
                <w:lang w:val="es-ES_tradnl" w:eastAsia="nl-NL"/>
              </w:rPr>
              <w:t>a realizar, a tiempo para la CMR-23, estudios de compartición y compatibilidad entre el servicio móvil y otros servicios con atribuciones a título primario en la banda de frecuencias 3 600</w:t>
            </w:r>
            <w:r w:rsidRPr="009E58DC">
              <w:rPr>
                <w:lang w:val="es-ES_tradnl" w:eastAsia="nl-NL"/>
              </w:rPr>
              <w:noBreakHyphen/>
              <w:t>3 800 MHz y en bandas adyacentes en la Región 1, según proceda, para garantizar la protección de los servicios a los que está atribuida la banda a título primario, sin imponer restricciones indebidas a los servicios existentes y a su futuro desarrollo,</w:t>
            </w:r>
          </w:p>
          <w:p w14:paraId="4879B246" w14:textId="77777777" w:rsidR="007712F2" w:rsidRPr="009E58DC" w:rsidRDefault="007712F2"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resuelve invitar a la CMR-23</w:t>
            </w:r>
          </w:p>
          <w:p w14:paraId="7FB8F5E0" w14:textId="77777777" w:rsidR="007712F2" w:rsidRPr="009E58DC" w:rsidRDefault="007712F2" w:rsidP="001E2EFF">
            <w:pPr>
              <w:pStyle w:val="Tabletext"/>
              <w:tabs>
                <w:tab w:val="clear" w:pos="284"/>
                <w:tab w:val="left" w:pos="463"/>
              </w:tabs>
              <w:jc w:val="both"/>
              <w:rPr>
                <w:lang w:val="es-ES_tradnl" w:eastAsia="nl-NL"/>
              </w:rPr>
            </w:pPr>
            <w:r w:rsidRPr="009E58DC">
              <w:rPr>
                <w:lang w:val="es-ES_tradnl" w:eastAsia="nl-NL"/>
              </w:rPr>
              <w:t xml:space="preserve">a considerar, de acuerdo con los resultados de los estudios del </w:t>
            </w:r>
            <w:r w:rsidRPr="00FD0ADD">
              <w:rPr>
                <w:i/>
                <w:iCs/>
                <w:lang w:val="es-ES_tradnl" w:eastAsia="nl-NL"/>
              </w:rPr>
              <w:t>resuelve invitar al UIT-R</w:t>
            </w:r>
            <w:r w:rsidRPr="009E58DC">
              <w:rPr>
                <w:lang w:val="es-ES_tradnl" w:eastAsia="nl-NL"/>
              </w:rPr>
              <w:t>, la posibilidad de elevar a la categoría primaria la atribución al servicio móvil, salvo móvil aeronáutico, en la banda de frecuencias 3 600-3 800 MHz en la Región 1 y a tomar las medidas reglamentarias procedentes,</w:t>
            </w:r>
          </w:p>
          <w:p w14:paraId="75BD9965" w14:textId="77777777" w:rsidR="007712F2" w:rsidRPr="009E58DC" w:rsidRDefault="007712F2"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invita a las administraciones</w:t>
            </w:r>
          </w:p>
          <w:p w14:paraId="7A2EF7D5" w14:textId="43C86701" w:rsidR="004A7B85" w:rsidRPr="009E58DC" w:rsidRDefault="007712F2" w:rsidP="001E2EFF">
            <w:pPr>
              <w:pStyle w:val="Tabletext"/>
              <w:tabs>
                <w:tab w:val="clear" w:pos="284"/>
                <w:tab w:val="left" w:pos="463"/>
              </w:tabs>
              <w:jc w:val="both"/>
              <w:rPr>
                <w:lang w:val="es-ES_tradnl" w:eastAsia="nl-NL"/>
              </w:rPr>
            </w:pPr>
            <w:r w:rsidRPr="009E58DC">
              <w:rPr>
                <w:lang w:val="es-ES_tradnl" w:eastAsia="nl-NL"/>
              </w:rPr>
              <w:t>a participar en estos estudios en el marco de los preparativos para la CMR</w:t>
            </w:r>
            <w:r w:rsidRPr="009E58DC">
              <w:rPr>
                <w:lang w:val="es-ES_tradnl" w:eastAsia="nl-NL"/>
              </w:rPr>
              <w:noBreakHyphen/>
              <w:t>23.</w:t>
            </w:r>
          </w:p>
        </w:tc>
        <w:tc>
          <w:tcPr>
            <w:tcW w:w="1406" w:type="dxa"/>
          </w:tcPr>
          <w:p w14:paraId="76E69FD6" w14:textId="6D0DD656" w:rsidR="004A7B85" w:rsidRPr="009E58DC" w:rsidRDefault="00A92266" w:rsidP="009E58DC">
            <w:pPr>
              <w:pStyle w:val="Tabletext"/>
              <w:tabs>
                <w:tab w:val="clear" w:pos="284"/>
                <w:tab w:val="left" w:pos="463"/>
              </w:tabs>
              <w:jc w:val="center"/>
              <w:rPr>
                <w:b/>
                <w:bCs/>
                <w:lang w:eastAsia="nl-NL"/>
              </w:rPr>
            </w:pPr>
            <w:r w:rsidRPr="009E58DC">
              <w:rPr>
                <w:b/>
                <w:bCs/>
                <w:lang w:eastAsia="nl-NL"/>
              </w:rPr>
              <w:t>GT</w:t>
            </w:r>
            <w:r w:rsidR="004A7B85" w:rsidRPr="009E58DC">
              <w:rPr>
                <w:b/>
                <w:bCs/>
                <w:lang w:eastAsia="nl-NL"/>
              </w:rPr>
              <w:t> 3K,</w:t>
            </w:r>
            <w:r w:rsidR="009E58DC">
              <w:rPr>
                <w:b/>
                <w:bCs/>
                <w:lang w:eastAsia="nl-NL"/>
              </w:rPr>
              <w:t xml:space="preserve"> </w:t>
            </w:r>
            <w:r w:rsidR="009E58DC">
              <w:rPr>
                <w:b/>
                <w:bCs/>
                <w:lang w:eastAsia="nl-NL"/>
              </w:rPr>
              <w:br/>
            </w:r>
            <w:r w:rsidRPr="009E58DC">
              <w:rPr>
                <w:b/>
                <w:bCs/>
                <w:lang w:eastAsia="nl-NL"/>
              </w:rPr>
              <w:t>GT</w:t>
            </w:r>
            <w:r w:rsidR="004A7B85" w:rsidRPr="009E58DC">
              <w:rPr>
                <w:b/>
                <w:bCs/>
                <w:lang w:eastAsia="nl-NL"/>
              </w:rPr>
              <w:t> 3M,</w:t>
            </w:r>
            <w:r w:rsidR="009E58DC">
              <w:rPr>
                <w:b/>
                <w:bCs/>
                <w:lang w:eastAsia="nl-NL"/>
              </w:rPr>
              <w:t xml:space="preserve"> </w:t>
            </w:r>
            <w:r w:rsidR="009E58DC">
              <w:rPr>
                <w:b/>
                <w:bCs/>
                <w:lang w:eastAsia="nl-NL"/>
              </w:rPr>
              <w:br/>
            </w:r>
            <w:r w:rsidRPr="009E58DC">
              <w:rPr>
                <w:b/>
                <w:bCs/>
                <w:lang w:eastAsia="nl-NL"/>
              </w:rPr>
              <w:t>GT</w:t>
            </w:r>
            <w:r w:rsidR="004A7B85" w:rsidRPr="009E58DC">
              <w:rPr>
                <w:b/>
                <w:bCs/>
                <w:lang w:eastAsia="nl-NL"/>
              </w:rPr>
              <w:t> 4A,</w:t>
            </w:r>
            <w:r w:rsidR="009E58DC">
              <w:rPr>
                <w:b/>
                <w:bCs/>
                <w:lang w:eastAsia="nl-NL"/>
              </w:rPr>
              <w:t xml:space="preserve"> </w:t>
            </w:r>
            <w:r w:rsidR="009E58DC">
              <w:rPr>
                <w:b/>
                <w:bCs/>
                <w:lang w:eastAsia="nl-NL"/>
              </w:rPr>
              <w:br/>
            </w:r>
            <w:r w:rsidRPr="009E58DC">
              <w:rPr>
                <w:b/>
                <w:bCs/>
                <w:lang w:eastAsia="nl-NL"/>
              </w:rPr>
              <w:t>GT</w:t>
            </w:r>
            <w:r w:rsidR="004A7B85" w:rsidRPr="009E58DC">
              <w:rPr>
                <w:b/>
                <w:bCs/>
                <w:lang w:eastAsia="nl-NL"/>
              </w:rPr>
              <w:t> 5B,</w:t>
            </w:r>
            <w:r w:rsidR="009E58DC">
              <w:rPr>
                <w:b/>
                <w:bCs/>
                <w:lang w:eastAsia="nl-NL"/>
              </w:rPr>
              <w:t xml:space="preserve"> </w:t>
            </w:r>
            <w:r w:rsidR="009E58DC">
              <w:rPr>
                <w:b/>
                <w:bCs/>
                <w:lang w:eastAsia="nl-NL"/>
              </w:rPr>
              <w:br/>
            </w:r>
            <w:r w:rsidRPr="009E58DC">
              <w:rPr>
                <w:b/>
                <w:bCs/>
                <w:lang w:eastAsia="nl-NL"/>
              </w:rPr>
              <w:t>GT</w:t>
            </w:r>
            <w:r w:rsidR="004A7B85" w:rsidRPr="009E58DC">
              <w:rPr>
                <w:b/>
                <w:bCs/>
                <w:lang w:eastAsia="nl-NL"/>
              </w:rPr>
              <w:t xml:space="preserve"> 5C, </w:t>
            </w:r>
            <w:r w:rsidR="004A7B85" w:rsidRPr="009E58DC">
              <w:rPr>
                <w:b/>
                <w:bCs/>
                <w:lang w:eastAsia="nl-NL"/>
              </w:rPr>
              <w:br/>
            </w:r>
            <w:r w:rsidRPr="009E58DC">
              <w:rPr>
                <w:b/>
                <w:bCs/>
                <w:lang w:eastAsia="nl-NL"/>
              </w:rPr>
              <w:t>GT</w:t>
            </w:r>
            <w:r w:rsidR="004A7B85" w:rsidRPr="009E58DC">
              <w:rPr>
                <w:b/>
                <w:bCs/>
                <w:lang w:eastAsia="nl-NL"/>
              </w:rPr>
              <w:t> 5D</w:t>
            </w:r>
          </w:p>
        </w:tc>
      </w:tr>
      <w:tr w:rsidR="004A7B85" w:rsidRPr="00882A01" w14:paraId="6916FC05" w14:textId="77777777" w:rsidTr="003F05FF">
        <w:trPr>
          <w:gridAfter w:val="1"/>
          <w:wAfter w:w="27" w:type="dxa"/>
          <w:jc w:val="center"/>
        </w:trPr>
        <w:tc>
          <w:tcPr>
            <w:tcW w:w="14036" w:type="dxa"/>
            <w:gridSpan w:val="4"/>
          </w:tcPr>
          <w:p w14:paraId="6755FEA5" w14:textId="3D46D67D" w:rsidR="004A7B85" w:rsidRPr="009E58DC" w:rsidRDefault="00821AB2" w:rsidP="001E2EFF">
            <w:pPr>
              <w:pStyle w:val="Tabletext"/>
              <w:tabs>
                <w:tab w:val="clear" w:pos="284"/>
                <w:tab w:val="left" w:pos="594"/>
              </w:tabs>
              <w:jc w:val="both"/>
              <w:rPr>
                <w:lang w:val="es-ES_tradnl" w:eastAsia="nl-NL"/>
              </w:rPr>
            </w:pPr>
            <w:r w:rsidRPr="009E58DC">
              <w:rPr>
                <w:lang w:val="es-ES_tradnl" w:eastAsia="nl-NL"/>
              </w:rPr>
              <w:t>1.4</w:t>
            </w:r>
            <w:r w:rsidRPr="009E58DC">
              <w:rPr>
                <w:lang w:val="es-ES_tradnl" w:eastAsia="nl-NL"/>
              </w:rPr>
              <w:tab/>
              <w:t xml:space="preserve">considerar, de conformidad con la Resolución </w:t>
            </w:r>
            <w:r w:rsidRPr="009E58DC">
              <w:rPr>
                <w:b/>
                <w:bCs/>
                <w:lang w:val="es-ES_tradnl" w:eastAsia="nl-NL"/>
              </w:rPr>
              <w:t>247 (CMR-19)</w:t>
            </w:r>
            <w:r w:rsidRPr="009E58DC">
              <w:rPr>
                <w:lang w:val="es-ES_tradnl" w:eastAsia="nl-NL"/>
              </w:rPr>
              <w:t>, la utilización de estaciones en plataformas a gran altitud como estaciones base IMT (HIBS) del servicio móvil en ciertas bandas de frecuencias por debajo de 2,7 GHz ya identificadas para las IMT, a nivel mundial o regional;</w:t>
            </w:r>
          </w:p>
        </w:tc>
      </w:tr>
      <w:tr w:rsidR="004A7B85" w:rsidRPr="004A7B85" w14:paraId="05E02668" w14:textId="77777777" w:rsidTr="003F05FF">
        <w:trPr>
          <w:gridAfter w:val="1"/>
          <w:wAfter w:w="27" w:type="dxa"/>
          <w:jc w:val="center"/>
        </w:trPr>
        <w:tc>
          <w:tcPr>
            <w:tcW w:w="3304" w:type="dxa"/>
          </w:tcPr>
          <w:p w14:paraId="31CF443A" w14:textId="54D0BA51" w:rsidR="004A7B85" w:rsidRPr="009E58DC" w:rsidRDefault="004A7B85" w:rsidP="009E58DC">
            <w:pPr>
              <w:pStyle w:val="Tabletext"/>
              <w:tabs>
                <w:tab w:val="clear" w:pos="284"/>
                <w:tab w:val="left" w:pos="463"/>
              </w:tabs>
              <w:rPr>
                <w:lang w:val="es-ES_tradnl" w:eastAsia="nl-NL"/>
              </w:rPr>
            </w:pPr>
            <w:r w:rsidRPr="009E58DC">
              <w:rPr>
                <w:lang w:val="es-ES_tradnl" w:eastAsia="nl-NL"/>
              </w:rPr>
              <w:t>Resolu</w:t>
            </w:r>
            <w:r w:rsidR="00AA3DC8" w:rsidRPr="009E58DC">
              <w:rPr>
                <w:lang w:val="es-ES_tradnl" w:eastAsia="nl-NL"/>
              </w:rPr>
              <w:t>ción</w:t>
            </w:r>
            <w:r w:rsidRPr="009E58DC">
              <w:rPr>
                <w:lang w:val="es-ES_tradnl" w:eastAsia="nl-NL"/>
              </w:rPr>
              <w:t> </w:t>
            </w:r>
            <w:r w:rsidRPr="009E58DC">
              <w:rPr>
                <w:b/>
                <w:bCs/>
                <w:lang w:val="es-ES_tradnl" w:eastAsia="nl-NL"/>
              </w:rPr>
              <w:t>247 (</w:t>
            </w:r>
            <w:r w:rsidR="00AA3DC8" w:rsidRPr="009E58DC">
              <w:rPr>
                <w:b/>
                <w:bCs/>
                <w:lang w:val="es-ES_tradnl" w:eastAsia="nl-NL"/>
              </w:rPr>
              <w:t>CMR</w:t>
            </w:r>
            <w:r w:rsidRPr="009E58DC">
              <w:rPr>
                <w:b/>
                <w:bCs/>
                <w:lang w:val="es-ES_tradnl" w:eastAsia="nl-NL"/>
              </w:rPr>
              <w:noBreakHyphen/>
              <w:t>19)</w:t>
            </w:r>
          </w:p>
          <w:p w14:paraId="77793AEF" w14:textId="059F317D" w:rsidR="004A7B85" w:rsidRPr="009E58DC" w:rsidRDefault="00204F99" w:rsidP="009E58DC">
            <w:pPr>
              <w:pStyle w:val="Tabletext"/>
              <w:tabs>
                <w:tab w:val="clear" w:pos="284"/>
                <w:tab w:val="left" w:pos="463"/>
              </w:tabs>
              <w:rPr>
                <w:lang w:val="es-ES_tradnl" w:eastAsia="nl-NL"/>
              </w:rPr>
            </w:pPr>
            <w:r w:rsidRPr="009E58DC">
              <w:rPr>
                <w:lang w:val="es-ES_tradnl" w:eastAsia="nl-NL"/>
              </w:rPr>
              <w:t>Facilitar la conectividad móvil en ciertas bandas de frecuencias por debajo de 2,7 GHz mediante la utilización de estaciones en plataformas a gran altitud como estaciones base de las Telecomunicaciones Móviles Internacionales</w:t>
            </w:r>
          </w:p>
        </w:tc>
        <w:tc>
          <w:tcPr>
            <w:tcW w:w="1517" w:type="dxa"/>
          </w:tcPr>
          <w:p w14:paraId="00D6E92D" w14:textId="282C87F2" w:rsidR="004A7B85" w:rsidRPr="009E58DC" w:rsidRDefault="00A92266" w:rsidP="009E58DC">
            <w:pPr>
              <w:pStyle w:val="Tabletext"/>
              <w:tabs>
                <w:tab w:val="clear" w:pos="284"/>
                <w:tab w:val="left" w:pos="463"/>
              </w:tabs>
              <w:jc w:val="center"/>
              <w:rPr>
                <w:b/>
                <w:bCs/>
                <w:lang w:eastAsia="nl-NL"/>
              </w:rPr>
            </w:pPr>
            <w:r w:rsidRPr="009E58DC">
              <w:rPr>
                <w:b/>
                <w:bCs/>
                <w:lang w:eastAsia="nl-NL"/>
              </w:rPr>
              <w:t>GT</w:t>
            </w:r>
            <w:r w:rsidR="004A7B85" w:rsidRPr="009E58DC">
              <w:rPr>
                <w:b/>
                <w:bCs/>
                <w:lang w:eastAsia="nl-NL"/>
              </w:rPr>
              <w:t> 5D</w:t>
            </w:r>
          </w:p>
        </w:tc>
        <w:tc>
          <w:tcPr>
            <w:tcW w:w="7809" w:type="dxa"/>
          </w:tcPr>
          <w:p w14:paraId="76CE191E" w14:textId="5196FF45" w:rsidR="00204F99" w:rsidRPr="009E58DC" w:rsidRDefault="00204F99"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resuelve invitar al UIT-R</w:t>
            </w:r>
          </w:p>
          <w:p w14:paraId="32CFD873" w14:textId="77777777"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1</w:t>
            </w:r>
            <w:r w:rsidRPr="009E58DC">
              <w:rPr>
                <w:lang w:val="es-ES_tradnl" w:eastAsia="nl-NL"/>
              </w:rPr>
              <w:tab/>
              <w:t>a que estudie las necesidades de espectro, según proceda, de las HIBS con el fin de proporcionar conectividad en el servicio móvil, teniendo en cuenta:</w:t>
            </w:r>
          </w:p>
          <w:p w14:paraId="6AAF73B0" w14:textId="77777777"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w:t>
            </w:r>
            <w:r w:rsidRPr="009E58DC">
              <w:rPr>
                <w:lang w:val="es-ES_tradnl" w:eastAsia="nl-NL"/>
              </w:rPr>
              <w:tab/>
              <w:t xml:space="preserve">las identificaciones actuales a las que se refiere el </w:t>
            </w:r>
            <w:r w:rsidRPr="00FD0ADD">
              <w:rPr>
                <w:i/>
                <w:iCs/>
                <w:lang w:val="es-ES_tradnl" w:eastAsia="nl-NL"/>
              </w:rPr>
              <w:t>reconociendo b)</w:t>
            </w:r>
            <w:r w:rsidRPr="009E58DC">
              <w:rPr>
                <w:lang w:val="es-ES_tradnl" w:eastAsia="nl-NL"/>
              </w:rPr>
              <w:t>;</w:t>
            </w:r>
          </w:p>
          <w:p w14:paraId="67F624D1" w14:textId="77777777" w:rsidR="00204F99" w:rsidRPr="009E58DC" w:rsidRDefault="00204F99" w:rsidP="001E2EFF">
            <w:pPr>
              <w:pStyle w:val="Tabletext"/>
              <w:tabs>
                <w:tab w:val="clear" w:pos="284"/>
                <w:tab w:val="left" w:pos="463"/>
              </w:tabs>
              <w:ind w:left="463" w:hanging="463"/>
              <w:jc w:val="both"/>
              <w:rPr>
                <w:lang w:val="es-ES_tradnl" w:eastAsia="nl-NL"/>
              </w:rPr>
            </w:pPr>
            <w:r w:rsidRPr="009E58DC">
              <w:rPr>
                <w:lang w:val="es-ES_tradnl" w:eastAsia="nl-NL"/>
              </w:rPr>
              <w:t>–</w:t>
            </w:r>
            <w:r w:rsidRPr="009E58DC">
              <w:rPr>
                <w:lang w:val="es-ES_tradnl" w:eastAsia="nl-NL"/>
              </w:rPr>
              <w:tab/>
              <w:t>el caso de utilización y despliegue contemplado para las HIBS para que complementen las redes terrenales de las IMT;</w:t>
            </w:r>
          </w:p>
          <w:p w14:paraId="68EF45C2" w14:textId="1A51D226"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w:t>
            </w:r>
            <w:r w:rsidRPr="009E58DC">
              <w:rPr>
                <w:lang w:val="es-ES_tradnl" w:eastAsia="nl-NL"/>
              </w:rPr>
              <w:tab/>
              <w:t>las características y requisitos técnicos y operativos de las HIBS</w:t>
            </w:r>
            <w:r w:rsidR="00CE4E08">
              <w:rPr>
                <w:lang w:val="es-ES_tradnl" w:eastAsia="nl-NL"/>
              </w:rPr>
              <w:t xml:space="preserve"> como estaciones de base IMT</w:t>
            </w:r>
            <w:r w:rsidRPr="009E58DC">
              <w:rPr>
                <w:lang w:val="es-ES_tradnl" w:eastAsia="nl-NL"/>
              </w:rPr>
              <w:t>;</w:t>
            </w:r>
          </w:p>
          <w:p w14:paraId="3E540988" w14:textId="4624BD61"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2</w:t>
            </w:r>
            <w:r w:rsidRPr="009E58DC">
              <w:rPr>
                <w:lang w:val="es-ES_tradnl" w:eastAsia="nl-NL"/>
              </w:rPr>
              <w:tab/>
              <w:t xml:space="preserve">a que realice y finalice a tiempo para la CMR-23, basándose en los resultados de los estudios ya realizados y en curso en el UIT-R, estudios de compartición y compatibilidad destinados a garantizar la protección de los servicios, sin imponer restricciones adicionales de índole técnica o reglamentaria a su despliegue, a los que la banda está atribuida a título primario, incluidos otros usos de las IMT, los sistemas existentes y el desarrollo previsto de servicios atribuidos a título primario, y servicios adyacentes, según proceda, para ciertas </w:t>
            </w:r>
            <w:r w:rsidRPr="009E58DC">
              <w:rPr>
                <w:lang w:val="es-ES_tradnl" w:eastAsia="nl-NL"/>
              </w:rPr>
              <w:lastRenderedPageBreak/>
              <w:t>bandas de frecuencias por debajo de 2,7 GHz, o partes de la misma, armonizadas para las</w:t>
            </w:r>
            <w:r w:rsidR="00FD0ADD">
              <w:rPr>
                <w:lang w:val="es-ES_tradnl" w:eastAsia="nl-NL"/>
              </w:rPr>
              <w:t> </w:t>
            </w:r>
            <w:r w:rsidRPr="009E58DC">
              <w:rPr>
                <w:lang w:val="es-ES_tradnl" w:eastAsia="nl-NL"/>
              </w:rPr>
              <w:t>IMT a nivel mundial o regional, a saber:</w:t>
            </w:r>
          </w:p>
          <w:p w14:paraId="38FE6905" w14:textId="41EC6274"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w:t>
            </w:r>
            <w:r w:rsidRPr="009E58DC">
              <w:rPr>
                <w:lang w:val="es-ES_tradnl" w:eastAsia="nl-NL"/>
              </w:rPr>
              <w:tab/>
              <w:t>694-960 MHz;</w:t>
            </w:r>
          </w:p>
          <w:p w14:paraId="130FAAA7" w14:textId="77777777" w:rsidR="00204F99" w:rsidRPr="009E58DC" w:rsidRDefault="00204F99" w:rsidP="001E2EFF">
            <w:pPr>
              <w:pStyle w:val="Tabletext"/>
              <w:tabs>
                <w:tab w:val="clear" w:pos="284"/>
                <w:tab w:val="left" w:pos="463"/>
              </w:tabs>
              <w:ind w:left="463" w:hanging="463"/>
              <w:jc w:val="both"/>
              <w:rPr>
                <w:lang w:val="es-ES_tradnl" w:eastAsia="nl-NL"/>
              </w:rPr>
            </w:pPr>
            <w:r w:rsidRPr="009E58DC">
              <w:rPr>
                <w:lang w:val="es-ES_tradnl" w:eastAsia="nl-NL"/>
              </w:rPr>
              <w:t>–</w:t>
            </w:r>
            <w:r w:rsidRPr="009E58DC">
              <w:rPr>
                <w:lang w:val="es-ES_tradnl" w:eastAsia="nl-NL"/>
              </w:rPr>
              <w:tab/>
              <w:t>1 710-1 885 MHz (para el enlace ascendente, se utilizará 1 710-1 815 MHz sólo en la Región 3);</w:t>
            </w:r>
          </w:p>
          <w:p w14:paraId="5B12873B" w14:textId="77777777" w:rsidR="00204F99" w:rsidRPr="009E58DC" w:rsidRDefault="00204F99" w:rsidP="001E2EFF">
            <w:pPr>
              <w:pStyle w:val="Tabletext"/>
              <w:tabs>
                <w:tab w:val="clear" w:pos="284"/>
                <w:tab w:val="left" w:pos="463"/>
              </w:tabs>
              <w:ind w:left="463" w:hanging="463"/>
              <w:jc w:val="both"/>
              <w:rPr>
                <w:lang w:val="es-ES_tradnl" w:eastAsia="nl-NL"/>
              </w:rPr>
            </w:pPr>
            <w:r w:rsidRPr="009E58DC">
              <w:rPr>
                <w:lang w:val="es-ES_tradnl" w:eastAsia="nl-NL"/>
              </w:rPr>
              <w:t>–</w:t>
            </w:r>
            <w:r w:rsidRPr="009E58DC">
              <w:rPr>
                <w:lang w:val="es-ES_tradnl" w:eastAsia="nl-NL"/>
              </w:rPr>
              <w:tab/>
              <w:t>2 500-2 690 MHz (para el enlace ascendente, se utilizará 2 500-2 535 MHz sólo en la Región 3, excepto 2 655-2 690 MHz en la Región 3);</w:t>
            </w:r>
          </w:p>
          <w:p w14:paraId="70DAD5F8" w14:textId="77777777"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3</w:t>
            </w:r>
            <w:r w:rsidRPr="009E58DC">
              <w:rPr>
                <w:lang w:val="es-ES_tradnl" w:eastAsia="nl-NL"/>
              </w:rPr>
              <w:tab/>
              <w:t xml:space="preserve">a que estudie las modificaciones que proceda introducir en la nota existente y la resolución asociada en la identificación del </w:t>
            </w:r>
            <w:r w:rsidRPr="00FD0ADD">
              <w:rPr>
                <w:i/>
                <w:iCs/>
                <w:lang w:val="es-ES_tradnl" w:eastAsia="nl-NL"/>
              </w:rPr>
              <w:t>reconociendo b)</w:t>
            </w:r>
            <w:r w:rsidRPr="009E58DC">
              <w:rPr>
                <w:lang w:val="es-ES_tradnl" w:eastAsia="nl-NL"/>
              </w:rPr>
              <w:t xml:space="preserve"> con objeto de facilitar la utilización de HIBS con las últimas tecnologías de interfaz radioeléctrica de las IMT;</w:t>
            </w:r>
          </w:p>
          <w:p w14:paraId="164F8EBF" w14:textId="77777777"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4</w:t>
            </w:r>
            <w:r w:rsidRPr="009E58DC">
              <w:rPr>
                <w:lang w:val="es-ES_tradnl" w:eastAsia="nl-NL"/>
              </w:rPr>
              <w:tab/>
              <w:t>a que estudie la definición de las HIBS, incluidas las posibles modificaciones que proceda introducir en las disposiciones del Reglamento de Radiocomunicaciones;</w:t>
            </w:r>
          </w:p>
          <w:p w14:paraId="0523EE69" w14:textId="77777777"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5</w:t>
            </w:r>
            <w:r w:rsidRPr="009E58DC">
              <w:rPr>
                <w:lang w:val="es-ES_tradnl" w:eastAsia="nl-NL"/>
              </w:rPr>
              <w:tab/>
              <w:t xml:space="preserve">a que elabore Recomendaciones e Informes del UIT-R, según proceda, teniendo en cuenta los </w:t>
            </w:r>
            <w:r w:rsidRPr="00FD0ADD">
              <w:rPr>
                <w:i/>
                <w:iCs/>
                <w:lang w:val="es-ES_tradnl" w:eastAsia="nl-NL"/>
              </w:rPr>
              <w:t>resuelve invitar al UIT-R</w:t>
            </w:r>
            <w:r w:rsidRPr="009E58DC">
              <w:rPr>
                <w:lang w:val="es-ES_tradnl" w:eastAsia="nl-NL"/>
              </w:rPr>
              <w:t xml:space="preserve"> 1, 2, 3 y 4 </w:t>
            </w:r>
            <w:r w:rsidRPr="00FD0ADD">
              <w:rPr>
                <w:i/>
                <w:iCs/>
                <w:lang w:val="es-ES_tradnl" w:eastAsia="nl-NL"/>
              </w:rPr>
              <w:t>supra</w:t>
            </w:r>
            <w:r w:rsidRPr="009E58DC">
              <w:rPr>
                <w:lang w:val="es-ES_tradnl" w:eastAsia="nl-NL"/>
              </w:rPr>
              <w:t>,</w:t>
            </w:r>
          </w:p>
          <w:p w14:paraId="4E7DEE63" w14:textId="77777777" w:rsidR="00204F99" w:rsidRPr="009E58DC" w:rsidRDefault="00204F99"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resuelve además invitar a la CMR-23</w:t>
            </w:r>
          </w:p>
          <w:p w14:paraId="502F274D" w14:textId="066848E4" w:rsidR="00204F99" w:rsidRPr="009E58DC" w:rsidRDefault="00204F99" w:rsidP="001E2EFF">
            <w:pPr>
              <w:pStyle w:val="Tabletext"/>
              <w:tabs>
                <w:tab w:val="clear" w:pos="284"/>
                <w:tab w:val="left" w:pos="463"/>
              </w:tabs>
              <w:jc w:val="both"/>
              <w:rPr>
                <w:lang w:val="es-ES_tradnl" w:eastAsia="nl-NL"/>
              </w:rPr>
            </w:pPr>
            <w:r w:rsidRPr="009E58DC">
              <w:rPr>
                <w:lang w:val="es-ES_tradnl" w:eastAsia="nl-NL"/>
              </w:rPr>
              <w:t xml:space="preserve">a considerar, en base a los resultados de los estudios anteriores, la utilización de estaciones en plataformas a gran altitud como estaciones base de las IMT en ciertas bandas por debajo de 2,7 GHz, que ya estén identificadas para las IMT, a nivel mundial o regional, y a adoptar las medidas reglamentarias, según proceda, teniendo en cuenta que quedan fuera del alcance las modificaciones a las notas del </w:t>
            </w:r>
            <w:r w:rsidRPr="00FD0ADD">
              <w:rPr>
                <w:i/>
                <w:iCs/>
                <w:lang w:val="es-ES_tradnl" w:eastAsia="nl-NL"/>
              </w:rPr>
              <w:t>reconociendo d)</w:t>
            </w:r>
            <w:r w:rsidRPr="009E58DC">
              <w:rPr>
                <w:lang w:val="es-ES_tradnl" w:eastAsia="nl-NL"/>
              </w:rPr>
              <w:t xml:space="preserve"> y que no deben imponerse restricciones adicionales de índole reglamentaria ni técnica al despliegue de sistemas de las</w:t>
            </w:r>
            <w:r w:rsidR="003B5935">
              <w:rPr>
                <w:lang w:val="es-ES_tradnl" w:eastAsia="nl-NL"/>
              </w:rPr>
              <w:t> </w:t>
            </w:r>
            <w:r w:rsidRPr="009E58DC">
              <w:rPr>
                <w:lang w:val="es-ES_tradnl" w:eastAsia="nl-NL"/>
              </w:rPr>
              <w:t>IMT en tierra en las bandas mencionadas en esas notas,</w:t>
            </w:r>
          </w:p>
          <w:p w14:paraId="3C039EEC" w14:textId="77777777" w:rsidR="00204F99" w:rsidRPr="009E58DC" w:rsidRDefault="00204F99" w:rsidP="001E2EFF">
            <w:pPr>
              <w:pStyle w:val="Tabletext"/>
              <w:tabs>
                <w:tab w:val="clear" w:pos="284"/>
                <w:tab w:val="left" w:pos="463"/>
              </w:tabs>
              <w:ind w:left="454"/>
              <w:jc w:val="both"/>
              <w:rPr>
                <w:rFonts w:eastAsia="???"/>
                <w:i/>
                <w:iCs/>
                <w:lang w:val="es-ES" w:eastAsia="nl-NL"/>
              </w:rPr>
            </w:pPr>
            <w:r w:rsidRPr="009E58DC">
              <w:rPr>
                <w:rFonts w:eastAsia="???"/>
                <w:i/>
                <w:iCs/>
                <w:lang w:val="es-ES" w:eastAsia="nl-NL"/>
              </w:rPr>
              <w:t>invita a las administraciones</w:t>
            </w:r>
          </w:p>
          <w:p w14:paraId="4C399E29" w14:textId="1873AD6D" w:rsidR="004A7B85" w:rsidRPr="009E58DC" w:rsidRDefault="00204F99" w:rsidP="001E2EFF">
            <w:pPr>
              <w:pStyle w:val="Tabletext"/>
              <w:tabs>
                <w:tab w:val="clear" w:pos="284"/>
                <w:tab w:val="left" w:pos="463"/>
              </w:tabs>
              <w:jc w:val="both"/>
              <w:rPr>
                <w:lang w:val="es-ES_tradnl" w:eastAsia="nl-NL"/>
              </w:rPr>
            </w:pPr>
            <w:r w:rsidRPr="009E58DC">
              <w:rPr>
                <w:lang w:val="es-ES_tradnl" w:eastAsia="nl-NL"/>
              </w:rPr>
              <w:t>a participar activamente en dichos estudios presentando contribuciones al UIT-R.</w:t>
            </w:r>
          </w:p>
        </w:tc>
        <w:tc>
          <w:tcPr>
            <w:tcW w:w="1406" w:type="dxa"/>
          </w:tcPr>
          <w:p w14:paraId="597558E5" w14:textId="397DEAC2" w:rsidR="004A7B85" w:rsidRPr="009E58DC" w:rsidRDefault="00A92266" w:rsidP="009E58DC">
            <w:pPr>
              <w:pStyle w:val="Tabletext"/>
              <w:tabs>
                <w:tab w:val="clear" w:pos="284"/>
                <w:tab w:val="left" w:pos="463"/>
              </w:tabs>
              <w:jc w:val="center"/>
              <w:rPr>
                <w:b/>
                <w:bCs/>
                <w:lang w:eastAsia="nl-NL"/>
              </w:rPr>
            </w:pPr>
            <w:r w:rsidRPr="009E58DC">
              <w:rPr>
                <w:b/>
                <w:bCs/>
                <w:lang w:eastAsia="nl-NL"/>
              </w:rPr>
              <w:lastRenderedPageBreak/>
              <w:t>GT</w:t>
            </w:r>
            <w:r w:rsidR="004A7B85" w:rsidRPr="009E58DC">
              <w:rPr>
                <w:b/>
                <w:bCs/>
                <w:lang w:eastAsia="nl-NL"/>
              </w:rPr>
              <w:t xml:space="preserve"> 3K, </w:t>
            </w:r>
            <w:r w:rsidR="009E58DC">
              <w:rPr>
                <w:b/>
                <w:bCs/>
                <w:lang w:eastAsia="nl-NL"/>
              </w:rPr>
              <w:br/>
            </w:r>
            <w:r w:rsidRPr="009E58DC">
              <w:rPr>
                <w:b/>
                <w:bCs/>
                <w:lang w:eastAsia="nl-NL"/>
              </w:rPr>
              <w:t>GT</w:t>
            </w:r>
            <w:r w:rsidR="004A7B85" w:rsidRPr="009E58DC">
              <w:rPr>
                <w:b/>
                <w:bCs/>
                <w:lang w:eastAsia="nl-NL"/>
              </w:rPr>
              <w:t xml:space="preserve"> 3M, </w:t>
            </w:r>
            <w:r w:rsidR="009E58DC">
              <w:rPr>
                <w:b/>
                <w:bCs/>
                <w:lang w:eastAsia="nl-NL"/>
              </w:rPr>
              <w:br/>
            </w:r>
            <w:r w:rsidRPr="009E58DC">
              <w:rPr>
                <w:b/>
                <w:bCs/>
                <w:lang w:eastAsia="nl-NL"/>
              </w:rPr>
              <w:t>GT</w:t>
            </w:r>
            <w:r w:rsidR="004A7B85" w:rsidRPr="009E58DC">
              <w:rPr>
                <w:b/>
                <w:bCs/>
                <w:lang w:eastAsia="nl-NL"/>
              </w:rPr>
              <w:t xml:space="preserve"> 4A, </w:t>
            </w:r>
            <w:r w:rsidR="009E58DC">
              <w:rPr>
                <w:b/>
                <w:bCs/>
                <w:lang w:eastAsia="nl-NL"/>
              </w:rPr>
              <w:br/>
            </w:r>
            <w:r w:rsidRPr="009E58DC">
              <w:rPr>
                <w:b/>
                <w:bCs/>
                <w:lang w:eastAsia="nl-NL"/>
              </w:rPr>
              <w:t>GT</w:t>
            </w:r>
            <w:r w:rsidR="004A7B85" w:rsidRPr="009E58DC">
              <w:rPr>
                <w:b/>
                <w:bCs/>
                <w:lang w:eastAsia="nl-NL"/>
              </w:rPr>
              <w:t xml:space="preserve"> 4C, </w:t>
            </w:r>
            <w:r w:rsidR="009E58DC">
              <w:rPr>
                <w:b/>
                <w:bCs/>
                <w:lang w:eastAsia="nl-NL"/>
              </w:rPr>
              <w:br/>
            </w:r>
            <w:r w:rsidRPr="009E58DC">
              <w:rPr>
                <w:b/>
                <w:bCs/>
                <w:lang w:eastAsia="nl-NL"/>
              </w:rPr>
              <w:t>GT</w:t>
            </w:r>
            <w:r w:rsidR="004A7B85" w:rsidRPr="009E58DC">
              <w:rPr>
                <w:b/>
                <w:bCs/>
                <w:lang w:eastAsia="nl-NL"/>
              </w:rPr>
              <w:t xml:space="preserve"> 5A, </w:t>
            </w:r>
            <w:r w:rsidR="009E58DC">
              <w:rPr>
                <w:b/>
                <w:bCs/>
                <w:lang w:eastAsia="nl-NL"/>
              </w:rPr>
              <w:br/>
            </w:r>
            <w:r w:rsidRPr="009E58DC">
              <w:rPr>
                <w:b/>
                <w:bCs/>
                <w:lang w:eastAsia="nl-NL"/>
              </w:rPr>
              <w:t>GT</w:t>
            </w:r>
            <w:r w:rsidR="004A7B85" w:rsidRPr="009E58DC">
              <w:rPr>
                <w:b/>
                <w:bCs/>
                <w:lang w:eastAsia="nl-NL"/>
              </w:rPr>
              <w:t xml:space="preserve"> 5B, </w:t>
            </w:r>
            <w:r w:rsidR="009E58DC">
              <w:rPr>
                <w:b/>
                <w:bCs/>
                <w:lang w:eastAsia="nl-NL"/>
              </w:rPr>
              <w:br/>
            </w:r>
            <w:r w:rsidRPr="009E58DC">
              <w:rPr>
                <w:b/>
                <w:bCs/>
                <w:lang w:eastAsia="nl-NL"/>
              </w:rPr>
              <w:t>GT</w:t>
            </w:r>
            <w:r w:rsidR="004A7B85" w:rsidRPr="009E58DC">
              <w:rPr>
                <w:b/>
                <w:bCs/>
                <w:lang w:eastAsia="nl-NL"/>
              </w:rPr>
              <w:t xml:space="preserve"> 5C, </w:t>
            </w:r>
            <w:r w:rsidR="009E58DC">
              <w:rPr>
                <w:b/>
                <w:bCs/>
                <w:lang w:eastAsia="nl-NL"/>
              </w:rPr>
              <w:br/>
            </w:r>
            <w:r w:rsidRPr="009E58DC">
              <w:rPr>
                <w:b/>
                <w:bCs/>
                <w:lang w:eastAsia="nl-NL"/>
              </w:rPr>
              <w:t>GT</w:t>
            </w:r>
            <w:r w:rsidR="004A7B85" w:rsidRPr="009E58DC">
              <w:rPr>
                <w:b/>
                <w:bCs/>
                <w:lang w:eastAsia="nl-NL"/>
              </w:rPr>
              <w:t xml:space="preserve"> 6A, </w:t>
            </w:r>
            <w:r w:rsidR="009E58DC">
              <w:rPr>
                <w:b/>
                <w:bCs/>
                <w:lang w:eastAsia="nl-NL"/>
              </w:rPr>
              <w:br/>
            </w:r>
            <w:r w:rsidRPr="009E58DC">
              <w:rPr>
                <w:b/>
                <w:bCs/>
                <w:lang w:eastAsia="nl-NL"/>
              </w:rPr>
              <w:t>GT</w:t>
            </w:r>
            <w:r w:rsidR="004A7B85" w:rsidRPr="009E58DC">
              <w:rPr>
                <w:b/>
                <w:bCs/>
                <w:lang w:eastAsia="nl-NL"/>
              </w:rPr>
              <w:t xml:space="preserve"> 7B, </w:t>
            </w:r>
            <w:r w:rsidR="009E58DC">
              <w:rPr>
                <w:b/>
                <w:bCs/>
                <w:lang w:eastAsia="nl-NL"/>
              </w:rPr>
              <w:br/>
            </w:r>
            <w:r w:rsidRPr="009E58DC">
              <w:rPr>
                <w:b/>
                <w:bCs/>
                <w:lang w:eastAsia="nl-NL"/>
              </w:rPr>
              <w:t>GT</w:t>
            </w:r>
            <w:r w:rsidR="004A7B85" w:rsidRPr="009E58DC">
              <w:rPr>
                <w:b/>
                <w:bCs/>
                <w:lang w:eastAsia="nl-NL"/>
              </w:rPr>
              <w:t xml:space="preserve"> 7C, </w:t>
            </w:r>
            <w:r w:rsidR="004A7B85" w:rsidRPr="009E58DC">
              <w:rPr>
                <w:b/>
                <w:bCs/>
                <w:lang w:eastAsia="nl-NL"/>
              </w:rPr>
              <w:br/>
            </w:r>
            <w:r w:rsidRPr="009E58DC">
              <w:rPr>
                <w:b/>
                <w:bCs/>
                <w:lang w:eastAsia="nl-NL"/>
              </w:rPr>
              <w:t>GT</w:t>
            </w:r>
            <w:r w:rsidR="004A7B85" w:rsidRPr="009E58DC">
              <w:rPr>
                <w:b/>
                <w:bCs/>
                <w:lang w:eastAsia="nl-NL"/>
              </w:rPr>
              <w:t> 7D</w:t>
            </w:r>
          </w:p>
        </w:tc>
      </w:tr>
      <w:tr w:rsidR="004A7B85" w:rsidRPr="00882A01" w14:paraId="1A05933D" w14:textId="77777777" w:rsidTr="003F05FF">
        <w:trPr>
          <w:gridAfter w:val="1"/>
          <w:wAfter w:w="27" w:type="dxa"/>
          <w:cantSplit/>
          <w:jc w:val="center"/>
        </w:trPr>
        <w:tc>
          <w:tcPr>
            <w:tcW w:w="14036" w:type="dxa"/>
            <w:gridSpan w:val="4"/>
          </w:tcPr>
          <w:p w14:paraId="032E15C3" w14:textId="7BE14D1E" w:rsidR="004A7B85" w:rsidRPr="009E58DC" w:rsidRDefault="00A172B6" w:rsidP="001E2EFF">
            <w:pPr>
              <w:pStyle w:val="Tabletext"/>
              <w:keepNext/>
              <w:keepLines/>
              <w:tabs>
                <w:tab w:val="clear" w:pos="284"/>
                <w:tab w:val="left" w:pos="594"/>
              </w:tabs>
              <w:jc w:val="both"/>
              <w:rPr>
                <w:lang w:val="es-ES_tradnl" w:eastAsia="nl-NL"/>
              </w:rPr>
            </w:pPr>
            <w:r w:rsidRPr="009E58DC">
              <w:rPr>
                <w:lang w:val="es-ES_tradnl" w:eastAsia="nl-NL"/>
              </w:rPr>
              <w:lastRenderedPageBreak/>
              <w:t>1.5</w:t>
            </w:r>
            <w:r w:rsidRPr="009E58DC">
              <w:rPr>
                <w:lang w:val="es-ES_tradnl" w:eastAsia="nl-NL"/>
              </w:rPr>
              <w:tab/>
              <w:t>examinar la utilización del espectro y las necesidades de espectro de los servicios existentes en la banda de frecuencias 470-960 MHz en la Región 1 y considerar posibles medidas reglamentarias para la banda de frecuencias 470</w:t>
            </w:r>
            <w:r w:rsidRPr="009E58DC">
              <w:rPr>
                <w:lang w:val="es-ES_tradnl" w:eastAsia="nl-NL"/>
              </w:rPr>
              <w:noBreakHyphen/>
              <w:t>694 MHz en la Región 1 a partir del examen previsto en la Resolución </w:t>
            </w:r>
            <w:r w:rsidRPr="009E58DC">
              <w:rPr>
                <w:b/>
                <w:bCs/>
                <w:lang w:val="es-ES_tradnl" w:eastAsia="nl-NL"/>
              </w:rPr>
              <w:t>235 (CMR</w:t>
            </w:r>
            <w:r w:rsidRPr="009E58DC">
              <w:rPr>
                <w:b/>
                <w:bCs/>
                <w:lang w:val="es-ES_tradnl" w:eastAsia="nl-NL"/>
              </w:rPr>
              <w:noBreakHyphen/>
              <w:t>15)</w:t>
            </w:r>
            <w:r w:rsidRPr="009E58DC">
              <w:rPr>
                <w:lang w:val="es-ES_tradnl" w:eastAsia="nl-NL"/>
              </w:rPr>
              <w:t>;</w:t>
            </w:r>
          </w:p>
        </w:tc>
      </w:tr>
      <w:tr w:rsidR="004A7B85" w:rsidRPr="004A7B85" w14:paraId="2A036971" w14:textId="77777777" w:rsidTr="003F05FF">
        <w:trPr>
          <w:gridAfter w:val="1"/>
          <w:wAfter w:w="27" w:type="dxa"/>
          <w:cantSplit/>
          <w:jc w:val="center"/>
        </w:trPr>
        <w:tc>
          <w:tcPr>
            <w:tcW w:w="3304" w:type="dxa"/>
          </w:tcPr>
          <w:p w14:paraId="3737D249" w14:textId="77777777" w:rsidR="00993418" w:rsidRPr="00502C6A" w:rsidRDefault="00993418" w:rsidP="00502C6A">
            <w:pPr>
              <w:pStyle w:val="Tabletext"/>
              <w:tabs>
                <w:tab w:val="clear" w:pos="284"/>
                <w:tab w:val="left" w:pos="463"/>
              </w:tabs>
              <w:rPr>
                <w:lang w:val="es-ES_tradnl" w:eastAsia="nl-NL"/>
              </w:rPr>
            </w:pPr>
            <w:r w:rsidRPr="00502C6A">
              <w:rPr>
                <w:lang w:val="es-ES_tradnl" w:eastAsia="nl-NL"/>
              </w:rPr>
              <w:t>Resolución </w:t>
            </w:r>
            <w:r w:rsidRPr="00502C6A">
              <w:rPr>
                <w:b/>
                <w:bCs/>
                <w:lang w:val="es-ES_tradnl" w:eastAsia="nl-NL"/>
              </w:rPr>
              <w:t>235 (CMR</w:t>
            </w:r>
            <w:r w:rsidRPr="00502C6A">
              <w:rPr>
                <w:b/>
                <w:bCs/>
                <w:lang w:val="es-ES_tradnl" w:eastAsia="nl-NL"/>
              </w:rPr>
              <w:noBreakHyphen/>
              <w:t>15)</w:t>
            </w:r>
          </w:p>
          <w:p w14:paraId="69AF12D6" w14:textId="7675FA9A" w:rsidR="004A7B85" w:rsidRPr="00502C6A" w:rsidRDefault="00993418" w:rsidP="00502C6A">
            <w:pPr>
              <w:pStyle w:val="Tabletext"/>
              <w:tabs>
                <w:tab w:val="clear" w:pos="284"/>
                <w:tab w:val="left" w:pos="463"/>
              </w:tabs>
              <w:rPr>
                <w:lang w:val="es-ES_tradnl" w:eastAsia="nl-NL"/>
              </w:rPr>
            </w:pPr>
            <w:r w:rsidRPr="00502C6A">
              <w:rPr>
                <w:lang w:val="es-ES_tradnl" w:eastAsia="nl-NL"/>
              </w:rPr>
              <w:t>Revisión de la utilización del espectro de la banda de frecuencias</w:t>
            </w:r>
            <w:r w:rsidR="00ED185C">
              <w:rPr>
                <w:lang w:val="es-ES_tradnl" w:eastAsia="nl-NL"/>
              </w:rPr>
              <w:t xml:space="preserve"> </w:t>
            </w:r>
            <w:r w:rsidRPr="00502C6A">
              <w:rPr>
                <w:lang w:val="es-ES_tradnl" w:eastAsia="nl-NL"/>
              </w:rPr>
              <w:t>470</w:t>
            </w:r>
            <w:r w:rsidR="009E6C92">
              <w:rPr>
                <w:lang w:val="es-ES_tradnl" w:eastAsia="nl-NL"/>
              </w:rPr>
              <w:noBreakHyphen/>
            </w:r>
            <w:r w:rsidRPr="00502C6A">
              <w:rPr>
                <w:lang w:val="es-ES_tradnl" w:eastAsia="nl-NL"/>
              </w:rPr>
              <w:t>960</w:t>
            </w:r>
            <w:r w:rsidR="00ED185C">
              <w:rPr>
                <w:lang w:val="es-ES_tradnl" w:eastAsia="nl-NL"/>
              </w:rPr>
              <w:t> </w:t>
            </w:r>
            <w:r w:rsidRPr="00502C6A">
              <w:rPr>
                <w:lang w:val="es-ES_tradnl" w:eastAsia="nl-NL"/>
              </w:rPr>
              <w:t>MHz en la Región 1</w:t>
            </w:r>
          </w:p>
        </w:tc>
        <w:tc>
          <w:tcPr>
            <w:tcW w:w="1517" w:type="dxa"/>
          </w:tcPr>
          <w:p w14:paraId="7C727E7F" w14:textId="08BCC586" w:rsidR="004A7B85" w:rsidRPr="00502C6A" w:rsidRDefault="00AA3DC8" w:rsidP="00502C6A">
            <w:pPr>
              <w:pStyle w:val="Tabletext"/>
              <w:tabs>
                <w:tab w:val="clear" w:pos="284"/>
                <w:tab w:val="left" w:pos="463"/>
              </w:tabs>
              <w:jc w:val="center"/>
              <w:rPr>
                <w:b/>
                <w:bCs/>
                <w:lang w:val="es-ES_tradnl" w:eastAsia="nl-NL"/>
              </w:rPr>
            </w:pPr>
            <w:r w:rsidRPr="00502C6A">
              <w:rPr>
                <w:b/>
                <w:bCs/>
                <w:lang w:val="es-ES_tradnl" w:eastAsia="nl-NL"/>
              </w:rPr>
              <w:t>GTE</w:t>
            </w:r>
            <w:r w:rsidR="004A7B85" w:rsidRPr="00502C6A">
              <w:rPr>
                <w:b/>
                <w:bCs/>
                <w:lang w:val="es-ES_tradnl" w:eastAsia="nl-NL"/>
              </w:rPr>
              <w:t xml:space="preserve"> 6/1</w:t>
            </w:r>
          </w:p>
          <w:p w14:paraId="4F6BB769" w14:textId="753A9F18" w:rsidR="004A7B85" w:rsidRPr="00502C6A" w:rsidRDefault="004A7B85" w:rsidP="00502C6A">
            <w:pPr>
              <w:pStyle w:val="Tabletext"/>
              <w:tabs>
                <w:tab w:val="clear" w:pos="284"/>
                <w:tab w:val="left" w:pos="463"/>
              </w:tabs>
              <w:rPr>
                <w:lang w:val="es-ES_tradnl" w:eastAsia="nl-NL"/>
              </w:rPr>
            </w:pPr>
            <w:r w:rsidRPr="009E6C92">
              <w:rPr>
                <w:u w:val="single"/>
                <w:lang w:val="es-ES_tradnl" w:eastAsia="nl-NL"/>
              </w:rPr>
              <w:t>Not</w:t>
            </w:r>
            <w:r w:rsidR="00AA3DC8" w:rsidRPr="009E6C92">
              <w:rPr>
                <w:u w:val="single"/>
                <w:lang w:val="es-ES_tradnl" w:eastAsia="nl-NL"/>
              </w:rPr>
              <w:t>a</w:t>
            </w:r>
            <w:r w:rsidRPr="00502C6A">
              <w:rPr>
                <w:lang w:val="es-ES_tradnl" w:eastAsia="nl-NL"/>
              </w:rPr>
              <w:t xml:space="preserve">: </w:t>
            </w:r>
            <w:r w:rsidR="003B5935" w:rsidRPr="00502C6A">
              <w:rPr>
                <w:lang w:val="es-ES_tradnl" w:eastAsia="nl-NL"/>
              </w:rPr>
              <w:t xml:space="preserve">Véase </w:t>
            </w:r>
            <w:r w:rsidR="00AA3DC8" w:rsidRPr="00502C6A">
              <w:rPr>
                <w:lang w:val="es-ES_tradnl" w:eastAsia="nl-NL"/>
              </w:rPr>
              <w:t>el Anexo 9 a esta Circular Administrativa</w:t>
            </w:r>
            <w:r w:rsidR="007115A4">
              <w:rPr>
                <w:lang w:val="es-ES_tradnl" w:eastAsia="nl-NL"/>
              </w:rPr>
              <w:t>.</w:t>
            </w:r>
          </w:p>
        </w:tc>
        <w:tc>
          <w:tcPr>
            <w:tcW w:w="7809" w:type="dxa"/>
          </w:tcPr>
          <w:p w14:paraId="4FCAD1EA" w14:textId="55B1C311" w:rsidR="00997307" w:rsidRPr="00502C6A" w:rsidRDefault="00993418"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resuelve invitar al Sector de Radiocomunicaciones de la UIT, tras la Conferencia Mundial de Radiocomunicaciones de 2019 y a tiempo para la Conferencia Mundial de Radiocomunicaciones de 2023</w:t>
            </w:r>
          </w:p>
          <w:p w14:paraId="09A9365D" w14:textId="77777777" w:rsidR="00993418" w:rsidRPr="00502C6A" w:rsidRDefault="00993418" w:rsidP="001E2EFF">
            <w:pPr>
              <w:pStyle w:val="Tabletext"/>
              <w:tabs>
                <w:tab w:val="clear" w:pos="284"/>
                <w:tab w:val="left" w:pos="463"/>
              </w:tabs>
              <w:jc w:val="both"/>
              <w:rPr>
                <w:lang w:val="es-ES_tradnl" w:eastAsia="nl-NL"/>
              </w:rPr>
            </w:pPr>
            <w:r w:rsidRPr="00502C6A">
              <w:rPr>
                <w:lang w:val="es-ES_tradnl" w:eastAsia="nl-NL"/>
              </w:rPr>
              <w:t>1</w:t>
            </w:r>
            <w:r w:rsidRPr="00502C6A">
              <w:rPr>
                <w:lang w:val="es-ES_tradnl" w:eastAsia="nl-NL"/>
              </w:rPr>
              <w:tab/>
              <w:t>a examinar la utilización del espectro y estudiar las necesidades de espectro de los servicios existentes en la banda de frecuencias 470</w:t>
            </w:r>
            <w:r w:rsidRPr="00502C6A">
              <w:rPr>
                <w:lang w:val="es-ES_tradnl" w:eastAsia="nl-NL"/>
              </w:rPr>
              <w:noBreakHyphen/>
              <w:t>960 MHz en la Región 1, en particular las necesidades de espectro de los servicios de radiodifusión y móvil, salvo móvil aeronáutico, teniendo en cuenta los estudios pertinentes, Recomendaciones e Informes del Sector de Radiocomunicaciones de la UIT (UIT</w:t>
            </w:r>
            <w:r w:rsidRPr="00502C6A">
              <w:rPr>
                <w:lang w:val="es-ES_tradnl" w:eastAsia="nl-NL"/>
              </w:rPr>
              <w:noBreakHyphen/>
              <w:t>R);</w:t>
            </w:r>
          </w:p>
          <w:p w14:paraId="3B973233" w14:textId="77777777" w:rsidR="00993418" w:rsidRPr="00502C6A" w:rsidRDefault="00993418" w:rsidP="001E2EFF">
            <w:pPr>
              <w:pStyle w:val="Tabletext"/>
              <w:tabs>
                <w:tab w:val="clear" w:pos="284"/>
                <w:tab w:val="left" w:pos="463"/>
              </w:tabs>
              <w:jc w:val="both"/>
              <w:rPr>
                <w:lang w:val="es-ES_tradnl" w:eastAsia="nl-NL"/>
              </w:rPr>
            </w:pPr>
            <w:r w:rsidRPr="00502C6A">
              <w:rPr>
                <w:lang w:val="es-ES_tradnl" w:eastAsia="nl-NL"/>
              </w:rPr>
              <w:t>2</w:t>
            </w:r>
            <w:r w:rsidRPr="00502C6A">
              <w:rPr>
                <w:lang w:val="es-ES_tradnl" w:eastAsia="nl-NL"/>
              </w:rPr>
              <w:tab/>
              <w:t>a realizar los estudios de compartición y compatibilidad oportunos en la banda de frecuencias 470</w:t>
            </w:r>
            <w:r w:rsidRPr="00502C6A">
              <w:rPr>
                <w:lang w:val="es-ES_tradnl" w:eastAsia="nl-NL"/>
              </w:rPr>
              <w:noBreakHyphen/>
              <w:t>694 MHz en la Región 1 entre los servicios de radiodifusión y móvil, salvo móvil aeronáutico, teniendo en cuenta los estudios pertinentes, Recomendaciones e Informes del UIT</w:t>
            </w:r>
            <w:r w:rsidRPr="00502C6A">
              <w:rPr>
                <w:lang w:val="es-ES_tradnl" w:eastAsia="nl-NL"/>
              </w:rPr>
              <w:noBreakHyphen/>
              <w:t>R;</w:t>
            </w:r>
          </w:p>
          <w:p w14:paraId="326DB302" w14:textId="77777777" w:rsidR="00993418" w:rsidRPr="00502C6A" w:rsidRDefault="00993418" w:rsidP="001E2EFF">
            <w:pPr>
              <w:pStyle w:val="Tabletext"/>
              <w:tabs>
                <w:tab w:val="clear" w:pos="284"/>
                <w:tab w:val="left" w:pos="463"/>
              </w:tabs>
              <w:jc w:val="both"/>
              <w:rPr>
                <w:lang w:val="es-ES_tradnl" w:eastAsia="nl-NL"/>
              </w:rPr>
            </w:pPr>
            <w:r w:rsidRPr="00502C6A">
              <w:rPr>
                <w:lang w:val="es-ES_tradnl" w:eastAsia="nl-NL"/>
              </w:rPr>
              <w:t>3</w:t>
            </w:r>
            <w:r w:rsidRPr="00502C6A">
              <w:rPr>
                <w:lang w:val="es-ES_tradnl" w:eastAsia="nl-NL"/>
              </w:rPr>
              <w:tab/>
              <w:t>a realizar los estudios de compartición y compatibilidad oportunos para proteger adecuadamente los sistemas de otros servicios existentes,</w:t>
            </w:r>
          </w:p>
          <w:p w14:paraId="35791D75" w14:textId="77777777" w:rsidR="00993418" w:rsidRPr="00502C6A" w:rsidRDefault="00993418" w:rsidP="001E2EFF">
            <w:pPr>
              <w:pStyle w:val="Tabletext"/>
              <w:keepNext/>
              <w:keepLines/>
              <w:tabs>
                <w:tab w:val="clear" w:pos="284"/>
                <w:tab w:val="left" w:pos="463"/>
              </w:tabs>
              <w:ind w:left="454"/>
              <w:jc w:val="both"/>
              <w:rPr>
                <w:rFonts w:eastAsia="???"/>
                <w:i/>
                <w:iCs/>
                <w:lang w:val="es-ES" w:eastAsia="nl-NL"/>
              </w:rPr>
            </w:pPr>
            <w:r w:rsidRPr="00502C6A">
              <w:rPr>
                <w:rFonts w:eastAsia="???"/>
                <w:i/>
                <w:iCs/>
                <w:lang w:val="es-ES" w:eastAsia="nl-NL"/>
              </w:rPr>
              <w:t>invita a las administraciones</w:t>
            </w:r>
          </w:p>
          <w:p w14:paraId="026BE128" w14:textId="77777777" w:rsidR="00993418" w:rsidRPr="00502C6A" w:rsidRDefault="00993418" w:rsidP="001E2EFF">
            <w:pPr>
              <w:pStyle w:val="Tabletext"/>
              <w:tabs>
                <w:tab w:val="clear" w:pos="284"/>
                <w:tab w:val="left" w:pos="463"/>
              </w:tabs>
              <w:jc w:val="both"/>
              <w:rPr>
                <w:lang w:val="es-ES_tradnl" w:eastAsia="nl-NL"/>
              </w:rPr>
            </w:pPr>
            <w:r w:rsidRPr="00502C6A">
              <w:rPr>
                <w:lang w:val="es-ES_tradnl" w:eastAsia="nl-NL"/>
              </w:rPr>
              <w:t>a participar activamente en los estudios presentando sus contribuciones al UIT</w:t>
            </w:r>
            <w:r w:rsidRPr="00502C6A">
              <w:rPr>
                <w:lang w:val="es-ES_tradnl" w:eastAsia="nl-NL"/>
              </w:rPr>
              <w:noBreakHyphen/>
              <w:t>R,</w:t>
            </w:r>
          </w:p>
          <w:p w14:paraId="7FA9723A" w14:textId="77777777" w:rsidR="00993418" w:rsidRPr="00502C6A" w:rsidRDefault="00993418"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resuelve invitar a la Conferencia Mundial de Radiocomunicaciones de 2023</w:t>
            </w:r>
          </w:p>
          <w:p w14:paraId="22900BD8" w14:textId="77777777" w:rsidR="00993418" w:rsidRPr="00502C6A" w:rsidRDefault="00993418" w:rsidP="001E2EFF">
            <w:pPr>
              <w:pStyle w:val="Tabletext"/>
              <w:tabs>
                <w:tab w:val="clear" w:pos="284"/>
                <w:tab w:val="left" w:pos="463"/>
              </w:tabs>
              <w:jc w:val="both"/>
              <w:rPr>
                <w:lang w:val="es-ES_tradnl" w:eastAsia="nl-NL"/>
              </w:rPr>
            </w:pPr>
            <w:r w:rsidRPr="00502C6A">
              <w:rPr>
                <w:lang w:val="es-ES_tradnl" w:eastAsia="nl-NL"/>
              </w:rPr>
              <w:t>a considerar, tomando como base los resultados de los estudios mencionados, siempre que estos estudios se hayan completado y hayan sido aprobados por el UIT</w:t>
            </w:r>
            <w:r w:rsidRPr="00502C6A">
              <w:rPr>
                <w:lang w:val="es-ES_tradnl" w:eastAsia="nl-NL"/>
              </w:rPr>
              <w:noBreakHyphen/>
              <w:t>R, las posibles medidas reglamentarias que proceda adoptar en la banda de frecuencias 470</w:t>
            </w:r>
            <w:r w:rsidRPr="00502C6A">
              <w:rPr>
                <w:lang w:val="es-ES_tradnl" w:eastAsia="nl-NL"/>
              </w:rPr>
              <w:noBreakHyphen/>
              <w:t>694 MHz en la Región 1, según proceda,</w:t>
            </w:r>
          </w:p>
          <w:p w14:paraId="0B230FC0" w14:textId="77777777" w:rsidR="00993418" w:rsidRPr="00502C6A" w:rsidRDefault="00993418"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invita además al Sector de Radiocomunicaciones de la UIT</w:t>
            </w:r>
          </w:p>
          <w:p w14:paraId="62E124A0" w14:textId="57A5A8F1" w:rsidR="004A7B85" w:rsidRPr="00502C6A" w:rsidRDefault="00993418" w:rsidP="001E2EFF">
            <w:pPr>
              <w:pStyle w:val="Tabletext"/>
              <w:tabs>
                <w:tab w:val="clear" w:pos="284"/>
                <w:tab w:val="left" w:pos="463"/>
              </w:tabs>
              <w:jc w:val="both"/>
              <w:rPr>
                <w:lang w:val="es-ES_tradnl" w:eastAsia="nl-NL"/>
              </w:rPr>
            </w:pPr>
            <w:r w:rsidRPr="00502C6A">
              <w:rPr>
                <w:lang w:val="es-ES_tradnl" w:eastAsia="nl-NL"/>
              </w:rPr>
              <w:t>a garantizar la colaboración intersectorial con el Sector de Desarrollo de las Telecomunicaciones de la UIT para la aplicación de la presente Resolución.</w:t>
            </w:r>
          </w:p>
        </w:tc>
        <w:tc>
          <w:tcPr>
            <w:tcW w:w="1406" w:type="dxa"/>
          </w:tcPr>
          <w:p w14:paraId="724707CE" w14:textId="5E0B5B87" w:rsidR="004A7B85" w:rsidRPr="009E58DC" w:rsidRDefault="00A92266" w:rsidP="009E58DC">
            <w:pPr>
              <w:pStyle w:val="Tabletext"/>
              <w:tabs>
                <w:tab w:val="clear" w:pos="284"/>
                <w:tab w:val="left" w:pos="463"/>
              </w:tabs>
              <w:jc w:val="center"/>
              <w:rPr>
                <w:b/>
                <w:bCs/>
                <w:lang w:eastAsia="nl-NL"/>
              </w:rPr>
            </w:pPr>
            <w:r w:rsidRPr="009E58DC">
              <w:rPr>
                <w:b/>
                <w:bCs/>
                <w:lang w:eastAsia="nl-NL"/>
              </w:rPr>
              <w:t>GT</w:t>
            </w:r>
            <w:r w:rsidR="004A7B85" w:rsidRPr="009E58DC">
              <w:rPr>
                <w:b/>
                <w:bCs/>
                <w:lang w:eastAsia="nl-NL"/>
              </w:rPr>
              <w:t xml:space="preserve"> 3K, </w:t>
            </w:r>
            <w:r w:rsidR="00502C6A">
              <w:rPr>
                <w:b/>
                <w:bCs/>
                <w:lang w:eastAsia="nl-NL"/>
              </w:rPr>
              <w:br/>
            </w:r>
            <w:r w:rsidRPr="009E58DC">
              <w:rPr>
                <w:b/>
                <w:bCs/>
                <w:lang w:eastAsia="nl-NL"/>
              </w:rPr>
              <w:t>GT</w:t>
            </w:r>
            <w:r w:rsidR="004A7B85" w:rsidRPr="009E58DC">
              <w:rPr>
                <w:b/>
                <w:bCs/>
                <w:lang w:eastAsia="nl-NL"/>
              </w:rPr>
              <w:t xml:space="preserve"> 3M, </w:t>
            </w:r>
            <w:r w:rsidR="00502C6A">
              <w:rPr>
                <w:b/>
                <w:bCs/>
                <w:lang w:eastAsia="nl-NL"/>
              </w:rPr>
              <w:br/>
            </w:r>
            <w:r w:rsidRPr="009E58DC">
              <w:rPr>
                <w:b/>
                <w:bCs/>
                <w:lang w:eastAsia="nl-NL"/>
              </w:rPr>
              <w:t>GT</w:t>
            </w:r>
            <w:r w:rsidR="004A7B85" w:rsidRPr="009E58DC">
              <w:rPr>
                <w:b/>
                <w:bCs/>
                <w:lang w:eastAsia="nl-NL"/>
              </w:rPr>
              <w:t xml:space="preserve"> 5A, </w:t>
            </w:r>
            <w:r w:rsidR="00502C6A">
              <w:rPr>
                <w:b/>
                <w:bCs/>
                <w:lang w:eastAsia="nl-NL"/>
              </w:rPr>
              <w:br/>
            </w:r>
            <w:r w:rsidRPr="009E58DC">
              <w:rPr>
                <w:b/>
                <w:bCs/>
                <w:lang w:eastAsia="nl-NL"/>
              </w:rPr>
              <w:t>GT</w:t>
            </w:r>
            <w:r w:rsidR="004A7B85" w:rsidRPr="009E58DC">
              <w:rPr>
                <w:b/>
                <w:bCs/>
                <w:lang w:eastAsia="nl-NL"/>
              </w:rPr>
              <w:t xml:space="preserve"> 5B, </w:t>
            </w:r>
            <w:r w:rsidR="00502C6A">
              <w:rPr>
                <w:b/>
                <w:bCs/>
                <w:lang w:eastAsia="nl-NL"/>
              </w:rPr>
              <w:br/>
            </w:r>
            <w:r w:rsidRPr="009E58DC">
              <w:rPr>
                <w:b/>
                <w:bCs/>
                <w:lang w:eastAsia="nl-NL"/>
              </w:rPr>
              <w:t>GT</w:t>
            </w:r>
            <w:r w:rsidR="004A7B85" w:rsidRPr="009E58DC">
              <w:rPr>
                <w:b/>
                <w:bCs/>
                <w:lang w:eastAsia="nl-NL"/>
              </w:rPr>
              <w:t xml:space="preserve"> 5C, </w:t>
            </w:r>
            <w:r w:rsidR="00502C6A">
              <w:rPr>
                <w:b/>
                <w:bCs/>
                <w:lang w:eastAsia="nl-NL"/>
              </w:rPr>
              <w:br/>
            </w:r>
            <w:r w:rsidRPr="009E58DC">
              <w:rPr>
                <w:b/>
                <w:bCs/>
                <w:lang w:eastAsia="nl-NL"/>
              </w:rPr>
              <w:t>GT</w:t>
            </w:r>
            <w:r w:rsidR="004A7B85" w:rsidRPr="009E58DC">
              <w:rPr>
                <w:b/>
                <w:bCs/>
                <w:lang w:eastAsia="nl-NL"/>
              </w:rPr>
              <w:t xml:space="preserve"> 5D, </w:t>
            </w:r>
            <w:r w:rsidR="00502C6A">
              <w:rPr>
                <w:b/>
                <w:bCs/>
                <w:lang w:eastAsia="nl-NL"/>
              </w:rPr>
              <w:br/>
            </w:r>
            <w:r w:rsidRPr="009E58DC">
              <w:rPr>
                <w:b/>
                <w:bCs/>
                <w:lang w:eastAsia="nl-NL"/>
              </w:rPr>
              <w:t>GT</w:t>
            </w:r>
            <w:r w:rsidR="004A7B85" w:rsidRPr="009E58DC">
              <w:rPr>
                <w:b/>
                <w:bCs/>
                <w:lang w:eastAsia="nl-NL"/>
              </w:rPr>
              <w:t> 6A</w:t>
            </w:r>
          </w:p>
        </w:tc>
      </w:tr>
      <w:tr w:rsidR="004A7B85" w:rsidRPr="00882A01" w14:paraId="3511C179" w14:textId="77777777" w:rsidTr="003F05FF">
        <w:trPr>
          <w:gridAfter w:val="1"/>
          <w:wAfter w:w="27" w:type="dxa"/>
          <w:jc w:val="center"/>
        </w:trPr>
        <w:tc>
          <w:tcPr>
            <w:tcW w:w="14036" w:type="dxa"/>
            <w:gridSpan w:val="4"/>
          </w:tcPr>
          <w:p w14:paraId="5FF0D46A" w14:textId="78D789C4" w:rsidR="004A7B85" w:rsidRPr="00502C6A" w:rsidRDefault="00A172B6" w:rsidP="00E4145D">
            <w:pPr>
              <w:pStyle w:val="Tabletext"/>
              <w:keepNext/>
              <w:keepLines/>
              <w:tabs>
                <w:tab w:val="clear" w:pos="284"/>
                <w:tab w:val="left" w:pos="594"/>
              </w:tabs>
              <w:jc w:val="both"/>
              <w:rPr>
                <w:lang w:val="es-ES_tradnl" w:eastAsia="nl-NL"/>
              </w:rPr>
            </w:pPr>
            <w:r w:rsidRPr="00502C6A">
              <w:rPr>
                <w:lang w:val="es-ES_tradnl" w:eastAsia="nl-NL"/>
              </w:rPr>
              <w:t>1.6</w:t>
            </w:r>
            <w:r w:rsidRPr="00502C6A">
              <w:rPr>
                <w:lang w:val="es-ES_tradnl" w:eastAsia="nl-NL"/>
              </w:rPr>
              <w:tab/>
              <w:t xml:space="preserve">considerar, de conformidad con la Resolución </w:t>
            </w:r>
            <w:r w:rsidRPr="00502C6A">
              <w:rPr>
                <w:b/>
                <w:bCs/>
                <w:lang w:val="es-ES_tradnl" w:eastAsia="nl-NL"/>
              </w:rPr>
              <w:t>772 (CMR</w:t>
            </w:r>
            <w:r w:rsidRPr="00502C6A">
              <w:rPr>
                <w:b/>
                <w:bCs/>
                <w:lang w:val="es-ES_tradnl" w:eastAsia="nl-NL"/>
              </w:rPr>
              <w:noBreakHyphen/>
              <w:t>19)</w:t>
            </w:r>
            <w:r w:rsidRPr="00502C6A">
              <w:rPr>
                <w:lang w:val="es-ES_tradnl" w:eastAsia="nl-NL"/>
              </w:rPr>
              <w:t>, disposiciones reglamentarias para facilitar las radiocomunicaciones para vehículos suborbitales;</w:t>
            </w:r>
          </w:p>
        </w:tc>
      </w:tr>
      <w:tr w:rsidR="004A7B85" w:rsidRPr="004A7B85" w14:paraId="26AB7E7F" w14:textId="77777777" w:rsidTr="003F05FF">
        <w:trPr>
          <w:gridAfter w:val="1"/>
          <w:wAfter w:w="27" w:type="dxa"/>
          <w:jc w:val="center"/>
        </w:trPr>
        <w:tc>
          <w:tcPr>
            <w:tcW w:w="3304" w:type="dxa"/>
          </w:tcPr>
          <w:p w14:paraId="05380611" w14:textId="1AC469F7" w:rsidR="004A7B85" w:rsidRPr="00502C6A" w:rsidRDefault="004A7B85" w:rsidP="00E4145D">
            <w:pPr>
              <w:pStyle w:val="Tabletext"/>
              <w:tabs>
                <w:tab w:val="clear" w:pos="284"/>
                <w:tab w:val="left" w:pos="463"/>
              </w:tabs>
              <w:rPr>
                <w:lang w:val="es-ES_tradnl" w:eastAsia="nl-NL"/>
              </w:rPr>
            </w:pPr>
            <w:r w:rsidRPr="00CB13B5">
              <w:rPr>
                <w:lang w:val="es-ES_tradnl" w:eastAsia="nl-NL"/>
              </w:rPr>
              <w:t>Resolu</w:t>
            </w:r>
            <w:r w:rsidR="00A172B6" w:rsidRPr="00CB13B5">
              <w:rPr>
                <w:lang w:val="es-ES_tradnl" w:eastAsia="nl-NL"/>
              </w:rPr>
              <w:t>c</w:t>
            </w:r>
            <w:r w:rsidRPr="00CB13B5">
              <w:rPr>
                <w:lang w:val="es-ES_tradnl" w:eastAsia="nl-NL"/>
              </w:rPr>
              <w:t>i</w:t>
            </w:r>
            <w:r w:rsidR="00A172B6" w:rsidRPr="00CB13B5">
              <w:rPr>
                <w:lang w:val="es-ES_tradnl" w:eastAsia="nl-NL"/>
              </w:rPr>
              <w:t>ó</w:t>
            </w:r>
            <w:r w:rsidRPr="00CB13B5">
              <w:rPr>
                <w:lang w:val="es-ES_tradnl" w:eastAsia="nl-NL"/>
              </w:rPr>
              <w:t>n</w:t>
            </w:r>
            <w:r w:rsidRPr="00502C6A">
              <w:rPr>
                <w:lang w:val="es-ES_tradnl" w:eastAsia="nl-NL"/>
              </w:rPr>
              <w:t> </w:t>
            </w:r>
            <w:r w:rsidRPr="00502C6A">
              <w:rPr>
                <w:b/>
                <w:bCs/>
                <w:lang w:val="es-ES_tradnl" w:eastAsia="nl-NL"/>
              </w:rPr>
              <w:t>772 (C</w:t>
            </w:r>
            <w:r w:rsidR="00502C6A">
              <w:rPr>
                <w:b/>
                <w:bCs/>
                <w:lang w:val="es-ES_tradnl" w:eastAsia="nl-NL"/>
              </w:rPr>
              <w:t>MR</w:t>
            </w:r>
            <w:r w:rsidRPr="00502C6A">
              <w:rPr>
                <w:b/>
                <w:bCs/>
                <w:lang w:val="es-ES_tradnl" w:eastAsia="nl-NL"/>
              </w:rPr>
              <w:noBreakHyphen/>
              <w:t>19)</w:t>
            </w:r>
          </w:p>
          <w:p w14:paraId="514D7C1D" w14:textId="617B7768" w:rsidR="004A7B85" w:rsidRPr="00502C6A" w:rsidRDefault="00A172B6" w:rsidP="00E4145D">
            <w:pPr>
              <w:pStyle w:val="Tabletext"/>
              <w:tabs>
                <w:tab w:val="clear" w:pos="284"/>
                <w:tab w:val="left" w:pos="463"/>
              </w:tabs>
              <w:rPr>
                <w:lang w:val="es-ES_tradnl" w:eastAsia="nl-NL"/>
              </w:rPr>
            </w:pPr>
            <w:bookmarkStart w:id="26" w:name="_Toc450048843"/>
            <w:r w:rsidRPr="00502C6A">
              <w:rPr>
                <w:lang w:val="es-ES_tradnl" w:eastAsia="nl-NL"/>
              </w:rPr>
              <w:t>Examen de disposiciones reglamentarias para facilitar</w:t>
            </w:r>
            <w:r w:rsidR="009E6C92">
              <w:rPr>
                <w:lang w:val="es-ES_tradnl" w:eastAsia="nl-NL"/>
              </w:rPr>
              <w:t xml:space="preserve"> </w:t>
            </w:r>
            <w:r w:rsidRPr="00502C6A">
              <w:rPr>
                <w:lang w:val="es-ES_tradnl" w:eastAsia="nl-NL"/>
              </w:rPr>
              <w:t xml:space="preserve">la </w:t>
            </w:r>
            <w:r w:rsidRPr="00502C6A">
              <w:rPr>
                <w:lang w:val="es-ES_tradnl" w:eastAsia="nl-NL"/>
              </w:rPr>
              <w:lastRenderedPageBreak/>
              <w:t>introducción de los vehículos suborbitales</w:t>
            </w:r>
            <w:bookmarkEnd w:id="26"/>
          </w:p>
        </w:tc>
        <w:tc>
          <w:tcPr>
            <w:tcW w:w="1517" w:type="dxa"/>
          </w:tcPr>
          <w:p w14:paraId="249F3862" w14:textId="7892AD09" w:rsidR="004A7B85" w:rsidRPr="00502C6A" w:rsidRDefault="00A92266" w:rsidP="00E4145D">
            <w:pPr>
              <w:pStyle w:val="Tabletext"/>
              <w:tabs>
                <w:tab w:val="clear" w:pos="284"/>
                <w:tab w:val="left" w:pos="463"/>
              </w:tabs>
              <w:jc w:val="center"/>
              <w:rPr>
                <w:b/>
                <w:bCs/>
                <w:lang w:val="es-ES_tradnl" w:eastAsia="nl-NL"/>
              </w:rPr>
            </w:pPr>
            <w:r w:rsidRPr="00502C6A">
              <w:rPr>
                <w:b/>
                <w:bCs/>
                <w:lang w:val="es-ES_tradnl" w:eastAsia="nl-NL"/>
              </w:rPr>
              <w:lastRenderedPageBreak/>
              <w:t>GT</w:t>
            </w:r>
            <w:r w:rsidR="004A7B85" w:rsidRPr="00502C6A">
              <w:rPr>
                <w:b/>
                <w:bCs/>
                <w:lang w:val="es-ES_tradnl" w:eastAsia="nl-NL"/>
              </w:rPr>
              <w:t> 5B</w:t>
            </w:r>
          </w:p>
          <w:p w14:paraId="0B42C4E5" w14:textId="282B7703" w:rsidR="004A7B85" w:rsidRPr="00564FF1" w:rsidRDefault="004A7B85" w:rsidP="00E4145D">
            <w:pPr>
              <w:pStyle w:val="Tabletext"/>
              <w:tabs>
                <w:tab w:val="clear" w:pos="284"/>
                <w:tab w:val="left" w:pos="463"/>
              </w:tabs>
              <w:rPr>
                <w:lang w:val="es-ES_tradnl" w:eastAsia="nl-NL"/>
              </w:rPr>
            </w:pPr>
            <w:r w:rsidRPr="009E6C92">
              <w:rPr>
                <w:u w:val="single"/>
                <w:lang w:val="es-ES_tradnl" w:eastAsia="nl-NL"/>
              </w:rPr>
              <w:t>Not</w:t>
            </w:r>
            <w:r w:rsidR="00AA3DC8" w:rsidRPr="009E6C92">
              <w:rPr>
                <w:u w:val="single"/>
                <w:lang w:val="es-ES_tradnl" w:eastAsia="nl-NL"/>
              </w:rPr>
              <w:t>a</w:t>
            </w:r>
            <w:r w:rsidRPr="009E6C92">
              <w:rPr>
                <w:lang w:val="es-ES_tradnl" w:eastAsia="nl-NL"/>
              </w:rPr>
              <w:t xml:space="preserve">: </w:t>
            </w:r>
            <w:r w:rsidR="00AA3DC8" w:rsidRPr="009E6C92">
              <w:rPr>
                <w:lang w:val="es-ES_tradnl" w:eastAsia="nl-NL"/>
              </w:rPr>
              <w:t xml:space="preserve">Véase el texto pertinente en el Informe de la </w:t>
            </w:r>
            <w:r w:rsidR="00AA3DC8" w:rsidRPr="009E6C92">
              <w:rPr>
                <w:lang w:val="es-ES_tradnl" w:eastAsia="nl-NL"/>
              </w:rPr>
              <w:lastRenderedPageBreak/>
              <w:t>reunión RPC</w:t>
            </w:r>
            <w:r w:rsidRPr="009E6C92">
              <w:rPr>
                <w:lang w:val="es-ES_tradnl" w:eastAsia="nl-NL"/>
              </w:rPr>
              <w:t xml:space="preserve">23-1 </w:t>
            </w:r>
            <w:r w:rsidR="00AA3DC8" w:rsidRPr="009E6C92">
              <w:rPr>
                <w:lang w:val="es-ES_tradnl" w:eastAsia="nl-NL"/>
              </w:rPr>
              <w:t>(Anexo</w:t>
            </w:r>
            <w:r w:rsidR="009E6C92">
              <w:rPr>
                <w:lang w:val="es-ES_tradnl" w:eastAsia="nl-NL"/>
              </w:rPr>
              <w:t> </w:t>
            </w:r>
            <w:r w:rsidR="00AA3DC8" w:rsidRPr="009E6C92">
              <w:rPr>
                <w:lang w:val="es-ES_tradnl" w:eastAsia="nl-NL"/>
              </w:rPr>
              <w:t>4 a esta Circular Administrativa) sobre cómo facilitar los trabajos relacionad</w:t>
            </w:r>
            <w:r w:rsidR="00AA3DC8" w:rsidRPr="00502C6A">
              <w:rPr>
                <w:lang w:val="es-ES_tradnl" w:eastAsia="nl-NL"/>
              </w:rPr>
              <w:t>os con los satélites</w:t>
            </w:r>
            <w:r w:rsidRPr="00564FF1">
              <w:rPr>
                <w:lang w:val="es-ES_tradnl" w:eastAsia="nl-NL"/>
              </w:rPr>
              <w:t>.</w:t>
            </w:r>
          </w:p>
        </w:tc>
        <w:tc>
          <w:tcPr>
            <w:tcW w:w="7809" w:type="dxa"/>
          </w:tcPr>
          <w:p w14:paraId="5728CB2C" w14:textId="3DE3EBCA" w:rsidR="00A172B6" w:rsidRPr="00502C6A" w:rsidRDefault="00A172B6"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lastRenderedPageBreak/>
              <w:t>resuelve invitar al UIT-R</w:t>
            </w:r>
          </w:p>
          <w:p w14:paraId="0209EF85"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1</w:t>
            </w:r>
            <w:r w:rsidRPr="00502C6A">
              <w:rPr>
                <w:lang w:val="es-ES_tradnl" w:eastAsia="nl-NL"/>
              </w:rPr>
              <w:tab/>
              <w:t xml:space="preserve">a que estudie las necesidades de espectro para las comunicaciones entre estaciones a bordo de vehículos suborbitales y estaciones terrenales o espaciales que ofrezcan funciones, </w:t>
            </w:r>
            <w:r w:rsidRPr="00502C6A">
              <w:rPr>
                <w:lang w:val="es-ES_tradnl" w:eastAsia="nl-NL"/>
              </w:rPr>
              <w:lastRenderedPageBreak/>
              <w:t>entre otras, de telefonía y transmisión de datos, navegación, vigilancia, telemedida, seguimiento y telemando (TTC);</w:t>
            </w:r>
          </w:p>
          <w:p w14:paraId="52366D13" w14:textId="01DF62B4"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2</w:t>
            </w:r>
            <w:r w:rsidRPr="00502C6A">
              <w:rPr>
                <w:lang w:val="es-ES_tradnl" w:eastAsia="nl-NL"/>
              </w:rPr>
              <w:tab/>
              <w:t xml:space="preserve">a que, a excepción de cualquier nueva atribución o de la modificación de las atribuciones existentes en el Artículo </w:t>
            </w:r>
            <w:r w:rsidRPr="009E6C92">
              <w:rPr>
                <w:b/>
                <w:bCs/>
                <w:lang w:val="es-ES_tradnl" w:eastAsia="nl-NL"/>
              </w:rPr>
              <w:t>5</w:t>
            </w:r>
            <w:r w:rsidRPr="00502C6A">
              <w:rPr>
                <w:lang w:val="es-ES_tradnl" w:eastAsia="nl-NL"/>
              </w:rPr>
              <w:t>, examine la modificación pertinente del RR, en su caso, para tener en cuenta las estaciones a bordo de vehículos suborbitales, y evitar que ello repercuta en los sistemas de lanzamiento espacial convencionales, con los objetivos siguientes:</w:t>
            </w:r>
          </w:p>
          <w:p w14:paraId="0D0365BD" w14:textId="7D214EF7" w:rsidR="00CB13B5" w:rsidRPr="00502C6A" w:rsidRDefault="00CB13B5" w:rsidP="00E4145D">
            <w:pPr>
              <w:pStyle w:val="Tabletext"/>
              <w:tabs>
                <w:tab w:val="clear" w:pos="284"/>
                <w:tab w:val="left" w:pos="463"/>
              </w:tabs>
              <w:ind w:left="463" w:hanging="463"/>
              <w:jc w:val="both"/>
              <w:rPr>
                <w:lang w:val="es-ES_tradnl" w:eastAsia="nl-NL"/>
              </w:rPr>
            </w:pPr>
            <w:r w:rsidRPr="00502C6A">
              <w:rPr>
                <w:lang w:val="es-ES_tradnl" w:eastAsia="nl-NL"/>
              </w:rPr>
              <w:t>–</w:t>
            </w:r>
            <w:r w:rsidRPr="00502C6A">
              <w:rPr>
                <w:lang w:val="es-ES_tradnl" w:eastAsia="nl-NL"/>
              </w:rPr>
              <w:tab/>
              <w:t>establecer la condición de las estaciones a bordo de vehículos suborbitales y estudiar las correspondientes disposiciones reglamentarias para determinar qué servicios de radiocomunicaciones existentes pueden ser utilizados por dichas estaciones, de ser necesario;</w:t>
            </w:r>
          </w:p>
          <w:p w14:paraId="5662CED0" w14:textId="77777777" w:rsidR="00CB13B5" w:rsidRPr="00502C6A" w:rsidRDefault="00CB13B5" w:rsidP="00E4145D">
            <w:pPr>
              <w:pStyle w:val="Tabletext"/>
              <w:tabs>
                <w:tab w:val="clear" w:pos="284"/>
                <w:tab w:val="left" w:pos="463"/>
              </w:tabs>
              <w:ind w:left="463" w:hanging="463"/>
              <w:jc w:val="both"/>
              <w:rPr>
                <w:lang w:val="es-ES_tradnl" w:eastAsia="nl-NL"/>
              </w:rPr>
            </w:pPr>
            <w:r w:rsidRPr="00502C6A">
              <w:rPr>
                <w:lang w:val="es-ES_tradnl" w:eastAsia="nl-NL"/>
              </w:rPr>
              <w:t>–</w:t>
            </w:r>
            <w:r w:rsidRPr="00502C6A">
              <w:rPr>
                <w:lang w:val="es-ES_tradnl" w:eastAsia="nl-NL"/>
              </w:rPr>
              <w:tab/>
              <w:t>establecer las condiciones técnicas y reglamentarias que faciliten el funcionamiento de determinadas estaciones situadas a bordo de vehículos suborbitales en el marco de la reglamentación aeronáutica, con objeto de que se consideren estaciones terrenas o estaciones terrenales, aun si una parte del vuelo tiene lugar en el espacio;</w:t>
            </w:r>
          </w:p>
          <w:p w14:paraId="27A4E286" w14:textId="3B4CBE9E" w:rsidR="00CB13B5" w:rsidRPr="00502C6A" w:rsidRDefault="00CB13B5" w:rsidP="00E4145D">
            <w:pPr>
              <w:pStyle w:val="Tabletext"/>
              <w:tabs>
                <w:tab w:val="clear" w:pos="284"/>
                <w:tab w:val="left" w:pos="463"/>
              </w:tabs>
              <w:ind w:left="463" w:hanging="463"/>
              <w:jc w:val="both"/>
              <w:rPr>
                <w:lang w:val="es-ES_tradnl" w:eastAsia="nl-NL"/>
              </w:rPr>
            </w:pPr>
            <w:r w:rsidRPr="00502C6A">
              <w:rPr>
                <w:lang w:val="es-ES_tradnl" w:eastAsia="nl-NL"/>
              </w:rPr>
              <w:t>–</w:t>
            </w:r>
            <w:r w:rsidRPr="00502C6A">
              <w:rPr>
                <w:lang w:val="es-ES_tradnl" w:eastAsia="nl-NL"/>
              </w:rPr>
              <w:tab/>
              <w:t>facilitar servicios de radiocomunicaciones que permitan a la aviación integrar de forma segura los vehículos suborbitales en el espacio aéreo, así como la compatibilidad de las operaciones de los mismos con las de la aviación civil internacional;</w:t>
            </w:r>
          </w:p>
          <w:p w14:paraId="7B92E3CD" w14:textId="77777777" w:rsidR="00CB13B5" w:rsidRPr="00502C6A" w:rsidRDefault="00CB13B5" w:rsidP="00E4145D">
            <w:pPr>
              <w:pStyle w:val="Tabletext"/>
              <w:tabs>
                <w:tab w:val="clear" w:pos="284"/>
                <w:tab w:val="left" w:pos="463"/>
              </w:tabs>
              <w:ind w:left="463" w:hanging="463"/>
              <w:jc w:val="both"/>
              <w:rPr>
                <w:lang w:val="es-ES_tradnl" w:eastAsia="nl-NL"/>
              </w:rPr>
            </w:pPr>
            <w:r w:rsidRPr="00502C6A">
              <w:rPr>
                <w:lang w:val="es-ES_tradnl" w:eastAsia="nl-NL"/>
              </w:rPr>
              <w:t>–</w:t>
            </w:r>
            <w:r w:rsidRPr="00502C6A">
              <w:rPr>
                <w:lang w:val="es-ES_tradnl" w:eastAsia="nl-NL"/>
              </w:rPr>
              <w:tab/>
              <w:t>definir las características técnicas y los criterios de protección pertinentes en relación con los estudios que han de llevarse a cabo, según se menciona en el punto que figura a continuación;</w:t>
            </w:r>
          </w:p>
          <w:p w14:paraId="4D3A275C" w14:textId="77777777" w:rsidR="00CB13B5" w:rsidRPr="00502C6A" w:rsidRDefault="00CB13B5" w:rsidP="00E4145D">
            <w:pPr>
              <w:pStyle w:val="Tabletext"/>
              <w:tabs>
                <w:tab w:val="clear" w:pos="284"/>
                <w:tab w:val="left" w:pos="463"/>
              </w:tabs>
              <w:ind w:left="463" w:hanging="463"/>
              <w:jc w:val="both"/>
              <w:rPr>
                <w:lang w:val="es-ES_tradnl" w:eastAsia="nl-NL"/>
              </w:rPr>
            </w:pPr>
            <w:r w:rsidRPr="00502C6A">
              <w:rPr>
                <w:lang w:val="es-ES_tradnl" w:eastAsia="nl-NL"/>
              </w:rPr>
              <w:t>–</w:t>
            </w:r>
            <w:r w:rsidRPr="00502C6A">
              <w:rPr>
                <w:lang w:val="es-ES_tradnl" w:eastAsia="nl-NL"/>
              </w:rPr>
              <w:tab/>
              <w:t>realizar estudios de compartición y compatibilidad con los servicios atribuidos actualmente a título primario en las mismas bandas de frecuencias o en bandas adyacentes, para evitar la interferencia perjudicial a otros servicios de radiocomunicaciones y a aplicaciones existentes del mismo servicio, con arreglo al cual funcionan las estaciones a bordo de vehículos suborbitales, habida cuenta de los casos de aplicación de los vuelos suborbitales;</w:t>
            </w:r>
          </w:p>
          <w:p w14:paraId="4B04BFE0"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3</w:t>
            </w:r>
            <w:r w:rsidRPr="00502C6A">
              <w:rPr>
                <w:lang w:val="es-ES_tradnl" w:eastAsia="nl-NL"/>
              </w:rPr>
              <w:tab/>
              <w:t>a que determine, a tenor de los resultados de los estudios anteriormente citados, si en una futura Conferencia competente posterior a la CMR-23 debe estudiarse la necesidad de ampliar el acceso al espectro,</w:t>
            </w:r>
          </w:p>
          <w:p w14:paraId="1041CAD8" w14:textId="77777777" w:rsidR="00CB13B5" w:rsidRPr="00502C6A" w:rsidRDefault="00CB13B5"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t>invita a la Organización de la Aviación Civil Internacional</w:t>
            </w:r>
          </w:p>
          <w:p w14:paraId="470F8B79"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 xml:space="preserve">a que participe en los estudios y proporcione a la UIT las características técnicas pertinentes necesarias para los estudios solicitados en el </w:t>
            </w:r>
            <w:r w:rsidRPr="009E6C92">
              <w:rPr>
                <w:i/>
                <w:iCs/>
                <w:lang w:val="es-ES_tradnl" w:eastAsia="nl-NL"/>
              </w:rPr>
              <w:t>resuelve invitar a la UIT</w:t>
            </w:r>
            <w:r w:rsidRPr="00502C6A">
              <w:rPr>
                <w:lang w:val="es-ES_tradnl" w:eastAsia="nl-NL"/>
              </w:rPr>
              <w:t>,</w:t>
            </w:r>
          </w:p>
          <w:p w14:paraId="3A6673FA" w14:textId="77777777" w:rsidR="00CB13B5" w:rsidRPr="00502C6A" w:rsidRDefault="00CB13B5"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t>invita a la Conferencia Mundial de Radiocomunicaciones de 2023</w:t>
            </w:r>
          </w:p>
          <w:p w14:paraId="077C218E"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lastRenderedPageBreak/>
              <w:t>a que examine los resultados de los estudios anteriormente citados y tome las medidas adecuadas,</w:t>
            </w:r>
          </w:p>
          <w:p w14:paraId="401FEEFF" w14:textId="77777777" w:rsidR="00CB13B5" w:rsidRPr="00502C6A" w:rsidRDefault="00CB13B5"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t>encarga al Director de la Oficina de Radiocomunicaciones</w:t>
            </w:r>
          </w:p>
          <w:p w14:paraId="24207F23"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que señale esta Resolución a la atención de las Comisiones de Estudio del UIT-R pertinentes,</w:t>
            </w:r>
          </w:p>
          <w:p w14:paraId="0DBA14AB" w14:textId="77777777" w:rsidR="00CB13B5" w:rsidRPr="00502C6A" w:rsidRDefault="00CB13B5"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t>invita a las administraciones</w:t>
            </w:r>
          </w:p>
          <w:p w14:paraId="36B7AB61" w14:textId="77777777" w:rsidR="00CB13B5" w:rsidRPr="00502C6A" w:rsidRDefault="00CB13B5" w:rsidP="00E4145D">
            <w:pPr>
              <w:pStyle w:val="Tabletext"/>
              <w:tabs>
                <w:tab w:val="clear" w:pos="284"/>
                <w:tab w:val="left" w:pos="463"/>
              </w:tabs>
              <w:jc w:val="both"/>
              <w:rPr>
                <w:lang w:val="es-ES_tradnl" w:eastAsia="nl-NL"/>
              </w:rPr>
            </w:pPr>
            <w:r w:rsidRPr="00502C6A">
              <w:rPr>
                <w:lang w:val="es-ES_tradnl" w:eastAsia="nl-NL"/>
              </w:rPr>
              <w:t>a participar activamente en los estudios presentando contribuciones al UIT-R,</w:t>
            </w:r>
          </w:p>
          <w:p w14:paraId="3F36781D" w14:textId="77777777" w:rsidR="00CB13B5" w:rsidRPr="00502C6A" w:rsidRDefault="00CB13B5" w:rsidP="00E4145D">
            <w:pPr>
              <w:pStyle w:val="Tabletext"/>
              <w:tabs>
                <w:tab w:val="clear" w:pos="284"/>
                <w:tab w:val="left" w:pos="463"/>
              </w:tabs>
              <w:ind w:left="454"/>
              <w:jc w:val="both"/>
              <w:rPr>
                <w:rFonts w:eastAsia="???"/>
                <w:i/>
                <w:iCs/>
                <w:lang w:val="es-ES" w:eastAsia="nl-NL"/>
              </w:rPr>
            </w:pPr>
            <w:r w:rsidRPr="00502C6A">
              <w:rPr>
                <w:rFonts w:eastAsia="???"/>
                <w:i/>
                <w:iCs/>
                <w:lang w:val="es-ES" w:eastAsia="nl-NL"/>
              </w:rPr>
              <w:t>encarga al Secretario General</w:t>
            </w:r>
          </w:p>
          <w:p w14:paraId="75B74530" w14:textId="338519F6" w:rsidR="004A7B85" w:rsidRPr="00502C6A" w:rsidRDefault="00CB13B5" w:rsidP="00E4145D">
            <w:pPr>
              <w:pStyle w:val="Tabletext"/>
              <w:tabs>
                <w:tab w:val="clear" w:pos="284"/>
                <w:tab w:val="left" w:pos="463"/>
              </w:tabs>
              <w:jc w:val="both"/>
              <w:rPr>
                <w:lang w:val="es-ES_tradnl" w:eastAsia="nl-NL"/>
              </w:rPr>
            </w:pPr>
            <w:r w:rsidRPr="00502C6A">
              <w:rPr>
                <w:lang w:val="es-ES_tradnl" w:eastAsia="nl-NL"/>
              </w:rPr>
              <w:t>que señale la presente Resolución a la atención de la Comisión de las Naciones Unidas sobre la Utilización del Espacio Ultraterrestre con Fines Pacíficos, a la OACI y a otras organizaciones internacionales y regionales interesadas.</w:t>
            </w:r>
          </w:p>
        </w:tc>
        <w:tc>
          <w:tcPr>
            <w:tcW w:w="1406" w:type="dxa"/>
          </w:tcPr>
          <w:p w14:paraId="12E6432B" w14:textId="0F480018" w:rsidR="004A7B85" w:rsidRPr="009E58DC" w:rsidRDefault="00A92266" w:rsidP="00E4145D">
            <w:pPr>
              <w:pStyle w:val="Tabletext"/>
              <w:tabs>
                <w:tab w:val="clear" w:pos="284"/>
                <w:tab w:val="left" w:pos="463"/>
              </w:tabs>
              <w:jc w:val="center"/>
              <w:rPr>
                <w:b/>
                <w:bCs/>
                <w:lang w:eastAsia="nl-NL"/>
              </w:rPr>
            </w:pPr>
            <w:r>
              <w:rPr>
                <w:b/>
                <w:bCs/>
                <w:lang w:eastAsia="nl-NL"/>
              </w:rPr>
              <w:lastRenderedPageBreak/>
              <w:t>GT</w:t>
            </w:r>
            <w:r w:rsidR="004A7B85" w:rsidRPr="004A7B85">
              <w:rPr>
                <w:b/>
                <w:bCs/>
                <w:lang w:eastAsia="nl-NL"/>
              </w:rPr>
              <w:t xml:space="preserve"> 3M, </w:t>
            </w:r>
            <w:r w:rsidR="00502C6A">
              <w:rPr>
                <w:b/>
                <w:bCs/>
                <w:lang w:eastAsia="nl-NL"/>
              </w:rPr>
              <w:br/>
            </w:r>
            <w:r>
              <w:rPr>
                <w:b/>
                <w:bCs/>
                <w:lang w:eastAsia="nl-NL"/>
              </w:rPr>
              <w:t>GT</w:t>
            </w:r>
            <w:r w:rsidR="004A7B85" w:rsidRPr="004A7B85">
              <w:rPr>
                <w:b/>
                <w:bCs/>
                <w:lang w:eastAsia="nl-NL"/>
              </w:rPr>
              <w:t xml:space="preserve"> 4A, </w:t>
            </w:r>
            <w:r w:rsidR="00502C6A">
              <w:rPr>
                <w:b/>
                <w:bCs/>
                <w:lang w:eastAsia="nl-NL"/>
              </w:rPr>
              <w:br/>
            </w:r>
            <w:r>
              <w:rPr>
                <w:b/>
                <w:bCs/>
                <w:lang w:eastAsia="nl-NL"/>
              </w:rPr>
              <w:t>GT</w:t>
            </w:r>
            <w:r w:rsidR="004A7B85" w:rsidRPr="004A7B85">
              <w:rPr>
                <w:b/>
                <w:bCs/>
                <w:lang w:eastAsia="nl-NL"/>
              </w:rPr>
              <w:t xml:space="preserve"> 4C, </w:t>
            </w:r>
            <w:r w:rsidR="00502C6A">
              <w:rPr>
                <w:b/>
                <w:bCs/>
                <w:lang w:eastAsia="nl-NL"/>
              </w:rPr>
              <w:br/>
            </w:r>
            <w:r>
              <w:rPr>
                <w:b/>
                <w:bCs/>
                <w:lang w:eastAsia="nl-NL"/>
              </w:rPr>
              <w:t>GT</w:t>
            </w:r>
            <w:r w:rsidR="004A7B85" w:rsidRPr="004A7B85">
              <w:rPr>
                <w:b/>
                <w:bCs/>
                <w:lang w:eastAsia="nl-NL"/>
              </w:rPr>
              <w:t> 7B</w:t>
            </w:r>
          </w:p>
        </w:tc>
      </w:tr>
      <w:tr w:rsidR="004A7B85" w:rsidRPr="00882A01" w14:paraId="298BAE01" w14:textId="77777777" w:rsidTr="003F05FF">
        <w:trPr>
          <w:gridAfter w:val="1"/>
          <w:wAfter w:w="27" w:type="dxa"/>
          <w:cantSplit/>
          <w:jc w:val="center"/>
        </w:trPr>
        <w:tc>
          <w:tcPr>
            <w:tcW w:w="14036" w:type="dxa"/>
            <w:gridSpan w:val="4"/>
          </w:tcPr>
          <w:p w14:paraId="1C20989E" w14:textId="2D8F7343" w:rsidR="004A7B85" w:rsidRPr="00CB13B5" w:rsidRDefault="00CB13B5" w:rsidP="001E2EFF">
            <w:pPr>
              <w:pStyle w:val="Tabletext"/>
              <w:tabs>
                <w:tab w:val="clear" w:pos="284"/>
                <w:tab w:val="left" w:pos="594"/>
              </w:tabs>
              <w:jc w:val="both"/>
              <w:rPr>
                <w:lang w:val="es-ES_tradnl" w:eastAsia="nl-NL"/>
              </w:rPr>
            </w:pPr>
            <w:r w:rsidRPr="00CB13B5">
              <w:rPr>
                <w:lang w:val="es-ES_tradnl" w:eastAsia="nl-NL"/>
              </w:rPr>
              <w:lastRenderedPageBreak/>
              <w:t>1.7</w:t>
            </w:r>
            <w:r w:rsidRPr="00CB13B5">
              <w:rPr>
                <w:lang w:val="es-ES_tradnl" w:eastAsia="nl-NL"/>
              </w:rPr>
              <w:tab/>
            </w:r>
            <w:r w:rsidRPr="00502C6A">
              <w:rPr>
                <w:lang w:val="es-ES_tradnl" w:eastAsia="nl-NL"/>
              </w:rPr>
              <w:t xml:space="preserve">considerar la posibilidad de efectuar una nueva atribución al servicio móvil aeronáutico (R) por satélite (SMA(R)S) de conformidad con la Resolución </w:t>
            </w:r>
            <w:r w:rsidRPr="00502C6A">
              <w:rPr>
                <w:b/>
                <w:bCs/>
                <w:lang w:val="es-ES_tradnl" w:eastAsia="nl-NL"/>
              </w:rPr>
              <w:t>428 (CMR</w:t>
            </w:r>
            <w:r w:rsidRPr="00502C6A">
              <w:rPr>
                <w:b/>
                <w:bCs/>
                <w:lang w:val="es-ES_tradnl" w:eastAsia="nl-NL"/>
              </w:rPr>
              <w:noBreakHyphen/>
              <w:t>19)</w:t>
            </w:r>
            <w:r w:rsidRPr="00502C6A">
              <w:rPr>
                <w:lang w:val="es-ES_tradnl" w:eastAsia="nl-NL"/>
              </w:rPr>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tc>
      </w:tr>
      <w:tr w:rsidR="004A7B85" w:rsidRPr="004A7B85" w14:paraId="326FD595" w14:textId="77777777" w:rsidTr="003F05FF">
        <w:trPr>
          <w:gridAfter w:val="1"/>
          <w:wAfter w:w="27" w:type="dxa"/>
          <w:jc w:val="center"/>
        </w:trPr>
        <w:tc>
          <w:tcPr>
            <w:tcW w:w="3304" w:type="dxa"/>
          </w:tcPr>
          <w:p w14:paraId="6E9F3693" w14:textId="48AB6C3C" w:rsidR="004A7B85" w:rsidRPr="00502C6A" w:rsidRDefault="004A7B85" w:rsidP="00502C6A">
            <w:pPr>
              <w:pStyle w:val="Tabletext"/>
              <w:tabs>
                <w:tab w:val="clear" w:pos="284"/>
                <w:tab w:val="left" w:pos="463"/>
              </w:tabs>
              <w:rPr>
                <w:lang w:val="es-ES_tradnl" w:eastAsia="nl-NL"/>
              </w:rPr>
            </w:pPr>
            <w:r w:rsidRPr="00CB13B5">
              <w:rPr>
                <w:lang w:val="es-ES_tradnl" w:eastAsia="nl-NL"/>
              </w:rPr>
              <w:t>Resolu</w:t>
            </w:r>
            <w:r w:rsidR="00CB13B5" w:rsidRPr="00CB13B5">
              <w:rPr>
                <w:lang w:val="es-ES_tradnl" w:eastAsia="nl-NL"/>
              </w:rPr>
              <w:t>c</w:t>
            </w:r>
            <w:r w:rsidRPr="00CB13B5">
              <w:rPr>
                <w:lang w:val="es-ES_tradnl" w:eastAsia="nl-NL"/>
              </w:rPr>
              <w:t>i</w:t>
            </w:r>
            <w:r w:rsidR="00CB13B5" w:rsidRPr="00CB13B5">
              <w:rPr>
                <w:lang w:val="es-ES_tradnl" w:eastAsia="nl-NL"/>
              </w:rPr>
              <w:t>ó</w:t>
            </w:r>
            <w:r w:rsidRPr="00CB13B5">
              <w:rPr>
                <w:lang w:val="es-ES_tradnl" w:eastAsia="nl-NL"/>
              </w:rPr>
              <w:t>n</w:t>
            </w:r>
            <w:r w:rsidRPr="00502C6A">
              <w:rPr>
                <w:lang w:val="es-ES_tradnl" w:eastAsia="nl-NL"/>
              </w:rPr>
              <w:t> </w:t>
            </w:r>
            <w:r w:rsidRPr="00502C6A">
              <w:rPr>
                <w:b/>
                <w:bCs/>
                <w:lang w:val="es-ES_tradnl" w:eastAsia="nl-NL"/>
              </w:rPr>
              <w:t>428 (C</w:t>
            </w:r>
            <w:r w:rsidR="00502C6A">
              <w:rPr>
                <w:b/>
                <w:bCs/>
                <w:lang w:val="es-ES_tradnl" w:eastAsia="nl-NL"/>
              </w:rPr>
              <w:t>MR</w:t>
            </w:r>
            <w:r w:rsidRPr="00502C6A">
              <w:rPr>
                <w:b/>
                <w:bCs/>
                <w:lang w:val="es-ES_tradnl" w:eastAsia="nl-NL"/>
              </w:rPr>
              <w:noBreakHyphen/>
              <w:t>19)</w:t>
            </w:r>
          </w:p>
          <w:p w14:paraId="6CFD99EA" w14:textId="2933DF53" w:rsidR="004A7B85" w:rsidRPr="00502C6A" w:rsidRDefault="00CB13B5" w:rsidP="00502C6A">
            <w:pPr>
              <w:pStyle w:val="Tabletext"/>
              <w:tabs>
                <w:tab w:val="clear" w:pos="284"/>
                <w:tab w:val="left" w:pos="463"/>
              </w:tabs>
              <w:rPr>
                <w:lang w:val="es-ES_tradnl" w:eastAsia="nl-NL"/>
              </w:rPr>
            </w:pPr>
            <w:r w:rsidRPr="00502C6A">
              <w:rPr>
                <w:lang w:val="es-ES_tradnl" w:eastAsia="nl-NL"/>
              </w:rPr>
              <w:t>Estudios sobre una posible nueva atribución al servicio móvil aeronáutico (R) por satélite en la banda de frecuencias 117,975</w:t>
            </w:r>
            <w:r w:rsidR="009E6C92">
              <w:rPr>
                <w:lang w:val="es-ES_tradnl" w:eastAsia="nl-NL"/>
              </w:rPr>
              <w:noBreakHyphen/>
            </w:r>
            <w:r w:rsidRPr="00502C6A">
              <w:rPr>
                <w:lang w:val="es-ES_tradnl" w:eastAsia="nl-NL"/>
              </w:rPr>
              <w:t>137</w:t>
            </w:r>
            <w:r w:rsidR="009E6C92">
              <w:rPr>
                <w:lang w:val="es-ES_tradnl" w:eastAsia="nl-NL"/>
              </w:rPr>
              <w:t> </w:t>
            </w:r>
            <w:r w:rsidRPr="00502C6A">
              <w:rPr>
                <w:lang w:val="es-ES_tradnl" w:eastAsia="nl-NL"/>
              </w:rPr>
              <w:t>MHz para las comunicaciones aeronáuticas en la banda de ondas métricas en los sentidos Tierra-espacio y espacio-Tierra</w:t>
            </w:r>
          </w:p>
        </w:tc>
        <w:tc>
          <w:tcPr>
            <w:tcW w:w="1517" w:type="dxa"/>
          </w:tcPr>
          <w:p w14:paraId="5806913B" w14:textId="736408D8" w:rsidR="004A7B85" w:rsidRPr="00502C6A" w:rsidRDefault="00A92266" w:rsidP="00502C6A">
            <w:pPr>
              <w:pStyle w:val="Tabletext"/>
              <w:tabs>
                <w:tab w:val="clear" w:pos="284"/>
                <w:tab w:val="left" w:pos="463"/>
              </w:tabs>
              <w:jc w:val="center"/>
              <w:rPr>
                <w:b/>
                <w:bCs/>
                <w:lang w:val="es-ES_tradnl" w:eastAsia="nl-NL"/>
              </w:rPr>
            </w:pPr>
            <w:r w:rsidRPr="00502C6A">
              <w:rPr>
                <w:b/>
                <w:bCs/>
                <w:lang w:val="es-ES_tradnl" w:eastAsia="nl-NL"/>
              </w:rPr>
              <w:t>GT</w:t>
            </w:r>
            <w:r w:rsidR="004A7B85" w:rsidRPr="00502C6A">
              <w:rPr>
                <w:b/>
                <w:bCs/>
                <w:lang w:val="es-ES_tradnl" w:eastAsia="nl-NL"/>
              </w:rPr>
              <w:t> 5B</w:t>
            </w:r>
          </w:p>
          <w:p w14:paraId="0EFE5B94" w14:textId="39FF58B2" w:rsidR="004A7B85" w:rsidRPr="00564FF1" w:rsidRDefault="00AA3DC8" w:rsidP="00502C6A">
            <w:pPr>
              <w:pStyle w:val="Tabletext"/>
              <w:tabs>
                <w:tab w:val="clear" w:pos="284"/>
                <w:tab w:val="left" w:pos="463"/>
              </w:tabs>
              <w:rPr>
                <w:lang w:val="es-ES_tradnl" w:eastAsia="nl-NL"/>
              </w:rPr>
            </w:pPr>
            <w:r w:rsidRPr="009E6C92">
              <w:rPr>
                <w:u w:val="single"/>
                <w:lang w:val="es-ES_tradnl" w:eastAsia="nl-NL"/>
              </w:rPr>
              <w:t>Nota</w:t>
            </w:r>
            <w:r w:rsidRPr="00502C6A">
              <w:rPr>
                <w:lang w:val="es-ES_tradnl" w:eastAsia="nl-NL"/>
              </w:rPr>
              <w:t>: Véase el texto pertinente en el Informe de la reunión RPC23</w:t>
            </w:r>
            <w:r w:rsidR="00CD5CE4">
              <w:rPr>
                <w:lang w:val="es-ES_tradnl" w:eastAsia="nl-NL"/>
              </w:rPr>
              <w:noBreakHyphen/>
            </w:r>
            <w:r w:rsidRPr="00502C6A">
              <w:rPr>
                <w:lang w:val="es-ES_tradnl" w:eastAsia="nl-NL"/>
              </w:rPr>
              <w:t>1 (Anexo</w:t>
            </w:r>
            <w:r w:rsidR="009E6C92">
              <w:rPr>
                <w:lang w:val="es-ES_tradnl" w:eastAsia="nl-NL"/>
              </w:rPr>
              <w:t> </w:t>
            </w:r>
            <w:r w:rsidRPr="00502C6A">
              <w:rPr>
                <w:lang w:val="es-ES_tradnl" w:eastAsia="nl-NL"/>
              </w:rPr>
              <w:t>4 a esta Circular Administrativa) sobre cómo facilitar los trabajos relacionados con los satélites</w:t>
            </w:r>
            <w:r w:rsidR="004A7B85" w:rsidRPr="00564FF1">
              <w:rPr>
                <w:lang w:val="es-ES_tradnl" w:eastAsia="nl-NL"/>
              </w:rPr>
              <w:t>.</w:t>
            </w:r>
          </w:p>
        </w:tc>
        <w:tc>
          <w:tcPr>
            <w:tcW w:w="7809" w:type="dxa"/>
          </w:tcPr>
          <w:p w14:paraId="4F0BF9C2" w14:textId="2FD02413" w:rsidR="004A7B85"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resuelve invitar al Sector de Radiocomunicaciones de la UIT</w:t>
            </w:r>
          </w:p>
          <w:p w14:paraId="45482D6C" w14:textId="77777777"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1</w:t>
            </w:r>
            <w:r w:rsidRPr="00502C6A">
              <w:rPr>
                <w:lang w:val="es-ES_tradnl" w:eastAsia="nl-NL"/>
              </w:rPr>
              <w:tab/>
              <w:t xml:space="preserve">a definir las características técnicas pertinentes y a estudiar, teniendo en cuenta el considerando c) y el número </w:t>
            </w:r>
            <w:r w:rsidRPr="009E6C92">
              <w:rPr>
                <w:b/>
                <w:bCs/>
                <w:lang w:val="es-ES_tradnl" w:eastAsia="nl-NL"/>
              </w:rPr>
              <w:t>5.200</w:t>
            </w:r>
            <w:r w:rsidRPr="00502C6A">
              <w:rPr>
                <w:lang w:val="es-ES_tradnl" w:eastAsia="nl-NL"/>
              </w:rPr>
              <w:t>, la compatibilidad entre los nuevos sistemas del SMA(R)S posibles que utilicen la banda de frecuencias 117,975-137 MHz en los sentidos Tierra-espacio y espacio-Tierra y los servicios primarios existentes en esa misma banda y en las bandas de frecuencias adyacentes, garantizando al mismo tiempo la protección de los sistemas que utilizan los servicios primarios existentes en esas bandas, sin que se restrinja la utilización prevista de esos sistemas;</w:t>
            </w:r>
          </w:p>
          <w:p w14:paraId="7D036D16" w14:textId="77777777"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2</w:t>
            </w:r>
            <w:r w:rsidRPr="00502C6A">
              <w:rPr>
                <w:lang w:val="es-ES_tradnl" w:eastAsia="nl-NL"/>
              </w:rPr>
              <w:tab/>
              <w:t xml:space="preserve">a tener en cuenta los resultados de los estudios para formular recomendaciones técnicas y reglamentarias en relación con una posible nueva atribución al SMA(R)S en la banda de frecuencias 117,975-137 MHz, tomando en consideración la responsabilidad de la OACI indicada en el </w:t>
            </w:r>
            <w:r w:rsidRPr="009E6C92">
              <w:rPr>
                <w:i/>
                <w:iCs/>
                <w:lang w:val="es-ES_tradnl" w:eastAsia="nl-NL"/>
              </w:rPr>
              <w:t>observando b)</w:t>
            </w:r>
            <w:r w:rsidRPr="00502C6A">
              <w:rPr>
                <w:lang w:val="es-ES_tradnl" w:eastAsia="nl-NL"/>
              </w:rPr>
              <w:t>,</w:t>
            </w:r>
          </w:p>
          <w:p w14:paraId="077CD191" w14:textId="13FA7C09" w:rsidR="0044004E" w:rsidRPr="00502C6A" w:rsidRDefault="0044004E" w:rsidP="001E2EFF">
            <w:pPr>
              <w:pStyle w:val="Tabletext"/>
              <w:keepNext/>
              <w:tabs>
                <w:tab w:val="clear" w:pos="284"/>
                <w:tab w:val="left" w:pos="463"/>
              </w:tabs>
              <w:ind w:left="454"/>
              <w:jc w:val="both"/>
              <w:rPr>
                <w:rFonts w:eastAsia="???"/>
                <w:i/>
                <w:iCs/>
                <w:lang w:val="es-ES" w:eastAsia="nl-NL"/>
              </w:rPr>
            </w:pPr>
            <w:r w:rsidRPr="00502C6A">
              <w:rPr>
                <w:rFonts w:eastAsia="???"/>
                <w:i/>
                <w:iCs/>
                <w:lang w:val="es-ES" w:eastAsia="nl-NL"/>
              </w:rPr>
              <w:t>invita a la Conferencia Mundial de Radiocomunicaciones de 2023</w:t>
            </w:r>
          </w:p>
          <w:p w14:paraId="5A8062CB" w14:textId="77777777"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a examinar los resultados de los estudios y a adoptar las medidas oportunas, entre ellas la posible atribución al SMA(R)S a título primario dentro de la banda 117,975-137 MHz,</w:t>
            </w:r>
          </w:p>
          <w:p w14:paraId="0A5AEBA7"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invita a los Estados Miembros y a los Miembros de Sector</w:t>
            </w:r>
          </w:p>
          <w:p w14:paraId="5D0F1A57" w14:textId="77777777"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a participar activamente en los estudios y a presentar las características de los sistemas actuales y previstos que vayan a estudiarse, según proceda,</w:t>
            </w:r>
          </w:p>
          <w:p w14:paraId="2772700C"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invita a la Organización de Aviación Civil Internacional</w:t>
            </w:r>
          </w:p>
          <w:p w14:paraId="6C413A2C" w14:textId="77777777"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lastRenderedPageBreak/>
              <w:t>a participar en los estudios especificando los requisitos operacionales aeronáuticos y las características técnicas disponibles y pertinentes que deban tenerse en cuenta en los estudios del UIT-R, y a tener en cuenta las conclusiones relativas a la compartición y la compatibilidad a las que haya llegado el UIT-R en las SARP que haya que desarrollar para el SMA(R)S,</w:t>
            </w:r>
          </w:p>
          <w:p w14:paraId="1D61A492"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encarga al Secretario General</w:t>
            </w:r>
          </w:p>
          <w:p w14:paraId="06DCD60D" w14:textId="384AD4C9" w:rsidR="004A7B85" w:rsidRPr="00502C6A" w:rsidRDefault="0044004E" w:rsidP="001E2EFF">
            <w:pPr>
              <w:pStyle w:val="Tabletext"/>
              <w:tabs>
                <w:tab w:val="clear" w:pos="284"/>
                <w:tab w:val="left" w:pos="463"/>
              </w:tabs>
              <w:jc w:val="both"/>
              <w:rPr>
                <w:lang w:val="es-ES_tradnl" w:eastAsia="nl-NL"/>
              </w:rPr>
            </w:pPr>
            <w:r w:rsidRPr="00502C6A">
              <w:rPr>
                <w:lang w:val="es-ES_tradnl" w:eastAsia="nl-NL"/>
              </w:rPr>
              <w:t>que señale la presente Resolución a la atención de la OACI.</w:t>
            </w:r>
          </w:p>
        </w:tc>
        <w:tc>
          <w:tcPr>
            <w:tcW w:w="1406" w:type="dxa"/>
          </w:tcPr>
          <w:p w14:paraId="610C5D9A" w14:textId="291CBDFE" w:rsidR="004A7B85" w:rsidRPr="00502C6A" w:rsidRDefault="00A92266" w:rsidP="00AB516B">
            <w:pPr>
              <w:pStyle w:val="Tabletext"/>
              <w:tabs>
                <w:tab w:val="clear" w:pos="284"/>
                <w:tab w:val="left" w:pos="463"/>
              </w:tabs>
              <w:jc w:val="center"/>
              <w:rPr>
                <w:b/>
                <w:bCs/>
                <w:lang w:eastAsia="nl-NL"/>
              </w:rPr>
            </w:pPr>
            <w:r w:rsidRPr="00502C6A">
              <w:rPr>
                <w:b/>
                <w:bCs/>
                <w:lang w:eastAsia="nl-NL"/>
              </w:rPr>
              <w:lastRenderedPageBreak/>
              <w:t>GT</w:t>
            </w:r>
            <w:r w:rsidR="004A7B85" w:rsidRPr="00502C6A">
              <w:rPr>
                <w:b/>
                <w:bCs/>
                <w:lang w:eastAsia="nl-NL"/>
              </w:rPr>
              <w:t xml:space="preserve"> 3M, </w:t>
            </w:r>
            <w:r w:rsidR="00502C6A">
              <w:rPr>
                <w:b/>
                <w:bCs/>
                <w:lang w:eastAsia="nl-NL"/>
              </w:rPr>
              <w:br/>
            </w:r>
            <w:r w:rsidRPr="00502C6A">
              <w:rPr>
                <w:b/>
                <w:bCs/>
                <w:lang w:eastAsia="nl-NL"/>
              </w:rPr>
              <w:t>GT</w:t>
            </w:r>
            <w:r w:rsidR="004A7B85" w:rsidRPr="00502C6A">
              <w:rPr>
                <w:b/>
                <w:bCs/>
                <w:lang w:eastAsia="nl-NL"/>
              </w:rPr>
              <w:t xml:space="preserve"> 4C, </w:t>
            </w:r>
            <w:r w:rsidR="00502C6A">
              <w:rPr>
                <w:b/>
                <w:bCs/>
                <w:lang w:eastAsia="nl-NL"/>
              </w:rPr>
              <w:br/>
            </w:r>
            <w:r w:rsidRPr="00502C6A">
              <w:rPr>
                <w:b/>
                <w:bCs/>
                <w:lang w:eastAsia="nl-NL"/>
              </w:rPr>
              <w:t>GT</w:t>
            </w:r>
            <w:r w:rsidR="004A7B85" w:rsidRPr="00502C6A">
              <w:rPr>
                <w:b/>
                <w:bCs/>
                <w:lang w:eastAsia="nl-NL"/>
              </w:rPr>
              <w:t> 7B</w:t>
            </w:r>
          </w:p>
        </w:tc>
      </w:tr>
      <w:tr w:rsidR="004A7B85" w:rsidRPr="00882A01" w14:paraId="418076C1" w14:textId="77777777" w:rsidTr="003F05FF">
        <w:trPr>
          <w:gridAfter w:val="1"/>
          <w:wAfter w:w="27" w:type="dxa"/>
          <w:cantSplit/>
          <w:jc w:val="center"/>
        </w:trPr>
        <w:tc>
          <w:tcPr>
            <w:tcW w:w="14036" w:type="dxa"/>
            <w:gridSpan w:val="4"/>
          </w:tcPr>
          <w:p w14:paraId="0761798B" w14:textId="51AFA4A2" w:rsidR="004A7B85" w:rsidRPr="00502C6A" w:rsidRDefault="0044004E" w:rsidP="001E2EFF">
            <w:pPr>
              <w:pStyle w:val="Tabletext"/>
              <w:keepNext/>
              <w:tabs>
                <w:tab w:val="clear" w:pos="284"/>
                <w:tab w:val="left" w:pos="594"/>
              </w:tabs>
              <w:jc w:val="both"/>
              <w:rPr>
                <w:lang w:val="es-ES_tradnl" w:eastAsia="nl-NL"/>
              </w:rPr>
            </w:pPr>
            <w:r w:rsidRPr="00502C6A">
              <w:rPr>
                <w:lang w:val="es-ES_tradnl" w:eastAsia="nl-NL"/>
              </w:rPr>
              <w:t>1.8</w:t>
            </w:r>
            <w:r w:rsidRPr="00502C6A">
              <w:rPr>
                <w:lang w:val="es-ES_tradnl" w:eastAsia="nl-NL"/>
              </w:rPr>
              <w:tab/>
              <w:t>considerar, basándose en los estudios del UIT-R previstos en la Resolución </w:t>
            </w:r>
            <w:r w:rsidRPr="00502C6A">
              <w:rPr>
                <w:b/>
                <w:bCs/>
                <w:lang w:val="es-ES_tradnl" w:eastAsia="nl-NL"/>
              </w:rPr>
              <w:t>171 (CMR-19)</w:t>
            </w:r>
            <w:r w:rsidRPr="00502C6A">
              <w:rPr>
                <w:lang w:val="es-ES_tradnl" w:eastAsia="nl-NL"/>
              </w:rPr>
              <w:t xml:space="preserve">, medidas regulatorias adecuadas, para examinar y, de ser necesario, enmendar la Resolución </w:t>
            </w:r>
            <w:r w:rsidRPr="009E6C92">
              <w:rPr>
                <w:b/>
                <w:bCs/>
                <w:lang w:val="es-ES_tradnl" w:eastAsia="nl-NL"/>
              </w:rPr>
              <w:t>155 (Rev.CMR-19)</w:t>
            </w:r>
            <w:r w:rsidRPr="00502C6A">
              <w:rPr>
                <w:lang w:val="es-ES_tradnl" w:eastAsia="nl-NL"/>
              </w:rPr>
              <w:t xml:space="preserve"> y el número </w:t>
            </w:r>
            <w:r w:rsidRPr="009E6C92">
              <w:rPr>
                <w:b/>
                <w:bCs/>
                <w:lang w:val="es-ES_tradnl" w:eastAsia="nl-NL"/>
              </w:rPr>
              <w:t>5.484B</w:t>
            </w:r>
            <w:r w:rsidRPr="00502C6A">
              <w:rPr>
                <w:lang w:val="es-ES_tradnl" w:eastAsia="nl-NL"/>
              </w:rPr>
              <w:t xml:space="preserve"> del RR con objeto de permitir la utilización de redes de satélites del servicio fijo (SFS) para el control y las comunicaciones sin carga útil de sistemas de aeronaves no tripuladas;</w:t>
            </w:r>
          </w:p>
        </w:tc>
      </w:tr>
      <w:tr w:rsidR="004A7B85" w:rsidRPr="004A7B85" w14:paraId="5ABDADC6" w14:textId="77777777" w:rsidTr="003F05FF">
        <w:trPr>
          <w:gridAfter w:val="1"/>
          <w:wAfter w:w="27" w:type="dxa"/>
          <w:cantSplit/>
          <w:jc w:val="center"/>
        </w:trPr>
        <w:tc>
          <w:tcPr>
            <w:tcW w:w="3304" w:type="dxa"/>
          </w:tcPr>
          <w:p w14:paraId="785898DC" w14:textId="60D4D45D" w:rsidR="004A7B85" w:rsidRPr="00564FF1" w:rsidRDefault="004A7B85" w:rsidP="00502C6A">
            <w:pPr>
              <w:pStyle w:val="Tabletext"/>
              <w:tabs>
                <w:tab w:val="clear" w:pos="284"/>
                <w:tab w:val="left" w:pos="463"/>
              </w:tabs>
              <w:rPr>
                <w:lang w:val="es-ES_tradnl" w:eastAsia="nl-NL"/>
              </w:rPr>
            </w:pPr>
            <w:r w:rsidRPr="00DD275E">
              <w:rPr>
                <w:lang w:val="es-ES_tradnl" w:eastAsia="nl-NL"/>
              </w:rPr>
              <w:t>Resolu</w:t>
            </w:r>
            <w:r w:rsidR="0044004E" w:rsidRPr="00DD275E">
              <w:rPr>
                <w:lang w:val="es-ES_tradnl" w:eastAsia="nl-NL"/>
              </w:rPr>
              <w:t>ción</w:t>
            </w:r>
            <w:r w:rsidRPr="00564FF1">
              <w:rPr>
                <w:lang w:val="es-ES_tradnl" w:eastAsia="nl-NL"/>
              </w:rPr>
              <w:t> </w:t>
            </w:r>
            <w:r w:rsidRPr="00564FF1">
              <w:rPr>
                <w:b/>
                <w:bCs/>
                <w:lang w:val="es-ES_tradnl" w:eastAsia="nl-NL"/>
              </w:rPr>
              <w:t>171 (C</w:t>
            </w:r>
            <w:r w:rsidR="00502C6A">
              <w:rPr>
                <w:b/>
                <w:bCs/>
                <w:lang w:val="es-ES_tradnl" w:eastAsia="nl-NL"/>
              </w:rPr>
              <w:t>MR</w:t>
            </w:r>
            <w:r w:rsidRPr="00564FF1">
              <w:rPr>
                <w:b/>
                <w:bCs/>
                <w:lang w:val="es-ES_tradnl" w:eastAsia="nl-NL"/>
              </w:rPr>
              <w:noBreakHyphen/>
              <w:t>19)</w:t>
            </w:r>
          </w:p>
          <w:p w14:paraId="79ED2C73" w14:textId="61C17853" w:rsidR="004A7B85" w:rsidRPr="00502C6A" w:rsidRDefault="0044004E" w:rsidP="00502C6A">
            <w:pPr>
              <w:pStyle w:val="Tabletext"/>
              <w:tabs>
                <w:tab w:val="clear" w:pos="284"/>
                <w:tab w:val="left" w:pos="463"/>
              </w:tabs>
              <w:rPr>
                <w:lang w:val="es-ES_tradnl" w:eastAsia="nl-NL"/>
              </w:rPr>
            </w:pPr>
            <w:r w:rsidRPr="00502C6A">
              <w:rPr>
                <w:lang w:val="es-ES_tradnl" w:eastAsia="nl-NL"/>
              </w:rPr>
              <w:t xml:space="preserve">Examen y posible revisión de la Resolución </w:t>
            </w:r>
            <w:r w:rsidRPr="00CD5CE4">
              <w:rPr>
                <w:lang w:val="es-ES_tradnl" w:eastAsia="nl-NL"/>
              </w:rPr>
              <w:t>155 (</w:t>
            </w:r>
            <w:r w:rsidR="00CD5CE4">
              <w:rPr>
                <w:lang w:val="es-ES_tradnl" w:eastAsia="nl-NL"/>
              </w:rPr>
              <w:t>Rev.</w:t>
            </w:r>
            <w:r w:rsidRPr="00CD5CE4">
              <w:rPr>
                <w:lang w:val="es-ES_tradnl" w:eastAsia="nl-NL"/>
              </w:rPr>
              <w:t>CMR-1</w:t>
            </w:r>
            <w:r w:rsidR="00CD5CE4">
              <w:rPr>
                <w:lang w:val="es-ES_tradnl" w:eastAsia="nl-NL"/>
              </w:rPr>
              <w:t>9</w:t>
            </w:r>
            <w:r w:rsidRPr="00CD5CE4">
              <w:rPr>
                <w:lang w:val="es-ES_tradnl" w:eastAsia="nl-NL"/>
              </w:rPr>
              <w:t>)</w:t>
            </w:r>
            <w:r w:rsidRPr="00502C6A">
              <w:rPr>
                <w:lang w:val="es-ES_tradnl" w:eastAsia="nl-NL"/>
              </w:rPr>
              <w:t xml:space="preserve"> y del número</w:t>
            </w:r>
            <w:r w:rsidR="009E6C92">
              <w:rPr>
                <w:lang w:val="es-ES_tradnl" w:eastAsia="nl-NL"/>
              </w:rPr>
              <w:t> </w:t>
            </w:r>
            <w:r w:rsidRPr="00CD5CE4">
              <w:rPr>
                <w:lang w:val="es-ES_tradnl" w:eastAsia="nl-NL"/>
              </w:rPr>
              <w:t>5.484B</w:t>
            </w:r>
            <w:r w:rsidRPr="00502C6A">
              <w:rPr>
                <w:lang w:val="es-ES_tradnl" w:eastAsia="nl-NL"/>
              </w:rPr>
              <w:t xml:space="preserve"> en las bandas de frecuencias a las que se aplican</w:t>
            </w:r>
          </w:p>
        </w:tc>
        <w:tc>
          <w:tcPr>
            <w:tcW w:w="1517" w:type="dxa"/>
          </w:tcPr>
          <w:p w14:paraId="1ACF33C9" w14:textId="4115131B" w:rsidR="004A7B85" w:rsidRPr="00502C6A" w:rsidRDefault="00A92266" w:rsidP="00502C6A">
            <w:pPr>
              <w:pStyle w:val="Tabletext"/>
              <w:tabs>
                <w:tab w:val="clear" w:pos="284"/>
                <w:tab w:val="left" w:pos="463"/>
              </w:tabs>
              <w:jc w:val="center"/>
              <w:rPr>
                <w:b/>
                <w:bCs/>
                <w:lang w:val="es-ES_tradnl" w:eastAsia="nl-NL"/>
              </w:rPr>
            </w:pPr>
            <w:r w:rsidRPr="00502C6A">
              <w:rPr>
                <w:b/>
                <w:bCs/>
                <w:lang w:val="es-ES_tradnl" w:eastAsia="nl-NL"/>
              </w:rPr>
              <w:t>GT</w:t>
            </w:r>
            <w:r w:rsidR="004A7B85" w:rsidRPr="00502C6A">
              <w:rPr>
                <w:b/>
                <w:bCs/>
                <w:lang w:val="es-ES_tradnl" w:eastAsia="nl-NL"/>
              </w:rPr>
              <w:t> 5B</w:t>
            </w:r>
          </w:p>
          <w:p w14:paraId="1A02712D" w14:textId="251276C5" w:rsidR="004A7B85" w:rsidRPr="00564FF1" w:rsidRDefault="00AA3DC8" w:rsidP="00502C6A">
            <w:pPr>
              <w:pStyle w:val="Tabletext"/>
              <w:tabs>
                <w:tab w:val="clear" w:pos="284"/>
                <w:tab w:val="left" w:pos="463"/>
              </w:tabs>
              <w:rPr>
                <w:lang w:val="es-ES_tradnl" w:eastAsia="nl-NL"/>
              </w:rPr>
            </w:pPr>
            <w:r w:rsidRPr="009E6C92">
              <w:rPr>
                <w:u w:val="single"/>
                <w:lang w:val="es-ES_tradnl" w:eastAsia="nl-NL"/>
              </w:rPr>
              <w:t>Nota</w:t>
            </w:r>
            <w:r w:rsidRPr="00502C6A">
              <w:rPr>
                <w:lang w:val="es-ES_tradnl" w:eastAsia="nl-NL"/>
              </w:rPr>
              <w:t>: Véase el texto pertinente en el Informe de la reunión RPC23</w:t>
            </w:r>
            <w:r w:rsidR="00CD5CE4">
              <w:rPr>
                <w:lang w:val="es-ES_tradnl" w:eastAsia="nl-NL"/>
              </w:rPr>
              <w:noBreakHyphen/>
            </w:r>
            <w:r w:rsidRPr="00502C6A">
              <w:rPr>
                <w:lang w:val="es-ES_tradnl" w:eastAsia="nl-NL"/>
              </w:rPr>
              <w:t>1 (Anexo</w:t>
            </w:r>
            <w:r w:rsidR="009E6C92">
              <w:rPr>
                <w:lang w:val="es-ES_tradnl" w:eastAsia="nl-NL"/>
              </w:rPr>
              <w:t> </w:t>
            </w:r>
            <w:r w:rsidRPr="00502C6A">
              <w:rPr>
                <w:lang w:val="es-ES_tradnl" w:eastAsia="nl-NL"/>
              </w:rPr>
              <w:t>4 a esta Circular Administrativa) sobre cómo facilitar los trabajos relacionados con los satélites</w:t>
            </w:r>
            <w:r w:rsidR="004A7B85" w:rsidRPr="00564FF1">
              <w:rPr>
                <w:lang w:val="es-ES_tradnl" w:eastAsia="nl-NL"/>
              </w:rPr>
              <w:t>.</w:t>
            </w:r>
          </w:p>
        </w:tc>
        <w:tc>
          <w:tcPr>
            <w:tcW w:w="7809" w:type="dxa"/>
          </w:tcPr>
          <w:p w14:paraId="4B165F5D"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resuelve invitar al UIT-R</w:t>
            </w:r>
          </w:p>
          <w:p w14:paraId="34554E59" w14:textId="40E0E3FA"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1</w:t>
            </w:r>
            <w:r w:rsidRPr="00502C6A">
              <w:rPr>
                <w:lang w:val="es-ES_tradnl" w:eastAsia="nl-NL"/>
              </w:rPr>
              <w:tab/>
              <w:t xml:space="preserve">a proseguir y finalizar a tiempo para la CMR-23 los estudios pertinentes de los aspectos técnicos, operacionales y reglamentarios, basados en las bandas de frecuencias mencionadas en el </w:t>
            </w:r>
            <w:r w:rsidRPr="00334DED">
              <w:rPr>
                <w:i/>
                <w:iCs/>
                <w:lang w:val="es-ES_tradnl" w:eastAsia="nl-NL"/>
              </w:rPr>
              <w:t>resuelve</w:t>
            </w:r>
            <w:r w:rsidRPr="00502C6A">
              <w:rPr>
                <w:lang w:val="es-ES_tradnl" w:eastAsia="nl-NL"/>
              </w:rPr>
              <w:t xml:space="preserve"> 1 de la Resolución </w:t>
            </w:r>
            <w:r w:rsidRPr="00334DED">
              <w:rPr>
                <w:b/>
                <w:bCs/>
                <w:lang w:val="es-ES_tradnl" w:eastAsia="nl-NL"/>
              </w:rPr>
              <w:t>155 (</w:t>
            </w:r>
            <w:r w:rsidR="00CD5CE4">
              <w:rPr>
                <w:b/>
                <w:bCs/>
                <w:lang w:val="es-ES_tradnl" w:eastAsia="nl-NL"/>
              </w:rPr>
              <w:t>Rev.</w:t>
            </w:r>
            <w:r w:rsidRPr="00334DED">
              <w:rPr>
                <w:b/>
                <w:bCs/>
                <w:lang w:val="es-ES_tradnl" w:eastAsia="nl-NL"/>
              </w:rPr>
              <w:t>CMR-1</w:t>
            </w:r>
            <w:r w:rsidR="006A4D0F" w:rsidRPr="00334DED">
              <w:rPr>
                <w:b/>
                <w:bCs/>
                <w:lang w:val="es-ES_tradnl" w:eastAsia="nl-NL"/>
              </w:rPr>
              <w:t>9</w:t>
            </w:r>
            <w:r w:rsidRPr="00334DED">
              <w:rPr>
                <w:b/>
                <w:bCs/>
                <w:lang w:val="es-ES_tradnl" w:eastAsia="nl-NL"/>
              </w:rPr>
              <w:t>)</w:t>
            </w:r>
            <w:r w:rsidRPr="00502C6A">
              <w:rPr>
                <w:lang w:val="es-ES_tradnl" w:eastAsia="nl-NL"/>
              </w:rPr>
              <w:t>, en relación con la aplicación de la Resolución</w:t>
            </w:r>
            <w:r w:rsidR="00CD5CE4">
              <w:rPr>
                <w:lang w:val="es-ES_tradnl" w:eastAsia="nl-NL"/>
              </w:rPr>
              <w:t> </w:t>
            </w:r>
            <w:r w:rsidRPr="00334DED">
              <w:rPr>
                <w:b/>
                <w:bCs/>
                <w:lang w:val="es-ES_tradnl" w:eastAsia="nl-NL"/>
              </w:rPr>
              <w:t>155 (</w:t>
            </w:r>
            <w:r w:rsidR="00CD5CE4">
              <w:rPr>
                <w:b/>
                <w:bCs/>
                <w:lang w:val="es-ES_tradnl" w:eastAsia="nl-NL"/>
              </w:rPr>
              <w:t>Rev.</w:t>
            </w:r>
            <w:r w:rsidRPr="00334DED">
              <w:rPr>
                <w:b/>
                <w:bCs/>
                <w:lang w:val="es-ES_tradnl" w:eastAsia="nl-NL"/>
              </w:rPr>
              <w:t>CMR-1</w:t>
            </w:r>
            <w:r w:rsidR="006A4D0F" w:rsidRPr="00334DED">
              <w:rPr>
                <w:b/>
                <w:bCs/>
                <w:lang w:val="es-ES_tradnl" w:eastAsia="nl-NL"/>
              </w:rPr>
              <w:t>9</w:t>
            </w:r>
            <w:r w:rsidRPr="00334DED">
              <w:rPr>
                <w:b/>
                <w:bCs/>
                <w:lang w:val="es-ES_tradnl" w:eastAsia="nl-NL"/>
              </w:rPr>
              <w:t>)</w:t>
            </w:r>
            <w:r w:rsidRPr="00502C6A">
              <w:rPr>
                <w:lang w:val="es-ES_tradnl" w:eastAsia="nl-NL"/>
              </w:rPr>
              <w:t xml:space="preserve"> teniendo en cuenta los avances realizados por la OACI en la finalización de las SARP sobre el uso del SFS para los enlaces CNPC SANT;</w:t>
            </w:r>
          </w:p>
          <w:p w14:paraId="47AB84D2" w14:textId="3EBD3051"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2</w:t>
            </w:r>
            <w:r w:rsidRPr="00502C6A">
              <w:rPr>
                <w:lang w:val="es-ES_tradnl" w:eastAsia="nl-NL"/>
              </w:rPr>
              <w:tab/>
              <w:t xml:space="preserve">a revisar el número </w:t>
            </w:r>
            <w:r w:rsidRPr="00334DED">
              <w:rPr>
                <w:b/>
                <w:bCs/>
                <w:lang w:val="es-ES_tradnl" w:eastAsia="nl-NL"/>
              </w:rPr>
              <w:t>5.484B</w:t>
            </w:r>
            <w:r w:rsidRPr="00502C6A">
              <w:rPr>
                <w:lang w:val="es-ES_tradnl" w:eastAsia="nl-NL"/>
              </w:rPr>
              <w:t xml:space="preserve"> y la Resolución </w:t>
            </w:r>
            <w:r w:rsidRPr="00334DED">
              <w:rPr>
                <w:b/>
                <w:bCs/>
                <w:lang w:val="es-ES_tradnl" w:eastAsia="nl-NL"/>
              </w:rPr>
              <w:t>155 (</w:t>
            </w:r>
            <w:r w:rsidR="00CD5CE4">
              <w:rPr>
                <w:b/>
                <w:bCs/>
                <w:lang w:val="es-ES_tradnl" w:eastAsia="nl-NL"/>
              </w:rPr>
              <w:t>Rev.</w:t>
            </w:r>
            <w:r w:rsidRPr="00334DED">
              <w:rPr>
                <w:b/>
                <w:bCs/>
                <w:lang w:val="es-ES_tradnl" w:eastAsia="nl-NL"/>
              </w:rPr>
              <w:t>CMR-1</w:t>
            </w:r>
            <w:r w:rsidR="006A4D0F" w:rsidRPr="00334DED">
              <w:rPr>
                <w:b/>
                <w:bCs/>
                <w:lang w:val="es-ES_tradnl" w:eastAsia="nl-NL"/>
              </w:rPr>
              <w:t>9</w:t>
            </w:r>
            <w:r w:rsidRPr="00334DED">
              <w:rPr>
                <w:b/>
                <w:bCs/>
                <w:lang w:val="es-ES_tradnl" w:eastAsia="nl-NL"/>
              </w:rPr>
              <w:t>)</w:t>
            </w:r>
            <w:r w:rsidRPr="00502C6A">
              <w:rPr>
                <w:lang w:val="es-ES_tradnl" w:eastAsia="nl-NL"/>
              </w:rPr>
              <w:t xml:space="preserve"> teniendo en cuenta los resultados de los estudios antes mencionados,</w:t>
            </w:r>
          </w:p>
          <w:p w14:paraId="1A1359FD"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resuelve invitar a la CMR-23</w:t>
            </w:r>
          </w:p>
          <w:p w14:paraId="736FEF63" w14:textId="1AB699E5" w:rsidR="0044004E" w:rsidRPr="00502C6A" w:rsidRDefault="0044004E" w:rsidP="001E2EFF">
            <w:pPr>
              <w:pStyle w:val="Tabletext"/>
              <w:tabs>
                <w:tab w:val="clear" w:pos="284"/>
                <w:tab w:val="left" w:pos="463"/>
              </w:tabs>
              <w:jc w:val="both"/>
              <w:rPr>
                <w:lang w:val="es-ES_tradnl" w:eastAsia="nl-NL"/>
              </w:rPr>
            </w:pPr>
            <w:r w:rsidRPr="00502C6A">
              <w:rPr>
                <w:lang w:val="es-ES_tradnl" w:eastAsia="nl-NL"/>
              </w:rPr>
              <w:t xml:space="preserve">a revisar, si es preciso, el número </w:t>
            </w:r>
            <w:r w:rsidRPr="00334DED">
              <w:rPr>
                <w:b/>
                <w:bCs/>
                <w:lang w:val="es-ES_tradnl" w:eastAsia="nl-NL"/>
              </w:rPr>
              <w:t>5.484B</w:t>
            </w:r>
            <w:r w:rsidRPr="00502C6A">
              <w:rPr>
                <w:lang w:val="es-ES_tradnl" w:eastAsia="nl-NL"/>
              </w:rPr>
              <w:t xml:space="preserve"> y la Resolución </w:t>
            </w:r>
            <w:r w:rsidRPr="00334DED">
              <w:rPr>
                <w:b/>
                <w:bCs/>
                <w:lang w:val="es-ES_tradnl" w:eastAsia="nl-NL"/>
              </w:rPr>
              <w:t>155 (</w:t>
            </w:r>
            <w:r w:rsidR="00CD5CE4">
              <w:rPr>
                <w:b/>
                <w:bCs/>
                <w:lang w:val="es-ES_tradnl" w:eastAsia="nl-NL"/>
              </w:rPr>
              <w:t>Rev.</w:t>
            </w:r>
            <w:r w:rsidRPr="00334DED">
              <w:rPr>
                <w:b/>
                <w:bCs/>
                <w:lang w:val="es-ES_tradnl" w:eastAsia="nl-NL"/>
              </w:rPr>
              <w:t>CMR-1</w:t>
            </w:r>
            <w:r w:rsidR="006A4D0F" w:rsidRPr="00334DED">
              <w:rPr>
                <w:b/>
                <w:bCs/>
                <w:lang w:val="es-ES_tradnl" w:eastAsia="nl-NL"/>
              </w:rPr>
              <w:t>9</w:t>
            </w:r>
            <w:r w:rsidRPr="00334DED">
              <w:rPr>
                <w:b/>
                <w:bCs/>
                <w:lang w:val="es-ES_tradnl" w:eastAsia="nl-NL"/>
              </w:rPr>
              <w:t>)</w:t>
            </w:r>
            <w:r w:rsidRPr="00502C6A">
              <w:rPr>
                <w:lang w:val="es-ES_tradnl" w:eastAsia="nl-NL"/>
              </w:rPr>
              <w:t xml:space="preserve"> y tomar otras medidas necesarias, según proceda, a partir de los estudios llevados a cabo en virtud de la Resolución </w:t>
            </w:r>
            <w:r w:rsidRPr="00334DED">
              <w:rPr>
                <w:b/>
                <w:bCs/>
                <w:lang w:val="es-ES_tradnl" w:eastAsia="nl-NL"/>
              </w:rPr>
              <w:t>155 (</w:t>
            </w:r>
            <w:r w:rsidR="00CD5CE4">
              <w:rPr>
                <w:b/>
                <w:bCs/>
                <w:lang w:val="es-ES_tradnl" w:eastAsia="nl-NL"/>
              </w:rPr>
              <w:t>Rev.</w:t>
            </w:r>
            <w:r w:rsidRPr="00334DED">
              <w:rPr>
                <w:b/>
                <w:bCs/>
                <w:lang w:val="es-ES_tradnl" w:eastAsia="nl-NL"/>
              </w:rPr>
              <w:t>CMR-1</w:t>
            </w:r>
            <w:r w:rsidR="006A4D0F" w:rsidRPr="00334DED">
              <w:rPr>
                <w:b/>
                <w:bCs/>
                <w:lang w:val="es-ES_tradnl" w:eastAsia="nl-NL"/>
              </w:rPr>
              <w:t>9</w:t>
            </w:r>
            <w:r w:rsidRPr="00334DED">
              <w:rPr>
                <w:b/>
                <w:bCs/>
                <w:lang w:val="es-ES_tradnl" w:eastAsia="nl-NL"/>
              </w:rPr>
              <w:t>)</w:t>
            </w:r>
            <w:r w:rsidRPr="00502C6A">
              <w:rPr>
                <w:lang w:val="es-ES_tradnl" w:eastAsia="nl-NL"/>
              </w:rPr>
              <w:t xml:space="preserve"> y el </w:t>
            </w:r>
            <w:r w:rsidRPr="009E6C92">
              <w:rPr>
                <w:i/>
                <w:iCs/>
                <w:lang w:val="es-ES_tradnl" w:eastAsia="nl-NL"/>
              </w:rPr>
              <w:t>resuelve invitar al UIT-R</w:t>
            </w:r>
            <w:r w:rsidRPr="00502C6A">
              <w:rPr>
                <w:lang w:val="es-ES_tradnl" w:eastAsia="nl-NL"/>
              </w:rPr>
              <w:t xml:space="preserve"> anterior,</w:t>
            </w:r>
          </w:p>
          <w:p w14:paraId="283F96D0" w14:textId="77777777" w:rsidR="0044004E" w:rsidRPr="00502C6A" w:rsidRDefault="0044004E" w:rsidP="001E2EFF">
            <w:pPr>
              <w:pStyle w:val="Tabletext"/>
              <w:tabs>
                <w:tab w:val="clear" w:pos="284"/>
                <w:tab w:val="left" w:pos="463"/>
              </w:tabs>
              <w:ind w:left="454"/>
              <w:jc w:val="both"/>
              <w:rPr>
                <w:rFonts w:eastAsia="???"/>
                <w:i/>
                <w:iCs/>
                <w:lang w:val="es-ES" w:eastAsia="nl-NL"/>
              </w:rPr>
            </w:pPr>
            <w:r w:rsidRPr="00502C6A">
              <w:rPr>
                <w:rFonts w:eastAsia="???"/>
                <w:i/>
                <w:iCs/>
                <w:lang w:val="es-ES" w:eastAsia="nl-NL"/>
              </w:rPr>
              <w:t>encarga al Secretario General</w:t>
            </w:r>
          </w:p>
          <w:p w14:paraId="59272D9C" w14:textId="1A5D4D9E" w:rsidR="004A7B85" w:rsidRPr="00502C6A" w:rsidRDefault="0044004E" w:rsidP="001E2EFF">
            <w:pPr>
              <w:pStyle w:val="Tabletext"/>
              <w:tabs>
                <w:tab w:val="clear" w:pos="284"/>
                <w:tab w:val="left" w:pos="463"/>
              </w:tabs>
              <w:jc w:val="both"/>
              <w:rPr>
                <w:lang w:val="es-ES_tradnl" w:eastAsia="nl-NL"/>
              </w:rPr>
            </w:pPr>
            <w:r w:rsidRPr="00502C6A">
              <w:rPr>
                <w:lang w:val="es-ES_tradnl" w:eastAsia="nl-NL"/>
              </w:rPr>
              <w:t>que señale la presente Resolución a la atención del Secretario General de la OACI.</w:t>
            </w:r>
          </w:p>
        </w:tc>
        <w:tc>
          <w:tcPr>
            <w:tcW w:w="1406" w:type="dxa"/>
          </w:tcPr>
          <w:p w14:paraId="4F0DAD49" w14:textId="0CD97A8F" w:rsidR="004A7B85" w:rsidRPr="00502C6A" w:rsidRDefault="00A92266" w:rsidP="00502C6A">
            <w:pPr>
              <w:pStyle w:val="Tabletext"/>
              <w:tabs>
                <w:tab w:val="clear" w:pos="284"/>
                <w:tab w:val="left" w:pos="463"/>
              </w:tabs>
              <w:jc w:val="center"/>
              <w:rPr>
                <w:b/>
                <w:bCs/>
                <w:lang w:val="es-ES_tradnl" w:eastAsia="nl-NL"/>
              </w:rPr>
            </w:pPr>
            <w:r w:rsidRPr="00502C6A">
              <w:rPr>
                <w:b/>
                <w:bCs/>
                <w:lang w:val="es-ES_tradnl" w:eastAsia="nl-NL"/>
              </w:rPr>
              <w:t>GT</w:t>
            </w:r>
            <w:r w:rsidR="004A7B85" w:rsidRPr="00502C6A">
              <w:rPr>
                <w:b/>
                <w:bCs/>
                <w:lang w:val="es-ES_tradnl" w:eastAsia="nl-NL"/>
              </w:rPr>
              <w:t xml:space="preserve"> 4A, </w:t>
            </w:r>
            <w:r w:rsidR="00502C6A">
              <w:rPr>
                <w:b/>
                <w:bCs/>
                <w:lang w:val="es-ES_tradnl" w:eastAsia="nl-NL"/>
              </w:rPr>
              <w:br/>
            </w:r>
            <w:r w:rsidRPr="00502C6A">
              <w:rPr>
                <w:b/>
                <w:bCs/>
                <w:lang w:val="es-ES_tradnl" w:eastAsia="nl-NL"/>
              </w:rPr>
              <w:t>GT</w:t>
            </w:r>
            <w:r w:rsidR="004A7B85" w:rsidRPr="00502C6A">
              <w:rPr>
                <w:b/>
                <w:bCs/>
                <w:lang w:val="es-ES_tradnl" w:eastAsia="nl-NL"/>
              </w:rPr>
              <w:t> 4B</w:t>
            </w:r>
          </w:p>
        </w:tc>
      </w:tr>
      <w:tr w:rsidR="004A7B85" w:rsidRPr="00882A01" w14:paraId="02C4D896" w14:textId="77777777" w:rsidTr="003F05FF">
        <w:trPr>
          <w:gridAfter w:val="1"/>
          <w:wAfter w:w="27" w:type="dxa"/>
          <w:cantSplit/>
          <w:jc w:val="center"/>
        </w:trPr>
        <w:tc>
          <w:tcPr>
            <w:tcW w:w="14036" w:type="dxa"/>
            <w:gridSpan w:val="4"/>
          </w:tcPr>
          <w:p w14:paraId="24343AEA" w14:textId="76C99CFB" w:rsidR="004A7B85" w:rsidRPr="0098280D" w:rsidRDefault="004A7B85" w:rsidP="001E2EFF">
            <w:pPr>
              <w:pStyle w:val="Tabletext"/>
              <w:keepNext/>
              <w:keepLines/>
              <w:tabs>
                <w:tab w:val="clear" w:pos="284"/>
                <w:tab w:val="left" w:pos="594"/>
              </w:tabs>
              <w:jc w:val="both"/>
              <w:rPr>
                <w:lang w:val="es-ES_tradnl" w:eastAsia="nl-NL"/>
              </w:rPr>
            </w:pPr>
            <w:r w:rsidRPr="0098280D">
              <w:rPr>
                <w:lang w:val="es-ES_tradnl" w:eastAsia="nl-NL"/>
              </w:rPr>
              <w:t>1.9</w:t>
            </w:r>
            <w:r w:rsidRPr="0098280D">
              <w:rPr>
                <w:lang w:val="es-ES_tradnl" w:eastAsia="nl-NL"/>
              </w:rPr>
              <w:tab/>
            </w:r>
            <w:r w:rsidR="00993418" w:rsidRPr="0098280D">
              <w:rPr>
                <w:lang w:val="es-ES_tradnl" w:eastAsia="nl-NL"/>
              </w:rPr>
              <w:t xml:space="preserve">revisar el Apéndice </w:t>
            </w:r>
            <w:r w:rsidR="00993418" w:rsidRPr="009E6C92">
              <w:rPr>
                <w:b/>
                <w:bCs/>
                <w:lang w:val="es-ES_tradnl" w:eastAsia="nl-NL"/>
              </w:rPr>
              <w:t>27</w:t>
            </w:r>
            <w:r w:rsidR="00993418" w:rsidRPr="0098280D">
              <w:rPr>
                <w:lang w:val="es-ES_tradnl" w:eastAsia="nl-NL"/>
              </w:rPr>
              <w:t xml:space="preserve"> del Reglamento de Radiocomunicaciones y considerar las medidas reglamentarias y actualizaciones adecuadas basadas en los estudios del</w:t>
            </w:r>
            <w:r w:rsidR="0098280D">
              <w:rPr>
                <w:lang w:val="es-ES_tradnl" w:eastAsia="nl-NL"/>
              </w:rPr>
              <w:t> </w:t>
            </w:r>
            <w:r w:rsidR="00F67CAA">
              <w:rPr>
                <w:lang w:val="es-ES_tradnl" w:eastAsia="nl-NL"/>
              </w:rPr>
              <w:t>UIT</w:t>
            </w:r>
            <w:r w:rsidR="00F67CAA">
              <w:rPr>
                <w:lang w:val="es-ES_tradnl" w:eastAsia="nl-NL"/>
              </w:rPr>
              <w:noBreakHyphen/>
            </w:r>
            <w:r w:rsidR="00993418" w:rsidRPr="0098280D">
              <w:rPr>
                <w:lang w:val="es-ES_tradnl" w:eastAsia="nl-NL"/>
              </w:rPr>
              <w:t xml:space="preserve">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modernizados, de conformidad con la Resolución </w:t>
            </w:r>
            <w:r w:rsidR="00993418" w:rsidRPr="0098280D">
              <w:rPr>
                <w:b/>
                <w:bCs/>
                <w:lang w:val="es-ES_tradnl" w:eastAsia="nl-NL"/>
              </w:rPr>
              <w:t>429(CMR</w:t>
            </w:r>
            <w:r w:rsidR="00993418" w:rsidRPr="0098280D">
              <w:rPr>
                <w:b/>
                <w:bCs/>
                <w:lang w:val="es-ES_tradnl" w:eastAsia="nl-NL"/>
              </w:rPr>
              <w:noBreakHyphen/>
              <w:t>19)</w:t>
            </w:r>
            <w:r w:rsidR="00993418" w:rsidRPr="0098280D">
              <w:rPr>
                <w:lang w:val="es-ES_tradnl" w:eastAsia="nl-NL"/>
              </w:rPr>
              <w:t>;</w:t>
            </w:r>
          </w:p>
        </w:tc>
      </w:tr>
      <w:tr w:rsidR="004A7B85" w:rsidRPr="004A7B85" w14:paraId="46319931" w14:textId="77777777" w:rsidTr="003F05FF">
        <w:trPr>
          <w:gridAfter w:val="1"/>
          <w:wAfter w:w="27" w:type="dxa"/>
          <w:jc w:val="center"/>
        </w:trPr>
        <w:tc>
          <w:tcPr>
            <w:tcW w:w="3304" w:type="dxa"/>
          </w:tcPr>
          <w:p w14:paraId="54B5A119" w14:textId="2C251BAE" w:rsidR="004A7B85" w:rsidRPr="0098280D" w:rsidRDefault="004A7B85" w:rsidP="0098280D">
            <w:pPr>
              <w:pStyle w:val="Tabletext"/>
              <w:tabs>
                <w:tab w:val="clear" w:pos="284"/>
                <w:tab w:val="left" w:pos="463"/>
              </w:tabs>
              <w:rPr>
                <w:lang w:val="es-ES_tradnl" w:eastAsia="nl-NL"/>
              </w:rPr>
            </w:pPr>
            <w:r w:rsidRPr="0090572C">
              <w:rPr>
                <w:lang w:val="es-ES_tradnl" w:eastAsia="nl-NL"/>
              </w:rPr>
              <w:t>Resolu</w:t>
            </w:r>
            <w:r w:rsidR="00216765" w:rsidRPr="0090572C">
              <w:rPr>
                <w:lang w:val="es-ES_tradnl" w:eastAsia="nl-NL"/>
              </w:rPr>
              <w:t>c</w:t>
            </w:r>
            <w:r w:rsidRPr="0090572C">
              <w:rPr>
                <w:lang w:val="es-ES_tradnl" w:eastAsia="nl-NL"/>
              </w:rPr>
              <w:t>i</w:t>
            </w:r>
            <w:r w:rsidR="00216765" w:rsidRPr="0090572C">
              <w:rPr>
                <w:lang w:val="es-ES_tradnl" w:eastAsia="nl-NL"/>
              </w:rPr>
              <w:t>ó</w:t>
            </w:r>
            <w:r w:rsidRPr="0090572C">
              <w:rPr>
                <w:lang w:val="es-ES_tradnl" w:eastAsia="nl-NL"/>
              </w:rPr>
              <w:t>n</w:t>
            </w:r>
            <w:r w:rsidRPr="0098280D">
              <w:rPr>
                <w:lang w:val="es-ES_tradnl" w:eastAsia="nl-NL"/>
              </w:rPr>
              <w:t> </w:t>
            </w:r>
            <w:r w:rsidRPr="0098280D">
              <w:rPr>
                <w:b/>
                <w:bCs/>
                <w:lang w:val="es-ES_tradnl" w:eastAsia="nl-NL"/>
              </w:rPr>
              <w:t>429 (C</w:t>
            </w:r>
            <w:r w:rsidR="0098280D">
              <w:rPr>
                <w:b/>
                <w:bCs/>
                <w:lang w:val="es-ES_tradnl" w:eastAsia="nl-NL"/>
              </w:rPr>
              <w:t>MR</w:t>
            </w:r>
            <w:r w:rsidRPr="0098280D">
              <w:rPr>
                <w:b/>
                <w:bCs/>
                <w:lang w:val="es-ES_tradnl" w:eastAsia="nl-NL"/>
              </w:rPr>
              <w:noBreakHyphen/>
              <w:t>19)</w:t>
            </w:r>
          </w:p>
          <w:p w14:paraId="56F2152C" w14:textId="28B7208C" w:rsidR="004A7B85" w:rsidRPr="0098280D" w:rsidRDefault="0090572C" w:rsidP="0098280D">
            <w:pPr>
              <w:pStyle w:val="Tabletext"/>
              <w:tabs>
                <w:tab w:val="clear" w:pos="284"/>
                <w:tab w:val="left" w:pos="463"/>
              </w:tabs>
              <w:rPr>
                <w:lang w:val="es-ES_tradnl" w:eastAsia="nl-NL"/>
              </w:rPr>
            </w:pPr>
            <w:r w:rsidRPr="0098280D">
              <w:rPr>
                <w:lang w:val="es-ES_tradnl" w:eastAsia="nl-NL"/>
              </w:rPr>
              <w:t xml:space="preserve">Consideración de disposiciones reglamentarias para actualizar el </w:t>
            </w:r>
            <w:r w:rsidRPr="0098280D">
              <w:rPr>
                <w:lang w:val="es-ES_tradnl" w:eastAsia="nl-NL"/>
              </w:rPr>
              <w:lastRenderedPageBreak/>
              <w:t>Apéndice </w:t>
            </w:r>
            <w:r w:rsidRPr="002A052F">
              <w:rPr>
                <w:b/>
                <w:bCs/>
                <w:lang w:val="es-ES_tradnl" w:eastAsia="nl-NL"/>
              </w:rPr>
              <w:t>27</w:t>
            </w:r>
            <w:r w:rsidRPr="0098280D">
              <w:rPr>
                <w:lang w:val="es-ES_tradnl" w:eastAsia="nl-NL"/>
              </w:rPr>
              <w:t xml:space="preserve"> del Reglamento de Radiocomunicaciones en favor de la modernización de la HF aeronáutica</w:t>
            </w:r>
          </w:p>
        </w:tc>
        <w:tc>
          <w:tcPr>
            <w:tcW w:w="1517" w:type="dxa"/>
          </w:tcPr>
          <w:p w14:paraId="202328B4" w14:textId="714CDD95"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lastRenderedPageBreak/>
              <w:t>GT</w:t>
            </w:r>
            <w:r w:rsidR="004A7B85" w:rsidRPr="0098280D">
              <w:rPr>
                <w:b/>
                <w:bCs/>
                <w:lang w:val="es-ES_tradnl" w:eastAsia="nl-NL"/>
              </w:rPr>
              <w:t> 5B</w:t>
            </w:r>
          </w:p>
        </w:tc>
        <w:tc>
          <w:tcPr>
            <w:tcW w:w="7809" w:type="dxa"/>
          </w:tcPr>
          <w:p w14:paraId="1A1AA5B6" w14:textId="7AE54E2B" w:rsidR="003D61AB" w:rsidRPr="0098280D" w:rsidRDefault="003D61AB"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resuelve invitar al Sector de Radiocomunicaciones de la UIT</w:t>
            </w:r>
          </w:p>
          <w:p w14:paraId="46CF0D46" w14:textId="77777777"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lastRenderedPageBreak/>
              <w:t>1</w:t>
            </w:r>
            <w:r w:rsidRPr="0098280D">
              <w:rPr>
                <w:lang w:val="es-ES_tradnl" w:eastAsia="nl-NL"/>
              </w:rPr>
              <w:tab/>
              <w:t>a identificar cualquier modificación necesaria del Apéndice </w:t>
            </w:r>
            <w:r w:rsidRPr="002A052F">
              <w:rPr>
                <w:b/>
                <w:bCs/>
                <w:lang w:val="es-ES_tradnl" w:eastAsia="nl-NL"/>
              </w:rPr>
              <w:t>27</w:t>
            </w:r>
            <w:r w:rsidRPr="0098280D">
              <w:rPr>
                <w:lang w:val="es-ES_tradnl" w:eastAsia="nl-NL"/>
              </w:rPr>
              <w:t xml:space="preserve"> para el servicio móvil aeronáutico en rutas en las bandas de frecuencias 2 850 y 22 000 kHz, teniendo en cuenta el </w:t>
            </w:r>
            <w:r w:rsidRPr="0098280D">
              <w:rPr>
                <w:i/>
                <w:iCs/>
                <w:lang w:val="es-ES_tradnl" w:eastAsia="nl-NL"/>
              </w:rPr>
              <w:t>reconociendo c)</w:t>
            </w:r>
            <w:r w:rsidRPr="0098280D">
              <w:rPr>
                <w:lang w:val="es-ES_tradnl" w:eastAsia="nl-NL"/>
              </w:rPr>
              <w:t>;</w:t>
            </w:r>
          </w:p>
          <w:p w14:paraId="103D1B70" w14:textId="77777777"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2</w:t>
            </w:r>
            <w:r w:rsidRPr="0098280D">
              <w:rPr>
                <w:lang w:val="es-ES_tradnl" w:eastAsia="nl-NL"/>
              </w:rPr>
              <w:tab/>
              <w:t>a identificar las disposiciones transitorias necesarias para la introducción de nuevos sistemas aeronáuticos digitales de banda ancha en ondas decamétricas, así como todos los cambios consiguientes al Apéndice </w:t>
            </w:r>
            <w:r w:rsidRPr="002A052F">
              <w:rPr>
                <w:b/>
                <w:bCs/>
                <w:lang w:val="es-ES_tradnl" w:eastAsia="nl-NL"/>
              </w:rPr>
              <w:t>27</w:t>
            </w:r>
            <w:r w:rsidRPr="0098280D">
              <w:rPr>
                <w:lang w:val="es-ES_tradnl" w:eastAsia="nl-NL"/>
              </w:rPr>
              <w:t>;</w:t>
            </w:r>
          </w:p>
          <w:p w14:paraId="13524579" w14:textId="138DA7F1"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3</w:t>
            </w:r>
            <w:r w:rsidRPr="0098280D">
              <w:rPr>
                <w:lang w:val="es-ES_tradnl" w:eastAsia="nl-NL"/>
              </w:rPr>
              <w:tab/>
              <w:t>a recomendar la forma de introducir nuevos sistemas aeronáuticos digitales de banda ancha en ondas decamétricas y garantizar la observancia de requisitos de seguridad</w:t>
            </w:r>
            <w:r w:rsidR="00F67CAA">
              <w:rPr>
                <w:lang w:val="es-ES_tradnl" w:eastAsia="nl-NL"/>
              </w:rPr>
              <w:t xml:space="preserve"> y el </w:t>
            </w:r>
            <w:r w:rsidR="00F67CAA" w:rsidRPr="00F67CAA">
              <w:rPr>
                <w:i/>
                <w:lang w:val="es-ES_tradnl" w:eastAsia="nl-NL"/>
              </w:rPr>
              <w:t>reconociendo e)</w:t>
            </w:r>
            <w:r w:rsidRPr="0098280D">
              <w:rPr>
                <w:lang w:val="es-ES_tradnl" w:eastAsia="nl-NL"/>
              </w:rPr>
              <w:t>;</w:t>
            </w:r>
          </w:p>
          <w:p w14:paraId="563FE5C2" w14:textId="77777777"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4</w:t>
            </w:r>
            <w:r w:rsidRPr="0098280D">
              <w:rPr>
                <w:lang w:val="es-ES_tradnl" w:eastAsia="nl-NL"/>
              </w:rPr>
              <w:tab/>
              <w:t xml:space="preserve">a definir las características técnicas pertinentes y a realizar los estudios de compartición y compatibilidad necesarios, habida cuenta del </w:t>
            </w:r>
            <w:r w:rsidRPr="0098280D">
              <w:rPr>
                <w:i/>
                <w:iCs/>
                <w:lang w:val="es-ES_tradnl" w:eastAsia="nl-NL"/>
              </w:rPr>
              <w:t>observando e)</w:t>
            </w:r>
            <w:r w:rsidRPr="0098280D">
              <w:rPr>
                <w:lang w:val="es-ES_tradnl" w:eastAsia="nl-NL"/>
              </w:rPr>
              <w:t xml:space="preserve">, con los servicios establecidos a los que está atribuida la misma banda de frecuencias a título primario, o las bandas adyacentes, a fin de evitar la interferencia perjudicial, de conformidad con el </w:t>
            </w:r>
            <w:r w:rsidRPr="0098280D">
              <w:rPr>
                <w:i/>
                <w:iCs/>
                <w:lang w:val="es-ES_tradnl" w:eastAsia="nl-NL"/>
              </w:rPr>
              <w:t>reconociendo e)</w:t>
            </w:r>
            <w:r w:rsidRPr="0098280D">
              <w:rPr>
                <w:lang w:val="es-ES_tradnl" w:eastAsia="nl-NL"/>
              </w:rPr>
              <w:t>;</w:t>
            </w:r>
          </w:p>
          <w:p w14:paraId="6C5E2328" w14:textId="77777777"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5</w:t>
            </w:r>
            <w:r w:rsidRPr="0098280D">
              <w:rPr>
                <w:lang w:val="es-ES_tradnl" w:eastAsia="nl-NL"/>
              </w:rPr>
              <w:tab/>
              <w:t>a completar los estudios a tiempo para la CMR-23,</w:t>
            </w:r>
          </w:p>
          <w:p w14:paraId="7277B402" w14:textId="77777777" w:rsidR="003D61AB" w:rsidRPr="0098280D" w:rsidRDefault="003D61AB"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resuelve invitar a la Conferencia Mundial de Radiocomunicaciones de 2023</w:t>
            </w:r>
          </w:p>
          <w:p w14:paraId="7541A1F1" w14:textId="77777777"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a considerar los cambios necesarios al Apéndice </w:t>
            </w:r>
            <w:r w:rsidRPr="002A052F">
              <w:rPr>
                <w:b/>
                <w:bCs/>
                <w:lang w:val="es-ES_tradnl" w:eastAsia="nl-NL"/>
              </w:rPr>
              <w:t>27</w:t>
            </w:r>
            <w:r w:rsidRPr="0098280D">
              <w:rPr>
                <w:lang w:val="es-ES_tradnl" w:eastAsia="nl-NL"/>
              </w:rPr>
              <w:t xml:space="preserve">, de acuerdo con los estudios realizados en el marco del </w:t>
            </w:r>
            <w:r w:rsidRPr="0098280D">
              <w:rPr>
                <w:i/>
                <w:iCs/>
                <w:lang w:val="es-ES_tradnl" w:eastAsia="nl-NL"/>
              </w:rPr>
              <w:t>resuelve invitar al Sector de Radiocomunicaciones de la UIT</w:t>
            </w:r>
            <w:r w:rsidRPr="0098280D">
              <w:rPr>
                <w:lang w:val="es-ES_tradnl" w:eastAsia="nl-NL"/>
              </w:rPr>
              <w:t>,</w:t>
            </w:r>
          </w:p>
          <w:p w14:paraId="71EE8612" w14:textId="77777777" w:rsidR="003D61AB" w:rsidRPr="0098280D" w:rsidRDefault="003D61AB"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encarga al Secretario General</w:t>
            </w:r>
          </w:p>
          <w:p w14:paraId="669A538D" w14:textId="2EB7F1B8" w:rsidR="003D61AB" w:rsidRPr="0098280D" w:rsidRDefault="003D61AB" w:rsidP="001E2EFF">
            <w:pPr>
              <w:pStyle w:val="Tabletext"/>
              <w:tabs>
                <w:tab w:val="clear" w:pos="284"/>
                <w:tab w:val="left" w:pos="463"/>
              </w:tabs>
              <w:jc w:val="both"/>
              <w:rPr>
                <w:lang w:val="es-ES_tradnl" w:eastAsia="nl-NL"/>
              </w:rPr>
            </w:pPr>
            <w:r w:rsidRPr="0098280D">
              <w:rPr>
                <w:lang w:val="es-ES_tradnl" w:eastAsia="nl-NL"/>
              </w:rPr>
              <w:t>que comunique esta Resolución a la Organización de Aviación Civil Internacional</w:t>
            </w:r>
            <w:r w:rsidR="00051770">
              <w:rPr>
                <w:lang w:val="es-ES_tradnl" w:eastAsia="nl-NL"/>
              </w:rPr>
              <w:t>,</w:t>
            </w:r>
          </w:p>
          <w:p w14:paraId="49844188" w14:textId="77777777" w:rsidR="003D61AB" w:rsidRPr="0098280D" w:rsidRDefault="003D61AB"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 la Organización de Aviación Civil Internacional</w:t>
            </w:r>
          </w:p>
          <w:p w14:paraId="3F8F553A" w14:textId="3E6377DB" w:rsidR="004A7B85" w:rsidRPr="0098280D" w:rsidRDefault="003D61AB" w:rsidP="001E2EFF">
            <w:pPr>
              <w:pStyle w:val="Tabletext"/>
              <w:tabs>
                <w:tab w:val="clear" w:pos="284"/>
                <w:tab w:val="left" w:pos="463"/>
              </w:tabs>
              <w:jc w:val="both"/>
              <w:rPr>
                <w:lang w:val="es-ES_tradnl" w:eastAsia="nl-NL"/>
              </w:rPr>
            </w:pPr>
            <w:r w:rsidRPr="0098280D">
              <w:rPr>
                <w:lang w:val="es-ES_tradnl" w:eastAsia="nl-NL"/>
              </w:rPr>
              <w:t>a participar activamente mediante la provisión de requisitos operacionales aeronáuticos y las características técnicas disponibles pertinentes que se deberían tener en cuenta en los estudios del UIT-R</w:t>
            </w:r>
            <w:r w:rsidR="00051770">
              <w:rPr>
                <w:lang w:val="es-ES_tradnl" w:eastAsia="nl-NL"/>
              </w:rPr>
              <w:t>.</w:t>
            </w:r>
          </w:p>
        </w:tc>
        <w:tc>
          <w:tcPr>
            <w:tcW w:w="1406" w:type="dxa"/>
          </w:tcPr>
          <w:p w14:paraId="78C55A99" w14:textId="77ADBF79"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lastRenderedPageBreak/>
              <w:t>GT</w:t>
            </w:r>
            <w:r w:rsidR="004A7B85" w:rsidRPr="0098280D">
              <w:rPr>
                <w:b/>
                <w:bCs/>
                <w:lang w:val="es-ES_tradnl" w:eastAsia="nl-NL"/>
              </w:rPr>
              <w:t xml:space="preserve"> 3L, </w:t>
            </w:r>
            <w:r w:rsidR="0098280D">
              <w:rPr>
                <w:b/>
                <w:bCs/>
                <w:lang w:val="es-ES_tradnl" w:eastAsia="nl-NL"/>
              </w:rPr>
              <w:br/>
            </w:r>
            <w:r w:rsidRPr="0098280D">
              <w:rPr>
                <w:b/>
                <w:bCs/>
                <w:lang w:val="es-ES_tradnl" w:eastAsia="nl-NL"/>
              </w:rPr>
              <w:t>GT</w:t>
            </w:r>
            <w:r w:rsidR="004A7B85" w:rsidRPr="0098280D">
              <w:rPr>
                <w:b/>
                <w:bCs/>
                <w:lang w:val="es-ES_tradnl" w:eastAsia="nl-NL"/>
              </w:rPr>
              <w:t xml:space="preserve"> 3M, </w:t>
            </w:r>
            <w:r w:rsidR="0098280D">
              <w:rPr>
                <w:b/>
                <w:bCs/>
                <w:lang w:val="es-ES_tradnl" w:eastAsia="nl-NL"/>
              </w:rPr>
              <w:br/>
            </w:r>
            <w:r w:rsidRPr="0098280D">
              <w:rPr>
                <w:b/>
                <w:bCs/>
                <w:lang w:val="es-ES_tradnl" w:eastAsia="nl-NL"/>
              </w:rPr>
              <w:t>GT</w:t>
            </w:r>
            <w:r w:rsidR="004A7B85" w:rsidRPr="0098280D">
              <w:rPr>
                <w:b/>
                <w:bCs/>
                <w:lang w:val="es-ES_tradnl" w:eastAsia="nl-NL"/>
              </w:rPr>
              <w:t> 6A</w:t>
            </w:r>
          </w:p>
        </w:tc>
      </w:tr>
      <w:tr w:rsidR="004A7B85" w:rsidRPr="00882A01" w14:paraId="64B03AB9" w14:textId="77777777" w:rsidTr="003F05FF">
        <w:trPr>
          <w:gridAfter w:val="1"/>
          <w:wAfter w:w="27" w:type="dxa"/>
          <w:cantSplit/>
          <w:jc w:val="center"/>
        </w:trPr>
        <w:tc>
          <w:tcPr>
            <w:tcW w:w="14036" w:type="dxa"/>
            <w:gridSpan w:val="4"/>
          </w:tcPr>
          <w:p w14:paraId="5187E02F" w14:textId="59DBACCE" w:rsidR="004A7B85" w:rsidRPr="002A052F" w:rsidRDefault="002A052F" w:rsidP="001E2EFF">
            <w:pPr>
              <w:pStyle w:val="Tabletext"/>
              <w:keepNext/>
              <w:keepLines/>
              <w:tabs>
                <w:tab w:val="left" w:pos="594"/>
              </w:tabs>
              <w:jc w:val="both"/>
              <w:rPr>
                <w:lang w:val="es-ES_tradnl" w:eastAsia="nl-NL"/>
              </w:rPr>
            </w:pPr>
            <w:r w:rsidRPr="002A052F">
              <w:rPr>
                <w:lang w:val="es-ES_tradnl" w:eastAsia="nl-NL"/>
              </w:rPr>
              <w:lastRenderedPageBreak/>
              <w:t>1.10</w:t>
            </w:r>
            <w:r w:rsidRPr="002A052F">
              <w:rPr>
                <w:lang w:val="es-ES_tradnl" w:eastAsia="nl-NL"/>
              </w:rPr>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2A052F">
              <w:rPr>
                <w:b/>
                <w:bCs/>
                <w:lang w:val="es-ES" w:eastAsia="nl-NL"/>
              </w:rPr>
              <w:t>430</w:t>
            </w:r>
            <w:r w:rsidRPr="002A052F">
              <w:rPr>
                <w:b/>
                <w:bCs/>
                <w:lang w:val="es-ES_tradnl" w:eastAsia="nl-NL"/>
              </w:rPr>
              <w:t xml:space="preserve"> (CMR-19)</w:t>
            </w:r>
            <w:r w:rsidRPr="002A052F">
              <w:rPr>
                <w:lang w:val="es-ES_tradnl" w:eastAsia="nl-NL"/>
              </w:rPr>
              <w:t>;</w:t>
            </w:r>
          </w:p>
        </w:tc>
      </w:tr>
      <w:tr w:rsidR="004A7B85" w:rsidRPr="004A7B85" w14:paraId="5EEBD83A" w14:textId="77777777" w:rsidTr="003F05FF">
        <w:trPr>
          <w:gridAfter w:val="1"/>
          <w:wAfter w:w="27" w:type="dxa"/>
          <w:cantSplit/>
          <w:jc w:val="center"/>
        </w:trPr>
        <w:tc>
          <w:tcPr>
            <w:tcW w:w="3304" w:type="dxa"/>
          </w:tcPr>
          <w:p w14:paraId="57C9A844" w14:textId="1ECC5052" w:rsidR="004A7B85" w:rsidRPr="0098280D" w:rsidRDefault="005254D8" w:rsidP="0098280D">
            <w:pPr>
              <w:pStyle w:val="Tabletext"/>
              <w:tabs>
                <w:tab w:val="clear" w:pos="284"/>
                <w:tab w:val="left" w:pos="463"/>
              </w:tabs>
              <w:rPr>
                <w:lang w:val="es-ES_tradnl" w:eastAsia="nl-NL"/>
              </w:rPr>
            </w:pPr>
            <w:r w:rsidRPr="005254D8">
              <w:rPr>
                <w:lang w:val="es-ES_tradnl" w:eastAsia="nl-NL"/>
              </w:rPr>
              <w:t>Resolución</w:t>
            </w:r>
            <w:r w:rsidR="004A7B85" w:rsidRPr="0098280D">
              <w:rPr>
                <w:lang w:val="es-ES_tradnl" w:eastAsia="nl-NL"/>
              </w:rPr>
              <w:t> </w:t>
            </w:r>
            <w:r w:rsidR="004A7B85" w:rsidRPr="0098280D">
              <w:rPr>
                <w:b/>
                <w:bCs/>
                <w:lang w:val="es-ES_tradnl" w:eastAsia="nl-NL"/>
              </w:rPr>
              <w:t>430 (</w:t>
            </w:r>
            <w:r w:rsidRPr="0098280D">
              <w:rPr>
                <w:b/>
                <w:bCs/>
                <w:lang w:val="es-ES_tradnl" w:eastAsia="nl-NL"/>
              </w:rPr>
              <w:t>CM</w:t>
            </w:r>
            <w:r w:rsidR="004A7B85" w:rsidRPr="0098280D">
              <w:rPr>
                <w:b/>
                <w:bCs/>
                <w:lang w:val="es-ES_tradnl" w:eastAsia="nl-NL"/>
              </w:rPr>
              <w:t>R</w:t>
            </w:r>
            <w:r w:rsidR="004A7B85" w:rsidRPr="0098280D">
              <w:rPr>
                <w:b/>
                <w:bCs/>
                <w:lang w:val="es-ES_tradnl" w:eastAsia="nl-NL"/>
              </w:rPr>
              <w:noBreakHyphen/>
              <w:t>19)</w:t>
            </w:r>
          </w:p>
          <w:p w14:paraId="6E492978" w14:textId="48D43F6F" w:rsidR="004A7B85" w:rsidRPr="0098280D" w:rsidRDefault="005254D8" w:rsidP="0098280D">
            <w:pPr>
              <w:pStyle w:val="Tabletext"/>
              <w:tabs>
                <w:tab w:val="clear" w:pos="284"/>
                <w:tab w:val="left" w:pos="463"/>
              </w:tabs>
              <w:rPr>
                <w:lang w:val="es-ES_tradnl" w:eastAsia="nl-NL"/>
              </w:rPr>
            </w:pPr>
            <w:r w:rsidRPr="0098280D">
              <w:rPr>
                <w:lang w:val="es-ES_tradnl" w:eastAsia="nl-NL"/>
              </w:rPr>
              <w:t>Estudios sobre cuestiones relativas a las frecuencias, incluidas posibles atribuciones adicionales, para la posible introducción de nuevas aplicaciones móviles aeronáuticas no relacionadas con la seguridad</w:t>
            </w:r>
          </w:p>
        </w:tc>
        <w:tc>
          <w:tcPr>
            <w:tcW w:w="1517" w:type="dxa"/>
          </w:tcPr>
          <w:p w14:paraId="07C8C899" w14:textId="6E86730D"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t>GT</w:t>
            </w:r>
            <w:r w:rsidR="004A7B85" w:rsidRPr="0098280D">
              <w:rPr>
                <w:b/>
                <w:bCs/>
                <w:lang w:val="es-ES_tradnl" w:eastAsia="nl-NL"/>
              </w:rPr>
              <w:t> 5B</w:t>
            </w:r>
          </w:p>
        </w:tc>
        <w:tc>
          <w:tcPr>
            <w:tcW w:w="7809" w:type="dxa"/>
          </w:tcPr>
          <w:p w14:paraId="1B4A693D" w14:textId="10B4034F" w:rsidR="005254D8" w:rsidRPr="0098280D" w:rsidRDefault="005254D8"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resuelve invitar al Sector de Radiocomunicaciones de la UIT</w:t>
            </w:r>
          </w:p>
          <w:p w14:paraId="0334D1D6" w14:textId="77777777"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a realizar y completar a tiempo para la CMR-23:</w:t>
            </w:r>
          </w:p>
          <w:p w14:paraId="1C629F30" w14:textId="77777777"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1</w:t>
            </w:r>
            <w:r w:rsidRPr="0098280D">
              <w:rPr>
                <w:lang w:val="es-ES_tradnl" w:eastAsia="nl-NL"/>
              </w:rPr>
              <w:tab/>
              <w:t>estudios sobre las necesidades de espectro de las nuevas aplicaciones móviles aeronáuticas no relacionadas con la seguridad para las comunicaciones aire-aire, tierra-aire y aire-tierra de los sistemas de aeronaves;</w:t>
            </w:r>
          </w:p>
          <w:p w14:paraId="0E81C0DF" w14:textId="7A85FC5A"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2</w:t>
            </w:r>
            <w:r w:rsidRPr="0098280D">
              <w:rPr>
                <w:lang w:val="es-ES_tradnl" w:eastAsia="nl-NL"/>
              </w:rPr>
              <w:tab/>
              <w:t>estudios de compartición y compatibilidad en la banda de frecuencias 22</w:t>
            </w:r>
            <w:r w:rsidR="00DD275E" w:rsidRPr="0098280D">
              <w:rPr>
                <w:lang w:val="es-ES_tradnl" w:eastAsia="nl-NL"/>
              </w:rPr>
              <w:noBreakHyphen/>
            </w:r>
            <w:r w:rsidRPr="0098280D">
              <w:rPr>
                <w:lang w:val="es-ES_tradnl" w:eastAsia="nl-NL"/>
              </w:rPr>
              <w:t>22,21 GHz ya atribuida a título primario al servicio móvil, salvo móvil aeronáutico, a fin de evaluar la posible revisión o supresión de la restricción «salvo móvil aeronáutico», garantizando la protección de los servicios existentes en las bandas de frecuencias consideradas y, en su caso, en las bandas de frecuencias adyacentes;</w:t>
            </w:r>
          </w:p>
          <w:p w14:paraId="22D0D99F" w14:textId="77777777"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3</w:t>
            </w:r>
            <w:r w:rsidRPr="0098280D">
              <w:rPr>
                <w:lang w:val="es-ES_tradnl" w:eastAsia="nl-NL"/>
              </w:rPr>
              <w:tab/>
              <w:t>estudios de compartición y compatibilidad sobre posibles nuevas atribuciones a título primario al servicio móvil aeronáutico para aplicaciones aeronáuticas no relacionadas con la seguridad en la banda de frecuencias 15,4-15,7 GHz, garantizando la protección de los servicios a título primario en las gamas de frecuencias consideradas y, según proceda, en las bandas de frecuencias adyacentes;</w:t>
            </w:r>
          </w:p>
          <w:p w14:paraId="41395B7D" w14:textId="6A64FF1E"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4</w:t>
            </w:r>
            <w:r w:rsidRPr="0098280D">
              <w:rPr>
                <w:lang w:val="es-ES_tradnl" w:eastAsia="nl-NL"/>
              </w:rPr>
              <w:tab/>
              <w:t>a definir una protección apropiada para los servicios pasivos y de radioastronomía a los que están atribuidas las bandas adyacentes frente a las emisiones no deseadas del</w:t>
            </w:r>
            <w:r w:rsidR="0098280D">
              <w:rPr>
                <w:lang w:val="es-ES_tradnl" w:eastAsia="nl-NL"/>
              </w:rPr>
              <w:t> </w:t>
            </w:r>
            <w:r w:rsidRPr="0098280D">
              <w:rPr>
                <w:lang w:val="es-ES_tradnl" w:eastAsia="nl-NL"/>
              </w:rPr>
              <w:t>SMA,</w:t>
            </w:r>
          </w:p>
          <w:p w14:paraId="5077A320" w14:textId="77777777" w:rsidR="005254D8" w:rsidRPr="0098280D" w:rsidRDefault="005254D8"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 la Conferencia Mundial de Radiocomunicaciones de 2023</w:t>
            </w:r>
          </w:p>
          <w:p w14:paraId="18B9DEDD" w14:textId="77777777" w:rsidR="005254D8" w:rsidRPr="0098280D" w:rsidRDefault="005254D8" w:rsidP="001E2EFF">
            <w:pPr>
              <w:pStyle w:val="Tabletext"/>
              <w:tabs>
                <w:tab w:val="clear" w:pos="284"/>
                <w:tab w:val="left" w:pos="463"/>
              </w:tabs>
              <w:jc w:val="both"/>
              <w:rPr>
                <w:lang w:val="es-ES_tradnl" w:eastAsia="nl-NL"/>
              </w:rPr>
            </w:pPr>
            <w:r w:rsidRPr="0098280D">
              <w:rPr>
                <w:lang w:val="es-ES_tradnl" w:eastAsia="nl-NL"/>
              </w:rPr>
              <w:t>a examinar los resultados de los estudios del UIT-R y a tomar las medidas adecuadas,</w:t>
            </w:r>
          </w:p>
          <w:p w14:paraId="2DA78EC4" w14:textId="77777777" w:rsidR="005254D8" w:rsidRPr="0098280D" w:rsidRDefault="005254D8"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 las administraciones</w:t>
            </w:r>
          </w:p>
          <w:p w14:paraId="64723B3A" w14:textId="0247C084" w:rsidR="004A7B85" w:rsidRPr="0098280D" w:rsidRDefault="005254D8" w:rsidP="001E2EFF">
            <w:pPr>
              <w:pStyle w:val="Tabletext"/>
              <w:tabs>
                <w:tab w:val="clear" w:pos="284"/>
                <w:tab w:val="left" w:pos="463"/>
              </w:tabs>
              <w:jc w:val="both"/>
              <w:rPr>
                <w:lang w:val="es-ES_tradnl" w:eastAsia="nl-NL"/>
              </w:rPr>
            </w:pPr>
            <w:r w:rsidRPr="0098280D">
              <w:rPr>
                <w:lang w:val="es-ES_tradnl" w:eastAsia="nl-NL"/>
              </w:rPr>
              <w:t>a participar activamente en los estudios presentando sus contribuciones al UIT</w:t>
            </w:r>
            <w:r w:rsidRPr="0098280D">
              <w:rPr>
                <w:lang w:val="es-ES_tradnl" w:eastAsia="nl-NL"/>
              </w:rPr>
              <w:noBreakHyphen/>
              <w:t>R.</w:t>
            </w:r>
          </w:p>
        </w:tc>
        <w:tc>
          <w:tcPr>
            <w:tcW w:w="1406" w:type="dxa"/>
          </w:tcPr>
          <w:p w14:paraId="0D570873" w14:textId="224302A3" w:rsidR="004A7B85" w:rsidRPr="0098280D" w:rsidRDefault="00A92266" w:rsidP="0098280D">
            <w:pPr>
              <w:pStyle w:val="Tabletext"/>
              <w:tabs>
                <w:tab w:val="clear" w:pos="284"/>
                <w:tab w:val="left" w:pos="463"/>
              </w:tabs>
              <w:jc w:val="center"/>
              <w:rPr>
                <w:b/>
                <w:bCs/>
                <w:lang w:eastAsia="nl-NL"/>
              </w:rPr>
            </w:pPr>
            <w:r w:rsidRPr="0098280D">
              <w:rPr>
                <w:b/>
                <w:bCs/>
                <w:lang w:eastAsia="nl-NL"/>
              </w:rPr>
              <w:t>GT</w:t>
            </w:r>
            <w:r w:rsidR="004A7B85" w:rsidRPr="0098280D">
              <w:rPr>
                <w:b/>
                <w:bCs/>
                <w:lang w:eastAsia="nl-NL"/>
              </w:rPr>
              <w:t xml:space="preserve"> 3K, </w:t>
            </w:r>
            <w:r w:rsidR="0098280D" w:rsidRPr="0098280D">
              <w:rPr>
                <w:b/>
                <w:bCs/>
                <w:lang w:eastAsia="nl-NL"/>
              </w:rPr>
              <w:br/>
            </w:r>
            <w:r w:rsidRPr="0098280D">
              <w:rPr>
                <w:b/>
                <w:bCs/>
                <w:lang w:eastAsia="nl-NL"/>
              </w:rPr>
              <w:t>GT</w:t>
            </w:r>
            <w:r w:rsidR="004A7B85" w:rsidRPr="0098280D">
              <w:rPr>
                <w:b/>
                <w:bCs/>
                <w:lang w:eastAsia="nl-NL"/>
              </w:rPr>
              <w:t xml:space="preserve"> 3M, </w:t>
            </w:r>
            <w:r w:rsidR="0098280D" w:rsidRPr="0098280D">
              <w:rPr>
                <w:b/>
                <w:bCs/>
                <w:lang w:eastAsia="nl-NL"/>
              </w:rPr>
              <w:br/>
            </w:r>
            <w:r w:rsidRPr="0098280D">
              <w:rPr>
                <w:b/>
                <w:bCs/>
                <w:lang w:eastAsia="nl-NL"/>
              </w:rPr>
              <w:t>GT</w:t>
            </w:r>
            <w:r w:rsidR="004A7B85" w:rsidRPr="0098280D">
              <w:rPr>
                <w:b/>
                <w:bCs/>
                <w:lang w:eastAsia="nl-NL"/>
              </w:rPr>
              <w:t xml:space="preserve"> 4A, </w:t>
            </w:r>
            <w:r w:rsidR="0098280D" w:rsidRPr="0098280D">
              <w:rPr>
                <w:b/>
                <w:bCs/>
                <w:lang w:eastAsia="nl-NL"/>
              </w:rPr>
              <w:br/>
            </w:r>
            <w:r w:rsidRPr="0098280D">
              <w:rPr>
                <w:b/>
                <w:bCs/>
                <w:lang w:eastAsia="nl-NL"/>
              </w:rPr>
              <w:t>GT</w:t>
            </w:r>
            <w:r w:rsidR="004A7B85" w:rsidRPr="0098280D">
              <w:rPr>
                <w:b/>
                <w:bCs/>
                <w:lang w:eastAsia="nl-NL"/>
              </w:rPr>
              <w:t xml:space="preserve"> 5A, </w:t>
            </w:r>
            <w:r w:rsidR="0098280D" w:rsidRPr="0098280D">
              <w:rPr>
                <w:b/>
                <w:bCs/>
                <w:lang w:eastAsia="nl-NL"/>
              </w:rPr>
              <w:br/>
            </w:r>
            <w:r w:rsidRPr="0098280D">
              <w:rPr>
                <w:b/>
                <w:bCs/>
                <w:lang w:eastAsia="nl-NL"/>
              </w:rPr>
              <w:t>GT</w:t>
            </w:r>
            <w:r w:rsidR="004A7B85" w:rsidRPr="0098280D">
              <w:rPr>
                <w:b/>
                <w:bCs/>
                <w:lang w:eastAsia="nl-NL"/>
              </w:rPr>
              <w:t xml:space="preserve"> 5C, </w:t>
            </w:r>
            <w:r w:rsidR="0098280D" w:rsidRPr="0098280D">
              <w:rPr>
                <w:b/>
                <w:bCs/>
                <w:lang w:eastAsia="nl-NL"/>
              </w:rPr>
              <w:br/>
            </w:r>
            <w:r w:rsidRPr="0098280D">
              <w:rPr>
                <w:b/>
                <w:bCs/>
                <w:lang w:eastAsia="nl-NL"/>
              </w:rPr>
              <w:t>GT</w:t>
            </w:r>
            <w:r w:rsidR="004A7B85" w:rsidRPr="0098280D">
              <w:rPr>
                <w:b/>
                <w:bCs/>
                <w:lang w:eastAsia="nl-NL"/>
              </w:rPr>
              <w:t xml:space="preserve"> 7C, </w:t>
            </w:r>
            <w:r w:rsidR="0098280D" w:rsidRPr="0098280D">
              <w:rPr>
                <w:b/>
                <w:bCs/>
                <w:lang w:eastAsia="nl-NL"/>
              </w:rPr>
              <w:br/>
            </w:r>
            <w:r w:rsidRPr="0098280D">
              <w:rPr>
                <w:b/>
                <w:bCs/>
                <w:lang w:eastAsia="nl-NL"/>
              </w:rPr>
              <w:t>GT</w:t>
            </w:r>
            <w:r w:rsidR="004A7B85" w:rsidRPr="0098280D">
              <w:rPr>
                <w:b/>
                <w:bCs/>
                <w:lang w:eastAsia="nl-NL"/>
              </w:rPr>
              <w:t> 7D</w:t>
            </w:r>
          </w:p>
        </w:tc>
      </w:tr>
      <w:tr w:rsidR="004A7B85" w:rsidRPr="00882A01" w14:paraId="12664A82" w14:textId="77777777" w:rsidTr="003F05FF">
        <w:trPr>
          <w:gridAfter w:val="1"/>
          <w:wAfter w:w="27" w:type="dxa"/>
          <w:cantSplit/>
          <w:jc w:val="center"/>
        </w:trPr>
        <w:tc>
          <w:tcPr>
            <w:tcW w:w="14036" w:type="dxa"/>
            <w:gridSpan w:val="4"/>
          </w:tcPr>
          <w:p w14:paraId="72FDEC7C" w14:textId="58F86B40" w:rsidR="004A7B85" w:rsidRPr="0098280D" w:rsidRDefault="004A7B85" w:rsidP="001E2EFF">
            <w:pPr>
              <w:pStyle w:val="Tabletext"/>
              <w:keepNext/>
              <w:keepLines/>
              <w:tabs>
                <w:tab w:val="clear" w:pos="284"/>
                <w:tab w:val="left" w:pos="594"/>
              </w:tabs>
              <w:jc w:val="both"/>
              <w:rPr>
                <w:lang w:val="es-ES_tradnl" w:eastAsia="nl-NL"/>
              </w:rPr>
            </w:pPr>
            <w:r w:rsidRPr="0098280D">
              <w:rPr>
                <w:lang w:val="es-ES_tradnl" w:eastAsia="nl-NL"/>
              </w:rPr>
              <w:lastRenderedPageBreak/>
              <w:t>1.11</w:t>
            </w:r>
            <w:r w:rsidRPr="0098280D">
              <w:rPr>
                <w:lang w:val="es-ES_tradnl" w:eastAsia="nl-NL"/>
              </w:rPr>
              <w:tab/>
            </w:r>
            <w:r w:rsidR="00AD6F54" w:rsidRPr="0098280D">
              <w:rPr>
                <w:lang w:val="es-ES_tradnl" w:eastAsia="nl-NL"/>
              </w:rPr>
              <w:t>considerar las posibles medidas reglamentarias para facilitar la modernización del Sistema Mundial de Socorro y Seguridad Marítimos y la aplicación de la navegación electrónica, de conformidad con la Resolución </w:t>
            </w:r>
            <w:r w:rsidR="00AD6F54" w:rsidRPr="0098280D">
              <w:rPr>
                <w:b/>
                <w:bCs/>
                <w:lang w:val="es-ES_tradnl" w:eastAsia="nl-NL"/>
              </w:rPr>
              <w:t>361 (Rev.CMR-19)</w:t>
            </w:r>
            <w:r w:rsidR="00AD6F54" w:rsidRPr="0098280D">
              <w:rPr>
                <w:lang w:val="es-ES_tradnl" w:eastAsia="nl-NL"/>
              </w:rPr>
              <w:t>;</w:t>
            </w:r>
          </w:p>
        </w:tc>
      </w:tr>
      <w:tr w:rsidR="004A7B85" w:rsidRPr="00882A01" w14:paraId="496181D0" w14:textId="77777777" w:rsidTr="003F05FF">
        <w:trPr>
          <w:gridAfter w:val="1"/>
          <w:wAfter w:w="27" w:type="dxa"/>
          <w:cantSplit/>
          <w:jc w:val="center"/>
        </w:trPr>
        <w:tc>
          <w:tcPr>
            <w:tcW w:w="3304" w:type="dxa"/>
          </w:tcPr>
          <w:p w14:paraId="794521A2" w14:textId="02D78AED" w:rsidR="004A7B85" w:rsidRPr="0098280D" w:rsidRDefault="0098280D" w:rsidP="0098280D">
            <w:pPr>
              <w:pStyle w:val="Tabletext"/>
              <w:tabs>
                <w:tab w:val="clear" w:pos="284"/>
                <w:tab w:val="left" w:pos="463"/>
              </w:tabs>
              <w:rPr>
                <w:lang w:val="es-ES_tradnl" w:eastAsia="nl-NL"/>
              </w:rPr>
            </w:pPr>
            <w:r w:rsidRPr="0098280D">
              <w:rPr>
                <w:lang w:val="es-ES_tradnl" w:eastAsia="nl-NL"/>
              </w:rPr>
              <w:t>Resolu</w:t>
            </w:r>
            <w:r>
              <w:rPr>
                <w:lang w:val="es-ES_tradnl" w:eastAsia="nl-NL"/>
              </w:rPr>
              <w:t>c</w:t>
            </w:r>
            <w:r w:rsidRPr="0098280D">
              <w:rPr>
                <w:lang w:val="es-ES_tradnl" w:eastAsia="nl-NL"/>
              </w:rPr>
              <w:t>ión</w:t>
            </w:r>
            <w:r w:rsidR="004A7B85" w:rsidRPr="0098280D">
              <w:rPr>
                <w:lang w:val="es-ES_tradnl" w:eastAsia="nl-NL"/>
              </w:rPr>
              <w:t> </w:t>
            </w:r>
            <w:r w:rsidR="004A7B85" w:rsidRPr="0098280D">
              <w:rPr>
                <w:b/>
                <w:bCs/>
                <w:lang w:val="es-ES_tradnl" w:eastAsia="nl-NL"/>
              </w:rPr>
              <w:t>361 (Rev.C</w:t>
            </w:r>
            <w:r w:rsidRPr="0098280D">
              <w:rPr>
                <w:b/>
                <w:bCs/>
                <w:lang w:val="es-ES_tradnl" w:eastAsia="nl-NL"/>
              </w:rPr>
              <w:t>MR</w:t>
            </w:r>
            <w:r w:rsidR="004A7B85" w:rsidRPr="0098280D">
              <w:rPr>
                <w:b/>
                <w:bCs/>
                <w:lang w:val="es-ES_tradnl" w:eastAsia="nl-NL"/>
              </w:rPr>
              <w:noBreakHyphen/>
              <w:t>19)</w:t>
            </w:r>
          </w:p>
          <w:p w14:paraId="6C283DD5" w14:textId="76E2C3CB" w:rsidR="004A7B85" w:rsidRPr="0098280D" w:rsidRDefault="00AD6F54" w:rsidP="0098280D">
            <w:pPr>
              <w:pStyle w:val="Tabletext"/>
              <w:tabs>
                <w:tab w:val="clear" w:pos="284"/>
                <w:tab w:val="left" w:pos="463"/>
              </w:tabs>
              <w:rPr>
                <w:lang w:val="es-ES_tradnl" w:eastAsia="nl-NL"/>
              </w:rPr>
            </w:pPr>
            <w:bookmarkStart w:id="27" w:name="_Toc450048717"/>
            <w:r w:rsidRPr="0098280D">
              <w:rPr>
                <w:lang w:val="es-ES_tradnl" w:eastAsia="nl-NL"/>
              </w:rPr>
              <w:t>Consideración de posibles medidas reglamentarias para</w:t>
            </w:r>
            <w:r w:rsidR="0098280D">
              <w:rPr>
                <w:lang w:val="es-ES_tradnl" w:eastAsia="nl-NL"/>
              </w:rPr>
              <w:t xml:space="preserve"> </w:t>
            </w:r>
            <w:r w:rsidRPr="0098280D">
              <w:rPr>
                <w:lang w:val="es-ES_tradnl" w:eastAsia="nl-NL"/>
              </w:rPr>
              <w:t>facilitar la modernización del Sistema Mundial de Socorro y</w:t>
            </w:r>
            <w:r w:rsidR="0098280D">
              <w:rPr>
                <w:lang w:val="es-ES_tradnl" w:eastAsia="nl-NL"/>
              </w:rPr>
              <w:t xml:space="preserve"> </w:t>
            </w:r>
            <w:r w:rsidRPr="0098280D">
              <w:rPr>
                <w:lang w:val="es-ES_tradnl" w:eastAsia="nl-NL"/>
              </w:rPr>
              <w:t>Seguridad Marítimos y</w:t>
            </w:r>
            <w:r w:rsidRPr="0098280D" w:rsidDel="00A66185">
              <w:rPr>
                <w:lang w:val="es-ES_tradnl" w:eastAsia="nl-NL"/>
              </w:rPr>
              <w:t xml:space="preserve"> </w:t>
            </w:r>
            <w:r w:rsidRPr="0098280D">
              <w:rPr>
                <w:lang w:val="es-ES_tradnl" w:eastAsia="nl-NL"/>
              </w:rPr>
              <w:t>la implementación</w:t>
            </w:r>
            <w:r w:rsidR="0098280D">
              <w:rPr>
                <w:lang w:val="es-ES_tradnl" w:eastAsia="nl-NL"/>
              </w:rPr>
              <w:t xml:space="preserve"> </w:t>
            </w:r>
            <w:r w:rsidRPr="0098280D">
              <w:rPr>
                <w:lang w:val="es-ES_tradnl" w:eastAsia="nl-NL"/>
              </w:rPr>
              <w:t>de la navegación electrónica</w:t>
            </w:r>
            <w:bookmarkEnd w:id="27"/>
          </w:p>
        </w:tc>
        <w:tc>
          <w:tcPr>
            <w:tcW w:w="1517" w:type="dxa"/>
          </w:tcPr>
          <w:p w14:paraId="5ED9097E" w14:textId="2AB017E4"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t>GT</w:t>
            </w:r>
            <w:r w:rsidR="004A7B85" w:rsidRPr="0098280D">
              <w:rPr>
                <w:b/>
                <w:bCs/>
                <w:lang w:val="es-ES_tradnl" w:eastAsia="nl-NL"/>
              </w:rPr>
              <w:t> 5B</w:t>
            </w:r>
          </w:p>
          <w:p w14:paraId="474DFD04" w14:textId="64375230" w:rsidR="004A7B85" w:rsidRPr="00564FF1" w:rsidRDefault="004A7B85" w:rsidP="0098280D">
            <w:pPr>
              <w:pStyle w:val="Tabletext"/>
              <w:tabs>
                <w:tab w:val="clear" w:pos="284"/>
                <w:tab w:val="left" w:pos="463"/>
              </w:tabs>
              <w:rPr>
                <w:lang w:val="es-ES_tradnl" w:eastAsia="nl-NL"/>
              </w:rPr>
            </w:pPr>
            <w:r w:rsidRPr="00564FF1">
              <w:rPr>
                <w:u w:val="single"/>
                <w:lang w:val="es-ES_tradnl" w:eastAsia="nl-NL"/>
              </w:rPr>
              <w:t>Not</w:t>
            </w:r>
            <w:r w:rsidR="00AA3DC8" w:rsidRPr="00564FF1">
              <w:rPr>
                <w:u w:val="single"/>
                <w:lang w:val="es-ES_tradnl" w:eastAsia="nl-NL"/>
              </w:rPr>
              <w:t>a</w:t>
            </w:r>
            <w:r w:rsidRPr="00564FF1">
              <w:rPr>
                <w:lang w:val="es-ES_tradnl" w:eastAsia="nl-NL"/>
              </w:rPr>
              <w:t xml:space="preserve">: </w:t>
            </w:r>
            <w:r w:rsidR="00051770" w:rsidRPr="00564FF1">
              <w:rPr>
                <w:lang w:val="es-ES_tradnl" w:eastAsia="nl-NL"/>
              </w:rPr>
              <w:t xml:space="preserve">Véase </w:t>
            </w:r>
            <w:r w:rsidR="00AA3DC8" w:rsidRPr="00564FF1">
              <w:rPr>
                <w:lang w:val="es-ES_tradnl" w:eastAsia="nl-NL"/>
              </w:rPr>
              <w:t>el texto perti</w:t>
            </w:r>
            <w:r w:rsidR="0098280D" w:rsidRPr="00564FF1">
              <w:rPr>
                <w:lang w:val="es-ES_tradnl" w:eastAsia="nl-NL"/>
              </w:rPr>
              <w:t>n</w:t>
            </w:r>
            <w:r w:rsidR="00AA3DC8" w:rsidRPr="00564FF1">
              <w:rPr>
                <w:lang w:val="es-ES_tradnl" w:eastAsia="nl-NL"/>
              </w:rPr>
              <w:t>ente en el Informe de la reunión RPC</w:t>
            </w:r>
            <w:r w:rsidRPr="00564FF1">
              <w:rPr>
                <w:lang w:val="es-ES_tradnl" w:eastAsia="nl-NL"/>
              </w:rPr>
              <w:t>23</w:t>
            </w:r>
            <w:r w:rsidR="00051770">
              <w:rPr>
                <w:lang w:val="es-ES_tradnl" w:eastAsia="nl-NL"/>
              </w:rPr>
              <w:noBreakHyphen/>
            </w:r>
            <w:r w:rsidRPr="00564FF1">
              <w:rPr>
                <w:lang w:val="es-ES_tradnl" w:eastAsia="nl-NL"/>
              </w:rPr>
              <w:t>1</w:t>
            </w:r>
            <w:r w:rsidR="00AA3DC8" w:rsidRPr="00564FF1">
              <w:rPr>
                <w:lang w:val="es-ES_tradnl" w:eastAsia="nl-NL"/>
              </w:rPr>
              <w:t xml:space="preserve"> </w:t>
            </w:r>
            <w:r w:rsidR="00AA3DC8" w:rsidRPr="0098280D">
              <w:rPr>
                <w:lang w:val="es-ES_tradnl" w:eastAsia="nl-NL"/>
              </w:rPr>
              <w:t>(Anexo</w:t>
            </w:r>
            <w:r w:rsidR="006B10FF">
              <w:rPr>
                <w:lang w:val="es-ES_tradnl" w:eastAsia="nl-NL"/>
              </w:rPr>
              <w:t> </w:t>
            </w:r>
            <w:r w:rsidR="00AA3DC8" w:rsidRPr="0098280D">
              <w:rPr>
                <w:lang w:val="es-ES_tradnl" w:eastAsia="nl-NL"/>
              </w:rPr>
              <w:t>4 a esta Circular Administrativa</w:t>
            </w:r>
            <w:r w:rsidRPr="00564FF1">
              <w:rPr>
                <w:lang w:val="es-ES_tradnl" w:eastAsia="nl-NL"/>
              </w:rPr>
              <w:t>)</w:t>
            </w:r>
            <w:r w:rsidR="007115A4">
              <w:rPr>
                <w:lang w:val="es-ES_tradnl" w:eastAsia="nl-NL"/>
              </w:rPr>
              <w:t>.</w:t>
            </w:r>
          </w:p>
        </w:tc>
        <w:tc>
          <w:tcPr>
            <w:tcW w:w="7809" w:type="dxa"/>
          </w:tcPr>
          <w:p w14:paraId="41761664" w14:textId="596FCD27" w:rsidR="004A7B85" w:rsidRPr="0098280D" w:rsidRDefault="00AD6F54"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resuelve invitar a la Conferencia Mundial de Radiocomunicaciones de 2023</w:t>
            </w:r>
          </w:p>
          <w:p w14:paraId="404EBC28" w14:textId="77777777" w:rsidR="00AD6F54" w:rsidRPr="0098280D" w:rsidRDefault="00AD6F54" w:rsidP="001E2EFF">
            <w:pPr>
              <w:pStyle w:val="Tabletext"/>
              <w:tabs>
                <w:tab w:val="clear" w:pos="284"/>
                <w:tab w:val="left" w:pos="463"/>
              </w:tabs>
              <w:jc w:val="both"/>
              <w:rPr>
                <w:lang w:val="es-ES_tradnl" w:eastAsia="nl-NL"/>
              </w:rPr>
            </w:pPr>
            <w:r w:rsidRPr="0098280D">
              <w:rPr>
                <w:lang w:val="es-ES_tradnl" w:eastAsia="nl-NL"/>
              </w:rPr>
              <w:t>1</w:t>
            </w:r>
            <w:r w:rsidRPr="0098280D">
              <w:rPr>
                <w:lang w:val="es-ES_tradnl" w:eastAsia="nl-NL"/>
              </w:rPr>
              <w:tab/>
              <w:t>a considerar posibles medidas reglamentarias basadas en los estudios del Sector de Radiocomunicaciones de la UIT (UIT-R), teniendo en cuenta las actividades de la OMI, así como la información y los requisitos comunicados por la OMI, para facilitar la modernización del SMSSM;</w:t>
            </w:r>
          </w:p>
          <w:p w14:paraId="27953408" w14:textId="77777777" w:rsidR="00AD6F54" w:rsidRPr="0098280D" w:rsidRDefault="00AD6F54" w:rsidP="001E2EFF">
            <w:pPr>
              <w:pStyle w:val="Tabletext"/>
              <w:tabs>
                <w:tab w:val="clear" w:pos="284"/>
                <w:tab w:val="left" w:pos="463"/>
              </w:tabs>
              <w:jc w:val="both"/>
              <w:rPr>
                <w:lang w:val="es-ES_tradnl" w:eastAsia="nl-NL"/>
              </w:rPr>
            </w:pPr>
            <w:r w:rsidRPr="0098280D">
              <w:rPr>
                <w:lang w:val="es-ES_tradnl" w:eastAsia="nl-NL"/>
              </w:rPr>
              <w:t>2</w:t>
            </w:r>
            <w:r w:rsidRPr="0098280D">
              <w:rPr>
                <w:lang w:val="es-ES_tradnl" w:eastAsia="nl-NL"/>
              </w:rPr>
              <w:tab/>
              <w:t>a estudiar posibles medidas reglamentarias, incluidas atribuciones de espectro basadas en los estudios del UIT</w:t>
            </w:r>
            <w:r w:rsidRPr="0098280D">
              <w:rPr>
                <w:lang w:val="es-ES_tradnl" w:eastAsia="nl-NL"/>
              </w:rPr>
              <w:noBreakHyphen/>
              <w:t>R, para el servicio móvil marítimo, a fin de dar soporte a la navegación electrónica;</w:t>
            </w:r>
          </w:p>
          <w:p w14:paraId="21F9E728" w14:textId="5CAFCFCF" w:rsidR="00AD6F54" w:rsidRPr="0098280D" w:rsidRDefault="00AD6F54" w:rsidP="001E2EFF">
            <w:pPr>
              <w:pStyle w:val="Tabletext"/>
              <w:tabs>
                <w:tab w:val="clear" w:pos="284"/>
                <w:tab w:val="left" w:pos="463"/>
              </w:tabs>
              <w:jc w:val="both"/>
              <w:rPr>
                <w:lang w:val="es-ES_tradnl" w:eastAsia="nl-NL"/>
              </w:rPr>
            </w:pPr>
            <w:r w:rsidRPr="0098280D">
              <w:rPr>
                <w:lang w:val="es-ES_tradnl" w:eastAsia="nl-NL"/>
              </w:rPr>
              <w:t>3</w:t>
            </w:r>
            <w:r w:rsidRPr="0098280D">
              <w:rPr>
                <w:lang w:val="es-ES_tradnl" w:eastAsia="nl-NL"/>
              </w:rPr>
              <w:tab/>
              <w:t>a considerar disposiciones reglamentarias, en su caso, a tenor de los estudios del</w:t>
            </w:r>
            <w:r w:rsidR="00F20FDD" w:rsidRPr="0098280D">
              <w:rPr>
                <w:lang w:val="es-ES_tradnl" w:eastAsia="nl-NL"/>
              </w:rPr>
              <w:t> </w:t>
            </w:r>
            <w:r w:rsidRPr="0098280D">
              <w:rPr>
                <w:lang w:val="es-ES_tradnl" w:eastAsia="nl-NL"/>
              </w:rPr>
              <w:t>UIT</w:t>
            </w:r>
            <w:r w:rsidRPr="0098280D">
              <w:rPr>
                <w:lang w:val="es-ES_tradnl" w:eastAsia="nl-NL"/>
              </w:rPr>
              <w:noBreakHyphen/>
              <w:t xml:space="preserve">R a que se hace referencia en el </w:t>
            </w:r>
            <w:r w:rsidRPr="005C4BDF">
              <w:rPr>
                <w:i/>
                <w:iCs/>
                <w:lang w:val="es-ES_tradnl" w:eastAsia="nl-NL"/>
              </w:rPr>
              <w:t>invita al Sector de Radiocomunicaciones de la UIT</w:t>
            </w:r>
            <w:r w:rsidRPr="0098280D">
              <w:rPr>
                <w:lang w:val="es-ES_tradnl" w:eastAsia="nl-NL"/>
              </w:rPr>
              <w:t xml:space="preserve"> </w:t>
            </w:r>
            <w:r w:rsidRPr="005C4BDF">
              <w:rPr>
                <w:i/>
                <w:iCs/>
                <w:lang w:val="es-ES_tradnl" w:eastAsia="nl-NL"/>
              </w:rPr>
              <w:t>infra</w:t>
            </w:r>
            <w:r w:rsidRPr="0098280D">
              <w:rPr>
                <w:lang w:val="es-ES_tradnl" w:eastAsia="nl-NL"/>
              </w:rPr>
              <w:t>,</w:t>
            </w:r>
            <w:r w:rsidRPr="0098280D" w:rsidDel="00087D4A">
              <w:rPr>
                <w:lang w:val="es-ES_tradnl" w:eastAsia="nl-NL"/>
              </w:rPr>
              <w:t xml:space="preserve"> </w:t>
            </w:r>
            <w:r w:rsidRPr="0098280D">
              <w:rPr>
                <w:lang w:val="es-ES_tradnl" w:eastAsia="nl-NL"/>
              </w:rPr>
              <w:t>para dar soporte a la introducción de sistemas de satélites adicionales en el SMSSM,</w:t>
            </w:r>
          </w:p>
          <w:p w14:paraId="0B25B19E" w14:textId="77777777" w:rsidR="00AD6F54" w:rsidRPr="0098280D" w:rsidRDefault="00AD6F54"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al Sector de Radiocomunicaciones de la UIT</w:t>
            </w:r>
          </w:p>
          <w:p w14:paraId="401BA3D6" w14:textId="5700324E" w:rsidR="00AD6F54" w:rsidRPr="0098280D" w:rsidRDefault="00AD6F54" w:rsidP="001E2EFF">
            <w:pPr>
              <w:pStyle w:val="Tabletext"/>
              <w:tabs>
                <w:tab w:val="clear" w:pos="284"/>
                <w:tab w:val="left" w:pos="463"/>
              </w:tabs>
              <w:jc w:val="both"/>
              <w:rPr>
                <w:lang w:val="es-ES_tradnl" w:eastAsia="nl-NL"/>
              </w:rPr>
            </w:pPr>
            <w:r w:rsidRPr="0098280D">
              <w:rPr>
                <w:lang w:val="es-ES_tradnl" w:eastAsia="nl-NL"/>
              </w:rPr>
              <w:t>a llevar a cabo estudios teniendo en cuenta las actividades de la OMI y de otras organizaciones internacionales pertinentes, a fin de determinar las necesidades de espectro y las medidas reglamentarias para la modernización del SMSSM y la implementación de la navegación electrónica, incluida la introducción de sistemas de satélites adicionales en el</w:t>
            </w:r>
            <w:r w:rsidR="00F20FDD" w:rsidRPr="0098280D">
              <w:rPr>
                <w:lang w:val="es-ES_tradnl" w:eastAsia="nl-NL"/>
              </w:rPr>
              <w:t> </w:t>
            </w:r>
            <w:r w:rsidRPr="0098280D">
              <w:rPr>
                <w:lang w:val="es-ES_tradnl" w:eastAsia="nl-NL"/>
              </w:rPr>
              <w:t>SMSSM,</w:t>
            </w:r>
          </w:p>
          <w:p w14:paraId="7F690D5F" w14:textId="77777777" w:rsidR="00AD6F54" w:rsidRPr="0098280D" w:rsidRDefault="00AD6F54"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encarga al Secretario General</w:t>
            </w:r>
          </w:p>
          <w:p w14:paraId="07DA8285" w14:textId="59B0DDFA" w:rsidR="004A7B85" w:rsidRPr="0098280D" w:rsidRDefault="00AD6F54" w:rsidP="001E2EFF">
            <w:pPr>
              <w:pStyle w:val="Tabletext"/>
              <w:tabs>
                <w:tab w:val="clear" w:pos="284"/>
                <w:tab w:val="left" w:pos="463"/>
              </w:tabs>
              <w:jc w:val="both"/>
              <w:rPr>
                <w:lang w:val="es-ES_tradnl" w:eastAsia="nl-NL"/>
              </w:rPr>
            </w:pPr>
            <w:r w:rsidRPr="0098280D">
              <w:rPr>
                <w:lang w:val="es-ES_tradnl" w:eastAsia="nl-NL"/>
              </w:rPr>
              <w:t>que señale la presente Resolución a la atención de la Organización Marítima Internacional (OMI) y de otros organismos internacionales y regionales interesados.</w:t>
            </w:r>
          </w:p>
        </w:tc>
        <w:tc>
          <w:tcPr>
            <w:tcW w:w="1406" w:type="dxa"/>
          </w:tcPr>
          <w:p w14:paraId="64CDE1EF" w14:textId="41A93028" w:rsidR="004A7B85" w:rsidRPr="00564FF1" w:rsidRDefault="00A92266" w:rsidP="0098280D">
            <w:pPr>
              <w:pStyle w:val="Tabletext"/>
              <w:tabs>
                <w:tab w:val="clear" w:pos="284"/>
                <w:tab w:val="left" w:pos="463"/>
              </w:tabs>
              <w:jc w:val="center"/>
              <w:rPr>
                <w:lang w:val="es-ES_tradnl" w:eastAsia="nl-NL"/>
              </w:rPr>
            </w:pPr>
            <w:r w:rsidRPr="00564FF1">
              <w:rPr>
                <w:b/>
                <w:bCs/>
                <w:lang w:val="es-ES_tradnl" w:eastAsia="nl-NL"/>
              </w:rPr>
              <w:t>GT</w:t>
            </w:r>
            <w:r w:rsidR="004A7B85" w:rsidRPr="00564FF1">
              <w:rPr>
                <w:b/>
                <w:bCs/>
                <w:lang w:val="es-ES_tradnl" w:eastAsia="nl-NL"/>
              </w:rPr>
              <w:t> 4C</w:t>
            </w:r>
            <w:r w:rsidR="004A7B85" w:rsidRPr="00564FF1">
              <w:rPr>
                <w:lang w:val="es-ES_tradnl" w:eastAsia="nl-NL"/>
              </w:rPr>
              <w:br/>
              <w:t>(</w:t>
            </w:r>
            <w:r w:rsidR="00AA3DC8" w:rsidRPr="00564FF1">
              <w:rPr>
                <w:lang w:val="es-ES_tradnl" w:eastAsia="nl-NL"/>
              </w:rPr>
              <w:t>respons</w:t>
            </w:r>
            <w:r w:rsidR="0098280D" w:rsidRPr="00564FF1">
              <w:rPr>
                <w:lang w:val="es-ES_tradnl" w:eastAsia="nl-NL"/>
              </w:rPr>
              <w:t>a</w:t>
            </w:r>
            <w:r w:rsidR="00AA3DC8" w:rsidRPr="00564FF1">
              <w:rPr>
                <w:lang w:val="es-ES_tradnl" w:eastAsia="nl-NL"/>
              </w:rPr>
              <w:t xml:space="preserve">ble de preparar los estudios y el proyecto de </w:t>
            </w:r>
            <w:r w:rsidR="00AA3DC8" w:rsidRPr="0098280D">
              <w:rPr>
                <w:lang w:val="es-ES_tradnl" w:eastAsia="nl-NL"/>
              </w:rPr>
              <w:t xml:space="preserve">texto de la RPC sobre el </w:t>
            </w:r>
            <w:r w:rsidR="00AA3DC8" w:rsidRPr="005C4BDF">
              <w:rPr>
                <w:i/>
                <w:iCs/>
                <w:lang w:val="es-ES_tradnl" w:eastAsia="nl-NL"/>
              </w:rPr>
              <w:t>resuelve</w:t>
            </w:r>
            <w:r w:rsidR="004A7B85" w:rsidRPr="00564FF1">
              <w:rPr>
                <w:lang w:val="es-ES_tradnl" w:eastAsia="nl-NL"/>
              </w:rPr>
              <w:t xml:space="preserve"> </w:t>
            </w:r>
            <w:r w:rsidR="00B03162" w:rsidRPr="0098280D">
              <w:rPr>
                <w:rFonts w:eastAsia="???"/>
                <w:i/>
                <w:iCs/>
                <w:lang w:val="es-ES" w:eastAsia="nl-NL"/>
              </w:rPr>
              <w:t>invitar a la Conferencia Mundial de Radiocomunicaciones de 2023</w:t>
            </w:r>
            <w:r w:rsidR="00B03162">
              <w:rPr>
                <w:rFonts w:eastAsia="???"/>
                <w:i/>
                <w:iCs/>
                <w:lang w:val="es-ES" w:eastAsia="nl-NL"/>
              </w:rPr>
              <w:t xml:space="preserve"> </w:t>
            </w:r>
            <w:r w:rsidR="004A7B85" w:rsidRPr="00564FF1">
              <w:rPr>
                <w:lang w:val="es-ES_tradnl" w:eastAsia="nl-NL"/>
              </w:rPr>
              <w:t>3</w:t>
            </w:r>
            <w:r w:rsidR="00AA3DC8" w:rsidRPr="0098280D">
              <w:rPr>
                <w:lang w:val="es-ES_tradnl" w:eastAsia="nl-NL"/>
              </w:rPr>
              <w:t>, que enviará al</w:t>
            </w:r>
            <w:r w:rsidR="004A7B85" w:rsidRPr="00564FF1">
              <w:rPr>
                <w:lang w:val="es-ES_tradnl" w:eastAsia="nl-NL"/>
              </w:rPr>
              <w:t xml:space="preserve"> </w:t>
            </w:r>
            <w:r w:rsidRPr="00564FF1">
              <w:rPr>
                <w:lang w:val="es-ES_tradnl" w:eastAsia="nl-NL"/>
              </w:rPr>
              <w:t>GT</w:t>
            </w:r>
            <w:r w:rsidR="004A7B85" w:rsidRPr="00564FF1">
              <w:rPr>
                <w:lang w:val="es-ES_tradnl" w:eastAsia="nl-NL"/>
              </w:rPr>
              <w:t> 5B)</w:t>
            </w:r>
          </w:p>
        </w:tc>
      </w:tr>
      <w:tr w:rsidR="004A7B85" w:rsidRPr="00882A01" w14:paraId="463868B0" w14:textId="77777777" w:rsidTr="003F05FF">
        <w:trPr>
          <w:gridAfter w:val="1"/>
          <w:wAfter w:w="27" w:type="dxa"/>
          <w:cantSplit/>
          <w:jc w:val="center"/>
        </w:trPr>
        <w:tc>
          <w:tcPr>
            <w:tcW w:w="14036" w:type="dxa"/>
            <w:gridSpan w:val="4"/>
          </w:tcPr>
          <w:p w14:paraId="5CABCF31" w14:textId="553A497D" w:rsidR="004A7B85" w:rsidRPr="0098280D" w:rsidRDefault="004A7B85" w:rsidP="001E2EFF">
            <w:pPr>
              <w:pStyle w:val="Tabletext"/>
              <w:keepNext/>
              <w:keepLines/>
              <w:tabs>
                <w:tab w:val="clear" w:pos="284"/>
                <w:tab w:val="left" w:pos="594"/>
              </w:tabs>
              <w:jc w:val="both"/>
              <w:rPr>
                <w:lang w:val="es-ES_tradnl" w:eastAsia="nl-NL"/>
              </w:rPr>
            </w:pPr>
            <w:r w:rsidRPr="0098280D">
              <w:rPr>
                <w:lang w:val="es-ES_tradnl" w:eastAsia="nl-NL"/>
              </w:rPr>
              <w:lastRenderedPageBreak/>
              <w:t>1.12</w:t>
            </w:r>
            <w:r w:rsidRPr="0098280D">
              <w:rPr>
                <w:lang w:val="es-ES_tradnl" w:eastAsia="nl-NL"/>
              </w:rPr>
              <w:tab/>
            </w:r>
            <w:r w:rsidR="00E621A0" w:rsidRPr="0098280D">
              <w:rPr>
                <w:lang w:val="es-ES_tradnl" w:eastAsia="nl-NL"/>
              </w:rPr>
              <w:t>realizar y completar, a tiempo para la CMR</w:t>
            </w:r>
            <w:r w:rsidR="00E621A0" w:rsidRPr="0098280D">
              <w:rPr>
                <w:lang w:val="es-ES_tradnl" w:eastAsia="nl-NL"/>
              </w:rPr>
              <w:noBreakHyphen/>
              <w:t>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de frecuencias adyacentes, de conformidad con la Resolución </w:t>
            </w:r>
            <w:r w:rsidR="00E621A0" w:rsidRPr="0098280D">
              <w:rPr>
                <w:b/>
                <w:bCs/>
                <w:lang w:val="es-ES_tradnl" w:eastAsia="nl-NL"/>
              </w:rPr>
              <w:t>656 (Rev.CMR-19)</w:t>
            </w:r>
            <w:r w:rsidR="00E621A0" w:rsidRPr="0098280D">
              <w:rPr>
                <w:lang w:val="es-ES_tradnl" w:eastAsia="nl-NL"/>
              </w:rPr>
              <w:t>;</w:t>
            </w:r>
          </w:p>
        </w:tc>
      </w:tr>
      <w:tr w:rsidR="004A7B85" w:rsidRPr="004A7B85" w14:paraId="37A72065" w14:textId="77777777" w:rsidTr="003F05FF">
        <w:trPr>
          <w:gridAfter w:val="1"/>
          <w:wAfter w:w="27" w:type="dxa"/>
          <w:cantSplit/>
          <w:jc w:val="center"/>
        </w:trPr>
        <w:tc>
          <w:tcPr>
            <w:tcW w:w="3304" w:type="dxa"/>
          </w:tcPr>
          <w:p w14:paraId="7D14F243" w14:textId="44C6258C" w:rsidR="004A7B85" w:rsidRPr="0098280D" w:rsidRDefault="004A7B85" w:rsidP="0098280D">
            <w:pPr>
              <w:pStyle w:val="Tabletext"/>
              <w:tabs>
                <w:tab w:val="clear" w:pos="284"/>
                <w:tab w:val="left" w:pos="463"/>
              </w:tabs>
              <w:rPr>
                <w:lang w:val="es-ES_tradnl" w:eastAsia="nl-NL"/>
              </w:rPr>
            </w:pPr>
            <w:r w:rsidRPr="0098280D">
              <w:rPr>
                <w:lang w:val="es-ES_tradnl" w:eastAsia="nl-NL"/>
              </w:rPr>
              <w:t>Resolu</w:t>
            </w:r>
            <w:r w:rsidR="00D30147" w:rsidRPr="0098280D">
              <w:rPr>
                <w:lang w:val="es-ES_tradnl" w:eastAsia="nl-NL"/>
              </w:rPr>
              <w:t>ció</w:t>
            </w:r>
            <w:r w:rsidRPr="0098280D">
              <w:rPr>
                <w:lang w:val="es-ES_tradnl" w:eastAsia="nl-NL"/>
              </w:rPr>
              <w:t>n </w:t>
            </w:r>
            <w:r w:rsidRPr="0098280D">
              <w:rPr>
                <w:b/>
                <w:bCs/>
                <w:lang w:val="es-ES_tradnl" w:eastAsia="nl-NL"/>
              </w:rPr>
              <w:t>656 (Rev.</w:t>
            </w:r>
            <w:r w:rsidR="00D30147" w:rsidRPr="0098280D">
              <w:rPr>
                <w:b/>
                <w:bCs/>
                <w:lang w:val="es-ES_tradnl" w:eastAsia="nl-NL"/>
              </w:rPr>
              <w:t>CM</w:t>
            </w:r>
            <w:r w:rsidRPr="0098280D">
              <w:rPr>
                <w:b/>
                <w:bCs/>
                <w:lang w:val="es-ES_tradnl" w:eastAsia="nl-NL"/>
              </w:rPr>
              <w:t>R</w:t>
            </w:r>
            <w:r w:rsidRPr="0098280D">
              <w:rPr>
                <w:b/>
                <w:bCs/>
                <w:lang w:val="es-ES_tradnl" w:eastAsia="nl-NL"/>
              </w:rPr>
              <w:noBreakHyphen/>
              <w:t>19)</w:t>
            </w:r>
          </w:p>
          <w:p w14:paraId="279EFBBD" w14:textId="3A858DB2" w:rsidR="004A7B85" w:rsidRPr="0098280D" w:rsidRDefault="00E621A0" w:rsidP="0098280D">
            <w:pPr>
              <w:pStyle w:val="Tabletext"/>
              <w:tabs>
                <w:tab w:val="clear" w:pos="284"/>
                <w:tab w:val="left" w:pos="463"/>
              </w:tabs>
              <w:rPr>
                <w:lang w:val="es-ES_tradnl" w:eastAsia="nl-NL"/>
              </w:rPr>
            </w:pPr>
            <w:bookmarkStart w:id="28" w:name="_Toc450048793"/>
            <w:r w:rsidRPr="0098280D">
              <w:rPr>
                <w:lang w:val="es-ES_tradnl" w:eastAsia="nl-NL"/>
              </w:rPr>
              <w:t>Posible atribución a título secundario al servicio de exploración de la Tierra por satélite (activo) para sondas de radar en vehículos espaciales en la gama de frecuencias alrededor de 45</w:t>
            </w:r>
            <w:r w:rsidR="0098280D">
              <w:rPr>
                <w:lang w:val="es-ES_tradnl" w:eastAsia="nl-NL"/>
              </w:rPr>
              <w:t> </w:t>
            </w:r>
            <w:r w:rsidRPr="0098280D">
              <w:rPr>
                <w:lang w:val="es-ES_tradnl" w:eastAsia="nl-NL"/>
              </w:rPr>
              <w:t>MHz</w:t>
            </w:r>
            <w:bookmarkEnd w:id="28"/>
          </w:p>
        </w:tc>
        <w:tc>
          <w:tcPr>
            <w:tcW w:w="1517" w:type="dxa"/>
          </w:tcPr>
          <w:p w14:paraId="192C3DD5" w14:textId="67E1F323"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t>GT</w:t>
            </w:r>
            <w:r w:rsidR="004A7B85" w:rsidRPr="0098280D">
              <w:rPr>
                <w:b/>
                <w:bCs/>
                <w:lang w:val="es-ES_tradnl" w:eastAsia="nl-NL"/>
              </w:rPr>
              <w:t> 7C</w:t>
            </w:r>
          </w:p>
        </w:tc>
        <w:tc>
          <w:tcPr>
            <w:tcW w:w="7809" w:type="dxa"/>
          </w:tcPr>
          <w:p w14:paraId="06736360" w14:textId="4B7A29FA" w:rsidR="00E621A0" w:rsidRPr="0098280D" w:rsidRDefault="00E621A0"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resuelve invitar a la Conferencia Mundial de Radiocomunicaciones de 2023</w:t>
            </w:r>
          </w:p>
          <w:p w14:paraId="1608DD7C" w14:textId="77777777" w:rsidR="00E621A0" w:rsidRPr="0098280D" w:rsidRDefault="00E621A0" w:rsidP="001E2EFF">
            <w:pPr>
              <w:pStyle w:val="Tabletext"/>
              <w:tabs>
                <w:tab w:val="clear" w:pos="284"/>
                <w:tab w:val="left" w:pos="463"/>
              </w:tabs>
              <w:jc w:val="both"/>
              <w:rPr>
                <w:lang w:val="es-ES_tradnl" w:eastAsia="nl-NL"/>
              </w:rPr>
            </w:pPr>
            <w:r w:rsidRPr="0098280D">
              <w:rPr>
                <w:lang w:val="es-ES_tradnl" w:eastAsia="nl-NL"/>
              </w:rPr>
              <w:t>a considerar los resultados de los estudios sobre las necesidades de espectro para una posible nueva atribución a título secundario al servicio de exploración de la Tierra por satélite (activo) para sondas de radar a bordo de vehículos espaciales en la gama de frecuencias alrededor de 45 MHz, teniendo en cuenta la protección de los servicios establecidos, y a que tome las medidas apropiadas,</w:t>
            </w:r>
          </w:p>
          <w:p w14:paraId="6D259DF5" w14:textId="77777777" w:rsidR="00E621A0" w:rsidRPr="0098280D" w:rsidRDefault="00E621A0"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al Sector de Radiocomunicaciones de la UIT</w:t>
            </w:r>
          </w:p>
          <w:p w14:paraId="5729BDE2" w14:textId="77777777" w:rsidR="00E621A0" w:rsidRPr="0098280D" w:rsidRDefault="00E621A0" w:rsidP="001E2EFF">
            <w:pPr>
              <w:pStyle w:val="Tabletext"/>
              <w:tabs>
                <w:tab w:val="clear" w:pos="284"/>
                <w:tab w:val="left" w:pos="463"/>
              </w:tabs>
              <w:jc w:val="both"/>
              <w:rPr>
                <w:lang w:val="es-ES_tradnl" w:eastAsia="nl-NL"/>
              </w:rPr>
            </w:pPr>
            <w:r w:rsidRPr="0098280D">
              <w:rPr>
                <w:lang w:val="es-ES_tradnl" w:eastAsia="nl-NL"/>
              </w:rPr>
              <w:t>a que lleve a cabo estudios sobre las necesidades de espectro y la compartición entre el servicio de exploración de la Tierra por satélite (activo) y los servicios de radiolocalización, fijo, móvil, de aficionados, de radiodifusión y de investigación espacial en la gama de frecuencias 40</w:t>
            </w:r>
            <w:r w:rsidRPr="0098280D">
              <w:rPr>
                <w:lang w:val="es-ES_tradnl" w:eastAsia="nl-NL"/>
              </w:rPr>
              <w:noBreakHyphen/>
              <w:t>50 MHz y en las bandas adyacentes,</w:t>
            </w:r>
          </w:p>
          <w:p w14:paraId="776666EF" w14:textId="77777777" w:rsidR="00E621A0" w:rsidRPr="0098280D" w:rsidRDefault="00E621A0"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invita a las administraciones</w:t>
            </w:r>
          </w:p>
          <w:p w14:paraId="2E87C4E1" w14:textId="77777777" w:rsidR="00E621A0" w:rsidRPr="0098280D" w:rsidRDefault="00E621A0" w:rsidP="001E2EFF">
            <w:pPr>
              <w:pStyle w:val="Tabletext"/>
              <w:tabs>
                <w:tab w:val="clear" w:pos="284"/>
                <w:tab w:val="left" w:pos="463"/>
              </w:tabs>
              <w:jc w:val="both"/>
              <w:rPr>
                <w:lang w:val="es-ES_tradnl" w:eastAsia="nl-NL"/>
              </w:rPr>
            </w:pPr>
            <w:r w:rsidRPr="0098280D">
              <w:rPr>
                <w:lang w:val="es-ES_tradnl" w:eastAsia="nl-NL"/>
              </w:rPr>
              <w:t>a que participen activamente en estos estudios mediante la presentación de contribuciones al UIT</w:t>
            </w:r>
            <w:r w:rsidRPr="0098280D">
              <w:rPr>
                <w:lang w:val="es-ES_tradnl" w:eastAsia="nl-NL"/>
              </w:rPr>
              <w:noBreakHyphen/>
              <w:t>R,</w:t>
            </w:r>
          </w:p>
          <w:p w14:paraId="2998AE80" w14:textId="77777777" w:rsidR="00E621A0" w:rsidRPr="0098280D" w:rsidRDefault="00E621A0" w:rsidP="001E2EFF">
            <w:pPr>
              <w:pStyle w:val="Tabletext"/>
              <w:tabs>
                <w:tab w:val="clear" w:pos="284"/>
                <w:tab w:val="left" w:pos="463"/>
              </w:tabs>
              <w:ind w:left="454"/>
              <w:jc w:val="both"/>
              <w:rPr>
                <w:rFonts w:eastAsia="???"/>
                <w:i/>
                <w:iCs/>
                <w:lang w:val="es-ES" w:eastAsia="nl-NL"/>
              </w:rPr>
            </w:pPr>
            <w:r w:rsidRPr="0098280D">
              <w:rPr>
                <w:rFonts w:eastAsia="???"/>
                <w:i/>
                <w:iCs/>
                <w:lang w:val="es-ES" w:eastAsia="nl-NL"/>
              </w:rPr>
              <w:t>encarga al Secretario General</w:t>
            </w:r>
          </w:p>
          <w:p w14:paraId="5A79C035" w14:textId="27075A40" w:rsidR="004A7B85" w:rsidRPr="0098280D" w:rsidRDefault="00E621A0" w:rsidP="001E2EFF">
            <w:pPr>
              <w:pStyle w:val="Tabletext"/>
              <w:tabs>
                <w:tab w:val="clear" w:pos="284"/>
                <w:tab w:val="left" w:pos="463"/>
              </w:tabs>
              <w:jc w:val="both"/>
              <w:rPr>
                <w:lang w:val="es-ES_tradnl" w:eastAsia="nl-NL"/>
              </w:rPr>
            </w:pPr>
            <w:r w:rsidRPr="0098280D">
              <w:rPr>
                <w:lang w:val="es-ES_tradnl" w:eastAsia="nl-NL"/>
              </w:rPr>
              <w:t>a que señale esta Resolución a la atención de las organizaciones internacionales y regionales interesadas.</w:t>
            </w:r>
          </w:p>
        </w:tc>
        <w:tc>
          <w:tcPr>
            <w:tcW w:w="1406" w:type="dxa"/>
          </w:tcPr>
          <w:p w14:paraId="0BCFA2D9" w14:textId="2DCB1A39" w:rsidR="004A7B85" w:rsidRPr="005C4BDF" w:rsidRDefault="00A92266" w:rsidP="0098280D">
            <w:pPr>
              <w:pStyle w:val="Tabletext"/>
              <w:tabs>
                <w:tab w:val="clear" w:pos="284"/>
                <w:tab w:val="left" w:pos="463"/>
              </w:tabs>
              <w:jc w:val="center"/>
              <w:rPr>
                <w:b/>
                <w:bCs/>
                <w:lang w:eastAsia="nl-NL"/>
              </w:rPr>
            </w:pPr>
            <w:r w:rsidRPr="005C4BDF">
              <w:rPr>
                <w:b/>
                <w:bCs/>
                <w:lang w:eastAsia="nl-NL"/>
              </w:rPr>
              <w:t>GT</w:t>
            </w:r>
            <w:r w:rsidR="004A7B85" w:rsidRPr="005C4BDF">
              <w:rPr>
                <w:b/>
                <w:bCs/>
                <w:lang w:eastAsia="nl-NL"/>
              </w:rPr>
              <w:t xml:space="preserve"> 3K, </w:t>
            </w:r>
            <w:r w:rsidR="0098280D" w:rsidRPr="005C4BDF">
              <w:rPr>
                <w:b/>
                <w:bCs/>
                <w:lang w:eastAsia="nl-NL"/>
              </w:rPr>
              <w:br/>
            </w:r>
            <w:r w:rsidRPr="005C4BDF">
              <w:rPr>
                <w:b/>
                <w:bCs/>
                <w:lang w:eastAsia="nl-NL"/>
              </w:rPr>
              <w:t>GT</w:t>
            </w:r>
            <w:r w:rsidR="004A7B85" w:rsidRPr="005C4BDF">
              <w:rPr>
                <w:b/>
                <w:bCs/>
                <w:lang w:eastAsia="nl-NL"/>
              </w:rPr>
              <w:t xml:space="preserve"> 3L, </w:t>
            </w:r>
            <w:r w:rsidR="0098280D" w:rsidRPr="005C4BDF">
              <w:rPr>
                <w:b/>
                <w:bCs/>
                <w:lang w:eastAsia="nl-NL"/>
              </w:rPr>
              <w:br/>
            </w:r>
            <w:r w:rsidRPr="005C4BDF">
              <w:rPr>
                <w:b/>
                <w:bCs/>
                <w:lang w:eastAsia="nl-NL"/>
              </w:rPr>
              <w:t>GT</w:t>
            </w:r>
            <w:r w:rsidR="004A7B85" w:rsidRPr="005C4BDF">
              <w:rPr>
                <w:b/>
                <w:bCs/>
                <w:lang w:eastAsia="nl-NL"/>
              </w:rPr>
              <w:t xml:space="preserve"> 3M, </w:t>
            </w:r>
            <w:r w:rsidR="0098280D" w:rsidRPr="005C4BDF">
              <w:rPr>
                <w:b/>
                <w:bCs/>
                <w:lang w:eastAsia="nl-NL"/>
              </w:rPr>
              <w:br/>
            </w:r>
            <w:r w:rsidRPr="005C4BDF">
              <w:rPr>
                <w:b/>
                <w:bCs/>
                <w:lang w:eastAsia="nl-NL"/>
              </w:rPr>
              <w:t>GT</w:t>
            </w:r>
            <w:r w:rsidR="004A7B85" w:rsidRPr="005C4BDF">
              <w:rPr>
                <w:b/>
                <w:bCs/>
                <w:lang w:eastAsia="nl-NL"/>
              </w:rPr>
              <w:t xml:space="preserve"> 5A, </w:t>
            </w:r>
            <w:r w:rsidR="0098280D" w:rsidRPr="005C4BDF">
              <w:rPr>
                <w:b/>
                <w:bCs/>
                <w:lang w:eastAsia="nl-NL"/>
              </w:rPr>
              <w:br/>
            </w:r>
            <w:r w:rsidRPr="005C4BDF">
              <w:rPr>
                <w:b/>
                <w:bCs/>
                <w:lang w:eastAsia="nl-NL"/>
              </w:rPr>
              <w:t>GT</w:t>
            </w:r>
            <w:r w:rsidR="004A7B85" w:rsidRPr="005C4BDF">
              <w:rPr>
                <w:b/>
                <w:bCs/>
                <w:lang w:eastAsia="nl-NL"/>
              </w:rPr>
              <w:t xml:space="preserve"> 5B, </w:t>
            </w:r>
            <w:r w:rsidR="0098280D" w:rsidRPr="005C4BDF">
              <w:rPr>
                <w:b/>
                <w:bCs/>
                <w:lang w:eastAsia="nl-NL"/>
              </w:rPr>
              <w:br/>
            </w:r>
            <w:r w:rsidRPr="005C4BDF">
              <w:rPr>
                <w:b/>
                <w:bCs/>
                <w:lang w:eastAsia="nl-NL"/>
              </w:rPr>
              <w:t>GT</w:t>
            </w:r>
            <w:r w:rsidR="004A7B85" w:rsidRPr="005C4BDF">
              <w:rPr>
                <w:b/>
                <w:bCs/>
                <w:lang w:eastAsia="nl-NL"/>
              </w:rPr>
              <w:t> 6A</w:t>
            </w:r>
          </w:p>
        </w:tc>
      </w:tr>
      <w:tr w:rsidR="004A7B85" w:rsidRPr="00882A01" w14:paraId="29E63544" w14:textId="77777777" w:rsidTr="003F05FF">
        <w:trPr>
          <w:gridAfter w:val="1"/>
          <w:wAfter w:w="27" w:type="dxa"/>
          <w:cantSplit/>
          <w:jc w:val="center"/>
        </w:trPr>
        <w:tc>
          <w:tcPr>
            <w:tcW w:w="14036" w:type="dxa"/>
            <w:gridSpan w:val="4"/>
          </w:tcPr>
          <w:p w14:paraId="102D0359" w14:textId="37DE1EE6" w:rsidR="004A7B85" w:rsidRPr="0098280D" w:rsidRDefault="004A7B85" w:rsidP="001E2EFF">
            <w:pPr>
              <w:pStyle w:val="Tabletext"/>
              <w:keepNext/>
              <w:keepLines/>
              <w:tabs>
                <w:tab w:val="clear" w:pos="284"/>
                <w:tab w:val="left" w:pos="594"/>
              </w:tabs>
              <w:jc w:val="both"/>
              <w:rPr>
                <w:lang w:val="es-ES_tradnl" w:eastAsia="nl-NL"/>
              </w:rPr>
            </w:pPr>
            <w:r w:rsidRPr="0098280D">
              <w:rPr>
                <w:lang w:val="es-ES_tradnl" w:eastAsia="nl-NL"/>
              </w:rPr>
              <w:lastRenderedPageBreak/>
              <w:t>1.13</w:t>
            </w:r>
            <w:r w:rsidRPr="0098280D">
              <w:rPr>
                <w:lang w:val="es-ES_tradnl" w:eastAsia="nl-NL"/>
              </w:rPr>
              <w:tab/>
            </w:r>
            <w:r w:rsidR="00D30147" w:rsidRPr="0098280D">
              <w:rPr>
                <w:lang w:val="es-ES_tradnl" w:eastAsia="nl-NL"/>
              </w:rPr>
              <w:t xml:space="preserve">considerar la posible elevación de la categoría de la atribución al servicio de investigación espacial en la banda de frecuencias 14,8-15,35 GHz, de conformidad con la Resolución </w:t>
            </w:r>
            <w:r w:rsidR="00D30147" w:rsidRPr="0098280D">
              <w:rPr>
                <w:b/>
                <w:bCs/>
                <w:lang w:val="es-ES_tradnl" w:eastAsia="nl-NL"/>
              </w:rPr>
              <w:t>661 (CMR-19)</w:t>
            </w:r>
            <w:r w:rsidR="00D30147" w:rsidRPr="0098280D">
              <w:rPr>
                <w:lang w:val="es-ES_tradnl" w:eastAsia="nl-NL"/>
              </w:rPr>
              <w:t>;</w:t>
            </w:r>
          </w:p>
        </w:tc>
      </w:tr>
      <w:tr w:rsidR="004A7B85" w:rsidRPr="004A7B85" w14:paraId="79F08F7D" w14:textId="77777777" w:rsidTr="003F05FF">
        <w:trPr>
          <w:gridAfter w:val="1"/>
          <w:wAfter w:w="27" w:type="dxa"/>
          <w:cantSplit/>
          <w:jc w:val="center"/>
        </w:trPr>
        <w:tc>
          <w:tcPr>
            <w:tcW w:w="3304" w:type="dxa"/>
          </w:tcPr>
          <w:p w14:paraId="7F963390" w14:textId="642ED558" w:rsidR="004A7B85" w:rsidRPr="0098280D" w:rsidRDefault="004A7B85" w:rsidP="0098280D">
            <w:pPr>
              <w:pStyle w:val="Tabletext"/>
              <w:tabs>
                <w:tab w:val="clear" w:pos="284"/>
                <w:tab w:val="left" w:pos="463"/>
              </w:tabs>
              <w:rPr>
                <w:lang w:val="es-ES_tradnl" w:eastAsia="nl-NL"/>
              </w:rPr>
            </w:pPr>
            <w:r w:rsidRPr="0098280D">
              <w:rPr>
                <w:lang w:val="es-ES_tradnl" w:eastAsia="nl-NL"/>
              </w:rPr>
              <w:t>Resolu</w:t>
            </w:r>
            <w:r w:rsidR="00D30147" w:rsidRPr="0098280D">
              <w:rPr>
                <w:lang w:val="es-ES_tradnl" w:eastAsia="nl-NL"/>
              </w:rPr>
              <w:t>ció</w:t>
            </w:r>
            <w:r w:rsidRPr="0098280D">
              <w:rPr>
                <w:lang w:val="es-ES_tradnl" w:eastAsia="nl-NL"/>
              </w:rPr>
              <w:t>n </w:t>
            </w:r>
            <w:r w:rsidRPr="0098280D">
              <w:rPr>
                <w:b/>
                <w:bCs/>
                <w:lang w:val="es-ES_tradnl" w:eastAsia="nl-NL"/>
              </w:rPr>
              <w:t>661 (</w:t>
            </w:r>
            <w:r w:rsidR="00D30147" w:rsidRPr="0098280D">
              <w:rPr>
                <w:b/>
                <w:bCs/>
                <w:lang w:val="es-ES_tradnl" w:eastAsia="nl-NL"/>
              </w:rPr>
              <w:t>CM</w:t>
            </w:r>
            <w:r w:rsidRPr="0098280D">
              <w:rPr>
                <w:b/>
                <w:bCs/>
                <w:lang w:val="es-ES_tradnl" w:eastAsia="nl-NL"/>
              </w:rPr>
              <w:t>R</w:t>
            </w:r>
            <w:r w:rsidRPr="0098280D">
              <w:rPr>
                <w:b/>
                <w:bCs/>
                <w:lang w:val="es-ES_tradnl" w:eastAsia="nl-NL"/>
              </w:rPr>
              <w:noBreakHyphen/>
              <w:t>19)</w:t>
            </w:r>
          </w:p>
          <w:p w14:paraId="40450E8D" w14:textId="18B41CF6" w:rsidR="004A7B85" w:rsidRPr="0098280D" w:rsidRDefault="00D30147" w:rsidP="0098280D">
            <w:pPr>
              <w:pStyle w:val="Tabletext"/>
              <w:tabs>
                <w:tab w:val="clear" w:pos="284"/>
                <w:tab w:val="left" w:pos="463"/>
              </w:tabs>
              <w:rPr>
                <w:lang w:val="es-ES_tradnl" w:eastAsia="nl-NL"/>
              </w:rPr>
            </w:pPr>
            <w:r w:rsidRPr="0098280D">
              <w:rPr>
                <w:lang w:val="es-ES_tradnl" w:eastAsia="nl-NL"/>
              </w:rPr>
              <w:t>Examen de la posible conversión a título primario de la atribución a título secundario al servicio de investigación espacial en la banda de frecuencias 14,8-15,35 GHz</w:t>
            </w:r>
          </w:p>
        </w:tc>
        <w:tc>
          <w:tcPr>
            <w:tcW w:w="1517" w:type="dxa"/>
          </w:tcPr>
          <w:p w14:paraId="344C1F26" w14:textId="1D369304" w:rsidR="004A7B85" w:rsidRPr="0098280D" w:rsidRDefault="00A92266" w:rsidP="0098280D">
            <w:pPr>
              <w:pStyle w:val="Tabletext"/>
              <w:tabs>
                <w:tab w:val="clear" w:pos="284"/>
                <w:tab w:val="left" w:pos="463"/>
              </w:tabs>
              <w:jc w:val="center"/>
              <w:rPr>
                <w:b/>
                <w:bCs/>
                <w:lang w:val="es-ES_tradnl" w:eastAsia="nl-NL"/>
              </w:rPr>
            </w:pPr>
            <w:r w:rsidRPr="0098280D">
              <w:rPr>
                <w:b/>
                <w:bCs/>
                <w:lang w:val="es-ES_tradnl" w:eastAsia="nl-NL"/>
              </w:rPr>
              <w:t>GT</w:t>
            </w:r>
            <w:r w:rsidR="004A7B85" w:rsidRPr="0098280D">
              <w:rPr>
                <w:b/>
                <w:bCs/>
                <w:lang w:val="es-ES_tradnl" w:eastAsia="nl-NL"/>
              </w:rPr>
              <w:t> 7B</w:t>
            </w:r>
          </w:p>
        </w:tc>
        <w:tc>
          <w:tcPr>
            <w:tcW w:w="7809" w:type="dxa"/>
          </w:tcPr>
          <w:p w14:paraId="14CC85E2" w14:textId="141DC83F" w:rsidR="004A7B85" w:rsidRPr="005F0DA1" w:rsidRDefault="00ED293C"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al Sector de Radiocomunicaciones de la UIT</w:t>
            </w:r>
          </w:p>
          <w:p w14:paraId="0F3FDB85" w14:textId="77777777" w:rsidR="00ED293C" w:rsidRPr="0098280D" w:rsidRDefault="00ED293C" w:rsidP="001E2EFF">
            <w:pPr>
              <w:pStyle w:val="Tabletext"/>
              <w:tabs>
                <w:tab w:val="clear" w:pos="284"/>
                <w:tab w:val="left" w:pos="463"/>
              </w:tabs>
              <w:jc w:val="both"/>
              <w:rPr>
                <w:lang w:val="es-ES_tradnl" w:eastAsia="nl-NL"/>
              </w:rPr>
            </w:pPr>
            <w:r w:rsidRPr="0098280D">
              <w:rPr>
                <w:lang w:val="es-ES_tradnl" w:eastAsia="nl-NL"/>
              </w:rPr>
              <w:t>1</w:t>
            </w:r>
            <w:r w:rsidRPr="0098280D">
              <w:rPr>
                <w:lang w:val="es-ES_tradnl" w:eastAsia="nl-NL"/>
              </w:rPr>
              <w:tab/>
              <w:t xml:space="preserve">a que estudie e identifique todos los casos pertinentes mencionados en los </w:t>
            </w:r>
            <w:r w:rsidRPr="005F0DA1">
              <w:rPr>
                <w:i/>
                <w:iCs/>
                <w:lang w:val="es-ES_tradnl" w:eastAsia="nl-NL"/>
              </w:rPr>
              <w:t>reconociendo a)</w:t>
            </w:r>
            <w:r w:rsidRPr="0098280D">
              <w:rPr>
                <w:lang w:val="es-ES_tradnl" w:eastAsia="nl-NL"/>
              </w:rPr>
              <w:t xml:space="preserve"> a </w:t>
            </w:r>
            <w:r w:rsidRPr="005F0DA1">
              <w:rPr>
                <w:i/>
                <w:iCs/>
                <w:lang w:val="es-ES_tradnl" w:eastAsia="nl-NL"/>
              </w:rPr>
              <w:t>c)</w:t>
            </w:r>
            <w:r w:rsidRPr="0098280D">
              <w:rPr>
                <w:lang w:val="es-ES_tradnl" w:eastAsia="nl-NL"/>
              </w:rPr>
              <w:t xml:space="preserve"> que se hayan de considerar en los estudios de compartición y compatibilidad, teniendo en cuenta la versión más reciente de las Recomendaciones UIT-R pertinentes;</w:t>
            </w:r>
          </w:p>
          <w:p w14:paraId="1FD52B40" w14:textId="77777777" w:rsidR="00ED293C" w:rsidRPr="0098280D" w:rsidRDefault="00ED293C" w:rsidP="001E2EFF">
            <w:pPr>
              <w:pStyle w:val="Tabletext"/>
              <w:tabs>
                <w:tab w:val="clear" w:pos="284"/>
                <w:tab w:val="left" w:pos="463"/>
              </w:tabs>
              <w:jc w:val="both"/>
              <w:rPr>
                <w:lang w:val="es-ES_tradnl" w:eastAsia="nl-NL"/>
              </w:rPr>
            </w:pPr>
            <w:r w:rsidRPr="0098280D">
              <w:rPr>
                <w:lang w:val="es-ES_tradnl" w:eastAsia="nl-NL"/>
              </w:rPr>
              <w:t>2</w:t>
            </w:r>
            <w:r w:rsidRPr="0098280D">
              <w:rPr>
                <w:lang w:val="es-ES_tradnl" w:eastAsia="nl-NL"/>
              </w:rPr>
              <w:tab/>
              <w:t>a que realice y complete, a tiempo para la CMR</w:t>
            </w:r>
            <w:r w:rsidRPr="0098280D">
              <w:rPr>
                <w:lang w:val="es-ES_tradnl" w:eastAsia="nl-NL"/>
              </w:rPr>
              <w:noBreakHyphen/>
              <w:t xml:space="preserve">23, estudios de compartición y compatibilidad para determinar la viabilidad de la conversión a título primario de la atribución al SIE en la banda de frecuencias 14,8-15,35 GHz, a fin de garantizar la protección de los servicios primarios mencionados en los </w:t>
            </w:r>
            <w:r w:rsidRPr="005F0DA1">
              <w:rPr>
                <w:i/>
                <w:iCs/>
                <w:lang w:val="es-ES_tradnl" w:eastAsia="nl-NL"/>
              </w:rPr>
              <w:t>considerando a)</w:t>
            </w:r>
            <w:r w:rsidRPr="0098280D">
              <w:rPr>
                <w:lang w:val="es-ES_tradnl" w:eastAsia="nl-NL"/>
              </w:rPr>
              <w:t xml:space="preserve"> y </w:t>
            </w:r>
            <w:r w:rsidRPr="005F0DA1">
              <w:rPr>
                <w:i/>
                <w:iCs/>
                <w:lang w:val="es-ES_tradnl" w:eastAsia="nl-NL"/>
              </w:rPr>
              <w:t>d)</w:t>
            </w:r>
            <w:r w:rsidRPr="0098280D">
              <w:rPr>
                <w:lang w:val="es-ES_tradnl" w:eastAsia="nl-NL"/>
              </w:rPr>
              <w:t xml:space="preserve"> y </w:t>
            </w:r>
            <w:r w:rsidRPr="005F0DA1">
              <w:rPr>
                <w:i/>
                <w:iCs/>
                <w:lang w:val="es-ES_tradnl" w:eastAsia="nl-NL"/>
              </w:rPr>
              <w:t>teniendo en cuenta el reconociendo e)</w:t>
            </w:r>
            <w:r w:rsidRPr="0098280D">
              <w:rPr>
                <w:lang w:val="es-ES_tradnl" w:eastAsia="nl-NL"/>
              </w:rPr>
              <w:t>;</w:t>
            </w:r>
          </w:p>
          <w:p w14:paraId="4FE8F6FD" w14:textId="77777777" w:rsidR="00ED293C" w:rsidRPr="0098280D" w:rsidRDefault="00ED293C" w:rsidP="001E2EFF">
            <w:pPr>
              <w:pStyle w:val="Tabletext"/>
              <w:tabs>
                <w:tab w:val="clear" w:pos="284"/>
                <w:tab w:val="left" w:pos="463"/>
              </w:tabs>
              <w:jc w:val="both"/>
              <w:rPr>
                <w:lang w:val="es-ES_tradnl" w:eastAsia="nl-NL"/>
              </w:rPr>
            </w:pPr>
            <w:r w:rsidRPr="0098280D">
              <w:rPr>
                <w:lang w:val="es-ES_tradnl" w:eastAsia="nl-NL"/>
              </w:rPr>
              <w:t>3</w:t>
            </w:r>
            <w:r w:rsidRPr="0098280D">
              <w:rPr>
                <w:lang w:val="es-ES_tradnl" w:eastAsia="nl-NL"/>
              </w:rPr>
              <w:tab/>
              <w:t xml:space="preserve">a que determine las condiciones técnicas y reglamentarias con arreglo a los resultados de los estudios mencionados en el </w:t>
            </w:r>
            <w:r w:rsidRPr="005F0DA1">
              <w:rPr>
                <w:i/>
                <w:iCs/>
                <w:lang w:val="es-ES_tradnl" w:eastAsia="nl-NL"/>
              </w:rPr>
              <w:t>resuelve invitar al UIT-R</w:t>
            </w:r>
            <w:r w:rsidRPr="0098280D">
              <w:rPr>
                <w:lang w:val="es-ES_tradnl" w:eastAsia="nl-NL"/>
              </w:rPr>
              <w:t xml:space="preserve"> 2,</w:t>
            </w:r>
          </w:p>
          <w:p w14:paraId="37581F5A" w14:textId="77777777" w:rsidR="00ED293C" w:rsidRPr="005F0DA1" w:rsidRDefault="00ED293C"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 las administraciones</w:t>
            </w:r>
          </w:p>
          <w:p w14:paraId="4AB7988F" w14:textId="77777777" w:rsidR="00ED293C" w:rsidRPr="0098280D" w:rsidRDefault="00ED293C" w:rsidP="001E2EFF">
            <w:pPr>
              <w:pStyle w:val="Tabletext"/>
              <w:tabs>
                <w:tab w:val="clear" w:pos="284"/>
                <w:tab w:val="left" w:pos="463"/>
              </w:tabs>
              <w:jc w:val="both"/>
              <w:rPr>
                <w:lang w:val="es-ES_tradnl" w:eastAsia="nl-NL"/>
              </w:rPr>
            </w:pPr>
            <w:r w:rsidRPr="0098280D">
              <w:rPr>
                <w:lang w:val="es-ES_tradnl" w:eastAsia="nl-NL"/>
              </w:rPr>
              <w:t>a tomar parte activa en estos estudios y a facilitar las características técnicas y operativas de los sistemas en cuestión mediante la presentación de contribuciones al UIT</w:t>
            </w:r>
            <w:r w:rsidRPr="0098280D">
              <w:rPr>
                <w:lang w:val="es-ES_tradnl" w:eastAsia="nl-NL"/>
              </w:rPr>
              <w:noBreakHyphen/>
              <w:t>R,</w:t>
            </w:r>
          </w:p>
          <w:p w14:paraId="00649020" w14:textId="0F067283" w:rsidR="00ED293C" w:rsidRPr="005F0DA1" w:rsidRDefault="00ED293C"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invita a la Conferencia Mundial de Radiocomunicaciones de 2023</w:t>
            </w:r>
          </w:p>
          <w:p w14:paraId="435D5D29" w14:textId="51061E22" w:rsidR="004A7B85" w:rsidRPr="0098280D" w:rsidRDefault="00ED293C" w:rsidP="001E2EFF">
            <w:pPr>
              <w:pStyle w:val="Tabletext"/>
              <w:tabs>
                <w:tab w:val="clear" w:pos="284"/>
                <w:tab w:val="left" w:pos="463"/>
              </w:tabs>
              <w:jc w:val="both"/>
              <w:rPr>
                <w:lang w:val="es-ES_tradnl" w:eastAsia="nl-NL"/>
              </w:rPr>
            </w:pPr>
            <w:r w:rsidRPr="0098280D">
              <w:rPr>
                <w:lang w:val="es-ES_tradnl" w:eastAsia="nl-NL"/>
              </w:rPr>
              <w:t xml:space="preserve">a que, partiendo de los resultados de los estudios llevados a cabo por el Sector de Radiocomunicaciones de la UIT, examine la posibilidad de convertir a título primario la atribución a título secundario al SIE en la banda de frecuencias 14,8-15,35 GHz, teniendo en cuenta los estudios indicados en el </w:t>
            </w:r>
            <w:r w:rsidRPr="005F0DA1">
              <w:rPr>
                <w:i/>
                <w:iCs/>
                <w:lang w:val="es-ES_tradnl" w:eastAsia="nl-NL"/>
              </w:rPr>
              <w:t>resuelve invitar al Sector de Radiocomunicaciones de la UIT</w:t>
            </w:r>
            <w:r w:rsidRPr="0098280D">
              <w:rPr>
                <w:lang w:val="es-ES_tradnl" w:eastAsia="nl-NL"/>
              </w:rPr>
              <w:t xml:space="preserve"> 2 y las consideraciones del </w:t>
            </w:r>
            <w:r w:rsidRPr="005F0DA1">
              <w:rPr>
                <w:i/>
                <w:iCs/>
                <w:lang w:val="es-ES_tradnl" w:eastAsia="nl-NL"/>
              </w:rPr>
              <w:t>resuelve invitar al Sector de Radiocomunicaciones de la</w:t>
            </w:r>
            <w:r w:rsidR="00152DD6">
              <w:rPr>
                <w:i/>
                <w:iCs/>
                <w:lang w:val="es-ES_tradnl" w:eastAsia="nl-NL"/>
              </w:rPr>
              <w:t> </w:t>
            </w:r>
            <w:r w:rsidRPr="005F0DA1">
              <w:rPr>
                <w:i/>
                <w:iCs/>
                <w:lang w:val="es-ES_tradnl" w:eastAsia="nl-NL"/>
              </w:rPr>
              <w:t>UIT</w:t>
            </w:r>
            <w:r w:rsidRPr="0098280D">
              <w:rPr>
                <w:lang w:val="es-ES_tradnl" w:eastAsia="nl-NL"/>
              </w:rPr>
              <w:t xml:space="preserve"> 3.</w:t>
            </w:r>
          </w:p>
        </w:tc>
        <w:tc>
          <w:tcPr>
            <w:tcW w:w="1406" w:type="dxa"/>
          </w:tcPr>
          <w:p w14:paraId="6FCBD67E" w14:textId="0B5A7666" w:rsidR="004A7B85" w:rsidRPr="0098280D" w:rsidRDefault="00A92266" w:rsidP="0098280D">
            <w:pPr>
              <w:pStyle w:val="Tabletext"/>
              <w:tabs>
                <w:tab w:val="clear" w:pos="284"/>
                <w:tab w:val="left" w:pos="463"/>
              </w:tabs>
              <w:jc w:val="center"/>
              <w:rPr>
                <w:b/>
                <w:bCs/>
                <w:lang w:eastAsia="nl-NL"/>
              </w:rPr>
            </w:pPr>
            <w:r w:rsidRPr="0098280D">
              <w:rPr>
                <w:b/>
                <w:bCs/>
                <w:lang w:eastAsia="nl-NL"/>
              </w:rPr>
              <w:t>GT</w:t>
            </w:r>
            <w:r w:rsidR="004A7B85" w:rsidRPr="0098280D">
              <w:rPr>
                <w:b/>
                <w:bCs/>
                <w:lang w:eastAsia="nl-NL"/>
              </w:rPr>
              <w:t xml:space="preserve"> 3M, </w:t>
            </w:r>
            <w:r w:rsidR="0098280D" w:rsidRPr="0098280D">
              <w:rPr>
                <w:b/>
                <w:bCs/>
                <w:lang w:eastAsia="nl-NL"/>
              </w:rPr>
              <w:br/>
            </w:r>
            <w:r w:rsidRPr="0098280D">
              <w:rPr>
                <w:b/>
                <w:bCs/>
                <w:lang w:eastAsia="nl-NL"/>
              </w:rPr>
              <w:t>GT</w:t>
            </w:r>
            <w:r w:rsidR="004A7B85" w:rsidRPr="0098280D">
              <w:rPr>
                <w:b/>
                <w:bCs/>
                <w:lang w:eastAsia="nl-NL"/>
              </w:rPr>
              <w:t xml:space="preserve"> 5A, </w:t>
            </w:r>
            <w:r w:rsidR="0098280D" w:rsidRPr="0098280D">
              <w:rPr>
                <w:b/>
                <w:bCs/>
                <w:lang w:eastAsia="nl-NL"/>
              </w:rPr>
              <w:br/>
            </w:r>
            <w:r w:rsidRPr="0098280D">
              <w:rPr>
                <w:b/>
                <w:bCs/>
                <w:lang w:eastAsia="nl-NL"/>
              </w:rPr>
              <w:t>GT</w:t>
            </w:r>
            <w:r w:rsidR="004A7B85" w:rsidRPr="0098280D">
              <w:rPr>
                <w:b/>
                <w:bCs/>
                <w:lang w:eastAsia="nl-NL"/>
              </w:rPr>
              <w:t xml:space="preserve"> 5C, </w:t>
            </w:r>
            <w:r w:rsidR="0098280D" w:rsidRPr="0098280D">
              <w:rPr>
                <w:b/>
                <w:bCs/>
                <w:lang w:eastAsia="nl-NL"/>
              </w:rPr>
              <w:br/>
            </w:r>
            <w:r w:rsidRPr="0098280D">
              <w:rPr>
                <w:b/>
                <w:bCs/>
                <w:lang w:eastAsia="nl-NL"/>
              </w:rPr>
              <w:t>GT</w:t>
            </w:r>
            <w:r w:rsidR="004A7B85" w:rsidRPr="0098280D">
              <w:rPr>
                <w:b/>
                <w:bCs/>
                <w:lang w:eastAsia="nl-NL"/>
              </w:rPr>
              <w:t xml:space="preserve"> 7C, </w:t>
            </w:r>
            <w:r w:rsidR="0098280D" w:rsidRPr="0098280D">
              <w:rPr>
                <w:b/>
                <w:bCs/>
                <w:lang w:eastAsia="nl-NL"/>
              </w:rPr>
              <w:br/>
            </w:r>
            <w:r w:rsidRPr="0098280D">
              <w:rPr>
                <w:b/>
                <w:bCs/>
                <w:lang w:eastAsia="nl-NL"/>
              </w:rPr>
              <w:t>GT</w:t>
            </w:r>
            <w:r w:rsidR="004A7B85" w:rsidRPr="0098280D">
              <w:rPr>
                <w:b/>
                <w:bCs/>
                <w:lang w:eastAsia="nl-NL"/>
              </w:rPr>
              <w:t> 7D</w:t>
            </w:r>
          </w:p>
        </w:tc>
      </w:tr>
      <w:tr w:rsidR="004A7B85" w:rsidRPr="00882A01" w14:paraId="32E39A2A" w14:textId="77777777" w:rsidTr="003F05FF">
        <w:trPr>
          <w:gridAfter w:val="1"/>
          <w:wAfter w:w="27" w:type="dxa"/>
          <w:jc w:val="center"/>
        </w:trPr>
        <w:tc>
          <w:tcPr>
            <w:tcW w:w="14036" w:type="dxa"/>
            <w:gridSpan w:val="4"/>
          </w:tcPr>
          <w:p w14:paraId="1CBDA805" w14:textId="42315670" w:rsidR="004A7B85" w:rsidRPr="005F0DA1" w:rsidRDefault="004A7B85" w:rsidP="001E2EFF">
            <w:pPr>
              <w:pStyle w:val="Tabletext"/>
              <w:keepNext/>
              <w:tabs>
                <w:tab w:val="clear" w:pos="284"/>
                <w:tab w:val="left" w:pos="594"/>
              </w:tabs>
              <w:jc w:val="both"/>
              <w:rPr>
                <w:lang w:val="es-ES_tradnl" w:eastAsia="nl-NL"/>
              </w:rPr>
            </w:pPr>
            <w:r w:rsidRPr="005F0DA1">
              <w:rPr>
                <w:lang w:val="es-ES_tradnl" w:eastAsia="nl-NL"/>
              </w:rPr>
              <w:t>1.14</w:t>
            </w:r>
            <w:r w:rsidRPr="005F0DA1">
              <w:rPr>
                <w:lang w:val="es-ES_tradnl" w:eastAsia="nl-NL"/>
              </w:rPr>
              <w:tab/>
            </w:r>
            <w:r w:rsidR="00ED293C" w:rsidRPr="005F0DA1">
              <w:rPr>
                <w:lang w:val="es-ES_tradnl" w:eastAsia="nl-NL"/>
              </w:rPr>
              <w:t>examinar y considerar posibles ajustes de las atribuciones a título primario de frecuencias existentes o posibles al SETS (pasivo) en la gama de frecuencias 231,5</w:t>
            </w:r>
            <w:r w:rsidR="00ED293C" w:rsidRPr="005F0DA1">
              <w:rPr>
                <w:lang w:val="es-ES_tradnl" w:eastAsia="nl-NL"/>
              </w:rPr>
              <w:noBreakHyphen/>
              <w:t>252 GHz, con el fin de garantizar la armonización de los requisitos más recientes para la observación por teledetección, de conformidad con la Resolución</w:t>
            </w:r>
            <w:r w:rsidR="005F0DA1">
              <w:rPr>
                <w:lang w:val="es-ES_tradnl" w:eastAsia="nl-NL"/>
              </w:rPr>
              <w:t> </w:t>
            </w:r>
            <w:r w:rsidR="00ED293C" w:rsidRPr="005F0DA1">
              <w:rPr>
                <w:b/>
                <w:bCs/>
                <w:lang w:val="es-ES_tradnl" w:eastAsia="nl-NL"/>
              </w:rPr>
              <w:t>662 (CMR</w:t>
            </w:r>
            <w:r w:rsidR="00ED293C" w:rsidRPr="005F0DA1">
              <w:rPr>
                <w:b/>
                <w:bCs/>
                <w:lang w:val="es-ES_tradnl" w:eastAsia="nl-NL"/>
              </w:rPr>
              <w:noBreakHyphen/>
              <w:t>19)</w:t>
            </w:r>
            <w:r w:rsidR="00ED293C" w:rsidRPr="005F0DA1">
              <w:rPr>
                <w:lang w:val="es-ES_tradnl" w:eastAsia="nl-NL"/>
              </w:rPr>
              <w:t>;</w:t>
            </w:r>
          </w:p>
        </w:tc>
      </w:tr>
      <w:tr w:rsidR="004A7B85" w:rsidRPr="004A7B85" w14:paraId="18657D3F" w14:textId="77777777" w:rsidTr="003F05FF">
        <w:trPr>
          <w:gridAfter w:val="1"/>
          <w:wAfter w:w="27" w:type="dxa"/>
          <w:jc w:val="center"/>
        </w:trPr>
        <w:tc>
          <w:tcPr>
            <w:tcW w:w="3304" w:type="dxa"/>
          </w:tcPr>
          <w:p w14:paraId="609E08A2" w14:textId="0E520D84" w:rsidR="004A7B85" w:rsidRPr="005F0DA1" w:rsidRDefault="004A7B85" w:rsidP="005F0DA1">
            <w:pPr>
              <w:pStyle w:val="Tabletext"/>
              <w:tabs>
                <w:tab w:val="clear" w:pos="284"/>
                <w:tab w:val="left" w:pos="463"/>
              </w:tabs>
              <w:rPr>
                <w:lang w:val="es-ES_tradnl" w:eastAsia="nl-NL"/>
              </w:rPr>
            </w:pPr>
            <w:r w:rsidRPr="005F0DA1">
              <w:rPr>
                <w:lang w:val="es-ES_tradnl" w:eastAsia="nl-NL"/>
              </w:rPr>
              <w:t>Resolu</w:t>
            </w:r>
            <w:r w:rsidR="00E47839" w:rsidRPr="005F0DA1">
              <w:rPr>
                <w:lang w:val="es-ES_tradnl" w:eastAsia="nl-NL"/>
              </w:rPr>
              <w:t>ció</w:t>
            </w:r>
            <w:r w:rsidRPr="005F0DA1">
              <w:rPr>
                <w:lang w:val="es-ES_tradnl" w:eastAsia="nl-NL"/>
              </w:rPr>
              <w:t>n </w:t>
            </w:r>
            <w:r w:rsidRPr="005C4BDF">
              <w:rPr>
                <w:b/>
                <w:bCs/>
                <w:lang w:val="es-ES_tradnl" w:eastAsia="nl-NL"/>
              </w:rPr>
              <w:t>662 (C</w:t>
            </w:r>
            <w:r w:rsidR="005C4BDF">
              <w:rPr>
                <w:b/>
                <w:bCs/>
                <w:lang w:val="es-ES_tradnl" w:eastAsia="nl-NL"/>
              </w:rPr>
              <w:t>MR</w:t>
            </w:r>
            <w:r w:rsidRPr="005C4BDF">
              <w:rPr>
                <w:b/>
                <w:bCs/>
                <w:lang w:val="es-ES_tradnl" w:eastAsia="nl-NL"/>
              </w:rPr>
              <w:noBreakHyphen/>
              <w:t>19)</w:t>
            </w:r>
          </w:p>
          <w:p w14:paraId="29BE24B7" w14:textId="68686866" w:rsidR="004A7B85" w:rsidRPr="005F0DA1" w:rsidRDefault="00ED293C" w:rsidP="005F0DA1">
            <w:pPr>
              <w:pStyle w:val="Tabletext"/>
              <w:tabs>
                <w:tab w:val="clear" w:pos="284"/>
                <w:tab w:val="left" w:pos="463"/>
              </w:tabs>
              <w:rPr>
                <w:lang w:val="es-ES_tradnl" w:eastAsia="nl-NL"/>
              </w:rPr>
            </w:pPr>
            <w:r w:rsidRPr="005F0DA1">
              <w:rPr>
                <w:lang w:val="es-ES_tradnl" w:eastAsia="nl-NL"/>
              </w:rPr>
              <w:t xml:space="preserve">Examen de las atribuciones de frecuencias al servicio de exploración de la Tierra (pasivo) en la gama de frecuencias 231,5-252 GHz y consideración de posibles ajustes con arreglo a los requisitos de </w:t>
            </w:r>
            <w:r w:rsidRPr="005F0DA1">
              <w:rPr>
                <w:lang w:val="es-ES_tradnl" w:eastAsia="nl-NL"/>
              </w:rPr>
              <w:lastRenderedPageBreak/>
              <w:t>observación de los sensores pasivos de microondas</w:t>
            </w:r>
          </w:p>
        </w:tc>
        <w:tc>
          <w:tcPr>
            <w:tcW w:w="1517" w:type="dxa"/>
          </w:tcPr>
          <w:p w14:paraId="7E934F9A" w14:textId="657E25DE" w:rsidR="004A7B85" w:rsidRPr="005F0DA1" w:rsidRDefault="00A92266" w:rsidP="005F0DA1">
            <w:pPr>
              <w:pStyle w:val="Tabletext"/>
              <w:tabs>
                <w:tab w:val="clear" w:pos="284"/>
                <w:tab w:val="left" w:pos="463"/>
              </w:tabs>
              <w:jc w:val="center"/>
              <w:rPr>
                <w:b/>
                <w:bCs/>
                <w:lang w:val="es-ES_tradnl" w:eastAsia="nl-NL"/>
              </w:rPr>
            </w:pPr>
            <w:r w:rsidRPr="005F0DA1">
              <w:rPr>
                <w:b/>
                <w:bCs/>
                <w:lang w:val="es-ES_tradnl" w:eastAsia="nl-NL"/>
              </w:rPr>
              <w:lastRenderedPageBreak/>
              <w:t>GT</w:t>
            </w:r>
            <w:r w:rsidR="004A7B85" w:rsidRPr="005F0DA1">
              <w:rPr>
                <w:b/>
                <w:bCs/>
                <w:lang w:val="es-ES_tradnl" w:eastAsia="nl-NL"/>
              </w:rPr>
              <w:t> 7C</w:t>
            </w:r>
          </w:p>
        </w:tc>
        <w:tc>
          <w:tcPr>
            <w:tcW w:w="7809" w:type="dxa"/>
          </w:tcPr>
          <w:p w14:paraId="650DDAF7" w14:textId="7A254165" w:rsidR="004A7B85" w:rsidRPr="005F0DA1" w:rsidRDefault="00E47839"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al Sector de Radiocomunicaciones de la UIT</w:t>
            </w:r>
          </w:p>
          <w:p w14:paraId="0B515C80" w14:textId="77777777" w:rsidR="00E47839" w:rsidRPr="005F0DA1" w:rsidRDefault="00E47839" w:rsidP="001E2EFF">
            <w:pPr>
              <w:pStyle w:val="Tabletext"/>
              <w:tabs>
                <w:tab w:val="clear" w:pos="284"/>
                <w:tab w:val="left" w:pos="463"/>
              </w:tabs>
              <w:jc w:val="both"/>
              <w:rPr>
                <w:lang w:val="es-ES_tradnl" w:eastAsia="nl-NL"/>
              </w:rPr>
            </w:pPr>
            <w:r w:rsidRPr="005F0DA1">
              <w:rPr>
                <w:lang w:val="es-ES_tradnl" w:eastAsia="nl-NL"/>
              </w:rPr>
              <w:t>1</w:t>
            </w:r>
            <w:r w:rsidRPr="005F0DA1">
              <w:rPr>
                <w:lang w:val="es-ES_tradnl" w:eastAsia="nl-NL"/>
              </w:rPr>
              <w:tab/>
              <w:t>a examinar las atribuciones existentes a título primario al SETS (pasivo) en la gama de frecuencias 231,5-252 GHz, a fin de determinar si esas atribuciones se ajustan a los requisitos de observación de los sensores pasivos de microondas;</w:t>
            </w:r>
          </w:p>
          <w:p w14:paraId="4B5653D2" w14:textId="719CB7C9" w:rsidR="00E47839" w:rsidRPr="005F0DA1" w:rsidRDefault="00E47839" w:rsidP="001E2EFF">
            <w:pPr>
              <w:pStyle w:val="Tabletext"/>
              <w:tabs>
                <w:tab w:val="clear" w:pos="284"/>
                <w:tab w:val="left" w:pos="463"/>
              </w:tabs>
              <w:jc w:val="both"/>
              <w:rPr>
                <w:lang w:val="es-ES_tradnl" w:eastAsia="nl-NL"/>
              </w:rPr>
            </w:pPr>
            <w:r w:rsidRPr="005F0DA1">
              <w:rPr>
                <w:lang w:val="es-ES_tradnl" w:eastAsia="nl-NL"/>
              </w:rPr>
              <w:t>2</w:t>
            </w:r>
            <w:r w:rsidRPr="005F0DA1">
              <w:rPr>
                <w:lang w:val="es-ES_tradnl" w:eastAsia="nl-NL"/>
              </w:rPr>
              <w:tab/>
              <w:t>a estudiar las repercusiones que pueda tener cualquier cambio en las atribuciones al SETS (pasivo) en la gama de frecuencias 231,5-252 GHz sobre los demás servicios con atribuciones a título primario en estas bandas de frecuencias;</w:t>
            </w:r>
          </w:p>
          <w:p w14:paraId="49DA7768" w14:textId="77777777" w:rsidR="00E47839" w:rsidRPr="005F0DA1" w:rsidRDefault="00E47839" w:rsidP="001E2EFF">
            <w:pPr>
              <w:pStyle w:val="Tabletext"/>
              <w:tabs>
                <w:tab w:val="clear" w:pos="284"/>
                <w:tab w:val="left" w:pos="463"/>
              </w:tabs>
              <w:jc w:val="both"/>
              <w:rPr>
                <w:lang w:val="es-ES_tradnl" w:eastAsia="nl-NL"/>
              </w:rPr>
            </w:pPr>
            <w:r w:rsidRPr="005F0DA1">
              <w:rPr>
                <w:lang w:val="es-ES_tradnl" w:eastAsia="nl-NL"/>
              </w:rPr>
              <w:lastRenderedPageBreak/>
              <w:t>3</w:t>
            </w:r>
            <w:r w:rsidRPr="005F0DA1">
              <w:rPr>
                <w:lang w:val="es-ES_tradnl" w:eastAsia="nl-NL"/>
              </w:rPr>
              <w:tab/>
              <w:t xml:space="preserve">a estudiar, si procede, posibles reajustes de las atribuciones al SETS (pasivo) en la gama de frecuencias 231,5-252 GHz, teniendo en cuenta los resultados del </w:t>
            </w:r>
            <w:r w:rsidRPr="005F0DA1">
              <w:rPr>
                <w:i/>
                <w:iCs/>
                <w:lang w:val="es-ES_tradnl" w:eastAsia="nl-NL"/>
              </w:rPr>
              <w:t>resuelve invitar al UT</w:t>
            </w:r>
            <w:r w:rsidRPr="005F0DA1">
              <w:rPr>
                <w:i/>
                <w:iCs/>
                <w:lang w:val="es-ES_tradnl" w:eastAsia="nl-NL"/>
              </w:rPr>
              <w:noBreakHyphen/>
              <w:t>R</w:t>
            </w:r>
            <w:r w:rsidRPr="005F0DA1">
              <w:rPr>
                <w:lang w:val="es-ES_tradnl" w:eastAsia="nl-NL"/>
              </w:rPr>
              <w:t> 1 anterior,</w:t>
            </w:r>
          </w:p>
          <w:p w14:paraId="5D239BA2" w14:textId="77777777" w:rsidR="00E47839" w:rsidRPr="005F0DA1" w:rsidRDefault="00E47839"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invita a la Conferencia Mundial de Radiocomunicaciones de 2023</w:t>
            </w:r>
          </w:p>
          <w:p w14:paraId="3A16814D" w14:textId="6DCD6B25" w:rsidR="00E47839" w:rsidRPr="005F0DA1" w:rsidRDefault="00E47839" w:rsidP="001E2EFF">
            <w:pPr>
              <w:pStyle w:val="Tabletext"/>
              <w:tabs>
                <w:tab w:val="clear" w:pos="284"/>
                <w:tab w:val="left" w:pos="463"/>
              </w:tabs>
              <w:jc w:val="both"/>
              <w:rPr>
                <w:lang w:val="es-ES_tradnl" w:eastAsia="nl-NL"/>
              </w:rPr>
            </w:pPr>
            <w:r w:rsidRPr="005F0DA1">
              <w:rPr>
                <w:lang w:val="es-ES_tradnl" w:eastAsia="nl-NL"/>
              </w:rPr>
              <w:t>a considerar los resultados de estos estudios con miras a reajustar atribuciones existentes o añadir nuevas atribuciones, si procede, al SETS (pasivo) en la gama de frecuencias 231,5</w:t>
            </w:r>
            <w:r w:rsidR="005F0DA1">
              <w:rPr>
                <w:lang w:val="es-ES_tradnl" w:eastAsia="nl-NL"/>
              </w:rPr>
              <w:noBreakHyphen/>
            </w:r>
            <w:r w:rsidRPr="005F0DA1">
              <w:rPr>
                <w:lang w:val="es-ES_tradnl" w:eastAsia="nl-NL"/>
              </w:rPr>
              <w:t>252 GHz, sin imponer restricciones indebidas a otros servicios a los que está atribuida actualmente esta gama de frecuencias,</w:t>
            </w:r>
          </w:p>
          <w:p w14:paraId="0C6B2C96" w14:textId="24439EB8" w:rsidR="00E47839" w:rsidRPr="005F0DA1" w:rsidRDefault="00E47839"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invita a las administraciones</w:t>
            </w:r>
          </w:p>
          <w:p w14:paraId="069A2028" w14:textId="604B619F" w:rsidR="00E47839" w:rsidRPr="005F0DA1" w:rsidRDefault="00E47839" w:rsidP="001E2EFF">
            <w:pPr>
              <w:pStyle w:val="Tabletext"/>
              <w:tabs>
                <w:tab w:val="clear" w:pos="284"/>
                <w:tab w:val="left" w:pos="463"/>
              </w:tabs>
              <w:jc w:val="both"/>
              <w:rPr>
                <w:lang w:val="es-ES_tradnl" w:eastAsia="nl-NL"/>
              </w:rPr>
            </w:pPr>
            <w:r w:rsidRPr="005F0DA1">
              <w:rPr>
                <w:lang w:val="es-ES_tradnl" w:eastAsia="nl-NL"/>
              </w:rPr>
              <w:t>a participar activamente en los estudios mediante la presentación de contribuciones al</w:t>
            </w:r>
            <w:r w:rsidR="005F0DA1">
              <w:rPr>
                <w:lang w:val="es-ES_tradnl" w:eastAsia="nl-NL"/>
              </w:rPr>
              <w:t> </w:t>
            </w:r>
            <w:r w:rsidRPr="005F0DA1">
              <w:rPr>
                <w:lang w:val="es-ES_tradnl" w:eastAsia="nl-NL"/>
              </w:rPr>
              <w:t>UIT</w:t>
            </w:r>
            <w:r w:rsidRPr="005F0DA1">
              <w:rPr>
                <w:lang w:val="es-ES_tradnl" w:eastAsia="nl-NL"/>
              </w:rPr>
              <w:noBreakHyphen/>
              <w:t>R,</w:t>
            </w:r>
          </w:p>
          <w:p w14:paraId="61D051B5" w14:textId="77777777" w:rsidR="00E47839" w:rsidRPr="005F0DA1" w:rsidRDefault="00E47839" w:rsidP="001E2EFF">
            <w:pPr>
              <w:pStyle w:val="Tabletext"/>
              <w:tabs>
                <w:tab w:val="clear" w:pos="284"/>
                <w:tab w:val="left" w:pos="463"/>
              </w:tabs>
              <w:ind w:left="454"/>
              <w:jc w:val="both"/>
              <w:rPr>
                <w:rFonts w:eastAsia="???"/>
                <w:i/>
                <w:iCs/>
                <w:lang w:val="es-ES" w:eastAsia="nl-NL"/>
              </w:rPr>
            </w:pPr>
            <w:r w:rsidRPr="005F0DA1">
              <w:rPr>
                <w:rFonts w:eastAsia="???"/>
                <w:i/>
                <w:iCs/>
                <w:lang w:val="es-ES" w:eastAsia="nl-NL"/>
              </w:rPr>
              <w:t>encarga al Secretario General</w:t>
            </w:r>
          </w:p>
          <w:p w14:paraId="5A4E5D1B" w14:textId="5C169C87" w:rsidR="004A7B85" w:rsidRPr="005F0DA1" w:rsidRDefault="00E47839" w:rsidP="001E2EFF">
            <w:pPr>
              <w:pStyle w:val="Tabletext"/>
              <w:tabs>
                <w:tab w:val="clear" w:pos="284"/>
                <w:tab w:val="left" w:pos="463"/>
              </w:tabs>
              <w:jc w:val="both"/>
              <w:rPr>
                <w:lang w:val="es-ES_tradnl" w:eastAsia="nl-NL"/>
              </w:rPr>
            </w:pPr>
            <w:r w:rsidRPr="005F0DA1">
              <w:rPr>
                <w:lang w:val="es-ES_tradnl" w:eastAsia="nl-NL"/>
              </w:rPr>
              <w:t>que señale la presente Resolución a la atención de las organizaciones internacionales y regionales interesadas.</w:t>
            </w:r>
          </w:p>
        </w:tc>
        <w:tc>
          <w:tcPr>
            <w:tcW w:w="1406" w:type="dxa"/>
          </w:tcPr>
          <w:p w14:paraId="0B56B4DF" w14:textId="3B705CA9" w:rsidR="004A7B85" w:rsidRPr="005F0DA1" w:rsidRDefault="00A92266" w:rsidP="005F0DA1">
            <w:pPr>
              <w:pStyle w:val="Tabletext"/>
              <w:tabs>
                <w:tab w:val="clear" w:pos="284"/>
                <w:tab w:val="left" w:pos="463"/>
              </w:tabs>
              <w:jc w:val="center"/>
              <w:rPr>
                <w:b/>
                <w:bCs/>
                <w:lang w:eastAsia="nl-NL"/>
              </w:rPr>
            </w:pPr>
            <w:r w:rsidRPr="005F0DA1">
              <w:rPr>
                <w:b/>
                <w:bCs/>
                <w:lang w:eastAsia="nl-NL"/>
              </w:rPr>
              <w:lastRenderedPageBreak/>
              <w:t>GT</w:t>
            </w:r>
            <w:r w:rsidR="004A7B85" w:rsidRPr="005F0DA1">
              <w:rPr>
                <w:b/>
                <w:bCs/>
                <w:lang w:eastAsia="nl-NL"/>
              </w:rPr>
              <w:t xml:space="preserve"> 3J, </w:t>
            </w:r>
            <w:r w:rsidR="005F0DA1" w:rsidRPr="005F0DA1">
              <w:rPr>
                <w:b/>
                <w:bCs/>
                <w:lang w:eastAsia="nl-NL"/>
              </w:rPr>
              <w:br/>
            </w:r>
            <w:r w:rsidRPr="005F0DA1">
              <w:rPr>
                <w:b/>
                <w:bCs/>
                <w:lang w:eastAsia="nl-NL"/>
              </w:rPr>
              <w:t>GT</w:t>
            </w:r>
            <w:r w:rsidR="004A7B85" w:rsidRPr="005F0DA1">
              <w:rPr>
                <w:b/>
                <w:bCs/>
                <w:lang w:eastAsia="nl-NL"/>
              </w:rPr>
              <w:t xml:space="preserve"> 3M, </w:t>
            </w:r>
            <w:r w:rsidR="005F0DA1">
              <w:rPr>
                <w:b/>
                <w:bCs/>
                <w:lang w:eastAsia="nl-NL"/>
              </w:rPr>
              <w:br/>
            </w:r>
            <w:r w:rsidRPr="005F0DA1">
              <w:rPr>
                <w:b/>
                <w:bCs/>
                <w:lang w:eastAsia="nl-NL"/>
              </w:rPr>
              <w:t>GT</w:t>
            </w:r>
            <w:r w:rsidR="004A7B85" w:rsidRPr="005F0DA1">
              <w:rPr>
                <w:b/>
                <w:bCs/>
                <w:lang w:eastAsia="nl-NL"/>
              </w:rPr>
              <w:t xml:space="preserve"> 4A, </w:t>
            </w:r>
            <w:r w:rsidR="005F0DA1" w:rsidRPr="005F0DA1">
              <w:rPr>
                <w:b/>
                <w:bCs/>
                <w:lang w:eastAsia="nl-NL"/>
              </w:rPr>
              <w:br/>
            </w:r>
            <w:r w:rsidRPr="005F0DA1">
              <w:rPr>
                <w:b/>
                <w:bCs/>
                <w:lang w:eastAsia="nl-NL"/>
              </w:rPr>
              <w:t>GT</w:t>
            </w:r>
            <w:r w:rsidR="004A7B85" w:rsidRPr="005F0DA1">
              <w:rPr>
                <w:b/>
                <w:bCs/>
                <w:lang w:eastAsia="nl-NL"/>
              </w:rPr>
              <w:t xml:space="preserve"> 4C, </w:t>
            </w:r>
            <w:r w:rsidR="005F0DA1" w:rsidRPr="005F0DA1">
              <w:rPr>
                <w:b/>
                <w:bCs/>
                <w:lang w:eastAsia="nl-NL"/>
              </w:rPr>
              <w:br/>
            </w:r>
            <w:r w:rsidRPr="005F0DA1">
              <w:rPr>
                <w:b/>
                <w:bCs/>
                <w:lang w:eastAsia="nl-NL"/>
              </w:rPr>
              <w:t>GT</w:t>
            </w:r>
            <w:r w:rsidR="004A7B85" w:rsidRPr="005F0DA1">
              <w:rPr>
                <w:b/>
                <w:bCs/>
                <w:lang w:eastAsia="nl-NL"/>
              </w:rPr>
              <w:t xml:space="preserve"> 5A, </w:t>
            </w:r>
            <w:r w:rsidR="005F0DA1" w:rsidRPr="005F0DA1">
              <w:rPr>
                <w:b/>
                <w:bCs/>
                <w:lang w:eastAsia="nl-NL"/>
              </w:rPr>
              <w:br/>
            </w:r>
            <w:r w:rsidRPr="005F0DA1">
              <w:rPr>
                <w:b/>
                <w:bCs/>
                <w:lang w:eastAsia="nl-NL"/>
              </w:rPr>
              <w:t>GT</w:t>
            </w:r>
            <w:r w:rsidR="004A7B85" w:rsidRPr="005F0DA1">
              <w:rPr>
                <w:b/>
                <w:bCs/>
                <w:lang w:eastAsia="nl-NL"/>
              </w:rPr>
              <w:t xml:space="preserve"> 5B, </w:t>
            </w:r>
            <w:r w:rsidR="005F0DA1" w:rsidRPr="005F0DA1">
              <w:rPr>
                <w:b/>
                <w:bCs/>
                <w:lang w:eastAsia="nl-NL"/>
              </w:rPr>
              <w:br/>
            </w:r>
            <w:r w:rsidRPr="005F0DA1">
              <w:rPr>
                <w:b/>
                <w:bCs/>
                <w:lang w:eastAsia="nl-NL"/>
              </w:rPr>
              <w:t>GT</w:t>
            </w:r>
            <w:r w:rsidR="004A7B85" w:rsidRPr="005F0DA1">
              <w:rPr>
                <w:b/>
                <w:bCs/>
                <w:lang w:eastAsia="nl-NL"/>
              </w:rPr>
              <w:t> 5C</w:t>
            </w:r>
          </w:p>
        </w:tc>
      </w:tr>
      <w:tr w:rsidR="004A7B85" w:rsidRPr="00CE4E08" w14:paraId="13E055AD" w14:textId="77777777" w:rsidTr="003F05FF">
        <w:trPr>
          <w:gridAfter w:val="1"/>
          <w:wAfter w:w="27" w:type="dxa"/>
          <w:cantSplit/>
          <w:jc w:val="center"/>
        </w:trPr>
        <w:tc>
          <w:tcPr>
            <w:tcW w:w="14036" w:type="dxa"/>
            <w:gridSpan w:val="4"/>
          </w:tcPr>
          <w:p w14:paraId="08829023" w14:textId="7CDD3EFE" w:rsidR="004A7B85" w:rsidRPr="005F0DA1" w:rsidRDefault="004A7B85" w:rsidP="00E56659">
            <w:pPr>
              <w:pStyle w:val="Tabletext"/>
              <w:keepNext/>
              <w:tabs>
                <w:tab w:val="clear" w:pos="284"/>
                <w:tab w:val="left" w:pos="594"/>
              </w:tabs>
              <w:rPr>
                <w:lang w:val="es-ES_tradnl" w:eastAsia="nl-NL"/>
              </w:rPr>
            </w:pPr>
            <w:r w:rsidRPr="005F0DA1">
              <w:rPr>
                <w:lang w:val="es-ES_tradnl" w:eastAsia="nl-NL"/>
              </w:rPr>
              <w:t>1.15</w:t>
            </w:r>
            <w:r w:rsidRPr="005F0DA1">
              <w:rPr>
                <w:lang w:val="es-ES_tradnl" w:eastAsia="nl-NL"/>
              </w:rPr>
              <w:tab/>
            </w:r>
            <w:r w:rsidR="00E47839" w:rsidRPr="005F0DA1">
              <w:rPr>
                <w:lang w:val="es-ES_tradnl" w:eastAsia="nl-NL"/>
              </w:rPr>
              <w:t>armonizar a escala mundial la utilización de la banda de frecuencias 12,75</w:t>
            </w:r>
            <w:r w:rsidR="00E47839" w:rsidRPr="005F0DA1">
              <w:rPr>
                <w:lang w:val="es-ES_tradnl" w:eastAsia="nl-NL"/>
              </w:rPr>
              <w:noBreakHyphen/>
              <w:t xml:space="preserve">13,25 GHz (Tierra-espacio) por las estaciones terrenas a bordo de aeronaves y barcos que se comunican con estaciones espaciales geoestacionarias del servicio fijo por satélite, de conformidad con la Resolución </w:t>
            </w:r>
            <w:r w:rsidR="00E47839" w:rsidRPr="005F0DA1">
              <w:rPr>
                <w:b/>
                <w:bCs/>
                <w:lang w:val="es-ES_tradnl" w:eastAsia="nl-NL"/>
              </w:rPr>
              <w:t>172</w:t>
            </w:r>
            <w:r w:rsidR="005C4BDF">
              <w:rPr>
                <w:b/>
                <w:bCs/>
                <w:lang w:val="es-ES_tradnl" w:eastAsia="nl-NL"/>
              </w:rPr>
              <w:t xml:space="preserve"> </w:t>
            </w:r>
            <w:r w:rsidR="00E47839" w:rsidRPr="005F0DA1">
              <w:rPr>
                <w:b/>
                <w:bCs/>
                <w:lang w:val="es-ES_tradnl" w:eastAsia="nl-NL"/>
              </w:rPr>
              <w:t>(CMR-19)</w:t>
            </w:r>
            <w:r w:rsidR="00E47839" w:rsidRPr="005F0DA1">
              <w:rPr>
                <w:lang w:val="es-ES_tradnl" w:eastAsia="nl-NL"/>
              </w:rPr>
              <w:t>;</w:t>
            </w:r>
          </w:p>
        </w:tc>
      </w:tr>
      <w:tr w:rsidR="004A7B85" w:rsidRPr="004A7B85" w14:paraId="7111453F" w14:textId="77777777" w:rsidTr="003F05FF">
        <w:trPr>
          <w:gridAfter w:val="1"/>
          <w:wAfter w:w="27" w:type="dxa"/>
          <w:jc w:val="center"/>
        </w:trPr>
        <w:tc>
          <w:tcPr>
            <w:tcW w:w="3304" w:type="dxa"/>
          </w:tcPr>
          <w:p w14:paraId="204381DA" w14:textId="04589C13" w:rsidR="004A7B85" w:rsidRPr="005F0DA1" w:rsidRDefault="004A7B85" w:rsidP="005F0DA1">
            <w:pPr>
              <w:pStyle w:val="Tabletext"/>
              <w:tabs>
                <w:tab w:val="clear" w:pos="284"/>
                <w:tab w:val="left" w:pos="463"/>
              </w:tabs>
              <w:rPr>
                <w:lang w:val="es-ES_tradnl" w:eastAsia="nl-NL"/>
              </w:rPr>
            </w:pPr>
            <w:r w:rsidRPr="005F0DA1">
              <w:rPr>
                <w:lang w:val="es-ES_tradnl" w:eastAsia="nl-NL"/>
              </w:rPr>
              <w:t>Resolu</w:t>
            </w:r>
            <w:r w:rsidR="00E47839" w:rsidRPr="005F0DA1">
              <w:rPr>
                <w:lang w:val="es-ES_tradnl" w:eastAsia="nl-NL"/>
              </w:rPr>
              <w:t>ció</w:t>
            </w:r>
            <w:r w:rsidRPr="005F0DA1">
              <w:rPr>
                <w:lang w:val="es-ES_tradnl" w:eastAsia="nl-NL"/>
              </w:rPr>
              <w:t>n </w:t>
            </w:r>
            <w:r w:rsidRPr="005F0DA1">
              <w:rPr>
                <w:b/>
                <w:bCs/>
                <w:lang w:val="es-ES_tradnl" w:eastAsia="nl-NL"/>
              </w:rPr>
              <w:t>172 (</w:t>
            </w:r>
            <w:r w:rsidR="00E47839" w:rsidRPr="005F0DA1">
              <w:rPr>
                <w:b/>
                <w:bCs/>
                <w:lang w:val="es-ES_tradnl" w:eastAsia="nl-NL"/>
              </w:rPr>
              <w:t>CM</w:t>
            </w:r>
            <w:r w:rsidRPr="005F0DA1">
              <w:rPr>
                <w:b/>
                <w:bCs/>
                <w:lang w:val="es-ES_tradnl" w:eastAsia="nl-NL"/>
              </w:rPr>
              <w:t>R</w:t>
            </w:r>
            <w:r w:rsidRPr="005F0DA1">
              <w:rPr>
                <w:b/>
                <w:bCs/>
                <w:lang w:val="es-ES_tradnl" w:eastAsia="nl-NL"/>
              </w:rPr>
              <w:noBreakHyphen/>
              <w:t>19)</w:t>
            </w:r>
          </w:p>
          <w:p w14:paraId="58D93DEB" w14:textId="0879F829" w:rsidR="004A7B85" w:rsidRPr="005F0DA1" w:rsidRDefault="00E47839" w:rsidP="005F0DA1">
            <w:pPr>
              <w:pStyle w:val="Tabletext"/>
              <w:tabs>
                <w:tab w:val="clear" w:pos="284"/>
                <w:tab w:val="left" w:pos="463"/>
              </w:tabs>
              <w:rPr>
                <w:lang w:val="es-ES_tradnl" w:eastAsia="nl-NL"/>
              </w:rPr>
            </w:pPr>
            <w:bookmarkStart w:id="29" w:name="_Toc444507534"/>
            <w:bookmarkStart w:id="30" w:name="_Toc460331693"/>
            <w:r w:rsidRPr="005F0DA1">
              <w:rPr>
                <w:lang w:val="es-ES_tradnl" w:eastAsia="nl-NL"/>
              </w:rPr>
              <w:t>Funcionamiento de las estaciones terrenas a bordo de aeronaves y barcos que se comunican con estaciones espaciales geoestacionarias del servicio fijo por satélite (Tierra</w:t>
            </w:r>
            <w:r w:rsidR="005F0DA1">
              <w:rPr>
                <w:lang w:val="es-ES_tradnl" w:eastAsia="nl-NL"/>
              </w:rPr>
              <w:noBreakHyphen/>
            </w:r>
            <w:r w:rsidRPr="005F0DA1">
              <w:rPr>
                <w:lang w:val="es-ES_tradnl" w:eastAsia="nl-NL"/>
              </w:rPr>
              <w:t>espacio) en la banda de frecuencias 12,75-13,25 GHz</w:t>
            </w:r>
            <w:bookmarkEnd w:id="29"/>
            <w:bookmarkEnd w:id="30"/>
          </w:p>
        </w:tc>
        <w:tc>
          <w:tcPr>
            <w:tcW w:w="1517" w:type="dxa"/>
          </w:tcPr>
          <w:p w14:paraId="21294347" w14:textId="02E91057" w:rsidR="004A7B85" w:rsidRPr="005F0DA1" w:rsidRDefault="00A92266" w:rsidP="005F0DA1">
            <w:pPr>
              <w:pStyle w:val="Tabletext"/>
              <w:tabs>
                <w:tab w:val="clear" w:pos="284"/>
                <w:tab w:val="left" w:pos="463"/>
              </w:tabs>
              <w:jc w:val="center"/>
              <w:rPr>
                <w:b/>
                <w:bCs/>
                <w:lang w:val="es-ES_tradnl" w:eastAsia="nl-NL"/>
              </w:rPr>
            </w:pPr>
            <w:r w:rsidRPr="005F0DA1">
              <w:rPr>
                <w:b/>
                <w:bCs/>
                <w:lang w:val="es-ES_tradnl" w:eastAsia="nl-NL"/>
              </w:rPr>
              <w:t>GT</w:t>
            </w:r>
            <w:r w:rsidR="004A7B85" w:rsidRPr="005F0DA1">
              <w:rPr>
                <w:b/>
                <w:bCs/>
                <w:lang w:val="es-ES_tradnl" w:eastAsia="nl-NL"/>
              </w:rPr>
              <w:t> 4A</w:t>
            </w:r>
          </w:p>
        </w:tc>
        <w:tc>
          <w:tcPr>
            <w:tcW w:w="7809" w:type="dxa"/>
          </w:tcPr>
          <w:p w14:paraId="6ABF2C0A" w14:textId="79DBBA3B" w:rsidR="004A7B85" w:rsidRPr="005F0DA1" w:rsidRDefault="00E47839" w:rsidP="00AB516B">
            <w:pPr>
              <w:pStyle w:val="Tabletext"/>
              <w:keepNext/>
              <w:keepLines/>
              <w:tabs>
                <w:tab w:val="clear" w:pos="284"/>
                <w:tab w:val="left" w:pos="463"/>
              </w:tabs>
              <w:ind w:left="454"/>
              <w:jc w:val="both"/>
              <w:rPr>
                <w:rFonts w:eastAsia="???"/>
                <w:i/>
                <w:iCs/>
                <w:lang w:val="es-ES" w:eastAsia="nl-NL"/>
              </w:rPr>
            </w:pPr>
            <w:r w:rsidRPr="005F0DA1">
              <w:rPr>
                <w:rFonts w:eastAsia="???"/>
                <w:i/>
                <w:iCs/>
                <w:lang w:val="es-ES" w:eastAsia="nl-NL"/>
              </w:rPr>
              <w:t>resuelve invitar al Sector de Radiocomunicaciones de la UIT</w:t>
            </w:r>
          </w:p>
          <w:p w14:paraId="0A28344B" w14:textId="6B8BE19F" w:rsidR="00E47839" w:rsidRPr="005F0DA1" w:rsidRDefault="00E47839" w:rsidP="00AB516B">
            <w:pPr>
              <w:pStyle w:val="Tabletext"/>
              <w:keepNext/>
              <w:keepLines/>
              <w:tabs>
                <w:tab w:val="clear" w:pos="284"/>
                <w:tab w:val="left" w:pos="463"/>
              </w:tabs>
              <w:jc w:val="both"/>
              <w:rPr>
                <w:lang w:val="es-ES_tradnl" w:eastAsia="nl-NL"/>
              </w:rPr>
            </w:pPr>
            <w:r w:rsidRPr="005F0DA1">
              <w:rPr>
                <w:lang w:val="es-ES_tradnl" w:eastAsia="nl-NL"/>
              </w:rPr>
              <w:t>1</w:t>
            </w:r>
            <w:r w:rsidRPr="005F0DA1">
              <w:rPr>
                <w:lang w:val="es-ES_tradnl" w:eastAsia="nl-NL"/>
              </w:rPr>
              <w:tab/>
              <w:t>a estudiar las características técnicas y operativas y las necesidades de los usuarios de las estaciones terrenas a bordo de aeronaves y barcos que se comunican o tienen previsto comunicarse con estaciones espaciales OSG del SFS en la banda de frecuencias 12,75</w:t>
            </w:r>
            <w:r w:rsidR="005F0DA1">
              <w:rPr>
                <w:lang w:val="es-ES_tradnl" w:eastAsia="nl-NL"/>
              </w:rPr>
              <w:noBreakHyphen/>
            </w:r>
            <w:r w:rsidRPr="005F0DA1">
              <w:rPr>
                <w:lang w:val="es-ES_tradnl" w:eastAsia="nl-NL"/>
              </w:rPr>
              <w:t xml:space="preserve">13,25 GHz (Tierra-espacio) conforme al Artículo 6 del Apéndice </w:t>
            </w:r>
            <w:r w:rsidRPr="005C4BDF">
              <w:rPr>
                <w:b/>
                <w:bCs/>
                <w:lang w:val="es-ES_tradnl" w:eastAsia="nl-NL"/>
              </w:rPr>
              <w:t>30B</w:t>
            </w:r>
            <w:r w:rsidRPr="005F0DA1">
              <w:rPr>
                <w:lang w:val="es-ES_tradnl" w:eastAsia="nl-NL"/>
              </w:rPr>
              <w:t xml:space="preserve">, inscritas en la Lista o el Registro Internacional con una conclusión favorable únicamente, y a examinar las disposiciones reglamentarias existentes conexas, sujetas al </w:t>
            </w:r>
            <w:r w:rsidRPr="005F0DA1">
              <w:rPr>
                <w:i/>
                <w:iCs/>
                <w:lang w:val="es-ES_tradnl" w:eastAsia="nl-NL"/>
              </w:rPr>
              <w:t>reconociendo a)</w:t>
            </w:r>
            <w:r w:rsidRPr="005F0DA1">
              <w:rPr>
                <w:lang w:val="es-ES_tradnl" w:eastAsia="nl-NL"/>
              </w:rPr>
              <w:t>;</w:t>
            </w:r>
          </w:p>
          <w:p w14:paraId="436ADBFD" w14:textId="77777777" w:rsidR="00E47839" w:rsidRPr="005F0DA1" w:rsidRDefault="00E47839" w:rsidP="00AB516B">
            <w:pPr>
              <w:pStyle w:val="Tabletext"/>
              <w:keepNext/>
              <w:keepLines/>
              <w:tabs>
                <w:tab w:val="clear" w:pos="284"/>
                <w:tab w:val="left" w:pos="463"/>
              </w:tabs>
              <w:jc w:val="both"/>
              <w:rPr>
                <w:lang w:val="es-ES_tradnl" w:eastAsia="nl-NL"/>
              </w:rPr>
            </w:pPr>
            <w:r w:rsidRPr="005F0DA1">
              <w:rPr>
                <w:lang w:val="es-ES_tradnl" w:eastAsia="nl-NL"/>
              </w:rPr>
              <w:t>2</w:t>
            </w:r>
            <w:r w:rsidRPr="005F0DA1">
              <w:rPr>
                <w:lang w:val="es-ES_tradnl" w:eastAsia="nl-NL"/>
              </w:rPr>
              <w:tab/>
              <w:t xml:space="preserve">a estudiar los problemas de compartición y compatibilidad entre las estaciones terrenas a bordo de aeronaves y barcos que se comunican con estaciones espaciales del SFS OSG y las estaciones actuales y planificadas de los servicios existentes mencionados en el </w:t>
            </w:r>
            <w:r w:rsidRPr="005C4BDF">
              <w:rPr>
                <w:i/>
                <w:iCs/>
                <w:lang w:val="es-ES_tradnl" w:eastAsia="nl-NL"/>
              </w:rPr>
              <w:t>considerando a)</w:t>
            </w:r>
            <w:r w:rsidRPr="005F0DA1">
              <w:rPr>
                <w:lang w:val="es-ES_tradnl" w:eastAsia="nl-NL"/>
              </w:rPr>
              <w:t xml:space="preserve">, así como de los servicios de bandas adyacentes, a fin de garantizar la protección de esos servicios sin imponerles restricciones indebidas que obstaculizan su evolución futura, teniendo en cuenta las disposiciones del Apéndice </w:t>
            </w:r>
            <w:r w:rsidRPr="005C4BDF">
              <w:rPr>
                <w:b/>
                <w:bCs/>
                <w:lang w:val="es-ES_tradnl" w:eastAsia="nl-NL"/>
              </w:rPr>
              <w:t>30B</w:t>
            </w:r>
            <w:r w:rsidRPr="005F0DA1">
              <w:rPr>
                <w:lang w:val="es-ES_tradnl" w:eastAsia="nl-NL"/>
              </w:rPr>
              <w:t>;</w:t>
            </w:r>
          </w:p>
          <w:p w14:paraId="75866255"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3</w:t>
            </w:r>
            <w:r w:rsidRPr="005F0DA1">
              <w:rPr>
                <w:lang w:val="es-ES_tradnl" w:eastAsia="nl-NL"/>
              </w:rPr>
              <w:tab/>
              <w:t>a estudiar la responsabilidad de las entidades que intervienen en el funcionamiento de estaciones terrenas a bordo de aeronaves y barcos en el marco de esta Resolución;</w:t>
            </w:r>
          </w:p>
          <w:p w14:paraId="3F774686"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3</w:t>
            </w:r>
            <w:r w:rsidRPr="005F0DA1">
              <w:rPr>
                <w:i/>
                <w:iCs/>
                <w:lang w:val="es-ES_tradnl" w:eastAsia="nl-NL"/>
              </w:rPr>
              <w:t>bis</w:t>
            </w:r>
            <w:r w:rsidRPr="005F0DA1">
              <w:rPr>
                <w:lang w:val="es-ES_tradnl" w:eastAsia="nl-NL"/>
              </w:rPr>
              <w:tab/>
              <w:t xml:space="preserve">a formular los criterios necesarios para garantizar que las estaciones terrenas a bordo de aeronaves y barcos, como nueva aplicación del SFS en esta banda de frecuencias, no reclamen </w:t>
            </w:r>
            <w:r w:rsidRPr="005F0DA1">
              <w:rPr>
                <w:lang w:val="es-ES_tradnl" w:eastAsia="nl-NL"/>
              </w:rPr>
              <w:lastRenderedPageBreak/>
              <w:t xml:space="preserve">más protección ni causen más interferencia que las estaciones terrenas notificadas del Apéndice </w:t>
            </w:r>
            <w:r w:rsidRPr="005C4BDF">
              <w:rPr>
                <w:b/>
                <w:bCs/>
                <w:lang w:val="es-ES_tradnl" w:eastAsia="nl-NL"/>
              </w:rPr>
              <w:t>30B</w:t>
            </w:r>
            <w:r w:rsidRPr="005F0DA1">
              <w:rPr>
                <w:lang w:val="es-ES_tradnl" w:eastAsia="nl-NL"/>
              </w:rPr>
              <w:t>;</w:t>
            </w:r>
          </w:p>
          <w:p w14:paraId="5DD94F08" w14:textId="69534B46" w:rsidR="00E47839" w:rsidRPr="005F0DA1" w:rsidRDefault="00E47839" w:rsidP="00AB516B">
            <w:pPr>
              <w:pStyle w:val="Tabletext"/>
              <w:keepNext/>
              <w:keepLines/>
              <w:tabs>
                <w:tab w:val="clear" w:pos="284"/>
                <w:tab w:val="left" w:pos="463"/>
              </w:tabs>
              <w:jc w:val="both"/>
              <w:rPr>
                <w:lang w:val="es-ES_tradnl" w:eastAsia="nl-NL"/>
              </w:rPr>
            </w:pPr>
            <w:r w:rsidRPr="005F0DA1">
              <w:rPr>
                <w:lang w:val="es-ES_tradnl" w:eastAsia="nl-NL"/>
              </w:rPr>
              <w:t>4</w:t>
            </w:r>
            <w:r w:rsidRPr="005F0DA1">
              <w:rPr>
                <w:lang w:val="es-ES_tradnl" w:eastAsia="nl-NL"/>
              </w:rPr>
              <w:tab/>
              <w:t>a formular las condiciones técnicas y disposiciones reglamentarias necesarias para el funcionamiento armonizado de las estaciones terrenas a bordo de aeronaves y barcos que se comunican con estaciones espaciales OSG del SFS que funcionan en la banda de frecuencias 12,75</w:t>
            </w:r>
            <w:r w:rsidRPr="005F0DA1">
              <w:rPr>
                <w:lang w:val="es-ES_tradnl" w:eastAsia="nl-NL"/>
              </w:rPr>
              <w:noBreakHyphen/>
              <w:t xml:space="preserve">13,25 GHz (Tierra-espacio), teniendo en cuenta los resultados de los estudios descritos en los </w:t>
            </w:r>
            <w:r w:rsidRPr="005C4BDF">
              <w:rPr>
                <w:i/>
                <w:iCs/>
                <w:lang w:val="es-ES_tradnl" w:eastAsia="nl-NL"/>
              </w:rPr>
              <w:t>resuelve invitar al UIT-R</w:t>
            </w:r>
            <w:r w:rsidRPr="005F0DA1">
              <w:rPr>
                <w:lang w:val="es-ES_tradnl" w:eastAsia="nl-NL"/>
              </w:rPr>
              <w:t xml:space="preserve"> 1 y 2 y, en particular, sin que ello afecte al Plan del Apéndice</w:t>
            </w:r>
            <w:r w:rsidR="00E56659">
              <w:rPr>
                <w:lang w:val="es-ES_tradnl" w:eastAsia="nl-NL"/>
              </w:rPr>
              <w:t> </w:t>
            </w:r>
            <w:r w:rsidRPr="005C4BDF">
              <w:rPr>
                <w:b/>
                <w:bCs/>
                <w:lang w:val="es-ES_tradnl" w:eastAsia="nl-NL"/>
              </w:rPr>
              <w:t>30B</w:t>
            </w:r>
            <w:r w:rsidRPr="005F0DA1">
              <w:rPr>
                <w:lang w:val="es-ES_tradnl" w:eastAsia="nl-NL"/>
              </w:rPr>
              <w:t>;</w:t>
            </w:r>
          </w:p>
          <w:p w14:paraId="74B9C344" w14:textId="1BB9CF1F" w:rsidR="00E47839" w:rsidRPr="005F0DA1" w:rsidRDefault="00E47839" w:rsidP="00AB516B">
            <w:pPr>
              <w:pStyle w:val="Tabletext"/>
              <w:keepNext/>
              <w:keepLines/>
              <w:tabs>
                <w:tab w:val="clear" w:pos="284"/>
                <w:tab w:val="left" w:pos="463"/>
              </w:tabs>
              <w:jc w:val="both"/>
              <w:rPr>
                <w:lang w:val="es-ES_tradnl" w:eastAsia="nl-NL"/>
              </w:rPr>
            </w:pPr>
            <w:r w:rsidRPr="005F0DA1">
              <w:rPr>
                <w:lang w:val="es-ES_tradnl" w:eastAsia="nl-NL"/>
              </w:rPr>
              <w:t>5</w:t>
            </w:r>
            <w:r w:rsidRPr="005F0DA1">
              <w:rPr>
                <w:lang w:val="es-ES_tradnl" w:eastAsia="nl-NL"/>
              </w:rPr>
              <w:tab/>
              <w:t>a velar por que el funcionamiento de las estaciones terrenas a bordo de aeronaves y barcos que utilizan la banda de frecuencias 12,75-13,25 GHz de conformidad con el Apéndice</w:t>
            </w:r>
            <w:r w:rsidR="00E56659">
              <w:rPr>
                <w:lang w:val="es-ES_tradnl" w:eastAsia="nl-NL"/>
              </w:rPr>
              <w:t> </w:t>
            </w:r>
            <w:r w:rsidRPr="005C4BDF">
              <w:rPr>
                <w:b/>
                <w:bCs/>
                <w:lang w:val="es-ES_tradnl" w:eastAsia="nl-NL"/>
              </w:rPr>
              <w:t>30B</w:t>
            </w:r>
            <w:r w:rsidRPr="005F0DA1">
              <w:rPr>
                <w:lang w:val="es-ES_tradnl" w:eastAsia="nl-NL"/>
              </w:rPr>
              <w:t xml:space="preserve"> no menoscabe los criterios expuestos en el </w:t>
            </w:r>
            <w:r w:rsidRPr="005C4BDF">
              <w:rPr>
                <w:i/>
                <w:iCs/>
                <w:lang w:val="es-ES_tradnl" w:eastAsia="nl-NL"/>
              </w:rPr>
              <w:t>reconociendo j)</w:t>
            </w:r>
            <w:r w:rsidRPr="005F0DA1">
              <w:rPr>
                <w:lang w:val="es-ES_tradnl" w:eastAsia="nl-NL"/>
              </w:rPr>
              <w:t>, incluido el efecto acumulado de múltiples estaciones terrenas a bordo de aeronaves y barcos;</w:t>
            </w:r>
          </w:p>
          <w:p w14:paraId="1584EDFC" w14:textId="5D0970DA" w:rsidR="00E47839" w:rsidRPr="005F0DA1" w:rsidRDefault="00E47839" w:rsidP="00AB516B">
            <w:pPr>
              <w:pStyle w:val="Tabletext"/>
              <w:keepNext/>
              <w:keepLines/>
              <w:tabs>
                <w:tab w:val="clear" w:pos="284"/>
                <w:tab w:val="left" w:pos="463"/>
              </w:tabs>
              <w:jc w:val="both"/>
              <w:rPr>
                <w:lang w:val="es-ES_tradnl" w:eastAsia="nl-NL"/>
              </w:rPr>
            </w:pPr>
            <w:r w:rsidRPr="005F0DA1">
              <w:rPr>
                <w:lang w:val="es-ES_tradnl" w:eastAsia="nl-NL"/>
              </w:rPr>
              <w:t>6</w:t>
            </w:r>
            <w:r w:rsidRPr="005F0DA1">
              <w:rPr>
                <w:lang w:val="es-ES_tradnl" w:eastAsia="nl-NL"/>
              </w:rPr>
              <w:tab/>
              <w:t xml:space="preserve">a velar por que la utilización de la banda 12,75-13,25 GHz (Tierra-espacio) por las estaciones terrenas a bordo de aeronaves y barcos no limite el acceso de otras administraciones a sus recursos nacionales enumerados en el Apéndice </w:t>
            </w:r>
            <w:r w:rsidRPr="005C4BDF">
              <w:rPr>
                <w:b/>
                <w:bCs/>
                <w:lang w:val="es-ES_tradnl" w:eastAsia="nl-NL"/>
              </w:rPr>
              <w:t>30B</w:t>
            </w:r>
            <w:r w:rsidRPr="005F0DA1">
              <w:rPr>
                <w:lang w:val="es-ES_tradnl" w:eastAsia="nl-NL"/>
              </w:rPr>
              <w:t>, así como la aplicación de la Resolución </w:t>
            </w:r>
            <w:r w:rsidR="00AA3DC8" w:rsidRPr="005C4BDF">
              <w:rPr>
                <w:b/>
                <w:bCs/>
                <w:lang w:val="es-ES_tradnl" w:eastAsia="nl-NL"/>
              </w:rPr>
              <w:t>170</w:t>
            </w:r>
            <w:r w:rsidRPr="005C4BDF">
              <w:rPr>
                <w:b/>
                <w:bCs/>
                <w:lang w:val="es-ES_tradnl" w:eastAsia="nl-NL"/>
              </w:rPr>
              <w:t xml:space="preserve"> (CMR</w:t>
            </w:r>
            <w:r w:rsidRPr="005C4BDF">
              <w:rPr>
                <w:b/>
                <w:bCs/>
                <w:lang w:val="es-ES_tradnl" w:eastAsia="nl-NL"/>
              </w:rPr>
              <w:noBreakHyphen/>
              <w:t>19)</w:t>
            </w:r>
            <w:r w:rsidRPr="005F0DA1">
              <w:rPr>
                <w:lang w:val="es-ES_tradnl" w:eastAsia="nl-NL"/>
              </w:rPr>
              <w:t>;</w:t>
            </w:r>
          </w:p>
          <w:p w14:paraId="27AA8DC7"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7</w:t>
            </w:r>
            <w:r w:rsidRPr="005F0DA1">
              <w:rPr>
                <w:lang w:val="es-ES_tradnl" w:eastAsia="nl-NL"/>
              </w:rPr>
              <w:tab/>
              <w:t>a velar por que la utilización de estaciones terrenas a bordo de aeronaves y barcos de esta Resolución no genere categorías adicionales a la de la red OSG con la que esas estaciones se comunican;</w:t>
            </w:r>
          </w:p>
          <w:p w14:paraId="550DCBBB"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8</w:t>
            </w:r>
            <w:r w:rsidRPr="005F0DA1">
              <w:rPr>
                <w:lang w:val="es-ES_tradnl" w:eastAsia="nl-NL"/>
              </w:rPr>
              <w:tab/>
              <w:t>a velar por que los Estados Miembros aprueben por consenso los resultados de los estudios del UIT</w:t>
            </w:r>
            <w:r w:rsidRPr="005F0DA1">
              <w:rPr>
                <w:lang w:val="es-ES_tradnl" w:eastAsia="nl-NL"/>
              </w:rPr>
              <w:noBreakHyphen/>
              <w:t>R;</w:t>
            </w:r>
          </w:p>
          <w:p w14:paraId="0D4DA6DE"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9</w:t>
            </w:r>
            <w:r w:rsidRPr="005F0DA1">
              <w:rPr>
                <w:lang w:val="es-ES_tradnl" w:eastAsia="nl-NL"/>
              </w:rPr>
              <w:tab/>
              <w:t>a completar estudios a tiempo para la CMR-23,</w:t>
            </w:r>
          </w:p>
          <w:p w14:paraId="770755A2" w14:textId="77777777" w:rsidR="00E47839" w:rsidRPr="005F0DA1" w:rsidRDefault="00E47839" w:rsidP="00AB516B">
            <w:pPr>
              <w:pStyle w:val="Tabletext"/>
              <w:tabs>
                <w:tab w:val="clear" w:pos="284"/>
                <w:tab w:val="left" w:pos="463"/>
              </w:tabs>
              <w:ind w:left="454"/>
              <w:jc w:val="both"/>
              <w:rPr>
                <w:rFonts w:eastAsia="???"/>
                <w:i/>
                <w:iCs/>
                <w:lang w:val="es-ES" w:eastAsia="nl-NL"/>
              </w:rPr>
            </w:pPr>
            <w:r w:rsidRPr="005F0DA1">
              <w:rPr>
                <w:rFonts w:eastAsia="???"/>
                <w:i/>
                <w:iCs/>
                <w:lang w:val="es-ES" w:eastAsia="nl-NL"/>
              </w:rPr>
              <w:t>resuelve además</w:t>
            </w:r>
          </w:p>
          <w:p w14:paraId="6F6D1086" w14:textId="77777777"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que las estaciones terrenas a bordo de aeronaves y barcos a que se refiere la presente Resolución:</w:t>
            </w:r>
          </w:p>
          <w:p w14:paraId="461FDB71" w14:textId="77777777" w:rsidR="00E47839" w:rsidRPr="005F0DA1" w:rsidRDefault="00E47839" w:rsidP="00AB516B">
            <w:pPr>
              <w:pStyle w:val="Tabletext"/>
              <w:tabs>
                <w:tab w:val="clear" w:pos="284"/>
                <w:tab w:val="left" w:pos="463"/>
              </w:tabs>
              <w:ind w:left="463" w:hanging="463"/>
              <w:jc w:val="both"/>
              <w:rPr>
                <w:lang w:val="es-ES_tradnl" w:eastAsia="nl-NL"/>
              </w:rPr>
            </w:pPr>
            <w:r w:rsidRPr="005C4BDF">
              <w:rPr>
                <w:i/>
                <w:iCs/>
                <w:lang w:val="es-ES_tradnl" w:eastAsia="nl-NL"/>
              </w:rPr>
              <w:t>a)</w:t>
            </w:r>
            <w:r w:rsidRPr="005F0DA1">
              <w:rPr>
                <w:lang w:val="es-ES_tradnl" w:eastAsia="nl-NL"/>
              </w:rPr>
              <w:tab/>
              <w:t>no se utilicen en aplicaciones de seguridad de la vida humana ni se confíe en ellas para tal fin;</w:t>
            </w:r>
          </w:p>
          <w:p w14:paraId="4F325425" w14:textId="77777777" w:rsidR="00E47839" w:rsidRPr="005F0DA1" w:rsidRDefault="00E47839" w:rsidP="00AB516B">
            <w:pPr>
              <w:pStyle w:val="Tabletext"/>
              <w:tabs>
                <w:tab w:val="clear" w:pos="284"/>
                <w:tab w:val="left" w:pos="463"/>
              </w:tabs>
              <w:ind w:left="463" w:hanging="463"/>
              <w:jc w:val="both"/>
              <w:rPr>
                <w:lang w:val="es-ES_tradnl" w:eastAsia="nl-NL"/>
              </w:rPr>
            </w:pPr>
            <w:r w:rsidRPr="005C4BDF">
              <w:rPr>
                <w:i/>
                <w:iCs/>
                <w:lang w:val="es-ES_tradnl" w:eastAsia="nl-NL"/>
              </w:rPr>
              <w:t>b)</w:t>
            </w:r>
            <w:r w:rsidRPr="005F0DA1">
              <w:rPr>
                <w:lang w:val="es-ES_tradnl" w:eastAsia="nl-NL"/>
              </w:rPr>
              <w:tab/>
              <w:t xml:space="preserve">no den lugar a ningún cambio ni restricción a las adjudicaciones existentes del Plan ni a las asignaciones de la Lista en el Apéndice </w:t>
            </w:r>
            <w:r w:rsidRPr="005C4BDF">
              <w:rPr>
                <w:b/>
                <w:bCs/>
                <w:lang w:val="es-ES_tradnl" w:eastAsia="nl-NL"/>
              </w:rPr>
              <w:t>30B</w:t>
            </w:r>
            <w:r w:rsidRPr="005F0DA1">
              <w:rPr>
                <w:lang w:val="es-ES_tradnl" w:eastAsia="nl-NL"/>
              </w:rPr>
              <w:t>, ni a su futuro desarrollo,</w:t>
            </w:r>
          </w:p>
          <w:p w14:paraId="58D2DDF7" w14:textId="77777777" w:rsidR="00E47839" w:rsidRPr="005F0DA1" w:rsidRDefault="00E47839" w:rsidP="00AB516B">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 la CMR-23</w:t>
            </w:r>
          </w:p>
          <w:p w14:paraId="2C9A345C" w14:textId="01FDBAB1" w:rsidR="00E47839" w:rsidRPr="005F0DA1" w:rsidRDefault="00E47839" w:rsidP="00AB516B">
            <w:pPr>
              <w:pStyle w:val="Tabletext"/>
              <w:tabs>
                <w:tab w:val="clear" w:pos="284"/>
                <w:tab w:val="left" w:pos="463"/>
              </w:tabs>
              <w:jc w:val="both"/>
              <w:rPr>
                <w:lang w:val="es-ES_tradnl" w:eastAsia="nl-NL"/>
              </w:rPr>
            </w:pPr>
            <w:r w:rsidRPr="005F0DA1">
              <w:rPr>
                <w:lang w:val="es-ES_tradnl" w:eastAsia="nl-NL"/>
              </w:rPr>
              <w:t xml:space="preserve">a considerar los resultados de los estudios antes mencionados en el </w:t>
            </w:r>
            <w:r w:rsidRPr="005C4BDF">
              <w:rPr>
                <w:i/>
                <w:iCs/>
                <w:lang w:val="es-ES_tradnl" w:eastAsia="nl-NL"/>
              </w:rPr>
              <w:t>resuelve invitar al UIT</w:t>
            </w:r>
            <w:r w:rsidR="005F0DA1" w:rsidRPr="005C4BDF">
              <w:rPr>
                <w:i/>
                <w:iCs/>
                <w:lang w:val="es-ES_tradnl" w:eastAsia="nl-NL"/>
              </w:rPr>
              <w:noBreakHyphen/>
            </w:r>
            <w:r w:rsidRPr="005C4BDF">
              <w:rPr>
                <w:i/>
                <w:iCs/>
                <w:lang w:val="es-ES_tradnl" w:eastAsia="nl-NL"/>
              </w:rPr>
              <w:t>R</w:t>
            </w:r>
            <w:r w:rsidRPr="005F0DA1">
              <w:rPr>
                <w:lang w:val="es-ES_tradnl" w:eastAsia="nl-NL"/>
              </w:rPr>
              <w:t xml:space="preserve"> y a tomar las medidas necesarias, según convenga,</w:t>
            </w:r>
          </w:p>
          <w:p w14:paraId="32D768EB" w14:textId="77777777" w:rsidR="00E47839" w:rsidRPr="005F0DA1" w:rsidRDefault="00E47839" w:rsidP="00AB516B">
            <w:pPr>
              <w:pStyle w:val="Tabletext"/>
              <w:tabs>
                <w:tab w:val="clear" w:pos="284"/>
                <w:tab w:val="left" w:pos="463"/>
              </w:tabs>
              <w:ind w:left="454"/>
              <w:jc w:val="both"/>
              <w:rPr>
                <w:rFonts w:eastAsia="???"/>
                <w:i/>
                <w:iCs/>
                <w:lang w:val="es-ES" w:eastAsia="nl-NL"/>
              </w:rPr>
            </w:pPr>
            <w:r w:rsidRPr="005F0DA1">
              <w:rPr>
                <w:rFonts w:eastAsia="???"/>
                <w:i/>
                <w:iCs/>
                <w:lang w:val="es-ES" w:eastAsia="nl-NL"/>
              </w:rPr>
              <w:lastRenderedPageBreak/>
              <w:t>invita a las administraciones</w:t>
            </w:r>
          </w:p>
          <w:p w14:paraId="0F40D3EF" w14:textId="383B3A70" w:rsidR="00051770" w:rsidRPr="005F0DA1" w:rsidRDefault="00E47839" w:rsidP="00AB516B">
            <w:pPr>
              <w:pStyle w:val="Tabletext"/>
              <w:tabs>
                <w:tab w:val="clear" w:pos="284"/>
                <w:tab w:val="left" w:pos="463"/>
              </w:tabs>
              <w:jc w:val="both"/>
              <w:rPr>
                <w:lang w:val="es-ES_tradnl" w:eastAsia="nl-NL"/>
              </w:rPr>
            </w:pPr>
            <w:r w:rsidRPr="005F0DA1">
              <w:rPr>
                <w:lang w:val="es-ES_tradnl" w:eastAsia="nl-NL"/>
              </w:rPr>
              <w:t>a participar activamente en los estudios presentando contribuciones al UIT-R.</w:t>
            </w:r>
          </w:p>
        </w:tc>
        <w:tc>
          <w:tcPr>
            <w:tcW w:w="1406" w:type="dxa"/>
          </w:tcPr>
          <w:p w14:paraId="450F2528" w14:textId="77C203E5" w:rsidR="004A7B85" w:rsidRPr="005F0DA1" w:rsidRDefault="00A92266" w:rsidP="005F0DA1">
            <w:pPr>
              <w:pStyle w:val="Tabletext"/>
              <w:tabs>
                <w:tab w:val="clear" w:pos="284"/>
                <w:tab w:val="left" w:pos="463"/>
              </w:tabs>
              <w:jc w:val="center"/>
              <w:rPr>
                <w:b/>
                <w:bCs/>
                <w:lang w:eastAsia="nl-NL"/>
              </w:rPr>
            </w:pPr>
            <w:r w:rsidRPr="005F0DA1">
              <w:rPr>
                <w:b/>
                <w:bCs/>
                <w:lang w:eastAsia="nl-NL"/>
              </w:rPr>
              <w:lastRenderedPageBreak/>
              <w:t>GT</w:t>
            </w:r>
            <w:r w:rsidR="004A7B85" w:rsidRPr="005F0DA1">
              <w:rPr>
                <w:b/>
                <w:bCs/>
                <w:lang w:eastAsia="nl-NL"/>
              </w:rPr>
              <w:t xml:space="preserve"> 3M, </w:t>
            </w:r>
            <w:r w:rsidR="005F0DA1" w:rsidRPr="005F0DA1">
              <w:rPr>
                <w:b/>
                <w:bCs/>
                <w:lang w:eastAsia="nl-NL"/>
              </w:rPr>
              <w:br/>
            </w:r>
            <w:r w:rsidRPr="005F0DA1">
              <w:rPr>
                <w:b/>
                <w:bCs/>
                <w:lang w:eastAsia="nl-NL"/>
              </w:rPr>
              <w:t>GT</w:t>
            </w:r>
            <w:r w:rsidR="004A7B85" w:rsidRPr="005F0DA1">
              <w:rPr>
                <w:b/>
                <w:bCs/>
                <w:lang w:eastAsia="nl-NL"/>
              </w:rPr>
              <w:t xml:space="preserve"> 5A, </w:t>
            </w:r>
            <w:r w:rsidR="005F0DA1" w:rsidRPr="005F0DA1">
              <w:rPr>
                <w:b/>
                <w:bCs/>
                <w:lang w:eastAsia="nl-NL"/>
              </w:rPr>
              <w:br/>
            </w:r>
            <w:r w:rsidRPr="005F0DA1">
              <w:rPr>
                <w:b/>
                <w:bCs/>
                <w:lang w:eastAsia="nl-NL"/>
              </w:rPr>
              <w:t>GT</w:t>
            </w:r>
            <w:r w:rsidR="004A7B85" w:rsidRPr="005F0DA1">
              <w:rPr>
                <w:b/>
                <w:bCs/>
                <w:lang w:eastAsia="nl-NL"/>
              </w:rPr>
              <w:t xml:space="preserve"> 5B, </w:t>
            </w:r>
            <w:r w:rsidR="005F0DA1">
              <w:rPr>
                <w:b/>
                <w:bCs/>
                <w:lang w:eastAsia="nl-NL"/>
              </w:rPr>
              <w:br/>
            </w:r>
            <w:r w:rsidRPr="005F0DA1">
              <w:rPr>
                <w:b/>
                <w:bCs/>
                <w:lang w:eastAsia="nl-NL"/>
              </w:rPr>
              <w:t>GT</w:t>
            </w:r>
            <w:r w:rsidR="004A7B85" w:rsidRPr="005F0DA1">
              <w:rPr>
                <w:b/>
                <w:bCs/>
                <w:lang w:eastAsia="nl-NL"/>
              </w:rPr>
              <w:t> 5C</w:t>
            </w:r>
          </w:p>
        </w:tc>
      </w:tr>
      <w:tr w:rsidR="004A7B85" w:rsidRPr="00CE4E08" w14:paraId="44C0872D" w14:textId="77777777" w:rsidTr="003F05FF">
        <w:trPr>
          <w:gridAfter w:val="1"/>
          <w:wAfter w:w="27" w:type="dxa"/>
          <w:cantSplit/>
          <w:jc w:val="center"/>
        </w:trPr>
        <w:tc>
          <w:tcPr>
            <w:tcW w:w="14036" w:type="dxa"/>
            <w:gridSpan w:val="4"/>
          </w:tcPr>
          <w:p w14:paraId="47528B8D" w14:textId="5313AD2F" w:rsidR="004A7B85" w:rsidRPr="005F0DA1" w:rsidRDefault="004A7B85" w:rsidP="00BD2741">
            <w:pPr>
              <w:pStyle w:val="Tabletext"/>
              <w:keepNext/>
              <w:tabs>
                <w:tab w:val="clear" w:pos="284"/>
                <w:tab w:val="left" w:pos="594"/>
              </w:tabs>
              <w:jc w:val="both"/>
              <w:rPr>
                <w:lang w:val="es-ES_tradnl" w:eastAsia="nl-NL"/>
              </w:rPr>
            </w:pPr>
            <w:r w:rsidRPr="005F0DA1">
              <w:rPr>
                <w:lang w:val="es-ES_tradnl" w:eastAsia="nl-NL"/>
              </w:rPr>
              <w:lastRenderedPageBreak/>
              <w:t>1.16</w:t>
            </w:r>
            <w:r w:rsidRPr="005F0DA1">
              <w:rPr>
                <w:lang w:val="es-ES_tradnl" w:eastAsia="nl-NL"/>
              </w:rPr>
              <w:tab/>
            </w:r>
            <w:r w:rsidR="000F36BF" w:rsidRPr="005F0DA1">
              <w:rPr>
                <w:lang w:val="es-ES_tradnl" w:eastAsia="nl-NL"/>
              </w:rPr>
              <w:t>estudiar y desarrollar medidas técnicas, operativas y reglamentarias, según proceda, para facilitar la utilización de las bandas de frecuencias 17,7</w:t>
            </w:r>
            <w:r w:rsidR="000F36BF" w:rsidRPr="005F0DA1">
              <w:rPr>
                <w:lang w:val="es-ES_tradnl" w:eastAsia="nl-NL"/>
              </w:rPr>
              <w:noBreakHyphen/>
              <w:t>18,6 GHz y 18,8</w:t>
            </w:r>
            <w:r w:rsidR="000F36BF" w:rsidRPr="005F0DA1">
              <w:rPr>
                <w:lang w:val="es-ES_tradnl" w:eastAsia="nl-NL"/>
              </w:rPr>
              <w:noBreakHyphen/>
              <w:t>19,3 GHz y 19,7</w:t>
            </w:r>
            <w:r w:rsidR="000F36BF" w:rsidRPr="005F0DA1">
              <w:rPr>
                <w:lang w:val="es-ES_tradnl" w:eastAsia="nl-NL"/>
              </w:rPr>
              <w:noBreakHyphen/>
              <w:t>20,2 GHz (espacio</w:t>
            </w:r>
            <w:r w:rsidR="000F36BF" w:rsidRPr="005F0DA1">
              <w:rPr>
                <w:lang w:val="es-ES_tradnl" w:eastAsia="nl-NL"/>
              </w:rPr>
              <w:noBreakHyphen/>
              <w:t>Tierra) y 27,5</w:t>
            </w:r>
            <w:r w:rsidR="000F36BF" w:rsidRPr="005F0DA1">
              <w:rPr>
                <w:lang w:val="es-ES_tradnl" w:eastAsia="nl-NL"/>
              </w:rPr>
              <w:noBreakHyphen/>
              <w:t>29,1 GHz y 29,5</w:t>
            </w:r>
            <w:r w:rsidR="000F36BF" w:rsidRPr="005F0DA1">
              <w:rPr>
                <w:lang w:val="es-ES_tradnl" w:eastAsia="nl-NL"/>
              </w:rPr>
              <w:noBreakHyphen/>
              <w:t xml:space="preserve">30 GHz (Tierra-espacio) por las estaciones terrenas en movimiento del SFS no OSG, garantizando a su vez la debida protección de los servicios existentes en dichas bandas de frecuencias, de conformidad con la Resolución </w:t>
            </w:r>
            <w:r w:rsidR="000F36BF" w:rsidRPr="005F0DA1">
              <w:rPr>
                <w:b/>
                <w:bCs/>
                <w:lang w:val="es-ES_tradnl" w:eastAsia="nl-NL"/>
              </w:rPr>
              <w:t>173 (CMR</w:t>
            </w:r>
            <w:r w:rsidR="000F36BF" w:rsidRPr="005F0DA1">
              <w:rPr>
                <w:b/>
                <w:bCs/>
                <w:lang w:val="es-ES_tradnl" w:eastAsia="nl-NL"/>
              </w:rPr>
              <w:noBreakHyphen/>
              <w:t>19)</w:t>
            </w:r>
            <w:r w:rsidR="000F36BF" w:rsidRPr="005F0DA1">
              <w:rPr>
                <w:lang w:val="es-ES_tradnl" w:eastAsia="nl-NL"/>
              </w:rPr>
              <w:t>;</w:t>
            </w:r>
          </w:p>
        </w:tc>
      </w:tr>
      <w:tr w:rsidR="004A7B85" w:rsidRPr="004A7B85" w14:paraId="0FAD3594" w14:textId="77777777" w:rsidTr="003F05FF">
        <w:trPr>
          <w:gridAfter w:val="1"/>
          <w:wAfter w:w="27" w:type="dxa"/>
          <w:cantSplit/>
          <w:jc w:val="center"/>
        </w:trPr>
        <w:tc>
          <w:tcPr>
            <w:tcW w:w="3304" w:type="dxa"/>
          </w:tcPr>
          <w:p w14:paraId="290E92DB" w14:textId="38F91A5B" w:rsidR="004A7B85" w:rsidRPr="005F0DA1" w:rsidRDefault="004A7B85" w:rsidP="005F0DA1">
            <w:pPr>
              <w:pStyle w:val="Tabletext"/>
              <w:tabs>
                <w:tab w:val="clear" w:pos="284"/>
                <w:tab w:val="left" w:pos="463"/>
              </w:tabs>
              <w:rPr>
                <w:lang w:val="es-ES_tradnl" w:eastAsia="nl-NL"/>
              </w:rPr>
            </w:pPr>
            <w:r w:rsidRPr="005F0DA1">
              <w:rPr>
                <w:lang w:val="es-ES_tradnl" w:eastAsia="nl-NL"/>
              </w:rPr>
              <w:t>Resolu</w:t>
            </w:r>
            <w:r w:rsidR="000F36BF" w:rsidRPr="005F0DA1">
              <w:rPr>
                <w:lang w:val="es-ES_tradnl" w:eastAsia="nl-NL"/>
              </w:rPr>
              <w:t>ció</w:t>
            </w:r>
            <w:r w:rsidRPr="005F0DA1">
              <w:rPr>
                <w:lang w:val="es-ES_tradnl" w:eastAsia="nl-NL"/>
              </w:rPr>
              <w:t>n </w:t>
            </w:r>
            <w:r w:rsidRPr="005F0DA1">
              <w:rPr>
                <w:b/>
                <w:bCs/>
                <w:lang w:val="es-ES_tradnl" w:eastAsia="nl-NL"/>
              </w:rPr>
              <w:t>173 (</w:t>
            </w:r>
            <w:r w:rsidR="000F36BF" w:rsidRPr="005F0DA1">
              <w:rPr>
                <w:b/>
                <w:bCs/>
                <w:lang w:val="es-ES_tradnl" w:eastAsia="nl-NL"/>
              </w:rPr>
              <w:t>CM</w:t>
            </w:r>
            <w:r w:rsidRPr="005F0DA1">
              <w:rPr>
                <w:b/>
                <w:bCs/>
                <w:lang w:val="es-ES_tradnl" w:eastAsia="nl-NL"/>
              </w:rPr>
              <w:t>R</w:t>
            </w:r>
            <w:r w:rsidRPr="005F0DA1">
              <w:rPr>
                <w:b/>
                <w:bCs/>
                <w:lang w:val="es-ES_tradnl" w:eastAsia="nl-NL"/>
              </w:rPr>
              <w:noBreakHyphen/>
              <w:t>19)</w:t>
            </w:r>
          </w:p>
          <w:p w14:paraId="2F24964E" w14:textId="3D620804" w:rsidR="004A7B85" w:rsidRPr="005F0DA1" w:rsidRDefault="000F36BF" w:rsidP="005F0DA1">
            <w:pPr>
              <w:pStyle w:val="Tabletext"/>
              <w:tabs>
                <w:tab w:val="clear" w:pos="284"/>
                <w:tab w:val="left" w:pos="463"/>
              </w:tabs>
              <w:rPr>
                <w:lang w:val="es-ES_tradnl" w:eastAsia="nl-NL"/>
              </w:rPr>
            </w:pPr>
            <w:r w:rsidRPr="005F0DA1">
              <w:rPr>
                <w:lang w:val="es-ES_tradnl" w:eastAsia="nl-NL"/>
              </w:rPr>
              <w:t>Utilización de las bandas de frecuencias 17,7-18,6 GHz, 18,8</w:t>
            </w:r>
            <w:r w:rsidR="005F0DA1">
              <w:rPr>
                <w:lang w:val="es-ES_tradnl" w:eastAsia="nl-NL"/>
              </w:rPr>
              <w:noBreakHyphen/>
            </w:r>
            <w:r w:rsidRPr="005F0DA1">
              <w:rPr>
                <w:lang w:val="es-ES_tradnl" w:eastAsia="nl-NL"/>
              </w:rPr>
              <w:t>19,3</w:t>
            </w:r>
            <w:r w:rsidR="005F0DA1">
              <w:rPr>
                <w:lang w:val="es-ES_tradnl" w:eastAsia="nl-NL"/>
              </w:rPr>
              <w:t> </w:t>
            </w:r>
            <w:r w:rsidRPr="005F0DA1">
              <w:rPr>
                <w:lang w:val="es-ES_tradnl" w:eastAsia="nl-NL"/>
              </w:rPr>
              <w:t>GHz y 19,7 20,2 GHz (espacio-Tierra) y 27,5-29,1 y 29,5</w:t>
            </w:r>
            <w:r w:rsidR="005F0DA1">
              <w:rPr>
                <w:lang w:val="es-ES_tradnl" w:eastAsia="nl-NL"/>
              </w:rPr>
              <w:noBreakHyphen/>
            </w:r>
            <w:r w:rsidRPr="005F0DA1">
              <w:rPr>
                <w:lang w:val="es-ES_tradnl" w:eastAsia="nl-NL"/>
              </w:rPr>
              <w:t>30,0</w:t>
            </w:r>
            <w:r w:rsidR="005F0DA1">
              <w:rPr>
                <w:lang w:val="es-ES_tradnl" w:eastAsia="nl-NL"/>
              </w:rPr>
              <w:t> </w:t>
            </w:r>
            <w:r w:rsidRPr="005F0DA1">
              <w:rPr>
                <w:lang w:val="es-ES_tradnl" w:eastAsia="nl-NL"/>
              </w:rPr>
              <w:t>GHz (Tierra-espacio) por las estaciones terrenas en movimiento que se comunican con estaciones espaciales no geoestacionarias del servicio fijo por satélite</w:t>
            </w:r>
          </w:p>
        </w:tc>
        <w:tc>
          <w:tcPr>
            <w:tcW w:w="1517" w:type="dxa"/>
          </w:tcPr>
          <w:p w14:paraId="29A6F166" w14:textId="5040FBDA" w:rsidR="004A7B85" w:rsidRPr="005F0DA1" w:rsidRDefault="00A92266" w:rsidP="005F0DA1">
            <w:pPr>
              <w:pStyle w:val="Tabletext"/>
              <w:tabs>
                <w:tab w:val="clear" w:pos="284"/>
                <w:tab w:val="left" w:pos="463"/>
              </w:tabs>
              <w:jc w:val="center"/>
              <w:rPr>
                <w:b/>
                <w:bCs/>
                <w:lang w:val="es-ES_tradnl" w:eastAsia="nl-NL"/>
              </w:rPr>
            </w:pPr>
            <w:r w:rsidRPr="005F0DA1">
              <w:rPr>
                <w:b/>
                <w:bCs/>
                <w:lang w:val="es-ES_tradnl" w:eastAsia="nl-NL"/>
              </w:rPr>
              <w:t>GT</w:t>
            </w:r>
            <w:r w:rsidR="004A7B85" w:rsidRPr="005F0DA1">
              <w:rPr>
                <w:b/>
                <w:bCs/>
                <w:lang w:val="es-ES_tradnl" w:eastAsia="nl-NL"/>
              </w:rPr>
              <w:t> 4A</w:t>
            </w:r>
          </w:p>
        </w:tc>
        <w:tc>
          <w:tcPr>
            <w:tcW w:w="7809" w:type="dxa"/>
          </w:tcPr>
          <w:p w14:paraId="61F87271" w14:textId="7765D914" w:rsidR="004A7B85" w:rsidRPr="005F0DA1" w:rsidRDefault="000F36BF" w:rsidP="00BD2741">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al Sector de Radiocomunicaciones de la UIT</w:t>
            </w:r>
          </w:p>
          <w:p w14:paraId="0DBA9B52" w14:textId="15A440C7" w:rsidR="000F36BF" w:rsidRPr="005F0DA1" w:rsidRDefault="000F36BF" w:rsidP="00BD2741">
            <w:pPr>
              <w:pStyle w:val="Tabletext"/>
              <w:tabs>
                <w:tab w:val="clear" w:pos="284"/>
                <w:tab w:val="left" w:pos="463"/>
              </w:tabs>
              <w:jc w:val="both"/>
              <w:rPr>
                <w:lang w:val="es-ES_tradnl" w:eastAsia="nl-NL"/>
              </w:rPr>
            </w:pPr>
            <w:r w:rsidRPr="005F0DA1">
              <w:rPr>
                <w:lang w:val="es-ES_tradnl" w:eastAsia="nl-NL"/>
              </w:rPr>
              <w:t>1</w:t>
            </w:r>
            <w:r w:rsidRPr="005F0DA1">
              <w:rPr>
                <w:lang w:val="es-ES_tradnl" w:eastAsia="nl-NL"/>
              </w:rPr>
              <w:tab/>
              <w:t>a estudiar las características técnicas y operativas y los requisitos de usuario de los diferentes tipos de ETEM que está previsto explotar en el marco de sistemas no OSG del</w:t>
            </w:r>
            <w:r w:rsidR="005F0DA1">
              <w:rPr>
                <w:lang w:val="es-ES_tradnl" w:eastAsia="nl-NL"/>
              </w:rPr>
              <w:t> </w:t>
            </w:r>
            <w:r w:rsidRPr="005F0DA1">
              <w:rPr>
                <w:lang w:val="es-ES_tradnl" w:eastAsia="nl-NL"/>
              </w:rPr>
              <w:t>SFS en las bandas de frecuencias 17,7-18,6 GHz, 18,8-19,3 GHz y 19,7-20,2 GHz (espacio</w:t>
            </w:r>
            <w:r w:rsidR="005F0DA1">
              <w:rPr>
                <w:lang w:val="es-ES_tradnl" w:eastAsia="nl-NL"/>
              </w:rPr>
              <w:noBreakHyphen/>
            </w:r>
            <w:r w:rsidRPr="005F0DA1">
              <w:rPr>
                <w:lang w:val="es-ES_tradnl" w:eastAsia="nl-NL"/>
              </w:rPr>
              <w:t>Tierra) y 27,5</w:t>
            </w:r>
            <w:r w:rsidRPr="005F0DA1">
              <w:rPr>
                <w:lang w:val="es-ES_tradnl" w:eastAsia="nl-NL"/>
              </w:rPr>
              <w:noBreakHyphen/>
              <w:t>29,1 GHz y 29,5-30 GHz (Tierra-espacio), o en partes de las mismas;</w:t>
            </w:r>
          </w:p>
          <w:p w14:paraId="4AE56418" w14:textId="77777777" w:rsidR="000F36BF" w:rsidRPr="005F0DA1" w:rsidRDefault="000F36BF" w:rsidP="00BD2741">
            <w:pPr>
              <w:pStyle w:val="Tabletext"/>
              <w:tabs>
                <w:tab w:val="clear" w:pos="284"/>
                <w:tab w:val="left" w:pos="463"/>
              </w:tabs>
              <w:jc w:val="both"/>
              <w:rPr>
                <w:lang w:val="es-ES_tradnl" w:eastAsia="nl-NL"/>
              </w:rPr>
            </w:pPr>
            <w:r w:rsidRPr="005F0DA1">
              <w:rPr>
                <w:lang w:val="es-ES_tradnl" w:eastAsia="nl-NL"/>
              </w:rPr>
              <w:t>2</w:t>
            </w:r>
            <w:r w:rsidRPr="005F0DA1">
              <w:rPr>
                <w:lang w:val="es-ES_tradnl" w:eastAsia="nl-NL"/>
              </w:rPr>
              <w:tab/>
              <w:t>a estudiar la compartición y la compatibilidad entre las ETEM que funcionan con sistemas no OSG del SFS y las estaciones actuales y previstas en servicios con atribuciones en las bandas de frecuencias 17,7-18,6 GHz, 18,8</w:t>
            </w:r>
            <w:r w:rsidRPr="005F0DA1">
              <w:rPr>
                <w:lang w:val="es-ES_tradnl" w:eastAsia="nl-NL"/>
              </w:rPr>
              <w:noBreakHyphen/>
              <w:t>19,3 GHz y 19,7-20,2 GHz (espacio</w:t>
            </w:r>
            <w:r w:rsidRPr="005F0DA1">
              <w:rPr>
                <w:lang w:val="es-ES_tradnl" w:eastAsia="nl-NL"/>
              </w:rPr>
              <w:noBreakHyphen/>
              <w:t>Tierra), y 27,5</w:t>
            </w:r>
            <w:r w:rsidRPr="005F0DA1">
              <w:rPr>
                <w:lang w:val="es-ES_tradnl" w:eastAsia="nl-NL"/>
              </w:rPr>
              <w:noBreakHyphen/>
              <w:t>29,1 GHz y 29,5</w:t>
            </w:r>
            <w:r w:rsidRPr="005F0DA1">
              <w:rPr>
                <w:lang w:val="es-ES_tradnl" w:eastAsia="nl-NL"/>
              </w:rPr>
              <w:noBreakHyphen/>
              <w:t>30 GHz (Tierra-espacio), o en partes de las mismas, con el fin de asegurar la protección de los servicios con atribuciones en esas bandas de frecuencias, sin imponer limitaciones adicionales a los sistemas OSG y a otros servicios, en particular a los servicios terrenales, en esas bandas de frecuencias y en bandas adyacentes, incluidos los servicios pasivos;</w:t>
            </w:r>
          </w:p>
          <w:p w14:paraId="5D3DC0C0" w14:textId="77777777" w:rsidR="000F36BF" w:rsidRPr="005F0DA1" w:rsidRDefault="000F36BF" w:rsidP="00BD2741">
            <w:pPr>
              <w:pStyle w:val="Tabletext"/>
              <w:tabs>
                <w:tab w:val="clear" w:pos="284"/>
                <w:tab w:val="left" w:pos="463"/>
              </w:tabs>
              <w:jc w:val="both"/>
              <w:rPr>
                <w:lang w:val="es-ES_tradnl" w:eastAsia="nl-NL"/>
              </w:rPr>
            </w:pPr>
            <w:bookmarkStart w:id="31" w:name="_Hlk25046213"/>
            <w:r w:rsidRPr="005F0DA1">
              <w:rPr>
                <w:lang w:val="es-ES_tradnl" w:eastAsia="nl-NL"/>
              </w:rPr>
              <w:t>3</w:t>
            </w:r>
            <w:r w:rsidRPr="005F0DA1">
              <w:rPr>
                <w:lang w:val="es-ES_tradnl" w:eastAsia="nl-NL"/>
              </w:rPr>
              <w:tab/>
              <w:t xml:space="preserve">a definir las disposiciones técnicas y reglamentarias necesarias para el funcionamiento de las ETEM aeronáuticas y marítimas con sistemas no OSG del SFS, habida cuenta de los resultados de los estudios de los </w:t>
            </w:r>
            <w:r w:rsidRPr="005F0DA1">
              <w:rPr>
                <w:i/>
                <w:iCs/>
                <w:lang w:val="es-ES_tradnl" w:eastAsia="nl-NL"/>
              </w:rPr>
              <w:t>resuelve invitar al Sector de Radiocomunicaciones de la UIT</w:t>
            </w:r>
            <w:r w:rsidRPr="005F0DA1">
              <w:rPr>
                <w:lang w:val="es-ES_tradnl" w:eastAsia="nl-NL"/>
              </w:rPr>
              <w:t> 1 y 2;</w:t>
            </w:r>
          </w:p>
          <w:bookmarkEnd w:id="31"/>
          <w:p w14:paraId="2518679C" w14:textId="77777777" w:rsidR="000F36BF" w:rsidRPr="005F0DA1" w:rsidRDefault="000F36BF" w:rsidP="00BD2741">
            <w:pPr>
              <w:pStyle w:val="Tabletext"/>
              <w:tabs>
                <w:tab w:val="clear" w:pos="284"/>
                <w:tab w:val="left" w:pos="463"/>
              </w:tabs>
              <w:jc w:val="both"/>
              <w:rPr>
                <w:lang w:val="es-ES_tradnl" w:eastAsia="nl-NL"/>
              </w:rPr>
            </w:pPr>
            <w:r w:rsidRPr="005F0DA1">
              <w:rPr>
                <w:lang w:val="es-ES_tradnl" w:eastAsia="nl-NL"/>
              </w:rPr>
              <w:t>4</w:t>
            </w:r>
            <w:r w:rsidRPr="005F0DA1">
              <w:rPr>
                <w:lang w:val="es-ES_tradnl" w:eastAsia="nl-NL"/>
              </w:rPr>
              <w:tab/>
              <w:t>a garantizar que las medidas técnicas y operativas y las posibles medidas reglamentarias establecidas de conformidad con la presente Resolución no afecten a las disposiciones pertinentes relacionadas con la protección de las redes OSG contra los sistemas no OSG del SFS;</w:t>
            </w:r>
          </w:p>
          <w:p w14:paraId="344B87B1" w14:textId="77777777" w:rsidR="000F36BF" w:rsidRPr="005F0DA1" w:rsidRDefault="000F36BF" w:rsidP="00BD2741">
            <w:pPr>
              <w:pStyle w:val="Tabletext"/>
              <w:tabs>
                <w:tab w:val="clear" w:pos="284"/>
                <w:tab w:val="left" w:pos="463"/>
              </w:tabs>
              <w:jc w:val="both"/>
              <w:rPr>
                <w:lang w:val="es-ES_tradnl" w:eastAsia="nl-NL"/>
              </w:rPr>
            </w:pPr>
            <w:r w:rsidRPr="005F0DA1">
              <w:rPr>
                <w:lang w:val="es-ES_tradnl" w:eastAsia="nl-NL"/>
              </w:rPr>
              <w:t>5</w:t>
            </w:r>
            <w:r w:rsidRPr="005F0DA1">
              <w:rPr>
                <w:lang w:val="es-ES_tradnl" w:eastAsia="nl-NL"/>
              </w:rPr>
              <w:tab/>
              <w:t>a garantizar que los Estados Miembros aprueben los resultados de los estudios del UIT</w:t>
            </w:r>
            <w:r w:rsidRPr="005F0DA1">
              <w:rPr>
                <w:lang w:val="es-ES_tradnl" w:eastAsia="nl-NL"/>
              </w:rPr>
              <w:noBreakHyphen/>
              <w:t>R, habida cuenta del requerido consenso en esta materia;</w:t>
            </w:r>
          </w:p>
          <w:p w14:paraId="50A157BC" w14:textId="77777777" w:rsidR="000F36BF" w:rsidRPr="005F0DA1" w:rsidRDefault="000F36BF" w:rsidP="00BD2741">
            <w:pPr>
              <w:pStyle w:val="Tabletext"/>
              <w:tabs>
                <w:tab w:val="clear" w:pos="284"/>
                <w:tab w:val="left" w:pos="463"/>
              </w:tabs>
              <w:jc w:val="both"/>
              <w:rPr>
                <w:lang w:val="es-ES_tradnl" w:eastAsia="nl-NL"/>
              </w:rPr>
            </w:pPr>
            <w:r w:rsidRPr="005F0DA1">
              <w:rPr>
                <w:lang w:val="es-ES_tradnl" w:eastAsia="nl-NL"/>
              </w:rPr>
              <w:t>6</w:t>
            </w:r>
            <w:r w:rsidRPr="005F0DA1">
              <w:rPr>
                <w:lang w:val="es-ES_tradnl" w:eastAsia="nl-NL"/>
              </w:rPr>
              <w:tab/>
              <w:t>a completar estudios a tiempo para la CMR-23,</w:t>
            </w:r>
          </w:p>
          <w:p w14:paraId="58AF973F" w14:textId="77777777" w:rsidR="000F36BF" w:rsidRPr="005F0DA1" w:rsidRDefault="000F36BF" w:rsidP="00BD2741">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 la Conferencia Mundial Radiocomunicaciones de 2023</w:t>
            </w:r>
          </w:p>
          <w:p w14:paraId="77A98A5E" w14:textId="23F833BE" w:rsidR="004A7B85" w:rsidRPr="005F0DA1" w:rsidRDefault="000F36BF" w:rsidP="00BD2741">
            <w:pPr>
              <w:pStyle w:val="Tabletext"/>
              <w:tabs>
                <w:tab w:val="clear" w:pos="284"/>
                <w:tab w:val="left" w:pos="463"/>
              </w:tabs>
              <w:jc w:val="both"/>
              <w:rPr>
                <w:lang w:val="es-ES_tradnl" w:eastAsia="nl-NL"/>
              </w:rPr>
            </w:pPr>
            <w:r w:rsidRPr="005F0DA1">
              <w:rPr>
                <w:lang w:val="es-ES_tradnl" w:eastAsia="nl-NL"/>
              </w:rPr>
              <w:t>a examinar los resultados de estos estudios y tomar las medidas adecuadas.</w:t>
            </w:r>
          </w:p>
        </w:tc>
        <w:tc>
          <w:tcPr>
            <w:tcW w:w="1406" w:type="dxa"/>
          </w:tcPr>
          <w:p w14:paraId="3E2E422B" w14:textId="5889DA17" w:rsidR="004A7B85" w:rsidRPr="005F0DA1" w:rsidRDefault="00A92266" w:rsidP="005F0DA1">
            <w:pPr>
              <w:pStyle w:val="Tabletext"/>
              <w:tabs>
                <w:tab w:val="clear" w:pos="284"/>
                <w:tab w:val="left" w:pos="463"/>
              </w:tabs>
              <w:jc w:val="center"/>
              <w:rPr>
                <w:b/>
                <w:bCs/>
                <w:lang w:eastAsia="nl-NL"/>
              </w:rPr>
            </w:pPr>
            <w:r w:rsidRPr="005F0DA1">
              <w:rPr>
                <w:b/>
                <w:bCs/>
                <w:lang w:eastAsia="nl-NL"/>
              </w:rPr>
              <w:t>GT</w:t>
            </w:r>
            <w:r w:rsidR="004A7B85" w:rsidRPr="005F0DA1">
              <w:rPr>
                <w:b/>
                <w:bCs/>
                <w:lang w:eastAsia="nl-NL"/>
              </w:rPr>
              <w:t xml:space="preserve"> 3M, </w:t>
            </w:r>
            <w:r w:rsidR="005F0DA1" w:rsidRPr="005F0DA1">
              <w:rPr>
                <w:b/>
                <w:bCs/>
                <w:lang w:eastAsia="nl-NL"/>
              </w:rPr>
              <w:br/>
            </w:r>
            <w:r w:rsidRPr="005F0DA1">
              <w:rPr>
                <w:b/>
                <w:bCs/>
                <w:lang w:eastAsia="nl-NL"/>
              </w:rPr>
              <w:t>GT</w:t>
            </w:r>
            <w:r w:rsidR="004A7B85" w:rsidRPr="005F0DA1">
              <w:rPr>
                <w:b/>
                <w:bCs/>
                <w:lang w:eastAsia="nl-NL"/>
              </w:rPr>
              <w:t xml:space="preserve"> 4C, </w:t>
            </w:r>
            <w:r w:rsidR="005F0DA1" w:rsidRPr="005F0DA1">
              <w:rPr>
                <w:b/>
                <w:bCs/>
                <w:lang w:eastAsia="nl-NL"/>
              </w:rPr>
              <w:br/>
            </w:r>
            <w:r w:rsidRPr="005F0DA1">
              <w:rPr>
                <w:b/>
                <w:bCs/>
                <w:lang w:eastAsia="nl-NL"/>
              </w:rPr>
              <w:t>GT</w:t>
            </w:r>
            <w:r w:rsidR="004A7B85" w:rsidRPr="005F0DA1">
              <w:rPr>
                <w:b/>
                <w:bCs/>
                <w:lang w:eastAsia="nl-NL"/>
              </w:rPr>
              <w:t xml:space="preserve"> 5A, </w:t>
            </w:r>
            <w:r w:rsidR="005F0DA1" w:rsidRPr="005F0DA1">
              <w:rPr>
                <w:b/>
                <w:bCs/>
                <w:lang w:eastAsia="nl-NL"/>
              </w:rPr>
              <w:br/>
            </w:r>
            <w:r w:rsidRPr="005F0DA1">
              <w:rPr>
                <w:b/>
                <w:bCs/>
                <w:lang w:eastAsia="nl-NL"/>
              </w:rPr>
              <w:t>GT</w:t>
            </w:r>
            <w:r w:rsidR="004A7B85" w:rsidRPr="005F0DA1">
              <w:rPr>
                <w:b/>
                <w:bCs/>
                <w:lang w:eastAsia="nl-NL"/>
              </w:rPr>
              <w:t xml:space="preserve"> 5B, </w:t>
            </w:r>
            <w:r w:rsidR="005F0DA1" w:rsidRPr="005F0DA1">
              <w:rPr>
                <w:b/>
                <w:bCs/>
                <w:lang w:eastAsia="nl-NL"/>
              </w:rPr>
              <w:br/>
            </w:r>
            <w:r w:rsidRPr="005F0DA1">
              <w:rPr>
                <w:b/>
                <w:bCs/>
                <w:lang w:eastAsia="nl-NL"/>
              </w:rPr>
              <w:t>GT</w:t>
            </w:r>
            <w:r w:rsidR="004A7B85" w:rsidRPr="005F0DA1">
              <w:rPr>
                <w:b/>
                <w:bCs/>
                <w:lang w:eastAsia="nl-NL"/>
              </w:rPr>
              <w:t xml:space="preserve"> 5C, </w:t>
            </w:r>
            <w:r w:rsidR="005F0DA1" w:rsidRPr="005F0DA1">
              <w:rPr>
                <w:b/>
                <w:bCs/>
                <w:lang w:eastAsia="nl-NL"/>
              </w:rPr>
              <w:br/>
            </w:r>
            <w:r w:rsidRPr="005F0DA1">
              <w:rPr>
                <w:b/>
                <w:bCs/>
                <w:lang w:eastAsia="nl-NL"/>
              </w:rPr>
              <w:t>GT</w:t>
            </w:r>
            <w:r w:rsidR="004A7B85" w:rsidRPr="005F0DA1">
              <w:rPr>
                <w:b/>
                <w:bCs/>
                <w:lang w:eastAsia="nl-NL"/>
              </w:rPr>
              <w:t> 7B</w:t>
            </w:r>
          </w:p>
        </w:tc>
      </w:tr>
      <w:tr w:rsidR="004A7B85" w:rsidRPr="00CE4E08" w14:paraId="0FE35BED" w14:textId="77777777" w:rsidTr="003F05FF">
        <w:trPr>
          <w:gridAfter w:val="1"/>
          <w:wAfter w:w="27" w:type="dxa"/>
          <w:cantSplit/>
          <w:jc w:val="center"/>
        </w:trPr>
        <w:tc>
          <w:tcPr>
            <w:tcW w:w="14036" w:type="dxa"/>
            <w:gridSpan w:val="4"/>
          </w:tcPr>
          <w:p w14:paraId="5FE283B3" w14:textId="7FB6705A" w:rsidR="004A7B85" w:rsidRPr="005F0DA1" w:rsidRDefault="004A7B85" w:rsidP="00BD2741">
            <w:pPr>
              <w:pStyle w:val="Tabletext"/>
              <w:keepNext/>
              <w:tabs>
                <w:tab w:val="clear" w:pos="284"/>
                <w:tab w:val="left" w:pos="594"/>
              </w:tabs>
              <w:jc w:val="both"/>
              <w:rPr>
                <w:lang w:val="es-ES_tradnl" w:eastAsia="nl-NL"/>
              </w:rPr>
            </w:pPr>
            <w:r w:rsidRPr="005F0DA1">
              <w:rPr>
                <w:lang w:val="es-ES_tradnl" w:eastAsia="nl-NL"/>
              </w:rPr>
              <w:lastRenderedPageBreak/>
              <w:t>1.17</w:t>
            </w:r>
            <w:r w:rsidRPr="005F0DA1">
              <w:rPr>
                <w:lang w:val="es-ES_tradnl" w:eastAsia="nl-NL"/>
              </w:rPr>
              <w:tab/>
            </w:r>
            <w:r w:rsidR="000F36BF" w:rsidRPr="005F0DA1">
              <w:rPr>
                <w:lang w:val="es-ES_tradnl" w:eastAsia="nl-NL"/>
              </w:rPr>
              <w:t xml:space="preserve">determinar y tomar, basándose en los estudios del UIT-R previstos en la Resolución </w:t>
            </w:r>
            <w:r w:rsidR="000F36BF" w:rsidRPr="005F0DA1">
              <w:rPr>
                <w:b/>
                <w:bCs/>
                <w:lang w:val="es-ES_tradnl" w:eastAsia="nl-NL"/>
              </w:rPr>
              <w:t>773 (CMR-19)</w:t>
            </w:r>
            <w:r w:rsidR="000F36BF" w:rsidRPr="005F0DA1">
              <w:rPr>
                <w:lang w:val="es-ES_tradnl" w:eastAsia="nl-NL"/>
              </w:rPr>
              <w:t>, las medidas reglamentarias apropiadas para el establecimiento de enlaces entre satélites en bandas de frecuencias específicas o tramos de las mismas, agregando una atribución a un servicio entre satélites donde corresponda;</w:t>
            </w:r>
          </w:p>
        </w:tc>
      </w:tr>
      <w:tr w:rsidR="004A7B85" w:rsidRPr="004A7B85" w14:paraId="12D0E5BB" w14:textId="77777777" w:rsidTr="003F05FF">
        <w:trPr>
          <w:gridAfter w:val="1"/>
          <w:wAfter w:w="27" w:type="dxa"/>
          <w:cantSplit/>
          <w:jc w:val="center"/>
        </w:trPr>
        <w:tc>
          <w:tcPr>
            <w:tcW w:w="3304" w:type="dxa"/>
          </w:tcPr>
          <w:p w14:paraId="204A3AD0" w14:textId="2DFA1D92" w:rsidR="004A7B85" w:rsidRPr="005F0DA1" w:rsidRDefault="004A7B85" w:rsidP="005F0DA1">
            <w:pPr>
              <w:pStyle w:val="Tabletext"/>
              <w:tabs>
                <w:tab w:val="clear" w:pos="284"/>
                <w:tab w:val="left" w:pos="463"/>
              </w:tabs>
              <w:rPr>
                <w:lang w:val="es-ES_tradnl" w:eastAsia="nl-NL"/>
              </w:rPr>
            </w:pPr>
            <w:r w:rsidRPr="005F0DA1">
              <w:rPr>
                <w:lang w:val="es-ES_tradnl" w:eastAsia="nl-NL"/>
              </w:rPr>
              <w:t>Resolu</w:t>
            </w:r>
            <w:r w:rsidR="00F8544C" w:rsidRPr="005F0DA1">
              <w:rPr>
                <w:lang w:val="es-ES_tradnl" w:eastAsia="nl-NL"/>
              </w:rPr>
              <w:t>ció</w:t>
            </w:r>
            <w:r w:rsidRPr="005F0DA1">
              <w:rPr>
                <w:lang w:val="es-ES_tradnl" w:eastAsia="nl-NL"/>
              </w:rPr>
              <w:t>n </w:t>
            </w:r>
            <w:r w:rsidRPr="005F0DA1">
              <w:rPr>
                <w:b/>
                <w:bCs/>
                <w:lang w:val="es-ES_tradnl" w:eastAsia="nl-NL"/>
              </w:rPr>
              <w:t>773 (</w:t>
            </w:r>
            <w:r w:rsidR="000F36BF" w:rsidRPr="005F0DA1">
              <w:rPr>
                <w:b/>
                <w:bCs/>
                <w:lang w:val="es-ES_tradnl" w:eastAsia="nl-NL"/>
              </w:rPr>
              <w:t>CMR</w:t>
            </w:r>
            <w:r w:rsidRPr="005F0DA1">
              <w:rPr>
                <w:b/>
                <w:bCs/>
                <w:lang w:val="es-ES_tradnl" w:eastAsia="nl-NL"/>
              </w:rPr>
              <w:noBreakHyphen/>
              <w:t>19)</w:t>
            </w:r>
          </w:p>
          <w:p w14:paraId="5ABEFB61" w14:textId="473C69BA" w:rsidR="004A7B85" w:rsidRPr="005F0DA1" w:rsidRDefault="000F36BF" w:rsidP="005F0DA1">
            <w:pPr>
              <w:pStyle w:val="Tabletext"/>
              <w:tabs>
                <w:tab w:val="clear" w:pos="284"/>
                <w:tab w:val="left" w:pos="463"/>
              </w:tabs>
              <w:rPr>
                <w:lang w:val="es-ES_tradnl" w:eastAsia="nl-NL"/>
              </w:rPr>
            </w:pPr>
            <w:r w:rsidRPr="005F0DA1">
              <w:rPr>
                <w:lang w:val="es-ES_tradnl" w:eastAsia="nl-NL"/>
              </w:rPr>
              <w:t>Estudio de los aspectos técnicos y operativos y de las disposiciones reglamentarias aplicables a los enlaces entre satélites en las bandas de frecuencias 11,7-12,7 GHz, 18,1</w:t>
            </w:r>
            <w:r w:rsidR="006B10FF">
              <w:rPr>
                <w:lang w:val="es-ES_tradnl" w:eastAsia="nl-NL"/>
              </w:rPr>
              <w:noBreakHyphen/>
            </w:r>
            <w:r w:rsidRPr="005F0DA1">
              <w:rPr>
                <w:lang w:val="es-ES_tradnl" w:eastAsia="nl-NL"/>
              </w:rPr>
              <w:t>18,6</w:t>
            </w:r>
            <w:r w:rsidR="006B10FF">
              <w:rPr>
                <w:lang w:val="es-ES_tradnl" w:eastAsia="nl-NL"/>
              </w:rPr>
              <w:t> </w:t>
            </w:r>
            <w:r w:rsidRPr="005F0DA1">
              <w:rPr>
                <w:lang w:val="es-ES_tradnl" w:eastAsia="nl-NL"/>
              </w:rPr>
              <w:t>GHz, 18,8-20,2 GHz y 27,5</w:t>
            </w:r>
            <w:r w:rsidR="006B10FF">
              <w:rPr>
                <w:lang w:val="es-ES_tradnl" w:eastAsia="nl-NL"/>
              </w:rPr>
              <w:noBreakHyphen/>
            </w:r>
            <w:r w:rsidRPr="005F0DA1">
              <w:rPr>
                <w:lang w:val="es-ES_tradnl" w:eastAsia="nl-NL"/>
              </w:rPr>
              <w:t>30</w:t>
            </w:r>
            <w:r w:rsidR="006B10FF">
              <w:rPr>
                <w:lang w:val="es-ES_tradnl" w:eastAsia="nl-NL"/>
              </w:rPr>
              <w:t> </w:t>
            </w:r>
            <w:r w:rsidRPr="005F0DA1">
              <w:rPr>
                <w:lang w:val="es-ES_tradnl" w:eastAsia="nl-NL"/>
              </w:rPr>
              <w:t>GHz</w:t>
            </w:r>
          </w:p>
        </w:tc>
        <w:tc>
          <w:tcPr>
            <w:tcW w:w="1517" w:type="dxa"/>
          </w:tcPr>
          <w:p w14:paraId="6BBE8C75" w14:textId="6AF0309B" w:rsidR="004A7B85" w:rsidRPr="005F0DA1" w:rsidRDefault="00A92266" w:rsidP="005F0DA1">
            <w:pPr>
              <w:pStyle w:val="Tabletext"/>
              <w:tabs>
                <w:tab w:val="clear" w:pos="284"/>
                <w:tab w:val="left" w:pos="463"/>
              </w:tabs>
              <w:jc w:val="center"/>
              <w:rPr>
                <w:b/>
                <w:bCs/>
                <w:lang w:val="es-ES_tradnl" w:eastAsia="nl-NL"/>
              </w:rPr>
            </w:pPr>
            <w:r w:rsidRPr="005F0DA1">
              <w:rPr>
                <w:b/>
                <w:bCs/>
                <w:lang w:val="es-ES_tradnl" w:eastAsia="nl-NL"/>
              </w:rPr>
              <w:t>GT</w:t>
            </w:r>
            <w:r w:rsidR="004A7B85" w:rsidRPr="005F0DA1">
              <w:rPr>
                <w:b/>
                <w:bCs/>
                <w:lang w:val="es-ES_tradnl" w:eastAsia="nl-NL"/>
              </w:rPr>
              <w:t> 4A</w:t>
            </w:r>
          </w:p>
        </w:tc>
        <w:tc>
          <w:tcPr>
            <w:tcW w:w="7809" w:type="dxa"/>
          </w:tcPr>
          <w:p w14:paraId="3298FCDA" w14:textId="121FA684" w:rsidR="004A7B85" w:rsidRPr="005F0DA1" w:rsidRDefault="00F8544C" w:rsidP="00BD2741">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al UIT-R</w:t>
            </w:r>
          </w:p>
          <w:p w14:paraId="2A8E8AB8" w14:textId="77777777" w:rsidR="00F8544C" w:rsidRPr="005F0DA1" w:rsidRDefault="00F8544C" w:rsidP="00BD2741">
            <w:pPr>
              <w:pStyle w:val="Tabletext"/>
              <w:tabs>
                <w:tab w:val="clear" w:pos="284"/>
                <w:tab w:val="left" w:pos="463"/>
              </w:tabs>
              <w:jc w:val="both"/>
              <w:rPr>
                <w:lang w:val="es-ES_tradnl" w:eastAsia="nl-NL"/>
              </w:rPr>
            </w:pPr>
            <w:r w:rsidRPr="005F0DA1">
              <w:rPr>
                <w:lang w:val="es-ES_tradnl" w:eastAsia="nl-NL"/>
              </w:rPr>
              <w:t>1</w:t>
            </w:r>
            <w:r w:rsidRPr="005F0DA1">
              <w:rPr>
                <w:lang w:val="es-ES_tradnl" w:eastAsia="nl-NL"/>
              </w:rPr>
              <w:tab/>
              <w:t>a definir las características técnicas y operativas de los diversos tipos de estaciones espaciales que prevean efectuar transmisiones entre satélites en las bandas de frecuencias 11,7</w:t>
            </w:r>
            <w:r w:rsidRPr="005F0DA1">
              <w:rPr>
                <w:lang w:val="es-ES_tradnl" w:eastAsia="nl-NL"/>
              </w:rPr>
              <w:noBreakHyphen/>
              <w:t xml:space="preserve">12,7 GHz, 18,1-18,6 GHz, 18,8-20,2 GHz y 27,5-30 GHz, teniendo en cuenta el </w:t>
            </w:r>
            <w:r w:rsidRPr="005F0DA1">
              <w:rPr>
                <w:i/>
                <w:iCs/>
                <w:lang w:val="es-ES_tradnl" w:eastAsia="nl-NL"/>
              </w:rPr>
              <w:t>considerando e)</w:t>
            </w:r>
            <w:r w:rsidRPr="005F0DA1">
              <w:rPr>
                <w:lang w:val="es-ES_tradnl" w:eastAsia="nl-NL"/>
              </w:rPr>
              <w:t xml:space="preserve"> </w:t>
            </w:r>
            <w:r w:rsidRPr="005F0DA1">
              <w:rPr>
                <w:i/>
                <w:iCs/>
                <w:lang w:val="es-ES_tradnl" w:eastAsia="nl-NL"/>
              </w:rPr>
              <w:t>supra</w:t>
            </w:r>
            <w:r w:rsidRPr="005F0DA1">
              <w:rPr>
                <w:lang w:val="es-ES_tradnl" w:eastAsia="nl-NL"/>
              </w:rPr>
              <w:t>;</w:t>
            </w:r>
          </w:p>
          <w:p w14:paraId="396C71C3" w14:textId="6B8D490D" w:rsidR="00F8544C" w:rsidRPr="005F0DA1" w:rsidRDefault="00F8544C" w:rsidP="00BD2741">
            <w:pPr>
              <w:pStyle w:val="Tabletext"/>
              <w:tabs>
                <w:tab w:val="clear" w:pos="284"/>
                <w:tab w:val="left" w:pos="463"/>
              </w:tabs>
              <w:jc w:val="both"/>
              <w:rPr>
                <w:lang w:val="es-ES_tradnl" w:eastAsia="nl-NL"/>
              </w:rPr>
            </w:pPr>
            <w:r w:rsidRPr="005F0DA1">
              <w:rPr>
                <w:lang w:val="es-ES_tradnl" w:eastAsia="nl-NL"/>
              </w:rPr>
              <w:t>2</w:t>
            </w:r>
            <w:r w:rsidRPr="005F0DA1">
              <w:rPr>
                <w:lang w:val="es-ES_tradnl" w:eastAsia="nl-NL"/>
              </w:rPr>
              <w:tab/>
              <w:t>a estudiar las características técnicas y operativas, incluidas las necesidades de espectro, los valores de p.i.r.e. respecto del eje y los límites de emisión fuera de banda, para las transmisiones entre estaciones espaciales en las bandas de frecuencias 11,7</w:t>
            </w:r>
            <w:r w:rsidR="005F0DA1">
              <w:rPr>
                <w:lang w:val="es-ES_tradnl" w:eastAsia="nl-NL"/>
              </w:rPr>
              <w:noBreakHyphen/>
            </w:r>
            <w:r w:rsidRPr="005F0DA1">
              <w:rPr>
                <w:lang w:val="es-ES_tradnl" w:eastAsia="nl-NL"/>
              </w:rPr>
              <w:t>12,7</w:t>
            </w:r>
            <w:r w:rsidR="005F0DA1">
              <w:rPr>
                <w:lang w:val="es-ES_tradnl" w:eastAsia="nl-NL"/>
              </w:rPr>
              <w:t> </w:t>
            </w:r>
            <w:r w:rsidRPr="005F0DA1">
              <w:rPr>
                <w:lang w:val="es-ES_tradnl" w:eastAsia="nl-NL"/>
              </w:rPr>
              <w:t>GHz, 18,1</w:t>
            </w:r>
            <w:r w:rsidRPr="005F0DA1">
              <w:rPr>
                <w:lang w:val="es-ES_tradnl" w:eastAsia="nl-NL"/>
              </w:rPr>
              <w:noBreakHyphen/>
              <w:t>18,6 GHz, 18,8</w:t>
            </w:r>
            <w:r w:rsidRPr="005F0DA1">
              <w:rPr>
                <w:lang w:val="es-ES_tradnl" w:eastAsia="nl-NL"/>
              </w:rPr>
              <w:noBreakHyphen/>
              <w:t>20,2 GHz y 27,5-30 GHz;</w:t>
            </w:r>
          </w:p>
          <w:p w14:paraId="1055132B" w14:textId="77777777" w:rsidR="00F8544C" w:rsidRPr="005F0DA1" w:rsidRDefault="00F8544C" w:rsidP="00BD2741">
            <w:pPr>
              <w:pStyle w:val="Tabletext"/>
              <w:tabs>
                <w:tab w:val="clear" w:pos="284"/>
                <w:tab w:val="left" w:pos="463"/>
              </w:tabs>
              <w:jc w:val="both"/>
              <w:rPr>
                <w:lang w:val="es-ES_tradnl" w:eastAsia="nl-NL"/>
              </w:rPr>
            </w:pPr>
            <w:r w:rsidRPr="005F0DA1">
              <w:rPr>
                <w:lang w:val="es-ES_tradnl" w:eastAsia="nl-NL"/>
              </w:rPr>
              <w:t>3</w:t>
            </w:r>
            <w:r w:rsidRPr="005F0DA1">
              <w:rPr>
                <w:lang w:val="es-ES_tradnl" w:eastAsia="nl-NL"/>
              </w:rPr>
              <w:tab/>
              <w:t>a estudiar la compartición y la compatibilidad entre los enlaces entre satélites, que se prevea utilizar entre estaciones espaciales en las bandas de frecuencias 11,7-12,7 GHz, 18,1</w:t>
            </w:r>
            <w:r w:rsidRPr="005F0DA1">
              <w:rPr>
                <w:lang w:val="es-ES_tradnl" w:eastAsia="nl-NL"/>
              </w:rPr>
              <w:noBreakHyphen/>
              <w:t xml:space="preserve">18,6 GHz, 18,8-20,2 GHz y 27,5-30 GHz, y las estaciones existentes y planificadas del SFS y de otros servicios existentes con atribuciones en las mismas bandas de frecuencias y en bandas adyacentes, incluidos los servicios pasivos, a fin de garantizar la protección de los servicios a título primario mencionados en el </w:t>
            </w:r>
            <w:r w:rsidRPr="005F0DA1">
              <w:rPr>
                <w:i/>
                <w:iCs/>
                <w:lang w:val="es-ES_tradnl" w:eastAsia="nl-NL"/>
              </w:rPr>
              <w:t>reconociendo además i)</w:t>
            </w:r>
            <w:r w:rsidRPr="005F0DA1">
              <w:rPr>
                <w:lang w:val="es-ES_tradnl" w:eastAsia="nl-NL"/>
              </w:rPr>
              <w:t>;</w:t>
            </w:r>
          </w:p>
          <w:p w14:paraId="2ACD1D7B" w14:textId="77777777" w:rsidR="00F8544C" w:rsidRPr="005F0DA1" w:rsidRDefault="00F8544C" w:rsidP="00BD2741">
            <w:pPr>
              <w:pStyle w:val="Tabletext"/>
              <w:tabs>
                <w:tab w:val="clear" w:pos="284"/>
                <w:tab w:val="left" w:pos="463"/>
              </w:tabs>
              <w:jc w:val="both"/>
              <w:rPr>
                <w:lang w:val="es-ES_tradnl" w:eastAsia="nl-NL"/>
              </w:rPr>
            </w:pPr>
            <w:r w:rsidRPr="005F0DA1">
              <w:rPr>
                <w:lang w:val="es-ES_tradnl" w:eastAsia="nl-NL"/>
              </w:rPr>
              <w:t>4</w:t>
            </w:r>
            <w:r w:rsidRPr="005F0DA1">
              <w:rPr>
                <w:lang w:val="es-ES_tradnl" w:eastAsia="nl-NL"/>
              </w:rPr>
              <w:tab/>
              <w:t xml:space="preserve">a establecer, para los diferentes tipos de estaciones espaciales, las condiciones técnicas y las disposiciones reglamentarias aplicables a las operaciones entre satélites en las bandas de frecuencias 11,7-12,7 GHz, 18,1-18,6 GHz, 18,8-20,2 GHz y 27,5-30 GHz, o partes de las mismas, incluida la posibilidad de efectuar nuevas atribuciones al SES, según proceda, habida cuenta de los resultados de los estudios mencionados </w:t>
            </w:r>
            <w:r w:rsidRPr="005F0DA1">
              <w:rPr>
                <w:i/>
                <w:iCs/>
                <w:lang w:val="es-ES_tradnl" w:eastAsia="nl-NL"/>
              </w:rPr>
              <w:t>supra</w:t>
            </w:r>
            <w:r w:rsidRPr="005F0DA1">
              <w:rPr>
                <w:lang w:val="es-ES_tradnl" w:eastAsia="nl-NL"/>
              </w:rPr>
              <w:t>,</w:t>
            </w:r>
          </w:p>
          <w:p w14:paraId="19F0CEC1" w14:textId="77777777" w:rsidR="00F8544C" w:rsidRPr="005F0DA1" w:rsidRDefault="00F8544C" w:rsidP="00BD2741">
            <w:pPr>
              <w:pStyle w:val="Tabletext"/>
              <w:tabs>
                <w:tab w:val="clear" w:pos="284"/>
                <w:tab w:val="left" w:pos="463"/>
              </w:tabs>
              <w:ind w:left="454"/>
              <w:jc w:val="both"/>
              <w:rPr>
                <w:rFonts w:eastAsia="???"/>
                <w:i/>
                <w:iCs/>
                <w:lang w:val="es-ES" w:eastAsia="nl-NL"/>
              </w:rPr>
            </w:pPr>
            <w:r w:rsidRPr="005F0DA1">
              <w:rPr>
                <w:rFonts w:eastAsia="???"/>
                <w:i/>
                <w:iCs/>
                <w:lang w:val="es-ES" w:eastAsia="nl-NL"/>
              </w:rPr>
              <w:t>invita a las administraciones</w:t>
            </w:r>
          </w:p>
          <w:p w14:paraId="46387823" w14:textId="77777777" w:rsidR="00F8544C" w:rsidRPr="005F0DA1" w:rsidRDefault="00F8544C" w:rsidP="00BD2741">
            <w:pPr>
              <w:pStyle w:val="Tabletext"/>
              <w:tabs>
                <w:tab w:val="clear" w:pos="284"/>
                <w:tab w:val="left" w:pos="463"/>
              </w:tabs>
              <w:jc w:val="both"/>
              <w:rPr>
                <w:lang w:val="es-ES_tradnl" w:eastAsia="nl-NL"/>
              </w:rPr>
            </w:pPr>
            <w:r w:rsidRPr="005F0DA1">
              <w:rPr>
                <w:lang w:val="es-ES_tradnl" w:eastAsia="nl-NL"/>
              </w:rPr>
              <w:t>a participar en los estudios y aportar contribuciones al respecto,</w:t>
            </w:r>
          </w:p>
          <w:p w14:paraId="7F65AF20" w14:textId="77777777" w:rsidR="00F8544C" w:rsidRPr="005F0DA1" w:rsidRDefault="00F8544C" w:rsidP="00BD2741">
            <w:pPr>
              <w:pStyle w:val="Tabletext"/>
              <w:tabs>
                <w:tab w:val="clear" w:pos="284"/>
                <w:tab w:val="left" w:pos="463"/>
              </w:tabs>
              <w:ind w:left="454"/>
              <w:jc w:val="both"/>
              <w:rPr>
                <w:rFonts w:eastAsia="???"/>
                <w:i/>
                <w:iCs/>
                <w:lang w:val="es-ES" w:eastAsia="nl-NL"/>
              </w:rPr>
            </w:pPr>
            <w:r w:rsidRPr="005F0DA1">
              <w:rPr>
                <w:rFonts w:eastAsia="???"/>
                <w:i/>
                <w:iCs/>
                <w:lang w:val="es-ES" w:eastAsia="nl-NL"/>
              </w:rPr>
              <w:t>resuelve invitar a la Conferencia Mundial de Radiocomunicaciones de 2023</w:t>
            </w:r>
          </w:p>
          <w:p w14:paraId="16A80361" w14:textId="3AE6AEE2" w:rsidR="004A7B85" w:rsidRPr="005F0DA1" w:rsidRDefault="00F8544C" w:rsidP="00BD2741">
            <w:pPr>
              <w:pStyle w:val="Tabletext"/>
              <w:tabs>
                <w:tab w:val="clear" w:pos="284"/>
                <w:tab w:val="left" w:pos="463"/>
              </w:tabs>
              <w:jc w:val="both"/>
              <w:rPr>
                <w:lang w:val="es-ES_tradnl" w:eastAsia="nl-NL"/>
              </w:rPr>
            </w:pPr>
            <w:r w:rsidRPr="005F0DA1">
              <w:rPr>
                <w:lang w:val="es-ES_tradnl" w:eastAsia="nl-NL"/>
              </w:rPr>
              <w:t>a considerar los resultados de los estudios arriba mencionados y tomar las medidas reglamentarias correspondientes, según proceda.</w:t>
            </w:r>
          </w:p>
        </w:tc>
        <w:tc>
          <w:tcPr>
            <w:tcW w:w="1406" w:type="dxa"/>
          </w:tcPr>
          <w:p w14:paraId="469665EC" w14:textId="034B15AA" w:rsidR="004A7B85" w:rsidRPr="005F0DA1" w:rsidRDefault="00A92266" w:rsidP="005F0DA1">
            <w:pPr>
              <w:pStyle w:val="Tabletext"/>
              <w:tabs>
                <w:tab w:val="clear" w:pos="284"/>
                <w:tab w:val="left" w:pos="463"/>
              </w:tabs>
              <w:jc w:val="center"/>
              <w:rPr>
                <w:b/>
                <w:bCs/>
                <w:lang w:eastAsia="nl-NL"/>
              </w:rPr>
            </w:pPr>
            <w:r w:rsidRPr="005F0DA1">
              <w:rPr>
                <w:b/>
                <w:bCs/>
                <w:lang w:eastAsia="nl-NL"/>
              </w:rPr>
              <w:t>GT</w:t>
            </w:r>
            <w:r w:rsidR="004A7B85" w:rsidRPr="005F0DA1">
              <w:rPr>
                <w:b/>
                <w:bCs/>
                <w:lang w:eastAsia="nl-NL"/>
              </w:rPr>
              <w:t xml:space="preserve"> 3M, </w:t>
            </w:r>
            <w:r w:rsidR="005F0DA1" w:rsidRPr="005F0DA1">
              <w:rPr>
                <w:b/>
                <w:bCs/>
                <w:lang w:eastAsia="nl-NL"/>
              </w:rPr>
              <w:br/>
            </w:r>
            <w:r w:rsidRPr="005F0DA1">
              <w:rPr>
                <w:b/>
                <w:bCs/>
                <w:lang w:eastAsia="nl-NL"/>
              </w:rPr>
              <w:t>GT</w:t>
            </w:r>
            <w:r w:rsidR="004A7B85" w:rsidRPr="005F0DA1">
              <w:rPr>
                <w:b/>
                <w:bCs/>
                <w:lang w:eastAsia="nl-NL"/>
              </w:rPr>
              <w:t xml:space="preserve"> 4B, </w:t>
            </w:r>
            <w:r w:rsidR="005F0DA1" w:rsidRPr="005F0DA1">
              <w:rPr>
                <w:b/>
                <w:bCs/>
                <w:lang w:eastAsia="nl-NL"/>
              </w:rPr>
              <w:br/>
            </w:r>
            <w:r w:rsidRPr="005F0DA1">
              <w:rPr>
                <w:b/>
                <w:bCs/>
                <w:lang w:eastAsia="nl-NL"/>
              </w:rPr>
              <w:t>GT</w:t>
            </w:r>
            <w:r w:rsidR="004A7B85" w:rsidRPr="005F0DA1">
              <w:rPr>
                <w:b/>
                <w:bCs/>
                <w:lang w:eastAsia="nl-NL"/>
              </w:rPr>
              <w:t xml:space="preserve"> 4C, </w:t>
            </w:r>
            <w:r w:rsidR="005F0DA1" w:rsidRPr="005F0DA1">
              <w:rPr>
                <w:b/>
                <w:bCs/>
                <w:lang w:eastAsia="nl-NL"/>
              </w:rPr>
              <w:br/>
            </w:r>
            <w:r w:rsidRPr="005F0DA1">
              <w:rPr>
                <w:b/>
                <w:bCs/>
                <w:lang w:eastAsia="nl-NL"/>
              </w:rPr>
              <w:t>GT</w:t>
            </w:r>
            <w:r w:rsidR="004A7B85" w:rsidRPr="005F0DA1">
              <w:rPr>
                <w:b/>
                <w:bCs/>
                <w:lang w:eastAsia="nl-NL"/>
              </w:rPr>
              <w:t xml:space="preserve"> 5A, </w:t>
            </w:r>
            <w:r w:rsidR="005F0DA1" w:rsidRPr="005F0DA1">
              <w:rPr>
                <w:b/>
                <w:bCs/>
                <w:lang w:eastAsia="nl-NL"/>
              </w:rPr>
              <w:br/>
            </w:r>
            <w:r w:rsidRPr="005F0DA1">
              <w:rPr>
                <w:b/>
                <w:bCs/>
                <w:lang w:eastAsia="nl-NL"/>
              </w:rPr>
              <w:t>GT</w:t>
            </w:r>
            <w:r w:rsidR="004A7B85" w:rsidRPr="005F0DA1">
              <w:rPr>
                <w:b/>
                <w:bCs/>
                <w:lang w:eastAsia="nl-NL"/>
              </w:rPr>
              <w:t xml:space="preserve"> 5B, </w:t>
            </w:r>
            <w:r w:rsidR="005F0DA1" w:rsidRPr="005F0DA1">
              <w:rPr>
                <w:b/>
                <w:bCs/>
                <w:lang w:eastAsia="nl-NL"/>
              </w:rPr>
              <w:br/>
            </w:r>
            <w:r w:rsidRPr="005F0DA1">
              <w:rPr>
                <w:b/>
                <w:bCs/>
                <w:lang w:eastAsia="nl-NL"/>
              </w:rPr>
              <w:t>GT</w:t>
            </w:r>
            <w:r w:rsidR="004A7B85" w:rsidRPr="005F0DA1">
              <w:rPr>
                <w:b/>
                <w:bCs/>
                <w:lang w:eastAsia="nl-NL"/>
              </w:rPr>
              <w:t xml:space="preserve"> 5C, </w:t>
            </w:r>
            <w:r w:rsidR="005F0DA1" w:rsidRPr="005F0DA1">
              <w:rPr>
                <w:b/>
                <w:bCs/>
                <w:lang w:eastAsia="nl-NL"/>
              </w:rPr>
              <w:br/>
            </w:r>
            <w:r w:rsidRPr="005F0DA1">
              <w:rPr>
                <w:b/>
                <w:bCs/>
                <w:lang w:eastAsia="nl-NL"/>
              </w:rPr>
              <w:t>GT</w:t>
            </w:r>
            <w:r w:rsidR="004A7B85" w:rsidRPr="005F0DA1">
              <w:rPr>
                <w:b/>
                <w:bCs/>
                <w:lang w:eastAsia="nl-NL"/>
              </w:rPr>
              <w:t> 7B</w:t>
            </w:r>
          </w:p>
        </w:tc>
      </w:tr>
      <w:tr w:rsidR="004A7B85" w:rsidRPr="00CE4E08" w14:paraId="01C9B6D8" w14:textId="77777777" w:rsidTr="003F05FF">
        <w:trPr>
          <w:gridAfter w:val="1"/>
          <w:wAfter w:w="27" w:type="dxa"/>
          <w:cantSplit/>
          <w:jc w:val="center"/>
        </w:trPr>
        <w:tc>
          <w:tcPr>
            <w:tcW w:w="14036" w:type="dxa"/>
            <w:gridSpan w:val="4"/>
          </w:tcPr>
          <w:p w14:paraId="5DC8F772" w14:textId="25A251BA" w:rsidR="004A7B85" w:rsidRPr="000A60D5" w:rsidRDefault="004A7B85" w:rsidP="00BD2741">
            <w:pPr>
              <w:pStyle w:val="Tabletext"/>
              <w:keepNext/>
              <w:keepLines/>
              <w:tabs>
                <w:tab w:val="clear" w:pos="284"/>
                <w:tab w:val="left" w:pos="594"/>
              </w:tabs>
              <w:jc w:val="both"/>
              <w:rPr>
                <w:lang w:val="es-ES_tradnl" w:eastAsia="nl-NL"/>
              </w:rPr>
            </w:pPr>
            <w:r w:rsidRPr="000A60D5">
              <w:rPr>
                <w:lang w:val="es-ES_tradnl" w:eastAsia="nl-NL"/>
              </w:rPr>
              <w:lastRenderedPageBreak/>
              <w:t>1.18</w:t>
            </w:r>
            <w:r w:rsidRPr="000A60D5">
              <w:rPr>
                <w:lang w:val="es-ES_tradnl" w:eastAsia="nl-NL"/>
              </w:rPr>
              <w:tab/>
            </w:r>
            <w:r w:rsidR="00AE1563" w:rsidRPr="000A60D5">
              <w:rPr>
                <w:lang w:val="es-ES_tradnl" w:eastAsia="nl-NL"/>
              </w:rPr>
              <w:t xml:space="preserve">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00AE1563" w:rsidRPr="00A665BE">
              <w:rPr>
                <w:b/>
                <w:bCs/>
                <w:lang w:val="es-ES_tradnl" w:eastAsia="nl-NL"/>
              </w:rPr>
              <w:t>248 (CMR-19)</w:t>
            </w:r>
            <w:r w:rsidR="00AE1563" w:rsidRPr="000A60D5">
              <w:rPr>
                <w:lang w:val="es-ES_tradnl" w:eastAsia="nl-NL"/>
              </w:rPr>
              <w:t>;</w:t>
            </w:r>
          </w:p>
        </w:tc>
      </w:tr>
      <w:tr w:rsidR="004A7B85" w:rsidRPr="004A7B85" w14:paraId="5FC4AC1A" w14:textId="77777777" w:rsidTr="003F05FF">
        <w:trPr>
          <w:gridAfter w:val="1"/>
          <w:wAfter w:w="27" w:type="dxa"/>
          <w:cantSplit/>
          <w:jc w:val="center"/>
        </w:trPr>
        <w:tc>
          <w:tcPr>
            <w:tcW w:w="3304" w:type="dxa"/>
          </w:tcPr>
          <w:p w14:paraId="32783B8F" w14:textId="1448B494" w:rsidR="004A7B85" w:rsidRPr="000A60D5" w:rsidRDefault="004A7B85" w:rsidP="000A60D5">
            <w:pPr>
              <w:pStyle w:val="Tabletext"/>
              <w:tabs>
                <w:tab w:val="clear" w:pos="284"/>
                <w:tab w:val="left" w:pos="463"/>
              </w:tabs>
              <w:rPr>
                <w:lang w:val="es-ES_tradnl" w:eastAsia="nl-NL"/>
              </w:rPr>
            </w:pPr>
            <w:r w:rsidRPr="000A60D5">
              <w:rPr>
                <w:lang w:val="es-ES_tradnl" w:eastAsia="nl-NL"/>
              </w:rPr>
              <w:t>Resolu</w:t>
            </w:r>
            <w:r w:rsidR="00AE1563" w:rsidRPr="000A60D5">
              <w:rPr>
                <w:lang w:val="es-ES_tradnl" w:eastAsia="nl-NL"/>
              </w:rPr>
              <w:t>ció</w:t>
            </w:r>
            <w:r w:rsidRPr="000A60D5">
              <w:rPr>
                <w:lang w:val="es-ES_tradnl" w:eastAsia="nl-NL"/>
              </w:rPr>
              <w:t>n </w:t>
            </w:r>
            <w:r w:rsidRPr="000A60D5">
              <w:rPr>
                <w:b/>
                <w:bCs/>
                <w:lang w:val="es-ES_tradnl" w:eastAsia="nl-NL"/>
              </w:rPr>
              <w:t>248 (</w:t>
            </w:r>
            <w:r w:rsidR="00AE1563" w:rsidRPr="000A60D5">
              <w:rPr>
                <w:b/>
                <w:bCs/>
                <w:lang w:val="es-ES_tradnl" w:eastAsia="nl-NL"/>
              </w:rPr>
              <w:t>CMR</w:t>
            </w:r>
            <w:r w:rsidRPr="000A60D5">
              <w:rPr>
                <w:b/>
                <w:bCs/>
                <w:lang w:val="es-ES_tradnl" w:eastAsia="nl-NL"/>
              </w:rPr>
              <w:noBreakHyphen/>
              <w:t>19)</w:t>
            </w:r>
          </w:p>
          <w:p w14:paraId="4991B48B" w14:textId="74AAA058" w:rsidR="004A7B85" w:rsidRPr="000A60D5" w:rsidRDefault="00AE1563" w:rsidP="000A60D5">
            <w:pPr>
              <w:pStyle w:val="Tabletext"/>
              <w:tabs>
                <w:tab w:val="clear" w:pos="284"/>
                <w:tab w:val="left" w:pos="463"/>
              </w:tabs>
              <w:rPr>
                <w:lang w:val="es-ES_tradnl" w:eastAsia="nl-NL"/>
              </w:rPr>
            </w:pPr>
            <w:r w:rsidRPr="000A60D5">
              <w:rPr>
                <w:lang w:val="es-ES_tradnl" w:eastAsia="nl-NL"/>
              </w:rPr>
              <w:t>Estudios sobre las necesidades de espectro y posibles nuevas atribuciones al servicio móvil por satélite en las bandas de frecuencias 1 695</w:t>
            </w:r>
            <w:r w:rsidRPr="000A60D5">
              <w:rPr>
                <w:lang w:val="es-ES_tradnl" w:eastAsia="nl-NL"/>
              </w:rPr>
              <w:noBreakHyphen/>
              <w:t>1 710 MHz, 2 010</w:t>
            </w:r>
            <w:r w:rsidRPr="000A60D5">
              <w:rPr>
                <w:lang w:val="es-ES_tradnl" w:eastAsia="nl-NL"/>
              </w:rPr>
              <w:noBreakHyphen/>
              <w:t>2 025 MHz, 3 300</w:t>
            </w:r>
            <w:r w:rsidRPr="000A60D5">
              <w:rPr>
                <w:lang w:val="es-ES_tradnl" w:eastAsia="nl-NL"/>
              </w:rPr>
              <w:noBreakHyphen/>
              <w:t>3 315 MHz y 3 385</w:t>
            </w:r>
            <w:r w:rsidRPr="000A60D5">
              <w:rPr>
                <w:lang w:val="es-ES_tradnl" w:eastAsia="nl-NL"/>
              </w:rPr>
              <w:noBreakHyphen/>
              <w:t>3 400 MHz para el desarrollo futuro de sistemas móviles por satélite de banda estrecha</w:t>
            </w:r>
          </w:p>
        </w:tc>
        <w:tc>
          <w:tcPr>
            <w:tcW w:w="1517" w:type="dxa"/>
          </w:tcPr>
          <w:p w14:paraId="75C80FEF" w14:textId="51C5480C" w:rsidR="004A7B85" w:rsidRPr="000A60D5" w:rsidRDefault="00A92266" w:rsidP="000A60D5">
            <w:pPr>
              <w:pStyle w:val="Tabletext"/>
              <w:tabs>
                <w:tab w:val="clear" w:pos="284"/>
                <w:tab w:val="left" w:pos="463"/>
              </w:tabs>
              <w:jc w:val="center"/>
              <w:rPr>
                <w:b/>
                <w:bCs/>
                <w:lang w:val="es-ES_tradnl" w:eastAsia="nl-NL"/>
              </w:rPr>
            </w:pPr>
            <w:r w:rsidRPr="000A60D5">
              <w:rPr>
                <w:b/>
                <w:bCs/>
                <w:lang w:val="es-ES_tradnl" w:eastAsia="nl-NL"/>
              </w:rPr>
              <w:t>GT</w:t>
            </w:r>
            <w:r w:rsidR="004A7B85" w:rsidRPr="000A60D5">
              <w:rPr>
                <w:b/>
                <w:bCs/>
                <w:lang w:val="es-ES_tradnl" w:eastAsia="nl-NL"/>
              </w:rPr>
              <w:t> 4C</w:t>
            </w:r>
          </w:p>
        </w:tc>
        <w:tc>
          <w:tcPr>
            <w:tcW w:w="7809" w:type="dxa"/>
          </w:tcPr>
          <w:p w14:paraId="18D1340C" w14:textId="63DCF136" w:rsidR="004A7B85" w:rsidRPr="000A60D5" w:rsidRDefault="00CA0570" w:rsidP="00BD2741">
            <w:pPr>
              <w:pStyle w:val="Tabletext"/>
              <w:tabs>
                <w:tab w:val="clear" w:pos="284"/>
                <w:tab w:val="left" w:pos="463"/>
              </w:tabs>
              <w:ind w:left="454"/>
              <w:jc w:val="both"/>
              <w:rPr>
                <w:rFonts w:eastAsia="???"/>
                <w:i/>
                <w:iCs/>
                <w:lang w:val="es-ES" w:eastAsia="nl-NL"/>
              </w:rPr>
            </w:pPr>
            <w:r w:rsidRPr="000A60D5">
              <w:rPr>
                <w:rFonts w:eastAsia="???"/>
                <w:i/>
                <w:iCs/>
                <w:lang w:val="es-ES" w:eastAsia="nl-NL"/>
              </w:rPr>
              <w:t>resuelve invitar al Sector de Radiocomunicaciones de la UIT</w:t>
            </w:r>
          </w:p>
          <w:p w14:paraId="127E0930"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1</w:t>
            </w:r>
            <w:r w:rsidRPr="000A60D5">
              <w:rPr>
                <w:lang w:val="es-ES_tradnl" w:eastAsia="nl-NL"/>
              </w:rPr>
              <w:tab/>
              <w:t xml:space="preserve">a realizar estudios sobre las necesidades de espectro, los requisitos operativos y las características de sistema de los sistemas de baja velocidad de datos para la recopilación de datos y la gestión de dispositivos terrenales en el SMS, según se indica en el </w:t>
            </w:r>
            <w:r w:rsidRPr="00E2199B">
              <w:rPr>
                <w:i/>
                <w:iCs/>
                <w:lang w:val="es-ES_tradnl" w:eastAsia="nl-NL"/>
              </w:rPr>
              <w:t>considerando a)</w:t>
            </w:r>
            <w:r w:rsidRPr="000A60D5">
              <w:rPr>
                <w:lang w:val="es-ES_tradnl" w:eastAsia="nl-NL"/>
              </w:rPr>
              <w:t xml:space="preserve"> y limitándose a las características básicas indicadas en el </w:t>
            </w:r>
            <w:r w:rsidRPr="000A60D5">
              <w:rPr>
                <w:i/>
                <w:iCs/>
                <w:lang w:val="es-ES_tradnl" w:eastAsia="nl-NL"/>
              </w:rPr>
              <w:t>reconociendo c)</w:t>
            </w:r>
            <w:r w:rsidRPr="000A60D5">
              <w:rPr>
                <w:lang w:val="es-ES_tradnl" w:eastAsia="nl-NL"/>
              </w:rPr>
              <w:t>;</w:t>
            </w:r>
          </w:p>
          <w:p w14:paraId="31BB7B10" w14:textId="4B2AE3F2"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2</w:t>
            </w:r>
            <w:r w:rsidRPr="000A60D5">
              <w:rPr>
                <w:lang w:val="es-ES_tradnl" w:eastAsia="nl-NL"/>
              </w:rPr>
              <w:tab/>
              <w:t>a realizar estudios de compartición y compatibilidad con los servicios a título primario existentes para determinar la adecuación de las nuevas atribuciones al SMS, a fin de proteger los servicios a título primario, en las bandas de frecuencias siguientes y en las bandas adyacentes:</w:t>
            </w:r>
          </w:p>
          <w:p w14:paraId="006CEBE2"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ab/>
              <w:t>1 695-1 710 MHz en la Región 2,</w:t>
            </w:r>
          </w:p>
          <w:p w14:paraId="6DA1F31F"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ab/>
              <w:t>2 010-2 025 MHz en la Región 1,</w:t>
            </w:r>
          </w:p>
          <w:p w14:paraId="78F8EB0A"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ab/>
              <w:t>3 300-3 315 MHz, 3 385-3 400 MHz en la Región 2;</w:t>
            </w:r>
          </w:p>
          <w:p w14:paraId="005DD0E7"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3</w:t>
            </w:r>
            <w:r w:rsidRPr="000A60D5">
              <w:rPr>
                <w:lang w:val="es-ES_tradnl" w:eastAsia="nl-NL"/>
              </w:rPr>
              <w:tab/>
              <w:t xml:space="preserve">a considerar la posibilidad de efectuar nuevas atribuciones a título primario o secundario, con las correspondientes limitaciones técnicas, teniendo en cuenta las características descritas en el </w:t>
            </w:r>
            <w:r w:rsidRPr="000A60D5">
              <w:rPr>
                <w:i/>
                <w:iCs/>
                <w:lang w:val="es-ES_tradnl" w:eastAsia="nl-NL"/>
              </w:rPr>
              <w:t>reconociendo c)</w:t>
            </w:r>
            <w:r w:rsidRPr="000A60D5">
              <w:rPr>
                <w:lang w:val="es-ES_tradnl" w:eastAsia="nl-NL"/>
              </w:rPr>
              <w:t>, al SMS para satélites no OSG que funcionan en sistemas de baja velocidad de datos para la recopilación de datos de dispositivos terrenales, y su gestión, a partir de los resultados de los estudios de compartición y compatibilidad, garantizando al mismo tiempo la protección de los servicios primarios existentes en esas bandas de frecuencias, y en las bandas adyacentes, sin imponer restricciones indebidas a su ulterior desarrollo,</w:t>
            </w:r>
          </w:p>
          <w:p w14:paraId="2A23E18C" w14:textId="77777777" w:rsidR="00CA0570" w:rsidRPr="000A60D5" w:rsidRDefault="00CA0570" w:rsidP="00BD2741">
            <w:pPr>
              <w:pStyle w:val="Tabletext"/>
              <w:tabs>
                <w:tab w:val="clear" w:pos="284"/>
                <w:tab w:val="left" w:pos="463"/>
              </w:tabs>
              <w:ind w:left="454"/>
              <w:jc w:val="both"/>
              <w:rPr>
                <w:rFonts w:eastAsia="???"/>
                <w:i/>
                <w:iCs/>
                <w:lang w:val="es-ES" w:eastAsia="nl-NL"/>
              </w:rPr>
            </w:pPr>
            <w:r w:rsidRPr="000A60D5">
              <w:rPr>
                <w:rFonts w:eastAsia="???"/>
                <w:i/>
                <w:iCs/>
                <w:lang w:val="es-ES" w:eastAsia="nl-NL"/>
              </w:rPr>
              <w:t>resuelve invitar a la Conferencia Mundial de Radiocomunicaciones de 2023</w:t>
            </w:r>
          </w:p>
          <w:p w14:paraId="3D90711B" w14:textId="77777777" w:rsidR="00CA0570" w:rsidRPr="000A60D5" w:rsidRDefault="00CA0570" w:rsidP="00BD2741">
            <w:pPr>
              <w:pStyle w:val="Tabletext"/>
              <w:tabs>
                <w:tab w:val="clear" w:pos="284"/>
                <w:tab w:val="left" w:pos="463"/>
              </w:tabs>
              <w:jc w:val="both"/>
              <w:rPr>
                <w:lang w:val="es-ES_tradnl" w:eastAsia="nl-NL"/>
              </w:rPr>
            </w:pPr>
            <w:r w:rsidRPr="000A60D5">
              <w:rPr>
                <w:lang w:val="es-ES_tradnl" w:eastAsia="nl-NL"/>
              </w:rPr>
              <w:t xml:space="preserve">a determinar, basándose en los estudios realizados en el marco del </w:t>
            </w:r>
            <w:r w:rsidRPr="00E2199B">
              <w:rPr>
                <w:i/>
                <w:iCs/>
                <w:lang w:val="es-ES_tradnl" w:eastAsia="nl-NL"/>
              </w:rPr>
              <w:t>resuelve invitar al Sector de Radiocomunicaciones de la UIT</w:t>
            </w:r>
            <w:r w:rsidRPr="000A60D5">
              <w:rPr>
                <w:lang w:val="es-ES_tradnl" w:eastAsia="nl-NL"/>
              </w:rPr>
              <w:t xml:space="preserve"> </w:t>
            </w:r>
            <w:r w:rsidRPr="00E2199B">
              <w:rPr>
                <w:i/>
                <w:iCs/>
                <w:lang w:val="es-ES_tradnl" w:eastAsia="nl-NL"/>
              </w:rPr>
              <w:t>supra</w:t>
            </w:r>
            <w:r w:rsidRPr="000A60D5">
              <w:rPr>
                <w:lang w:val="es-ES_tradnl" w:eastAsia="nl-NL"/>
              </w:rPr>
              <w:t>, las medidas reglamentarias adecuadas,</w:t>
            </w:r>
          </w:p>
          <w:p w14:paraId="694FF857" w14:textId="77777777" w:rsidR="00CA0570" w:rsidRPr="000A60D5" w:rsidRDefault="00CA0570" w:rsidP="00BD2741">
            <w:pPr>
              <w:pStyle w:val="Tabletext"/>
              <w:tabs>
                <w:tab w:val="clear" w:pos="284"/>
                <w:tab w:val="left" w:pos="463"/>
              </w:tabs>
              <w:ind w:left="454"/>
              <w:jc w:val="both"/>
              <w:rPr>
                <w:rFonts w:eastAsia="???"/>
                <w:i/>
                <w:iCs/>
                <w:lang w:val="es-ES" w:eastAsia="nl-NL"/>
              </w:rPr>
            </w:pPr>
            <w:r w:rsidRPr="000A60D5">
              <w:rPr>
                <w:rFonts w:eastAsia="???"/>
                <w:i/>
                <w:iCs/>
                <w:lang w:val="es-ES" w:eastAsia="nl-NL"/>
              </w:rPr>
              <w:t>invita a las administraciones</w:t>
            </w:r>
          </w:p>
          <w:p w14:paraId="5A0EBCFD" w14:textId="453E6AB4" w:rsidR="004A7B85" w:rsidRPr="000A60D5" w:rsidRDefault="00CA0570" w:rsidP="00BD2741">
            <w:pPr>
              <w:pStyle w:val="Tabletext"/>
              <w:tabs>
                <w:tab w:val="clear" w:pos="284"/>
                <w:tab w:val="left" w:pos="463"/>
              </w:tabs>
              <w:jc w:val="both"/>
              <w:rPr>
                <w:lang w:val="es-ES_tradnl" w:eastAsia="nl-NL"/>
              </w:rPr>
            </w:pPr>
            <w:r w:rsidRPr="000A60D5">
              <w:rPr>
                <w:lang w:val="es-ES_tradnl" w:eastAsia="nl-NL"/>
              </w:rPr>
              <w:t>a participar en los estudios presentando contribuciones al UIT-R.</w:t>
            </w:r>
          </w:p>
        </w:tc>
        <w:tc>
          <w:tcPr>
            <w:tcW w:w="1406" w:type="dxa"/>
          </w:tcPr>
          <w:p w14:paraId="02750EC7" w14:textId="64A29ECE" w:rsidR="004A7B85" w:rsidRPr="000A60D5" w:rsidRDefault="00A92266" w:rsidP="000A60D5">
            <w:pPr>
              <w:pStyle w:val="Tabletext"/>
              <w:tabs>
                <w:tab w:val="clear" w:pos="284"/>
                <w:tab w:val="left" w:pos="463"/>
              </w:tabs>
              <w:jc w:val="center"/>
              <w:rPr>
                <w:b/>
                <w:bCs/>
                <w:lang w:eastAsia="nl-NL"/>
              </w:rPr>
            </w:pPr>
            <w:r w:rsidRPr="000A60D5">
              <w:rPr>
                <w:b/>
                <w:bCs/>
                <w:lang w:eastAsia="nl-NL"/>
              </w:rPr>
              <w:t>GT</w:t>
            </w:r>
            <w:r w:rsidR="004A7B85" w:rsidRPr="000A60D5">
              <w:rPr>
                <w:b/>
                <w:bCs/>
                <w:lang w:eastAsia="nl-NL"/>
              </w:rPr>
              <w:t xml:space="preserve"> 3M, </w:t>
            </w:r>
            <w:r w:rsidR="000A60D5" w:rsidRPr="000A60D5">
              <w:rPr>
                <w:b/>
                <w:bCs/>
                <w:lang w:eastAsia="nl-NL"/>
              </w:rPr>
              <w:br/>
            </w:r>
            <w:r w:rsidRPr="000A60D5">
              <w:rPr>
                <w:b/>
                <w:bCs/>
                <w:lang w:eastAsia="nl-NL"/>
              </w:rPr>
              <w:t>GT</w:t>
            </w:r>
            <w:r w:rsidR="004A7B85" w:rsidRPr="000A60D5">
              <w:rPr>
                <w:b/>
                <w:bCs/>
                <w:lang w:eastAsia="nl-NL"/>
              </w:rPr>
              <w:t xml:space="preserve"> 4A, </w:t>
            </w:r>
            <w:r w:rsidR="000A60D5" w:rsidRPr="000A60D5">
              <w:rPr>
                <w:b/>
                <w:bCs/>
                <w:lang w:eastAsia="nl-NL"/>
              </w:rPr>
              <w:br/>
            </w:r>
            <w:r w:rsidRPr="000A60D5">
              <w:rPr>
                <w:b/>
                <w:bCs/>
                <w:lang w:eastAsia="nl-NL"/>
              </w:rPr>
              <w:t>GT</w:t>
            </w:r>
            <w:r w:rsidR="004A7B85" w:rsidRPr="000A60D5">
              <w:rPr>
                <w:b/>
                <w:bCs/>
                <w:lang w:eastAsia="nl-NL"/>
              </w:rPr>
              <w:t xml:space="preserve"> 4B, </w:t>
            </w:r>
            <w:r w:rsidR="000A60D5" w:rsidRPr="000A60D5">
              <w:rPr>
                <w:b/>
                <w:bCs/>
                <w:lang w:eastAsia="nl-NL"/>
              </w:rPr>
              <w:br/>
            </w:r>
            <w:r w:rsidRPr="000A60D5">
              <w:rPr>
                <w:b/>
                <w:bCs/>
                <w:lang w:eastAsia="nl-NL"/>
              </w:rPr>
              <w:t>GT</w:t>
            </w:r>
            <w:r w:rsidR="004A7B85" w:rsidRPr="000A60D5">
              <w:rPr>
                <w:b/>
                <w:bCs/>
                <w:lang w:eastAsia="nl-NL"/>
              </w:rPr>
              <w:t xml:space="preserve"> 5A, </w:t>
            </w:r>
            <w:r w:rsidR="000A60D5" w:rsidRPr="000A60D5">
              <w:rPr>
                <w:b/>
                <w:bCs/>
                <w:lang w:eastAsia="nl-NL"/>
              </w:rPr>
              <w:br/>
            </w:r>
            <w:r w:rsidRPr="000A60D5">
              <w:rPr>
                <w:b/>
                <w:bCs/>
                <w:lang w:eastAsia="nl-NL"/>
              </w:rPr>
              <w:t>GT</w:t>
            </w:r>
            <w:r w:rsidR="004A7B85" w:rsidRPr="000A60D5">
              <w:rPr>
                <w:b/>
                <w:bCs/>
                <w:lang w:eastAsia="nl-NL"/>
              </w:rPr>
              <w:t xml:space="preserve"> 5B, </w:t>
            </w:r>
            <w:r w:rsidR="000A60D5" w:rsidRPr="000A60D5">
              <w:rPr>
                <w:b/>
                <w:bCs/>
                <w:lang w:eastAsia="nl-NL"/>
              </w:rPr>
              <w:br/>
            </w:r>
            <w:r w:rsidRPr="000A60D5">
              <w:rPr>
                <w:b/>
                <w:bCs/>
                <w:lang w:eastAsia="nl-NL"/>
              </w:rPr>
              <w:t>GT</w:t>
            </w:r>
            <w:r w:rsidR="004A7B85" w:rsidRPr="000A60D5">
              <w:rPr>
                <w:b/>
                <w:bCs/>
                <w:lang w:eastAsia="nl-NL"/>
              </w:rPr>
              <w:t xml:space="preserve"> 5C, </w:t>
            </w:r>
            <w:r w:rsidR="000A60D5" w:rsidRPr="000A60D5">
              <w:rPr>
                <w:b/>
                <w:bCs/>
                <w:lang w:eastAsia="nl-NL"/>
              </w:rPr>
              <w:br/>
            </w:r>
            <w:r w:rsidRPr="000A60D5">
              <w:rPr>
                <w:b/>
                <w:bCs/>
                <w:lang w:eastAsia="nl-NL"/>
              </w:rPr>
              <w:t>GT</w:t>
            </w:r>
            <w:r w:rsidR="004A7B85" w:rsidRPr="000A60D5">
              <w:rPr>
                <w:b/>
                <w:bCs/>
                <w:lang w:eastAsia="nl-NL"/>
              </w:rPr>
              <w:t xml:space="preserve"> 5D, </w:t>
            </w:r>
            <w:r w:rsidR="000A60D5" w:rsidRPr="000A60D5">
              <w:rPr>
                <w:b/>
                <w:bCs/>
                <w:lang w:eastAsia="nl-NL"/>
              </w:rPr>
              <w:br/>
            </w:r>
            <w:r w:rsidRPr="000A60D5">
              <w:rPr>
                <w:b/>
                <w:bCs/>
                <w:lang w:eastAsia="nl-NL"/>
              </w:rPr>
              <w:t>GT</w:t>
            </w:r>
            <w:r w:rsidR="004A7B85" w:rsidRPr="000A60D5">
              <w:rPr>
                <w:b/>
                <w:bCs/>
                <w:lang w:eastAsia="nl-NL"/>
              </w:rPr>
              <w:t> 7B</w:t>
            </w:r>
          </w:p>
        </w:tc>
      </w:tr>
      <w:tr w:rsidR="004A7B85" w:rsidRPr="00CE4E08" w14:paraId="4083F2F3" w14:textId="77777777" w:rsidTr="003F05FF">
        <w:trPr>
          <w:gridAfter w:val="1"/>
          <w:wAfter w:w="27" w:type="dxa"/>
          <w:cantSplit/>
          <w:jc w:val="center"/>
        </w:trPr>
        <w:tc>
          <w:tcPr>
            <w:tcW w:w="14036" w:type="dxa"/>
            <w:gridSpan w:val="4"/>
          </w:tcPr>
          <w:p w14:paraId="27248EB8" w14:textId="3FEF9A6F" w:rsidR="004A7B85" w:rsidRPr="006B10FF" w:rsidRDefault="004A7B85" w:rsidP="00BD2741">
            <w:pPr>
              <w:pStyle w:val="Tabletext"/>
              <w:keepNext/>
              <w:keepLines/>
              <w:tabs>
                <w:tab w:val="clear" w:pos="284"/>
                <w:tab w:val="left" w:pos="594"/>
              </w:tabs>
              <w:jc w:val="both"/>
              <w:rPr>
                <w:lang w:val="es-ES_tradnl" w:eastAsia="nl-NL"/>
              </w:rPr>
            </w:pPr>
            <w:r w:rsidRPr="006B10FF">
              <w:rPr>
                <w:lang w:val="es-ES_tradnl" w:eastAsia="nl-NL"/>
              </w:rPr>
              <w:lastRenderedPageBreak/>
              <w:t>1.19</w:t>
            </w:r>
            <w:r w:rsidRPr="006B10FF">
              <w:rPr>
                <w:lang w:val="es-ES_tradnl" w:eastAsia="nl-NL"/>
              </w:rPr>
              <w:tab/>
            </w:r>
            <w:r w:rsidR="00AC0C80" w:rsidRPr="006B10FF">
              <w:rPr>
                <w:lang w:val="es-ES_tradnl" w:eastAsia="nl-NL"/>
              </w:rPr>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00AC0C80" w:rsidRPr="006B10FF">
              <w:rPr>
                <w:b/>
                <w:bCs/>
                <w:lang w:val="es-ES_tradnl" w:eastAsia="nl-NL"/>
              </w:rPr>
              <w:t>174 (CMR-19)</w:t>
            </w:r>
            <w:r w:rsidR="00AC0C80" w:rsidRPr="006B10FF">
              <w:rPr>
                <w:lang w:val="es-ES_tradnl" w:eastAsia="nl-NL"/>
              </w:rPr>
              <w:t>;</w:t>
            </w:r>
          </w:p>
        </w:tc>
      </w:tr>
      <w:tr w:rsidR="004A7B85" w:rsidRPr="004A7B85" w14:paraId="6ADC1F4A" w14:textId="77777777" w:rsidTr="003F05FF">
        <w:trPr>
          <w:gridAfter w:val="1"/>
          <w:wAfter w:w="27" w:type="dxa"/>
          <w:cantSplit/>
          <w:jc w:val="center"/>
        </w:trPr>
        <w:tc>
          <w:tcPr>
            <w:tcW w:w="3304" w:type="dxa"/>
          </w:tcPr>
          <w:p w14:paraId="210C2068" w14:textId="6A336909" w:rsidR="004A7B85" w:rsidRPr="00FC5DEE" w:rsidRDefault="004A7B85" w:rsidP="00FC5DEE">
            <w:pPr>
              <w:pStyle w:val="Tabletext"/>
              <w:tabs>
                <w:tab w:val="clear" w:pos="284"/>
                <w:tab w:val="left" w:pos="463"/>
              </w:tabs>
              <w:rPr>
                <w:lang w:val="es-ES_tradnl" w:eastAsia="nl-NL"/>
              </w:rPr>
            </w:pPr>
            <w:r w:rsidRPr="00FC5DEE">
              <w:rPr>
                <w:lang w:val="es-ES_tradnl" w:eastAsia="nl-NL"/>
              </w:rPr>
              <w:t>Resolu</w:t>
            </w:r>
            <w:r w:rsidR="00AC0C80" w:rsidRPr="00FC5DEE">
              <w:rPr>
                <w:lang w:val="es-ES_tradnl" w:eastAsia="nl-NL"/>
              </w:rPr>
              <w:t>ció</w:t>
            </w:r>
            <w:r w:rsidRPr="00FC5DEE">
              <w:rPr>
                <w:lang w:val="es-ES_tradnl" w:eastAsia="nl-NL"/>
              </w:rPr>
              <w:t>n </w:t>
            </w:r>
            <w:r w:rsidRPr="00FC5DEE">
              <w:rPr>
                <w:b/>
                <w:bCs/>
                <w:lang w:val="es-ES_tradnl" w:eastAsia="nl-NL"/>
              </w:rPr>
              <w:t>174 (</w:t>
            </w:r>
            <w:r w:rsidR="00AC0C80" w:rsidRPr="00FC5DEE">
              <w:rPr>
                <w:b/>
                <w:bCs/>
                <w:lang w:val="es-ES_tradnl" w:eastAsia="nl-NL"/>
              </w:rPr>
              <w:t>CMR</w:t>
            </w:r>
            <w:r w:rsidRPr="00FC5DEE">
              <w:rPr>
                <w:b/>
                <w:bCs/>
                <w:lang w:val="es-ES_tradnl" w:eastAsia="nl-NL"/>
              </w:rPr>
              <w:noBreakHyphen/>
              <w:t>19)</w:t>
            </w:r>
          </w:p>
          <w:p w14:paraId="6943FE3C" w14:textId="4547C8B9" w:rsidR="004A7B85" w:rsidRPr="00FC5DEE" w:rsidRDefault="00AC0C80" w:rsidP="00FC5DEE">
            <w:pPr>
              <w:pStyle w:val="Tabletext"/>
              <w:tabs>
                <w:tab w:val="clear" w:pos="284"/>
                <w:tab w:val="left" w:pos="463"/>
              </w:tabs>
              <w:rPr>
                <w:lang w:val="es-ES_tradnl" w:eastAsia="nl-NL"/>
              </w:rPr>
            </w:pPr>
            <w:r w:rsidRPr="00FC5DEE">
              <w:rPr>
                <w:lang w:val="es-ES_tradnl" w:eastAsia="nl-NL"/>
              </w:rPr>
              <w:t>Atribución a título primario al servicio fijo por satélite en el sentido espacio</w:t>
            </w:r>
            <w:r w:rsidR="00FC5DEE">
              <w:rPr>
                <w:lang w:val="es-ES_tradnl" w:eastAsia="nl-NL"/>
              </w:rPr>
              <w:noBreakHyphen/>
            </w:r>
            <w:r w:rsidRPr="00FC5DEE">
              <w:rPr>
                <w:lang w:val="es-ES_tradnl" w:eastAsia="nl-NL"/>
              </w:rPr>
              <w:t>Tierra en la banda 17,3</w:t>
            </w:r>
            <w:r w:rsidR="00FC5DEE">
              <w:rPr>
                <w:lang w:val="es-ES_tradnl" w:eastAsia="nl-NL"/>
              </w:rPr>
              <w:noBreakHyphen/>
            </w:r>
            <w:r w:rsidRPr="00FC5DEE">
              <w:rPr>
                <w:lang w:val="es-ES_tradnl" w:eastAsia="nl-NL"/>
              </w:rPr>
              <w:t>17,7</w:t>
            </w:r>
            <w:r w:rsidR="00FC5DEE">
              <w:rPr>
                <w:lang w:val="es-ES_tradnl" w:eastAsia="nl-NL"/>
              </w:rPr>
              <w:t> </w:t>
            </w:r>
            <w:r w:rsidRPr="00FC5DEE">
              <w:rPr>
                <w:lang w:val="es-ES_tradnl" w:eastAsia="nl-NL"/>
              </w:rPr>
              <w:t>GHz en la Región 2</w:t>
            </w:r>
          </w:p>
        </w:tc>
        <w:tc>
          <w:tcPr>
            <w:tcW w:w="1517" w:type="dxa"/>
          </w:tcPr>
          <w:p w14:paraId="707D366F" w14:textId="71476CA5"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4A7B85">
              <w:rPr>
                <w:b/>
                <w:bCs/>
                <w:lang w:eastAsia="nl-NL"/>
              </w:rPr>
              <w:t> 4A</w:t>
            </w:r>
          </w:p>
        </w:tc>
        <w:tc>
          <w:tcPr>
            <w:tcW w:w="7809" w:type="dxa"/>
          </w:tcPr>
          <w:p w14:paraId="25DFD193" w14:textId="2A29DBA4" w:rsidR="00AC0C80" w:rsidRPr="000A398E" w:rsidRDefault="00AC0C80"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resuelve</w:t>
            </w:r>
          </w:p>
          <w:p w14:paraId="00EA6349" w14:textId="77777777" w:rsidR="00AC0C80" w:rsidRPr="000A398E" w:rsidRDefault="00AC0C80" w:rsidP="00BD2741">
            <w:pPr>
              <w:pStyle w:val="Tabletext"/>
              <w:tabs>
                <w:tab w:val="clear" w:pos="284"/>
                <w:tab w:val="left" w:pos="463"/>
              </w:tabs>
              <w:jc w:val="both"/>
              <w:rPr>
                <w:iCs/>
                <w:lang w:val="es-ES_tradnl" w:eastAsia="nl-NL"/>
              </w:rPr>
            </w:pPr>
            <w:r w:rsidRPr="000A398E">
              <w:rPr>
                <w:lang w:val="es-ES_tradnl" w:eastAsia="nl-NL"/>
              </w:rPr>
              <w:t xml:space="preserve">que los estudios mencionados en el </w:t>
            </w:r>
            <w:r w:rsidRPr="000A398E">
              <w:rPr>
                <w:i/>
                <w:iCs/>
                <w:lang w:val="es-ES_tradnl" w:eastAsia="nl-NL"/>
              </w:rPr>
              <w:t>invita al UIT-R</w:t>
            </w:r>
            <w:r w:rsidRPr="000A398E">
              <w:rPr>
                <w:lang w:val="es-ES_tradnl" w:eastAsia="nl-NL"/>
              </w:rPr>
              <w:t xml:space="preserve"> </w:t>
            </w:r>
            <w:r w:rsidRPr="000A398E">
              <w:rPr>
                <w:i/>
                <w:iCs/>
                <w:lang w:val="es-ES_tradnl" w:eastAsia="nl-NL"/>
              </w:rPr>
              <w:t>infra</w:t>
            </w:r>
            <w:r w:rsidRPr="000A398E">
              <w:rPr>
                <w:lang w:val="es-ES_tradnl" w:eastAsia="nl-NL"/>
              </w:rPr>
              <w:t xml:space="preserve"> protegerán los servicios de radiocomunicaciones a los que se asigna la banda a título primario, en particular las asignaciones que figuran en el Apéndice </w:t>
            </w:r>
            <w:r w:rsidRPr="000A398E">
              <w:rPr>
                <w:b/>
                <w:bCs/>
                <w:lang w:val="es-ES_tradnl" w:eastAsia="nl-NL"/>
              </w:rPr>
              <w:t>30A</w:t>
            </w:r>
            <w:r w:rsidRPr="000A398E">
              <w:rPr>
                <w:lang w:val="es-ES_tradnl" w:eastAsia="nl-NL"/>
              </w:rPr>
              <w:t xml:space="preserve"> del Reglamento de Radiocomunicaciones</w:t>
            </w:r>
            <w:r w:rsidRPr="000A398E">
              <w:rPr>
                <w:iCs/>
                <w:lang w:val="es-ES_tradnl" w:eastAsia="nl-NL"/>
              </w:rPr>
              <w:t>,</w:t>
            </w:r>
          </w:p>
          <w:p w14:paraId="3AEF923B" w14:textId="77777777" w:rsidR="00AC0C80" w:rsidRPr="000A398E" w:rsidRDefault="00AC0C80"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al UIT-R</w:t>
            </w:r>
          </w:p>
          <w:p w14:paraId="13C9A972" w14:textId="77777777" w:rsidR="00AC0C80" w:rsidRPr="000A398E" w:rsidRDefault="00AC0C80" w:rsidP="00BD2741">
            <w:pPr>
              <w:pStyle w:val="Tabletext"/>
              <w:tabs>
                <w:tab w:val="clear" w:pos="284"/>
                <w:tab w:val="left" w:pos="463"/>
              </w:tabs>
              <w:jc w:val="both"/>
              <w:rPr>
                <w:lang w:val="es-ES_tradnl" w:eastAsia="nl-NL"/>
              </w:rPr>
            </w:pPr>
            <w:r w:rsidRPr="000A398E">
              <w:rPr>
                <w:lang w:val="es-ES_tradnl" w:eastAsia="nl-NL"/>
              </w:rPr>
              <w:t>a realizar y completar a tiempo para la CMR-23 estudios de compartición y compatibilidad entre el servicio fijo por satélite (espacio-Tierra) y el servicio de radiodifusión por satélite (espacio-Tierra) y entre el servicio fijo por satélite (espacio-Tierra) y el servicio fijo por satélite (Tierra-espacio), para considerar una nueva atribución a título primario al servicio fijo por satélite (espacio-Tierra) en la banda 17,3-17,7 GHz para la Región 2, al tiempo que se garantiza la protección de las atribuciones primarias existentes en la misma banda y en bandas adyacentes, según corresponda, y sin imponer limitaciones adicionales a las atribuciones existentes al servicio de radiodifusión por satélite (espacio-Tierra) y al servicio fijo por satélite (Tierra-espacio),</w:t>
            </w:r>
          </w:p>
          <w:p w14:paraId="3A762859" w14:textId="77777777" w:rsidR="00AC0C80" w:rsidRPr="000A398E" w:rsidRDefault="00AC0C80"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 CMR-23</w:t>
            </w:r>
          </w:p>
          <w:p w14:paraId="61F69F11" w14:textId="77777777" w:rsidR="00AC0C80" w:rsidRPr="000A398E" w:rsidRDefault="00AC0C80" w:rsidP="00BD2741">
            <w:pPr>
              <w:pStyle w:val="Tabletext"/>
              <w:tabs>
                <w:tab w:val="clear" w:pos="284"/>
                <w:tab w:val="left" w:pos="463"/>
              </w:tabs>
              <w:jc w:val="both"/>
              <w:rPr>
                <w:lang w:val="es-ES_tradnl" w:eastAsia="nl-NL"/>
              </w:rPr>
            </w:pPr>
            <w:r w:rsidRPr="000A398E">
              <w:rPr>
                <w:lang w:val="es-ES_tradnl" w:eastAsia="nl-NL"/>
              </w:rPr>
              <w:t xml:space="preserve">a considerar los resultados de los estudios </w:t>
            </w:r>
            <w:r w:rsidRPr="000A398E">
              <w:rPr>
                <w:i/>
                <w:iCs/>
                <w:lang w:val="es-ES_tradnl" w:eastAsia="nl-NL"/>
              </w:rPr>
              <w:t>supra</w:t>
            </w:r>
            <w:r w:rsidRPr="000A398E">
              <w:rPr>
                <w:lang w:val="es-ES_tradnl" w:eastAsia="nl-NL"/>
              </w:rPr>
              <w:t xml:space="preserve"> y a tomar las medidas necesarias, según convenga,</w:t>
            </w:r>
          </w:p>
          <w:p w14:paraId="4D414CFB" w14:textId="77777777" w:rsidR="00AC0C80" w:rsidRPr="000A398E" w:rsidRDefault="00AC0C80"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las administraciones</w:t>
            </w:r>
          </w:p>
          <w:p w14:paraId="5850A3A0" w14:textId="634B1AE7" w:rsidR="004A7B85" w:rsidRPr="000A398E" w:rsidRDefault="00AC0C80" w:rsidP="00BD2741">
            <w:pPr>
              <w:pStyle w:val="Tabletext"/>
              <w:tabs>
                <w:tab w:val="clear" w:pos="284"/>
                <w:tab w:val="left" w:pos="463"/>
              </w:tabs>
              <w:jc w:val="both"/>
              <w:rPr>
                <w:lang w:val="es-ES" w:eastAsia="nl-NL"/>
              </w:rPr>
            </w:pPr>
            <w:r w:rsidRPr="000A398E">
              <w:rPr>
                <w:lang w:val="es-ES_tradnl" w:eastAsia="nl-NL"/>
              </w:rPr>
              <w:t>a participar activamente en los estudios y proporcionar las características técnicas y operacionales de los sistemas implicados al presentar contribuciones al UIT-R.</w:t>
            </w:r>
          </w:p>
        </w:tc>
        <w:tc>
          <w:tcPr>
            <w:tcW w:w="1406" w:type="dxa"/>
          </w:tcPr>
          <w:p w14:paraId="28A20665" w14:textId="20A1BBE6"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4A7B85">
              <w:rPr>
                <w:b/>
                <w:bCs/>
                <w:lang w:eastAsia="nl-NL"/>
              </w:rPr>
              <w:t xml:space="preserve"> 3M, </w:t>
            </w:r>
            <w:r w:rsidR="006B10FF">
              <w:rPr>
                <w:b/>
                <w:bCs/>
                <w:lang w:eastAsia="nl-NL"/>
              </w:rPr>
              <w:br/>
            </w:r>
            <w:r>
              <w:rPr>
                <w:b/>
                <w:bCs/>
                <w:lang w:eastAsia="nl-NL"/>
              </w:rPr>
              <w:t>GT</w:t>
            </w:r>
            <w:r w:rsidR="004A7B85" w:rsidRPr="004A7B85">
              <w:rPr>
                <w:b/>
                <w:bCs/>
                <w:lang w:eastAsia="nl-NL"/>
              </w:rPr>
              <w:t xml:space="preserve"> 5A, </w:t>
            </w:r>
            <w:r w:rsidR="006B10FF">
              <w:rPr>
                <w:b/>
                <w:bCs/>
                <w:lang w:eastAsia="nl-NL"/>
              </w:rPr>
              <w:br/>
            </w:r>
            <w:r>
              <w:rPr>
                <w:b/>
                <w:bCs/>
                <w:lang w:eastAsia="nl-NL"/>
              </w:rPr>
              <w:t>GT</w:t>
            </w:r>
            <w:r w:rsidR="004A7B85" w:rsidRPr="004A7B85">
              <w:rPr>
                <w:b/>
                <w:bCs/>
                <w:lang w:eastAsia="nl-NL"/>
              </w:rPr>
              <w:t xml:space="preserve"> 5B, </w:t>
            </w:r>
            <w:r w:rsidR="006B10FF">
              <w:rPr>
                <w:b/>
                <w:bCs/>
                <w:lang w:eastAsia="nl-NL"/>
              </w:rPr>
              <w:br/>
            </w:r>
            <w:r>
              <w:rPr>
                <w:b/>
                <w:bCs/>
                <w:lang w:eastAsia="nl-NL"/>
              </w:rPr>
              <w:t>GT</w:t>
            </w:r>
            <w:r w:rsidR="004A7B85" w:rsidRPr="004A7B85">
              <w:rPr>
                <w:b/>
                <w:bCs/>
                <w:lang w:eastAsia="nl-NL"/>
              </w:rPr>
              <w:t xml:space="preserve"> 5C, </w:t>
            </w:r>
            <w:r w:rsidR="006B10FF">
              <w:rPr>
                <w:b/>
                <w:bCs/>
                <w:lang w:eastAsia="nl-NL"/>
              </w:rPr>
              <w:br/>
            </w:r>
            <w:r>
              <w:rPr>
                <w:b/>
                <w:bCs/>
                <w:lang w:eastAsia="nl-NL"/>
              </w:rPr>
              <w:t>GT</w:t>
            </w:r>
            <w:r w:rsidR="004A7B85" w:rsidRPr="004A7B85">
              <w:rPr>
                <w:b/>
                <w:bCs/>
                <w:lang w:eastAsia="nl-NL"/>
              </w:rPr>
              <w:t> 7B</w:t>
            </w:r>
          </w:p>
        </w:tc>
      </w:tr>
      <w:tr w:rsidR="004A7B85" w:rsidRPr="00CE4E08" w14:paraId="0E4E4E0F" w14:textId="77777777" w:rsidTr="003F05FF">
        <w:trPr>
          <w:cantSplit/>
          <w:jc w:val="center"/>
        </w:trPr>
        <w:tc>
          <w:tcPr>
            <w:tcW w:w="14063" w:type="dxa"/>
            <w:gridSpan w:val="5"/>
          </w:tcPr>
          <w:p w14:paraId="19A9487B" w14:textId="7B1A3DDC" w:rsidR="004A7B85" w:rsidRPr="00FC5DEE" w:rsidRDefault="004A7B85" w:rsidP="00BD2741">
            <w:pPr>
              <w:pStyle w:val="Tabletext"/>
              <w:keepNext/>
              <w:keepLines/>
              <w:tabs>
                <w:tab w:val="clear" w:pos="284"/>
                <w:tab w:val="left" w:pos="594"/>
              </w:tabs>
              <w:jc w:val="both"/>
              <w:rPr>
                <w:lang w:val="es-ES_tradnl" w:eastAsia="nl-NL"/>
              </w:rPr>
            </w:pPr>
            <w:r w:rsidRPr="00FC5DEE">
              <w:rPr>
                <w:lang w:val="es-ES_tradnl" w:eastAsia="nl-NL"/>
              </w:rPr>
              <w:lastRenderedPageBreak/>
              <w:t>2</w:t>
            </w:r>
            <w:r w:rsidRPr="00FC5DEE">
              <w:rPr>
                <w:lang w:val="es-ES_tradnl" w:eastAsia="nl-NL"/>
              </w:rPr>
              <w:tab/>
            </w:r>
            <w:r w:rsidR="00AC0C80" w:rsidRPr="00FC5DEE">
              <w:rPr>
                <w:lang w:val="es-ES_tradnl" w:eastAsia="nl-NL"/>
              </w:rPr>
              <w:t>examinar las Recomendaciones UIT</w:t>
            </w:r>
            <w:r w:rsidR="00AC0C80" w:rsidRPr="00FC5DEE">
              <w:rPr>
                <w:lang w:val="es-ES_tradnl" w:eastAsia="nl-NL"/>
              </w:rPr>
              <w:noBreakHyphen/>
              <w:t xml:space="preserve">R revisadas e incorporadas por referencia en el Reglamento de Radiocomunicaciones, comunicadas por la Asamblea de Radiocomunicaciones de acuerdo con el </w:t>
            </w:r>
            <w:r w:rsidR="00AC0C80" w:rsidRPr="00E2199B">
              <w:rPr>
                <w:i/>
                <w:iCs/>
                <w:lang w:val="es-ES_tradnl" w:eastAsia="nl-NL"/>
              </w:rPr>
              <w:t>resuelve además</w:t>
            </w:r>
            <w:r w:rsidR="00AC0C80" w:rsidRPr="00FC5DEE">
              <w:rPr>
                <w:lang w:val="es-ES_tradnl" w:eastAsia="nl-NL"/>
              </w:rPr>
              <w:t xml:space="preserve"> de la Resolución </w:t>
            </w:r>
            <w:r w:rsidR="00AC0C80" w:rsidRPr="00FC5DEE">
              <w:rPr>
                <w:b/>
                <w:bCs/>
                <w:lang w:val="es-ES_tradnl" w:eastAsia="nl-NL"/>
              </w:rPr>
              <w:t>27 (Rev.CMR-19)</w:t>
            </w:r>
            <w:r w:rsidR="00AC0C80" w:rsidRPr="00FC5DEE">
              <w:rPr>
                <w:lang w:val="es-ES_tradnl" w:eastAsia="nl-NL"/>
              </w:rPr>
              <w:t xml:space="preserve">, y decidir si se actualizan o no las referencias correspondientes en el Reglamento de Radiocomunicaciones, con arreglo a los principios contenidos en el </w:t>
            </w:r>
            <w:r w:rsidR="00AC0C80" w:rsidRPr="00FC5DEE">
              <w:rPr>
                <w:i/>
                <w:iCs/>
                <w:lang w:val="es-ES_tradnl" w:eastAsia="nl-NL"/>
              </w:rPr>
              <w:t>resuelve</w:t>
            </w:r>
            <w:r w:rsidR="00AC0C80" w:rsidRPr="00FC5DEE">
              <w:rPr>
                <w:lang w:val="es-ES_tradnl" w:eastAsia="nl-NL"/>
              </w:rPr>
              <w:t xml:space="preserve"> de esa Resolución;</w:t>
            </w:r>
          </w:p>
        </w:tc>
      </w:tr>
      <w:tr w:rsidR="004A7B85" w:rsidRPr="004A7B85" w14:paraId="3168A9FA" w14:textId="77777777" w:rsidTr="003F05FF">
        <w:trPr>
          <w:jc w:val="center"/>
        </w:trPr>
        <w:tc>
          <w:tcPr>
            <w:tcW w:w="3304" w:type="dxa"/>
          </w:tcPr>
          <w:p w14:paraId="6D1551D7" w14:textId="2F77487E" w:rsidR="004A7B85" w:rsidRPr="000A398E" w:rsidRDefault="004A7B85" w:rsidP="000A398E">
            <w:pPr>
              <w:pStyle w:val="Tabletext"/>
              <w:tabs>
                <w:tab w:val="clear" w:pos="284"/>
                <w:tab w:val="left" w:pos="463"/>
              </w:tabs>
              <w:rPr>
                <w:b/>
                <w:lang w:val="es-ES" w:eastAsia="nl-NL"/>
              </w:rPr>
            </w:pPr>
            <w:r w:rsidRPr="000A398E">
              <w:rPr>
                <w:lang w:val="es-ES" w:eastAsia="nl-NL"/>
              </w:rPr>
              <w:t>Resolu</w:t>
            </w:r>
            <w:r w:rsidR="00AC0C80" w:rsidRPr="000A398E">
              <w:rPr>
                <w:lang w:val="es-ES" w:eastAsia="nl-NL"/>
              </w:rPr>
              <w:t>ció</w:t>
            </w:r>
            <w:r w:rsidRPr="000A398E">
              <w:rPr>
                <w:lang w:val="es-ES" w:eastAsia="nl-NL"/>
              </w:rPr>
              <w:t>n</w:t>
            </w:r>
            <w:r w:rsidRPr="000A398E">
              <w:rPr>
                <w:b/>
                <w:lang w:val="es-ES" w:eastAsia="nl-NL"/>
              </w:rPr>
              <w:t> 27 (Rev</w:t>
            </w:r>
            <w:r w:rsidR="000A398E" w:rsidRPr="000A398E">
              <w:rPr>
                <w:b/>
                <w:lang w:val="es-ES" w:eastAsia="nl-NL"/>
              </w:rPr>
              <w:t>.</w:t>
            </w:r>
            <w:r w:rsidR="00AC0C80" w:rsidRPr="000A398E">
              <w:rPr>
                <w:b/>
                <w:bCs/>
                <w:lang w:val="es-ES_tradnl" w:eastAsia="nl-NL"/>
              </w:rPr>
              <w:t>CMR</w:t>
            </w:r>
            <w:r w:rsidRPr="000A398E">
              <w:rPr>
                <w:b/>
                <w:lang w:val="es-ES" w:eastAsia="nl-NL"/>
              </w:rPr>
              <w:noBreakHyphen/>
              <w:t>19)</w:t>
            </w:r>
          </w:p>
          <w:p w14:paraId="65F18E61" w14:textId="654FAFDC" w:rsidR="004A7B85" w:rsidRPr="000A398E" w:rsidRDefault="00AC0C80" w:rsidP="000A398E">
            <w:pPr>
              <w:pStyle w:val="Tabletext"/>
              <w:tabs>
                <w:tab w:val="clear" w:pos="284"/>
                <w:tab w:val="left" w:pos="594"/>
              </w:tabs>
              <w:rPr>
                <w:lang w:val="es-ES" w:eastAsia="nl-NL"/>
              </w:rPr>
            </w:pPr>
            <w:bookmarkStart w:id="32" w:name="_Toc320536458"/>
            <w:bookmarkStart w:id="33" w:name="_Toc328141234"/>
            <w:bookmarkStart w:id="34" w:name="_Toc319401740"/>
            <w:bookmarkStart w:id="35" w:name="_Toc327364292"/>
            <w:bookmarkStart w:id="36" w:name="_Toc450048579"/>
            <w:r w:rsidRPr="000A398E">
              <w:rPr>
                <w:lang w:val="es-ES_tradnl" w:eastAsia="nl-NL"/>
              </w:rPr>
              <w:t>Empleo de la incorporación por referencia</w:t>
            </w:r>
            <w:r w:rsidR="000A398E" w:rsidRPr="000A398E">
              <w:rPr>
                <w:lang w:val="es-ES_tradnl" w:eastAsia="nl-NL"/>
              </w:rPr>
              <w:t xml:space="preserve"> </w:t>
            </w:r>
            <w:r w:rsidRPr="000A398E">
              <w:rPr>
                <w:lang w:val="es-ES_tradnl" w:eastAsia="nl-NL"/>
              </w:rPr>
              <w:t>en el Reglamento de Radiocomunicaciones</w:t>
            </w:r>
            <w:bookmarkEnd w:id="32"/>
            <w:bookmarkEnd w:id="33"/>
            <w:bookmarkEnd w:id="34"/>
            <w:bookmarkEnd w:id="35"/>
            <w:bookmarkEnd w:id="36"/>
          </w:p>
        </w:tc>
        <w:tc>
          <w:tcPr>
            <w:tcW w:w="1517" w:type="dxa"/>
          </w:tcPr>
          <w:p w14:paraId="7EF00104" w14:textId="5559C54A" w:rsidR="004A7B85" w:rsidRPr="006B10FF" w:rsidRDefault="00E2199B" w:rsidP="006B10FF">
            <w:pPr>
              <w:pStyle w:val="Tabletext"/>
              <w:tabs>
                <w:tab w:val="clear" w:pos="284"/>
                <w:tab w:val="left" w:pos="463"/>
              </w:tabs>
              <w:jc w:val="center"/>
              <w:rPr>
                <w:b/>
                <w:bCs/>
                <w:lang w:eastAsia="nl-NL"/>
              </w:rPr>
            </w:pPr>
            <w:r>
              <w:rPr>
                <w:b/>
                <w:bCs/>
                <w:lang w:eastAsia="nl-NL"/>
              </w:rPr>
              <w:t>RPC</w:t>
            </w:r>
            <w:r w:rsidRPr="004A7B85">
              <w:rPr>
                <w:b/>
                <w:bCs/>
                <w:lang w:eastAsia="nl-NL"/>
              </w:rPr>
              <w:t>23</w:t>
            </w:r>
            <w:r w:rsidRPr="004A7B85">
              <w:rPr>
                <w:b/>
                <w:bCs/>
                <w:lang w:eastAsia="nl-NL"/>
              </w:rPr>
              <w:noBreakHyphen/>
              <w:t>2</w:t>
            </w:r>
          </w:p>
        </w:tc>
        <w:tc>
          <w:tcPr>
            <w:tcW w:w="7809" w:type="dxa"/>
          </w:tcPr>
          <w:p w14:paraId="0E36B9FE" w14:textId="2ED95ED5" w:rsidR="004A7B85" w:rsidRPr="000A398E" w:rsidRDefault="00B65796" w:rsidP="00BD2741">
            <w:pPr>
              <w:pStyle w:val="Tabletext"/>
              <w:keepNext/>
              <w:keepLines/>
              <w:tabs>
                <w:tab w:val="clear" w:pos="284"/>
                <w:tab w:val="left" w:pos="463"/>
              </w:tabs>
              <w:ind w:left="454"/>
              <w:jc w:val="both"/>
              <w:rPr>
                <w:rFonts w:eastAsia="???"/>
                <w:i/>
                <w:iCs/>
                <w:lang w:val="es-ES" w:eastAsia="nl-NL"/>
              </w:rPr>
            </w:pPr>
            <w:r w:rsidRPr="000A398E">
              <w:rPr>
                <w:rFonts w:eastAsia="???"/>
                <w:i/>
                <w:iCs/>
                <w:lang w:val="es-ES" w:eastAsia="nl-NL"/>
              </w:rPr>
              <w:t>resuelve</w:t>
            </w:r>
          </w:p>
          <w:p w14:paraId="022FC7BD" w14:textId="77777777" w:rsidR="00B65796" w:rsidRPr="000A398E" w:rsidRDefault="00B65796" w:rsidP="00BD2741">
            <w:pPr>
              <w:pStyle w:val="Tabletext"/>
              <w:keepNext/>
              <w:keepLines/>
              <w:tabs>
                <w:tab w:val="clear" w:pos="284"/>
                <w:tab w:val="left" w:pos="463"/>
              </w:tabs>
              <w:jc w:val="both"/>
              <w:rPr>
                <w:lang w:val="es-ES_tradnl" w:eastAsia="nl-NL"/>
              </w:rPr>
            </w:pPr>
            <w:r w:rsidRPr="000A398E">
              <w:rPr>
                <w:lang w:val="es-ES_tradnl" w:eastAsia="nl-NL"/>
              </w:rPr>
              <w:t>1</w:t>
            </w:r>
            <w:r w:rsidRPr="000A398E">
              <w:rPr>
                <w:lang w:val="es-ES_tradnl" w:eastAsia="nl-NL"/>
              </w:rPr>
              <w:tab/>
              <w:t>que a efectos del Reglamento de Radiocomunicaciones, el término «incorporación por referencia» se aplicará sólo a las referencias destinadas a ser obligatorias;</w:t>
            </w:r>
          </w:p>
          <w:p w14:paraId="7E0E5960" w14:textId="77777777" w:rsidR="00B65796" w:rsidRPr="000A398E" w:rsidRDefault="00B65796" w:rsidP="00BD2741">
            <w:pPr>
              <w:pStyle w:val="Tabletext"/>
              <w:keepNext/>
              <w:keepLines/>
              <w:tabs>
                <w:tab w:val="clear" w:pos="284"/>
                <w:tab w:val="left" w:pos="463"/>
              </w:tabs>
              <w:jc w:val="both"/>
              <w:rPr>
                <w:lang w:val="es-ES_tradnl" w:eastAsia="nl-NL"/>
              </w:rPr>
            </w:pPr>
            <w:r w:rsidRPr="000A398E">
              <w:rPr>
                <w:lang w:val="es-ES_tradnl" w:eastAsia="nl-NL"/>
              </w:rPr>
              <w:t>2</w:t>
            </w:r>
            <w:r w:rsidRPr="000A398E">
              <w:rPr>
                <w:lang w:val="es-ES_tradnl" w:eastAsia="nl-NL"/>
              </w:rPr>
              <w:tab/>
              <w:t>que el texto incorporado por referencia tendrá la misma categoría de tratado que el propio Reglamento de Radiocomunicaciones;</w:t>
            </w:r>
          </w:p>
          <w:p w14:paraId="0787AF2B" w14:textId="77777777" w:rsidR="00B65796" w:rsidRPr="000A398E" w:rsidRDefault="00B65796" w:rsidP="00BD2741">
            <w:pPr>
              <w:pStyle w:val="Tabletext"/>
              <w:keepNext/>
              <w:keepLines/>
              <w:tabs>
                <w:tab w:val="clear" w:pos="284"/>
                <w:tab w:val="left" w:pos="463"/>
              </w:tabs>
              <w:jc w:val="both"/>
              <w:rPr>
                <w:lang w:val="es-ES_tradnl" w:eastAsia="nl-NL"/>
              </w:rPr>
            </w:pPr>
            <w:r w:rsidRPr="000A398E">
              <w:rPr>
                <w:lang w:val="es-ES_tradnl" w:eastAsia="nl-NL"/>
              </w:rPr>
              <w:t>3</w:t>
            </w:r>
            <w:r w:rsidRPr="000A398E">
              <w:rPr>
                <w:lang w:val="es-ES_tradnl" w:eastAsia="nl-NL"/>
              </w:rPr>
              <w:tab/>
              <w:t>que la referencia deberá ser explícita, especificando la parte concreta del texto (si procede) y su número de versión o publicación;</w:t>
            </w:r>
          </w:p>
          <w:p w14:paraId="7B57AF67"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4</w:t>
            </w:r>
            <w:r w:rsidRPr="000A398E">
              <w:rPr>
                <w:lang w:val="es-ES_tradnl" w:eastAsia="nl-NL"/>
              </w:rPr>
              <w:tab/>
              <w:t xml:space="preserve">que, cuando se incluya una referencia obligatoria a una Recomendación UIT-R, o a partes de la misma, en el </w:t>
            </w:r>
            <w:r w:rsidRPr="000A398E">
              <w:rPr>
                <w:i/>
                <w:iCs/>
                <w:lang w:val="es-ES_tradnl" w:eastAsia="nl-NL"/>
              </w:rPr>
              <w:t xml:space="preserve">resuelve </w:t>
            </w:r>
            <w:r w:rsidRPr="000A398E">
              <w:rPr>
                <w:lang w:val="es-ES_tradnl" w:eastAsia="nl-NL"/>
              </w:rPr>
              <w: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t>
            </w:r>
          </w:p>
          <w:p w14:paraId="6DF0F7C1"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5</w:t>
            </w:r>
            <w:r w:rsidRPr="000A398E">
              <w:rPr>
                <w:lang w:val="es-ES_tradnl" w:eastAsia="nl-NL"/>
              </w:rPr>
              <w:tab/>
              <w:t>que no se considerarán para su incorporación por referencia aquellos textos de naturaleza no obligatoria o que hagan referencia a otros textos de naturaleza no obligatoria;</w:t>
            </w:r>
          </w:p>
          <w:p w14:paraId="505D9256"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6</w:t>
            </w:r>
            <w:r w:rsidRPr="000A398E">
              <w:rPr>
                <w:lang w:val="es-ES_tradnl" w:eastAsia="nl-NL"/>
              </w:rPr>
              <w:tab/>
              <w:t>que cuando se considere la introducción de nuevos casos de incorporación por referencia, dicha incorporación se restringirá al mínimo y se efectuará aplicando los siguientes criterios:</w:t>
            </w:r>
          </w:p>
          <w:p w14:paraId="30C3C463"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6.1</w:t>
            </w:r>
            <w:r w:rsidRPr="000A398E">
              <w:rPr>
                <w:lang w:val="es-ES_tradnl" w:eastAsia="nl-NL"/>
              </w:rPr>
              <w:tab/>
              <w:t>sólo podrán considerarse los textos que sean pertinentes respecto de un punto específico del orden del día de la CMR;</w:t>
            </w:r>
          </w:p>
          <w:p w14:paraId="6151C6F4"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6.2</w:t>
            </w:r>
            <w:r w:rsidRPr="000A398E">
              <w:rPr>
                <w:lang w:val="es-ES_tradnl" w:eastAsia="nl-NL"/>
              </w:rPr>
              <w:tab/>
              <w:t>cuando los textos pertinentes sean breves, el material al que remite la referencia se incluirá en el texto del Reglamento de Radiocomunicaciones, en lugar de incorporarlo por referencia;</w:t>
            </w:r>
          </w:p>
          <w:p w14:paraId="194A794D"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6.3</w:t>
            </w:r>
            <w:r w:rsidRPr="000A398E">
              <w:rPr>
                <w:lang w:val="es-ES_tradnl" w:eastAsia="nl-NL"/>
              </w:rPr>
              <w:tab/>
              <w:t>las directrices recogidas en el Anexo 1 a la presente Resolución se aplicarán a fin de velar por que se emplee el método de referencia correcto para el fin previsto;</w:t>
            </w:r>
          </w:p>
          <w:p w14:paraId="591C3FB6"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7</w:t>
            </w:r>
            <w:r w:rsidRPr="000A398E">
              <w:rPr>
                <w:lang w:val="es-ES_tradnl" w:eastAsia="nl-NL"/>
              </w:rPr>
              <w:tab/>
              <w:t>que el texto que se ha de incorporar por referencia deberá someterse a la aprobación de una CMR competente y se aplicará el procedimiento descrito en el Anexo 2 a la presente Resolución para aprobar la incorporación por referencia de Recomendaciones UIT-R o partes de las mismas;</w:t>
            </w:r>
          </w:p>
          <w:p w14:paraId="2BC5008F"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lastRenderedPageBreak/>
              <w:t>8</w:t>
            </w:r>
            <w:r w:rsidRPr="000A398E">
              <w:rPr>
                <w:lang w:val="es-ES_tradnl" w:eastAsia="nl-NL"/>
              </w:rPr>
              <w:tab/>
              <w:t>que las referencias existentes a Recomendaciones UIT-R se revisarán para aclarar si la referencia es o no obligatoria, de conformidad con el Anexo 1 a la presente Resolución;</w:t>
            </w:r>
          </w:p>
          <w:p w14:paraId="3FB346D1" w14:textId="38A105A6"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9</w:t>
            </w:r>
            <w:r w:rsidRPr="000A398E">
              <w:rPr>
                <w:lang w:val="es-ES_tradnl" w:eastAsia="nl-NL"/>
              </w:rPr>
              <w:tab/>
              <w:t>que las Recomendaciones UIT-R, o partes de las mismas, incorporadas por referencia al final de cada CMR, y una lista de referencias recíprocas de las disposiciones reglamentarias, incluidas las notas y Resoluciones, que incorporan por referencia tales Recomendaciones UIT</w:t>
            </w:r>
            <w:r w:rsidR="0014314B">
              <w:rPr>
                <w:lang w:val="es-ES_tradnl" w:eastAsia="nl-NL"/>
              </w:rPr>
              <w:noBreakHyphen/>
            </w:r>
            <w:r w:rsidRPr="000A398E">
              <w:rPr>
                <w:lang w:val="es-ES_tradnl" w:eastAsia="nl-NL"/>
              </w:rPr>
              <w:t>R, se agruparán y publicarán en un volumen del Reglamento de Radiocomunicaciones (véase el Anexo 2 a la presente Resolución);</w:t>
            </w:r>
          </w:p>
          <w:p w14:paraId="5BB083BC" w14:textId="77777777" w:rsidR="00B65796" w:rsidRPr="000A398E" w:rsidRDefault="00B65796" w:rsidP="00BD2741">
            <w:pPr>
              <w:pStyle w:val="Tabletext"/>
              <w:tabs>
                <w:tab w:val="clear" w:pos="284"/>
                <w:tab w:val="left" w:pos="463"/>
              </w:tabs>
              <w:jc w:val="both"/>
              <w:rPr>
                <w:i/>
                <w:iCs/>
                <w:lang w:val="es-ES_tradnl" w:eastAsia="nl-NL"/>
              </w:rPr>
            </w:pPr>
            <w:r w:rsidRPr="000A398E">
              <w:rPr>
                <w:lang w:val="es-ES_tradnl" w:eastAsia="nl-NL"/>
              </w:rPr>
              <w:t>10</w:t>
            </w:r>
            <w:r w:rsidRPr="000A398E">
              <w:rPr>
                <w:lang w:val="es-ES_tradnl" w:eastAsia="nl-NL"/>
              </w:rPr>
              <w:tab/>
              <w:t xml:space="preserve">que, si entre dos CMR se actualiza un texto incorporado por referencia (por ejemplo, una Recomendación UIT-R), la referencia que aparece en el Reglamento de Radiocomunicaciones continuará aplicándose a la versión anterior incorporada por referencia hasta que una CMR competente acuerde incorporar la nueva versión; el mecanismo para considerar una medida de esta naturaleza figura en el </w:t>
            </w:r>
            <w:r w:rsidRPr="000A398E">
              <w:rPr>
                <w:i/>
                <w:iCs/>
                <w:lang w:val="es-ES_tradnl" w:eastAsia="nl-NL"/>
              </w:rPr>
              <w:t>resuelve además</w:t>
            </w:r>
            <w:r w:rsidRPr="000A398E">
              <w:rPr>
                <w:lang w:val="es-ES_tradnl" w:eastAsia="nl-NL"/>
              </w:rPr>
              <w:t xml:space="preserve"> de la presente Resolución,</w:t>
            </w:r>
          </w:p>
          <w:p w14:paraId="1DBAABE6"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resuelve además</w:t>
            </w:r>
          </w:p>
          <w:p w14:paraId="1D615FE9"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1</w:t>
            </w:r>
            <w:r w:rsidRPr="000A398E">
              <w:rPr>
                <w:lang w:val="es-ES_tradnl" w:eastAsia="nl-NL"/>
              </w:rPr>
              <w:tab/>
              <w:t>que cada Asamblea de Radiocomunicaciones comunique a la próxima CMR la lista de Recomendaciones UIT</w:t>
            </w:r>
            <w:r w:rsidRPr="000A398E">
              <w:rPr>
                <w:lang w:val="es-ES_tradnl" w:eastAsia="nl-NL"/>
              </w:rPr>
              <w:noBreakHyphen/>
              <w:t>R que contengan texto incorporado por referencia al Reglamento de Radiocomunicaciones que hayan sido revisadas y aprobadas durante el periodo de estudios transcurrido;</w:t>
            </w:r>
          </w:p>
          <w:p w14:paraId="3BA940D1"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2</w:t>
            </w:r>
            <w:r w:rsidRPr="000A398E">
              <w:rPr>
                <w:lang w:val="es-ES_tradnl" w:eastAsia="nl-NL"/>
              </w:rPr>
              <w:tab/>
              <w:t>que, sobre esta base, se invite a la CMR a examinar estas Recomendaciones UIT</w:t>
            </w:r>
            <w:r w:rsidRPr="000A398E">
              <w:rPr>
                <w:lang w:val="es-ES_tradnl" w:eastAsia="nl-NL"/>
              </w:rPr>
              <w:noBreakHyphen/>
              <w:t>R revisadas y decida si desea actualizar o no las correspondientes referencias en el Reglamento de Radiocomunicaciones;</w:t>
            </w:r>
          </w:p>
          <w:p w14:paraId="67285D3A"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3</w:t>
            </w:r>
            <w:r w:rsidRPr="000A398E">
              <w:rPr>
                <w:lang w:val="es-ES_tradnl" w:eastAsia="nl-NL"/>
              </w:rPr>
              <w:tab/>
              <w:t>que, si la CMR decide no actualizar las referencias correspondientes, la versión referenciada vigente se mantenga en el Reglamento de Radiocomunicaciones;</w:t>
            </w:r>
          </w:p>
          <w:p w14:paraId="128D68F8"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4</w:t>
            </w:r>
            <w:r w:rsidRPr="000A398E">
              <w:rPr>
                <w:lang w:val="es-ES_tradnl" w:eastAsia="nl-NL"/>
              </w:rPr>
              <w:tab/>
              <w:t>invitar a las CMR futuras a incluir un punto permanente relativo al examen de Recomendaciones UIT</w:t>
            </w:r>
            <w:r w:rsidRPr="000A398E">
              <w:rPr>
                <w:lang w:val="es-ES_tradnl" w:eastAsia="nl-NL"/>
              </w:rPr>
              <w:noBreakHyphen/>
              <w:t xml:space="preserve">R revisadas conforme a los </w:t>
            </w:r>
            <w:r w:rsidRPr="000A398E">
              <w:rPr>
                <w:i/>
                <w:lang w:val="es-ES_tradnl" w:eastAsia="nl-NL"/>
              </w:rPr>
              <w:t>resuelve además</w:t>
            </w:r>
            <w:r w:rsidRPr="000A398E">
              <w:rPr>
                <w:lang w:val="es-ES_tradnl" w:eastAsia="nl-NL"/>
              </w:rPr>
              <w:t> 1 y 2 de la presente Resolución,</w:t>
            </w:r>
          </w:p>
          <w:p w14:paraId="56009EFA"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encarga al Director de la Oficina de Radiocomunicaciones</w:t>
            </w:r>
          </w:p>
          <w:p w14:paraId="70DFAF17"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1</w:t>
            </w:r>
            <w:r w:rsidRPr="000A398E">
              <w:rPr>
                <w:lang w:val="es-ES_tradnl" w:eastAsia="nl-NL"/>
              </w:rPr>
              <w:tab/>
              <w:t>que señale esta Resolución a la atención de la Asamblea de Radiocomunicaciones y de las Comisiones de Estudio del UIT-R;</w:t>
            </w:r>
          </w:p>
          <w:p w14:paraId="504CF021"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2</w:t>
            </w:r>
            <w:r w:rsidRPr="000A398E">
              <w:rPr>
                <w:lang w:val="es-ES_tradnl" w:eastAsia="nl-NL"/>
              </w:rPr>
              <w:tab/>
              <w:t>que identifique las disposiciones y notas del Reglamento de Radiocomunicaciones que contengan referencias a Recomendaciones UIT-R, y someta sugerencias sobre su posible tratamiento a la segunda sesión de la Reunión Preparatoria de la Conferencia (RPC) para su examen e inclusión en el Informe de la RPC;</w:t>
            </w:r>
          </w:p>
          <w:p w14:paraId="32A4F5AF"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lastRenderedPageBreak/>
              <w:t>3</w:t>
            </w:r>
            <w:r w:rsidRPr="000A398E">
              <w:rPr>
                <w:lang w:val="es-ES_tradnl" w:eastAsia="nl-NL"/>
              </w:rPr>
              <w:tab/>
              <w:t>que identifique las disposiciones y notas del Reglamento de Radiocomunicaciones que hacen referencia a Resoluciones de la CMR que a su vez contienen referencias a Recomendaciones UIT-R, y someta sugerencias sobre su posible tratamiento a la segunda sesión de la RPC para su examen e inclusión en el Informe de la RPC;</w:t>
            </w:r>
          </w:p>
          <w:p w14:paraId="7D72104A"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4</w:t>
            </w:r>
            <w:r w:rsidRPr="000A398E">
              <w:rPr>
                <w:lang w:val="es-ES_tradnl" w:eastAsia="nl-NL"/>
              </w:rPr>
              <w:tab/>
              <w:t>que proporcione a la segunda reunión de la RPC una lista, para su inclusión en el Informe de la RPC, de las Recomendaciones UIT</w:t>
            </w:r>
            <w:r w:rsidRPr="000A398E">
              <w:rPr>
                <w:lang w:val="es-ES_tradnl" w:eastAsia="nl-NL"/>
              </w:rPr>
              <w:noBreakHyphen/>
              <w:t>R que contengan textos incorporados por referencia que hayan sido revisados o aprobados desde la CMR anterior, o que puedan ser revisados a tiempo para la próxima CMR,</w:t>
            </w:r>
          </w:p>
          <w:p w14:paraId="1BE7DF4C"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las administraciones</w:t>
            </w:r>
          </w:p>
          <w:p w14:paraId="296E1631"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1</w:t>
            </w:r>
            <w:r w:rsidRPr="000A398E">
              <w:rPr>
                <w:lang w:val="es-ES_tradnl" w:eastAsia="nl-NL"/>
              </w:rPr>
              <w:tab/>
              <w:t>a presentar, teniendo en cuenta el Informe de la RPC, propuestas a futuras conferencias para aclarar el carácter de las referencias cuando persistan ambigüedades en relación con el carácter obligatorio o no de las mismas, con el fin de modificar aquellas referencias:</w:t>
            </w:r>
          </w:p>
          <w:p w14:paraId="7F561663" w14:textId="77777777" w:rsidR="00B65796" w:rsidRPr="000A398E" w:rsidRDefault="00B65796" w:rsidP="00BD2741">
            <w:pPr>
              <w:pStyle w:val="Tabletext"/>
              <w:tabs>
                <w:tab w:val="clear" w:pos="284"/>
                <w:tab w:val="left" w:pos="463"/>
              </w:tabs>
              <w:ind w:left="463" w:hanging="463"/>
              <w:jc w:val="both"/>
              <w:rPr>
                <w:lang w:val="es-ES_tradnl" w:eastAsia="nl-NL"/>
              </w:rPr>
            </w:pPr>
            <w:r w:rsidRPr="000A398E">
              <w:rPr>
                <w:lang w:val="es-ES_tradnl" w:eastAsia="nl-NL"/>
              </w:rPr>
              <w:t>i)</w:t>
            </w:r>
            <w:r w:rsidRPr="000A398E">
              <w:rPr>
                <w:lang w:val="es-ES_tradnl" w:eastAsia="nl-NL"/>
              </w:rPr>
              <w:tab/>
              <w:t>que parezcan ser de carácter obligatorio, identificando tales referencias como incorporadas por referencia empleando una fórmula clara de remisión de conformidad con el Anexo 1;</w:t>
            </w:r>
          </w:p>
          <w:p w14:paraId="24A5C3D6" w14:textId="77777777" w:rsidR="00B65796" w:rsidRPr="000A398E" w:rsidRDefault="00B65796" w:rsidP="00BD2741">
            <w:pPr>
              <w:pStyle w:val="Tabletext"/>
              <w:tabs>
                <w:tab w:val="clear" w:pos="284"/>
                <w:tab w:val="left" w:pos="463"/>
              </w:tabs>
              <w:ind w:left="463" w:hanging="463"/>
              <w:jc w:val="both"/>
              <w:rPr>
                <w:lang w:val="es-ES_tradnl" w:eastAsia="nl-NL"/>
              </w:rPr>
            </w:pPr>
            <w:r w:rsidRPr="000A398E">
              <w:rPr>
                <w:lang w:val="es-ES_tradnl" w:eastAsia="nl-NL"/>
              </w:rPr>
              <w:t>ii)</w:t>
            </w:r>
            <w:r w:rsidRPr="000A398E">
              <w:rPr>
                <w:lang w:val="es-ES_tradnl" w:eastAsia="nl-NL"/>
              </w:rPr>
              <w:tab/>
              <w:t>que no tengan carácter obligatorio, remitiendo a «la versión más reciente» de las Recomendaciones;</w:t>
            </w:r>
          </w:p>
          <w:p w14:paraId="0656A391" w14:textId="77777777" w:rsidR="00B65796" w:rsidRPr="000A398E" w:rsidRDefault="00B65796" w:rsidP="00BD2741">
            <w:pPr>
              <w:pStyle w:val="Tabletext"/>
              <w:tabs>
                <w:tab w:val="clear" w:pos="284"/>
                <w:tab w:val="left" w:pos="463"/>
              </w:tabs>
              <w:jc w:val="both"/>
              <w:rPr>
                <w:lang w:val="es-ES_tradnl" w:eastAsia="nl-NL"/>
              </w:rPr>
            </w:pPr>
            <w:r w:rsidRPr="000A398E">
              <w:rPr>
                <w:lang w:val="es-ES_tradnl" w:eastAsia="nl-NL"/>
              </w:rPr>
              <w:t>2</w:t>
            </w:r>
            <w:r w:rsidRPr="000A398E">
              <w:rPr>
                <w:lang w:val="es-ES_tradnl" w:eastAsia="nl-NL"/>
              </w:rPr>
              <w:tab/>
              <w:t>a participar activamente en el trabajo de las Comisiones de Estudio de Radiocomunicaciones y de la Asamblea de Radiocomunicaciones relacionado con la revisión de las Recomendaciones consideradas como referencias obligatorias en las disposiciones del Reglamento de Radiocomunicaciones;</w:t>
            </w:r>
          </w:p>
          <w:p w14:paraId="4E5D0929" w14:textId="789D5A2A" w:rsidR="004A7B85" w:rsidRPr="000A398E" w:rsidRDefault="00B65796" w:rsidP="00BD2741">
            <w:pPr>
              <w:pStyle w:val="Tabletext"/>
              <w:tabs>
                <w:tab w:val="clear" w:pos="284"/>
                <w:tab w:val="left" w:pos="463"/>
              </w:tabs>
              <w:jc w:val="both"/>
              <w:rPr>
                <w:lang w:val="es-ES" w:eastAsia="nl-NL"/>
              </w:rPr>
            </w:pPr>
            <w:r w:rsidRPr="000A398E">
              <w:rPr>
                <w:lang w:val="es-ES_tradnl" w:eastAsia="nl-NL"/>
              </w:rPr>
              <w:t>3</w:t>
            </w:r>
            <w:r w:rsidRPr="000A398E">
              <w:rPr>
                <w:lang w:val="es-ES_tradnl" w:eastAsia="nl-NL"/>
              </w:rPr>
              <w:tab/>
              <w:t>a examinar las revisiones indicadas de las Recomendaciones UIT</w:t>
            </w:r>
            <w:r w:rsidRPr="000A398E">
              <w:rPr>
                <w:lang w:val="es-ES_tradnl" w:eastAsia="nl-NL"/>
              </w:rPr>
              <w:noBreakHyphen/>
              <w:t>R que contengan texto incorporado por referencia y a preparar propuestas sobre la posible actualización de las referencias pertinentes en el Reglamento de Radiocomunicaciones.</w:t>
            </w:r>
          </w:p>
        </w:tc>
        <w:tc>
          <w:tcPr>
            <w:tcW w:w="1433" w:type="dxa"/>
            <w:gridSpan w:val="2"/>
          </w:tcPr>
          <w:p w14:paraId="62354A1A" w14:textId="77777777" w:rsidR="004A7B85" w:rsidRPr="000A398E" w:rsidRDefault="004A7B85" w:rsidP="006B10FF">
            <w:pPr>
              <w:pStyle w:val="Tabletext"/>
              <w:tabs>
                <w:tab w:val="clear" w:pos="284"/>
                <w:tab w:val="left" w:pos="463"/>
              </w:tabs>
              <w:jc w:val="center"/>
              <w:rPr>
                <w:lang w:eastAsia="nl-NL"/>
              </w:rPr>
            </w:pPr>
            <w:r w:rsidRPr="000A398E">
              <w:rPr>
                <w:lang w:eastAsia="nl-NL"/>
              </w:rPr>
              <w:lastRenderedPageBreak/>
              <w:t>–</w:t>
            </w:r>
          </w:p>
        </w:tc>
      </w:tr>
      <w:tr w:rsidR="004A7B85" w:rsidRPr="00CE4E08" w14:paraId="64F8C18B" w14:textId="77777777" w:rsidTr="003F05FF">
        <w:trPr>
          <w:cantSplit/>
          <w:jc w:val="center"/>
        </w:trPr>
        <w:tc>
          <w:tcPr>
            <w:tcW w:w="14063" w:type="dxa"/>
            <w:gridSpan w:val="5"/>
          </w:tcPr>
          <w:p w14:paraId="1A6D0F83" w14:textId="3B3AD7AA"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lastRenderedPageBreak/>
              <w:t>3</w:t>
            </w:r>
            <w:r w:rsidRPr="00A665BE">
              <w:rPr>
                <w:lang w:val="es-ES_tradnl" w:eastAsia="nl-NL"/>
              </w:rPr>
              <w:tab/>
            </w:r>
            <w:r w:rsidR="00B65796" w:rsidRPr="00A665BE">
              <w:rPr>
                <w:lang w:val="es-ES_tradnl" w:eastAsia="nl-NL"/>
              </w:rPr>
              <w:t>examinar los cambios y las modificaciones consiguientes en el Reglamento de Radiocomunicaciones que requieran las decisiones de la Conferencia;</w:t>
            </w:r>
          </w:p>
        </w:tc>
      </w:tr>
      <w:tr w:rsidR="004A7B85" w:rsidRPr="00CE4E08" w14:paraId="689F32BB" w14:textId="77777777" w:rsidTr="003F05FF">
        <w:trPr>
          <w:cantSplit/>
          <w:jc w:val="center"/>
        </w:trPr>
        <w:tc>
          <w:tcPr>
            <w:tcW w:w="14063" w:type="dxa"/>
            <w:gridSpan w:val="5"/>
          </w:tcPr>
          <w:p w14:paraId="3625F11A" w14:textId="39CE0D90"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t>4</w:t>
            </w:r>
            <w:r w:rsidRPr="00A665BE">
              <w:rPr>
                <w:lang w:val="es-ES_tradnl" w:eastAsia="nl-NL"/>
              </w:rPr>
              <w:tab/>
            </w:r>
            <w:r w:rsidR="00B65796" w:rsidRPr="00A665BE">
              <w:rPr>
                <w:lang w:val="es-ES_tradnl" w:eastAsia="nl-NL"/>
              </w:rPr>
              <w:t>de conformidad con la Resolución </w:t>
            </w:r>
            <w:r w:rsidR="00B65796" w:rsidRPr="00E2199B">
              <w:rPr>
                <w:b/>
                <w:bCs/>
                <w:lang w:val="es-ES_tradnl" w:eastAsia="nl-NL"/>
              </w:rPr>
              <w:t>95</w:t>
            </w:r>
            <w:r w:rsidR="00B65796" w:rsidRPr="00A665BE">
              <w:rPr>
                <w:lang w:val="es-ES_tradnl" w:eastAsia="nl-NL"/>
              </w:rPr>
              <w:t xml:space="preserve"> </w:t>
            </w:r>
            <w:r w:rsidR="00B65796" w:rsidRPr="00A665BE">
              <w:rPr>
                <w:b/>
                <w:bCs/>
                <w:lang w:val="es-ES_tradnl" w:eastAsia="nl-NL"/>
              </w:rPr>
              <w:t>(Rev.CMR-19)</w:t>
            </w:r>
            <w:r w:rsidR="00B65796" w:rsidRPr="00A665BE">
              <w:rPr>
                <w:lang w:val="es-ES_tradnl" w:eastAsia="nl-NL"/>
              </w:rPr>
              <w:t>, considerar las Resoluciones y Recomendaciones de las conferencias anteriores para su posible revisión, sustitución o supresión;</w:t>
            </w:r>
          </w:p>
        </w:tc>
      </w:tr>
      <w:tr w:rsidR="004A7B85" w:rsidRPr="004A7B85" w14:paraId="6685D553" w14:textId="77777777" w:rsidTr="003F05FF">
        <w:trPr>
          <w:jc w:val="center"/>
        </w:trPr>
        <w:tc>
          <w:tcPr>
            <w:tcW w:w="3304" w:type="dxa"/>
          </w:tcPr>
          <w:p w14:paraId="3E6A2A4B" w14:textId="7F17219D" w:rsidR="004A7B85" w:rsidRPr="000A398E" w:rsidRDefault="004A7B85" w:rsidP="000A398E">
            <w:pPr>
              <w:pStyle w:val="Tabletext"/>
              <w:tabs>
                <w:tab w:val="clear" w:pos="284"/>
                <w:tab w:val="left" w:pos="463"/>
              </w:tabs>
              <w:rPr>
                <w:b/>
                <w:lang w:val="es-ES" w:eastAsia="nl-NL"/>
              </w:rPr>
            </w:pPr>
            <w:r w:rsidRPr="000A398E">
              <w:rPr>
                <w:lang w:val="es-ES" w:eastAsia="nl-NL"/>
              </w:rPr>
              <w:lastRenderedPageBreak/>
              <w:t>Resolu</w:t>
            </w:r>
            <w:r w:rsidR="00B65796" w:rsidRPr="000A398E">
              <w:rPr>
                <w:lang w:val="es-ES" w:eastAsia="nl-NL"/>
              </w:rPr>
              <w:t>ció</w:t>
            </w:r>
            <w:r w:rsidRPr="000A398E">
              <w:rPr>
                <w:lang w:val="es-ES" w:eastAsia="nl-NL"/>
              </w:rPr>
              <w:t>n</w:t>
            </w:r>
            <w:r w:rsidRPr="000A398E">
              <w:rPr>
                <w:b/>
                <w:lang w:val="es-ES" w:eastAsia="nl-NL"/>
              </w:rPr>
              <w:t> 95 (Rev.</w:t>
            </w:r>
            <w:r w:rsidR="00B65796" w:rsidRPr="000A398E">
              <w:rPr>
                <w:b/>
                <w:bCs/>
                <w:lang w:val="es-ES_tradnl" w:eastAsia="nl-NL"/>
              </w:rPr>
              <w:t>CMR</w:t>
            </w:r>
            <w:r w:rsidRPr="000A398E">
              <w:rPr>
                <w:b/>
                <w:lang w:val="es-ES" w:eastAsia="nl-NL"/>
              </w:rPr>
              <w:noBreakHyphen/>
              <w:t>19)</w:t>
            </w:r>
          </w:p>
          <w:p w14:paraId="09E54A7A" w14:textId="72B6E2BD" w:rsidR="004A7B85" w:rsidRPr="000A398E" w:rsidRDefault="00B65796" w:rsidP="000A398E">
            <w:pPr>
              <w:pStyle w:val="Tabletext"/>
              <w:tabs>
                <w:tab w:val="clear" w:pos="284"/>
                <w:tab w:val="left" w:pos="463"/>
              </w:tabs>
              <w:rPr>
                <w:bCs/>
                <w:lang w:val="es-ES_tradnl" w:eastAsia="nl-NL"/>
              </w:rPr>
            </w:pPr>
            <w:bookmarkStart w:id="37" w:name="_Toc328141274"/>
            <w:r w:rsidRPr="000A398E">
              <w:rPr>
                <w:bCs/>
                <w:lang w:val="es-ES_tradnl" w:eastAsia="nl-NL"/>
              </w:rPr>
              <w:t>Examen general de las Resoluciones y Recomendaciones de las conferencias</w:t>
            </w:r>
            <w:r w:rsidRPr="000A398E">
              <w:rPr>
                <w:bCs/>
                <w:lang w:val="es-ES_tradnl" w:eastAsia="nl-NL"/>
              </w:rPr>
              <w:br/>
              <w:t>administrativas mundiales de radiocomunicaciones y conferencias</w:t>
            </w:r>
            <w:r w:rsidRPr="000A398E">
              <w:rPr>
                <w:bCs/>
                <w:lang w:val="es-ES_tradnl" w:eastAsia="nl-NL"/>
              </w:rPr>
              <w:br/>
              <w:t>mundiales de radiocomunicaciones</w:t>
            </w:r>
            <w:bookmarkEnd w:id="37"/>
          </w:p>
        </w:tc>
        <w:tc>
          <w:tcPr>
            <w:tcW w:w="1517" w:type="dxa"/>
          </w:tcPr>
          <w:p w14:paraId="3C66EBE2" w14:textId="35718776" w:rsidR="004A7B85" w:rsidRPr="006B10FF" w:rsidRDefault="00AA3DC8" w:rsidP="006B10FF">
            <w:pPr>
              <w:pStyle w:val="Tabletext"/>
              <w:tabs>
                <w:tab w:val="clear" w:pos="284"/>
                <w:tab w:val="left" w:pos="463"/>
              </w:tabs>
              <w:jc w:val="center"/>
              <w:rPr>
                <w:b/>
                <w:bCs/>
                <w:lang w:eastAsia="nl-NL"/>
              </w:rPr>
            </w:pPr>
            <w:r>
              <w:rPr>
                <w:b/>
                <w:bCs/>
                <w:lang w:eastAsia="nl-NL"/>
              </w:rPr>
              <w:t>RPC</w:t>
            </w:r>
            <w:r w:rsidR="004A7B85" w:rsidRPr="004A7B85">
              <w:rPr>
                <w:b/>
                <w:bCs/>
                <w:lang w:eastAsia="nl-NL"/>
              </w:rPr>
              <w:t>23</w:t>
            </w:r>
            <w:r w:rsidR="004A7B85" w:rsidRPr="004A7B85">
              <w:rPr>
                <w:b/>
                <w:bCs/>
                <w:lang w:eastAsia="nl-NL"/>
              </w:rPr>
              <w:noBreakHyphen/>
              <w:t>2</w:t>
            </w:r>
          </w:p>
        </w:tc>
        <w:tc>
          <w:tcPr>
            <w:tcW w:w="7809" w:type="dxa"/>
          </w:tcPr>
          <w:p w14:paraId="2742117E" w14:textId="5506BA0A" w:rsidR="004A7B85" w:rsidRPr="000A398E" w:rsidRDefault="00B65796" w:rsidP="00BD2741">
            <w:pPr>
              <w:pStyle w:val="Tabletext"/>
              <w:keepNext/>
              <w:keepLines/>
              <w:tabs>
                <w:tab w:val="clear" w:pos="284"/>
                <w:tab w:val="left" w:pos="463"/>
              </w:tabs>
              <w:ind w:left="454"/>
              <w:jc w:val="both"/>
              <w:rPr>
                <w:rFonts w:eastAsia="???"/>
                <w:i/>
                <w:iCs/>
                <w:lang w:val="es-ES" w:eastAsia="nl-NL"/>
              </w:rPr>
            </w:pPr>
            <w:r w:rsidRPr="000A398E">
              <w:rPr>
                <w:rFonts w:eastAsia="???"/>
                <w:i/>
                <w:iCs/>
                <w:lang w:val="es-ES" w:eastAsia="nl-NL"/>
              </w:rPr>
              <w:t>resuelve</w:t>
            </w:r>
          </w:p>
          <w:p w14:paraId="350AEB7F" w14:textId="77777777" w:rsidR="00B65796" w:rsidRPr="000A398E" w:rsidRDefault="00B65796" w:rsidP="00BD2741">
            <w:pPr>
              <w:pStyle w:val="Tabletext"/>
              <w:keepNext/>
              <w:keepLines/>
              <w:tabs>
                <w:tab w:val="clear" w:pos="284"/>
                <w:tab w:val="left" w:pos="463"/>
              </w:tabs>
              <w:jc w:val="both"/>
              <w:rPr>
                <w:lang w:val="es-ES_tradnl" w:eastAsia="ja-JP"/>
              </w:rPr>
            </w:pPr>
            <w:r w:rsidRPr="000A398E">
              <w:rPr>
                <w:lang w:val="es-ES_tradnl" w:eastAsia="nl-NL"/>
              </w:rPr>
              <w:t>que</w:t>
            </w:r>
            <w:r w:rsidRPr="000A398E">
              <w:rPr>
                <w:lang w:val="es-ES_tradnl" w:eastAsia="ja-JP"/>
              </w:rPr>
              <w:t xml:space="preserve"> los órdenes del día recomendados para las futuras conferencias mundiales de telecomunicaciones incluyan un punto permanente para examinar las Resoluciones y Recomendaciones de conferencias precedentes sin relación con ningún otro punto del orden del día de la Conferencia con objeto de:</w:t>
            </w:r>
          </w:p>
          <w:p w14:paraId="7EF92A1E" w14:textId="77777777" w:rsidR="00B65796" w:rsidRPr="000A398E" w:rsidRDefault="00B65796" w:rsidP="00BD2741">
            <w:pPr>
              <w:pStyle w:val="Tabletext"/>
              <w:tabs>
                <w:tab w:val="clear" w:pos="284"/>
                <w:tab w:val="left" w:pos="463"/>
              </w:tabs>
              <w:ind w:left="463" w:hanging="463"/>
              <w:jc w:val="both"/>
              <w:rPr>
                <w:lang w:val="es-ES_tradnl" w:eastAsia="ja-JP"/>
              </w:rPr>
            </w:pPr>
            <w:r w:rsidRPr="000A398E">
              <w:rPr>
                <w:lang w:val="es-ES_tradnl" w:eastAsia="ja-JP"/>
              </w:rPr>
              <w:t>–</w:t>
            </w:r>
            <w:r w:rsidRPr="000A398E">
              <w:rPr>
                <w:lang w:val="es-ES_tradnl" w:eastAsia="ja-JP"/>
              </w:rPr>
              <w:tab/>
              <w:t>derogar las Resoluciones y Recomendaciones que ya han cumplido su función o ya no son necesarias;</w:t>
            </w:r>
          </w:p>
          <w:p w14:paraId="37D1CFF0" w14:textId="77777777" w:rsidR="00B65796" w:rsidRPr="000A398E" w:rsidRDefault="00B65796" w:rsidP="00BD2741">
            <w:pPr>
              <w:pStyle w:val="Tabletext"/>
              <w:tabs>
                <w:tab w:val="clear" w:pos="284"/>
                <w:tab w:val="left" w:pos="463"/>
              </w:tabs>
              <w:ind w:left="463" w:hanging="463"/>
              <w:jc w:val="both"/>
              <w:rPr>
                <w:lang w:val="es-ES_tradnl" w:eastAsia="ja-JP"/>
              </w:rPr>
            </w:pPr>
            <w:r w:rsidRPr="000A398E">
              <w:rPr>
                <w:lang w:val="es-ES_tradnl" w:eastAsia="ja-JP"/>
              </w:rPr>
              <w:t>–</w:t>
            </w:r>
            <w:r w:rsidRPr="000A398E">
              <w:rPr>
                <w:lang w:val="es-ES_tradnl" w:eastAsia="ja-JP"/>
              </w:rPr>
              <w:tab/>
              <w:t>evaluar la necesidad de mantener las Resoluciones y Recomendaciones, o partes de ellas, que requieren estudios del UIT-R sobre los que no se haya experimentado progreso alguno durante los dos últimos periodos entre conferencias;</w:t>
            </w:r>
          </w:p>
          <w:p w14:paraId="0722FA97" w14:textId="77777777" w:rsidR="00B65796" w:rsidRPr="000A398E" w:rsidRDefault="00B65796" w:rsidP="00BD2741">
            <w:pPr>
              <w:pStyle w:val="Tabletext"/>
              <w:tabs>
                <w:tab w:val="clear" w:pos="284"/>
                <w:tab w:val="left" w:pos="463"/>
              </w:tabs>
              <w:ind w:left="463" w:hanging="463"/>
              <w:jc w:val="both"/>
              <w:rPr>
                <w:lang w:val="es-ES_tradnl" w:eastAsia="ja-JP"/>
              </w:rPr>
            </w:pPr>
            <w:r w:rsidRPr="000A398E">
              <w:rPr>
                <w:lang w:val="es-ES_tradnl" w:eastAsia="ja-JP"/>
              </w:rPr>
              <w:t>–</w:t>
            </w:r>
            <w:r w:rsidRPr="000A398E">
              <w:rPr>
                <w:lang w:val="es-ES_tradnl" w:eastAsia="ja-JP"/>
              </w:rPr>
              <w:tab/>
              <w:t>actualizar y modificar las Resoluciones y Recomendaciones, o partes de ellas, que se hayan quedado obsoletas, y corregir omisiones evidentes, incoherencias, ambigüedades o errores de redacción, y efectuar la consiguiente armonización,</w:t>
            </w:r>
          </w:p>
          <w:p w14:paraId="63F42282"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las futuras conferencias mundiales de radiocomunicaciones competentes</w:t>
            </w:r>
          </w:p>
          <w:p w14:paraId="27DCC326" w14:textId="77777777" w:rsidR="00B65796" w:rsidRPr="000A398E" w:rsidRDefault="00B65796" w:rsidP="00BD2741">
            <w:pPr>
              <w:pStyle w:val="Tabletext"/>
              <w:tabs>
                <w:tab w:val="clear" w:pos="284"/>
                <w:tab w:val="left" w:pos="463"/>
              </w:tabs>
              <w:jc w:val="both"/>
              <w:rPr>
                <w:lang w:val="es-ES_tradnl" w:eastAsia="ja-JP"/>
              </w:rPr>
            </w:pPr>
            <w:r w:rsidRPr="000A398E">
              <w:rPr>
                <w:lang w:val="es-ES_tradnl" w:eastAsia="ja-JP"/>
              </w:rPr>
              <w:t>1</w:t>
            </w:r>
            <w:r w:rsidRPr="000A398E">
              <w:rPr>
                <w:lang w:val="es-ES_tradnl" w:eastAsia="ja-JP"/>
              </w:rPr>
              <w:tab/>
              <w:t xml:space="preserve">a que examinen las Resoluciones y Recomendaciones de Conferencias precedentes relativas a puntos del orden del día de la Conferencia, distintos del punto permanente mencionado en el </w:t>
            </w:r>
            <w:r w:rsidRPr="000A398E">
              <w:rPr>
                <w:i/>
                <w:iCs/>
                <w:lang w:val="es-ES_tradnl" w:eastAsia="ja-JP"/>
              </w:rPr>
              <w:t>resuelve</w:t>
            </w:r>
            <w:r w:rsidRPr="000A398E">
              <w:rPr>
                <w:lang w:val="es-ES_tradnl" w:eastAsia="ja-JP"/>
              </w:rPr>
              <w:t>, en el marco de los puntos del orden del día específicos con objeto de considerar su posible revisión, sustitución o derogación y a que tomen las medidas correspondientes;</w:t>
            </w:r>
          </w:p>
          <w:p w14:paraId="5B374E30" w14:textId="77777777" w:rsidR="00B65796" w:rsidRPr="000A398E" w:rsidRDefault="00B65796" w:rsidP="00BD2741">
            <w:pPr>
              <w:pStyle w:val="Tabletext"/>
              <w:tabs>
                <w:tab w:val="clear" w:pos="284"/>
                <w:tab w:val="left" w:pos="463"/>
              </w:tabs>
              <w:jc w:val="both"/>
              <w:rPr>
                <w:lang w:val="es-ES_tradnl" w:eastAsia="ja-JP"/>
              </w:rPr>
            </w:pPr>
            <w:r w:rsidRPr="000A398E">
              <w:rPr>
                <w:lang w:val="es-ES_tradnl" w:eastAsia="ja-JP"/>
              </w:rPr>
              <w:t>2</w:t>
            </w:r>
            <w:r w:rsidRPr="000A398E">
              <w:rPr>
                <w:lang w:val="es-ES_tradnl" w:eastAsia="ja-JP"/>
              </w:rPr>
              <w:tab/>
              <w:t>a que determinen, al principio de la Conferencia, qué comisión de la misma tiene la responsabilidad fundamental de examinar cada una de las Resoluciones y Recomendaciones de las conferencias anteriores,</w:t>
            </w:r>
          </w:p>
          <w:p w14:paraId="73BF68EB"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encarga al Director de la Oficina de Radiocomunicaciones</w:t>
            </w:r>
          </w:p>
          <w:p w14:paraId="1128E547" w14:textId="77777777" w:rsidR="00B65796" w:rsidRPr="000A398E" w:rsidRDefault="00B65796" w:rsidP="00BD2741">
            <w:pPr>
              <w:pStyle w:val="Tabletext"/>
              <w:tabs>
                <w:tab w:val="clear" w:pos="284"/>
                <w:tab w:val="left" w:pos="463"/>
              </w:tabs>
              <w:jc w:val="both"/>
              <w:rPr>
                <w:lang w:val="es-ES_tradnl" w:eastAsia="ja-JP"/>
              </w:rPr>
            </w:pPr>
            <w:r w:rsidRPr="000A398E">
              <w:rPr>
                <w:lang w:val="es-ES_tradnl" w:eastAsia="ja-JP"/>
              </w:rPr>
              <w:t>1</w:t>
            </w:r>
            <w:r w:rsidRPr="000A398E">
              <w:rPr>
                <w:lang w:val="es-ES_tradnl" w:eastAsia="ja-JP"/>
              </w:rPr>
              <w:tab/>
              <w:t xml:space="preserve">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w:t>
            </w:r>
            <w:r w:rsidRPr="000A398E">
              <w:rPr>
                <w:i/>
                <w:iCs/>
                <w:lang w:val="es-ES_tradnl" w:eastAsia="ja-JP"/>
              </w:rPr>
              <w:t>resuelve</w:t>
            </w:r>
            <w:r w:rsidRPr="000A398E">
              <w:rPr>
                <w:lang w:val="es-ES_tradnl" w:eastAsia="ja-JP"/>
              </w:rPr>
              <w:t xml:space="preserve"> y al </w:t>
            </w:r>
            <w:r w:rsidRPr="000A398E">
              <w:rPr>
                <w:i/>
                <w:iCs/>
                <w:lang w:val="es-ES_tradnl" w:eastAsia="ja-JP"/>
              </w:rPr>
              <w:t>invita a las futuras conferencias mundiales de radiocomunicaciones competentes</w:t>
            </w:r>
            <w:r w:rsidRPr="000A398E">
              <w:rPr>
                <w:lang w:val="es-ES_tradnl" w:eastAsia="ja-JP"/>
              </w:rPr>
              <w:t> 1, que incluya una indicación de los posibles puntos del orden del día relacionados;</w:t>
            </w:r>
          </w:p>
          <w:p w14:paraId="68F08977" w14:textId="77777777" w:rsidR="00B65796" w:rsidRPr="000A398E" w:rsidRDefault="00B65796" w:rsidP="00BD2741">
            <w:pPr>
              <w:pStyle w:val="Tabletext"/>
              <w:tabs>
                <w:tab w:val="clear" w:pos="284"/>
                <w:tab w:val="left" w:pos="463"/>
              </w:tabs>
              <w:jc w:val="both"/>
              <w:rPr>
                <w:lang w:val="es-ES_tradnl" w:eastAsia="ja-JP"/>
              </w:rPr>
            </w:pPr>
            <w:r w:rsidRPr="000A398E">
              <w:rPr>
                <w:lang w:val="es-ES_tradnl" w:eastAsia="ja-JP"/>
              </w:rPr>
              <w:t>2</w:t>
            </w:r>
            <w:r w:rsidRPr="000A398E">
              <w:rPr>
                <w:lang w:val="es-ES_tradnl" w:eastAsia="ja-JP"/>
              </w:rPr>
              <w:tab/>
              <w:t xml:space="preserve">que incluya en el citado Informe, en colaboración con los Presidentes de las Comisiones de Estudio de Radiocomunicaciones, los Informes de situación de los estudios realizados por </w:t>
            </w:r>
            <w:r w:rsidRPr="000A398E">
              <w:rPr>
                <w:lang w:val="es-ES_tradnl" w:eastAsia="ja-JP"/>
              </w:rPr>
              <w:lastRenderedPageBreak/>
              <w:t>el UIT</w:t>
            </w:r>
            <w:r w:rsidRPr="000A398E">
              <w:rPr>
                <w:lang w:val="es-ES_tradnl" w:eastAsia="ja-JP"/>
              </w:rPr>
              <w:noBreakHyphen/>
              <w:t>R sobre los asuntos solicitados en las Resoluciones y Recomendaciones de conferencias anteriores, pero que no figuran en el orden del día de las dos próximas conferencias,</w:t>
            </w:r>
          </w:p>
          <w:p w14:paraId="6ED68EAB"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las administraciones</w:t>
            </w:r>
          </w:p>
          <w:p w14:paraId="382C1A4D" w14:textId="77777777" w:rsidR="00B65796" w:rsidRPr="000A398E" w:rsidRDefault="00B65796" w:rsidP="00BD2741">
            <w:pPr>
              <w:pStyle w:val="Tabletext"/>
              <w:tabs>
                <w:tab w:val="clear" w:pos="284"/>
                <w:tab w:val="left" w:pos="463"/>
              </w:tabs>
              <w:jc w:val="both"/>
              <w:rPr>
                <w:lang w:val="es-ES_tradnl" w:eastAsia="ja-JP"/>
              </w:rPr>
            </w:pPr>
            <w:r w:rsidRPr="000A398E">
              <w:rPr>
                <w:lang w:val="es-ES_tradnl" w:eastAsia="ja-JP"/>
              </w:rPr>
              <w:t xml:space="preserve">a </w:t>
            </w:r>
            <w:r w:rsidRPr="000A398E">
              <w:rPr>
                <w:lang w:val="es-ES_tradnl" w:eastAsia="nl-NL"/>
              </w:rPr>
              <w:t>presentar</w:t>
            </w:r>
            <w:r w:rsidRPr="000A398E">
              <w:rPr>
                <w:lang w:val="es-ES_tradnl" w:eastAsia="ja-JP"/>
              </w:rPr>
              <w:t xml:space="preserve"> contribuciones sobre la aplicación de la presente Resolución a la segunda sesión de la RPC y a la Conferencia,</w:t>
            </w:r>
          </w:p>
          <w:p w14:paraId="0EF9D045" w14:textId="77777777" w:rsidR="00B65796" w:rsidRPr="000A398E" w:rsidRDefault="00B65796"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 Reunión Preparatoria de la Conferencia</w:t>
            </w:r>
          </w:p>
          <w:p w14:paraId="46DEA32A" w14:textId="7DCC1924" w:rsidR="004A7B85" w:rsidRPr="000A398E" w:rsidRDefault="00B65796" w:rsidP="00BD2741">
            <w:pPr>
              <w:pStyle w:val="Tabletext"/>
              <w:tabs>
                <w:tab w:val="clear" w:pos="284"/>
                <w:tab w:val="left" w:pos="463"/>
              </w:tabs>
              <w:jc w:val="both"/>
              <w:rPr>
                <w:lang w:val="es-ES" w:eastAsia="ja-JP"/>
              </w:rPr>
            </w:pPr>
            <w:r w:rsidRPr="000A398E">
              <w:rPr>
                <w:lang w:val="es-ES_tradnl" w:eastAsia="ja-JP"/>
              </w:rPr>
              <w:t>a que incluya en su Informe el resultado del examen general de las Resoluciones y Recomendaciones de conferencias precedentes, sobre la base de las contribuciones presentadas por las administraciones a la segunda reunión de la RPC y teniendo en cuenta el citado Informe del Director, a fin de facilitar el seguimiento por parte de la Conferencia.</w:t>
            </w:r>
          </w:p>
        </w:tc>
        <w:tc>
          <w:tcPr>
            <w:tcW w:w="1433" w:type="dxa"/>
            <w:gridSpan w:val="2"/>
          </w:tcPr>
          <w:p w14:paraId="66264DDC" w14:textId="77777777" w:rsidR="004A7B85" w:rsidRPr="000A398E" w:rsidRDefault="004A7B85" w:rsidP="000A398E">
            <w:pPr>
              <w:pStyle w:val="Tabletext"/>
              <w:tabs>
                <w:tab w:val="clear" w:pos="284"/>
                <w:tab w:val="left" w:pos="463"/>
              </w:tabs>
              <w:jc w:val="center"/>
              <w:rPr>
                <w:lang w:eastAsia="nl-NL"/>
              </w:rPr>
            </w:pPr>
            <w:r w:rsidRPr="000A398E">
              <w:rPr>
                <w:lang w:eastAsia="nl-NL"/>
              </w:rPr>
              <w:lastRenderedPageBreak/>
              <w:t>–</w:t>
            </w:r>
          </w:p>
        </w:tc>
      </w:tr>
      <w:tr w:rsidR="004A7B85" w:rsidRPr="00CE4E08" w14:paraId="6ED8098F" w14:textId="77777777" w:rsidTr="003F05FF">
        <w:trPr>
          <w:cantSplit/>
          <w:jc w:val="center"/>
        </w:trPr>
        <w:tc>
          <w:tcPr>
            <w:tcW w:w="14063" w:type="dxa"/>
            <w:gridSpan w:val="5"/>
          </w:tcPr>
          <w:p w14:paraId="3755BA47" w14:textId="7088BFF8"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t>5</w:t>
            </w:r>
            <w:r w:rsidRPr="00A665BE">
              <w:rPr>
                <w:lang w:val="es-ES_tradnl" w:eastAsia="nl-NL"/>
              </w:rPr>
              <w:tab/>
            </w:r>
            <w:r w:rsidR="00D02C16" w:rsidRPr="00A665BE">
              <w:rPr>
                <w:lang w:val="es-ES_tradnl" w:eastAsia="nl-NL"/>
              </w:rPr>
              <w:t>examinar el Informe de la Asamblea de Radiocomunicaciones presentado con arreglo a los números 135 y 136 del Convenio, y tomar las medidas adecuadas al respecto;</w:t>
            </w:r>
          </w:p>
        </w:tc>
      </w:tr>
      <w:tr w:rsidR="004A7B85" w:rsidRPr="00CE4E08" w14:paraId="5099EC00" w14:textId="77777777" w:rsidTr="003F05FF">
        <w:trPr>
          <w:cantSplit/>
          <w:jc w:val="center"/>
        </w:trPr>
        <w:tc>
          <w:tcPr>
            <w:tcW w:w="14063" w:type="dxa"/>
            <w:gridSpan w:val="5"/>
          </w:tcPr>
          <w:p w14:paraId="70F3B5FF" w14:textId="5F73315E"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t>6</w:t>
            </w:r>
            <w:r w:rsidRPr="00A665BE">
              <w:rPr>
                <w:lang w:val="es-ES_tradnl" w:eastAsia="nl-NL"/>
              </w:rPr>
              <w:tab/>
            </w:r>
            <w:r w:rsidR="00D02C16" w:rsidRPr="00A665BE">
              <w:rPr>
                <w:lang w:val="es-ES_tradnl" w:eastAsia="nl-NL"/>
              </w:rPr>
              <w:t>identificar los temas que exigen medidas urgentes de las Comisiones de Estudio de Radiocomunicaciones para la preparación de la próxima Conferencia Mundial de Radiocomunicaciones;</w:t>
            </w:r>
          </w:p>
        </w:tc>
      </w:tr>
      <w:tr w:rsidR="004A7B85" w:rsidRPr="00CE4E08" w14:paraId="57A864D4" w14:textId="77777777" w:rsidTr="003F05FF">
        <w:trPr>
          <w:cantSplit/>
          <w:jc w:val="center"/>
        </w:trPr>
        <w:tc>
          <w:tcPr>
            <w:tcW w:w="14063" w:type="dxa"/>
            <w:gridSpan w:val="5"/>
          </w:tcPr>
          <w:p w14:paraId="3BFF9949" w14:textId="2BC1138C"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t>7</w:t>
            </w:r>
            <w:r w:rsidRPr="00A665BE">
              <w:rPr>
                <w:lang w:val="es-ES_tradnl" w:eastAsia="nl-NL"/>
              </w:rPr>
              <w:tab/>
            </w:r>
            <w:r w:rsidR="00D02C16" w:rsidRPr="00A665BE">
              <w:rPr>
                <w:lang w:val="es-ES_tradnl" w:eastAsia="nl-NL"/>
              </w:rPr>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00D02C16" w:rsidRPr="00A665BE">
              <w:rPr>
                <w:b/>
                <w:bCs/>
                <w:lang w:val="es-ES_tradnl" w:eastAsia="nl-NL"/>
              </w:rPr>
              <w:t>86 (Rev.CMR-07)</w:t>
            </w:r>
            <w:r w:rsidR="00D02C16" w:rsidRPr="00A665BE">
              <w:rPr>
                <w:lang w:val="es-ES_tradnl" w:eastAsia="nl-NL"/>
              </w:rPr>
              <w:t>, para facilitar el uso racional, eficiente y económico de las radiofrecuencias y órbitas asociadas, incluida la órbita de los satélites geoestacionarios;</w:t>
            </w:r>
          </w:p>
        </w:tc>
      </w:tr>
      <w:tr w:rsidR="004A7B85" w:rsidRPr="004A7B85" w14:paraId="5DD97520" w14:textId="77777777" w:rsidTr="003F05FF">
        <w:trPr>
          <w:jc w:val="center"/>
        </w:trPr>
        <w:tc>
          <w:tcPr>
            <w:tcW w:w="3304" w:type="dxa"/>
          </w:tcPr>
          <w:p w14:paraId="7230F4A6" w14:textId="3D4A870E" w:rsidR="004A7B85" w:rsidRPr="000A398E" w:rsidRDefault="004A7B85" w:rsidP="000A398E">
            <w:pPr>
              <w:pStyle w:val="Tabletext"/>
              <w:tabs>
                <w:tab w:val="clear" w:pos="284"/>
                <w:tab w:val="left" w:pos="463"/>
              </w:tabs>
              <w:rPr>
                <w:b/>
                <w:lang w:val="es-ES" w:eastAsia="nl-NL"/>
              </w:rPr>
            </w:pPr>
            <w:r w:rsidRPr="000A398E">
              <w:rPr>
                <w:lang w:val="es-ES_tradnl" w:eastAsia="ja-JP"/>
              </w:rPr>
              <w:t>Resolu</w:t>
            </w:r>
            <w:r w:rsidR="00FD39FB" w:rsidRPr="000A398E">
              <w:rPr>
                <w:lang w:val="es-ES_tradnl" w:eastAsia="ja-JP"/>
              </w:rPr>
              <w:t>ció</w:t>
            </w:r>
            <w:r w:rsidRPr="000A398E">
              <w:rPr>
                <w:lang w:val="es-ES_tradnl" w:eastAsia="ja-JP"/>
              </w:rPr>
              <w:t>n</w:t>
            </w:r>
            <w:r w:rsidRPr="000A398E">
              <w:rPr>
                <w:b/>
                <w:lang w:val="es-ES" w:eastAsia="nl-NL"/>
              </w:rPr>
              <w:t> 86 (Rev.</w:t>
            </w:r>
            <w:r w:rsidR="00AA3DC8" w:rsidRPr="000A398E">
              <w:rPr>
                <w:b/>
                <w:lang w:val="es-ES" w:eastAsia="nl-NL"/>
              </w:rPr>
              <w:t>CMR</w:t>
            </w:r>
            <w:r w:rsidRPr="000A398E">
              <w:rPr>
                <w:b/>
                <w:lang w:val="es-ES" w:eastAsia="nl-NL"/>
              </w:rPr>
              <w:noBreakHyphen/>
              <w:t>07)</w:t>
            </w:r>
          </w:p>
          <w:p w14:paraId="5B268A20" w14:textId="3CA6B59E" w:rsidR="004A7B85" w:rsidRPr="000A398E" w:rsidRDefault="00DD275E" w:rsidP="000A398E">
            <w:pPr>
              <w:pStyle w:val="Tabletext"/>
              <w:tabs>
                <w:tab w:val="clear" w:pos="284"/>
                <w:tab w:val="left" w:pos="463"/>
              </w:tabs>
              <w:rPr>
                <w:color w:val="000000"/>
                <w:lang w:val="es-ES" w:eastAsia="nl-NL"/>
              </w:rPr>
            </w:pPr>
            <w:bookmarkStart w:id="38" w:name="_Toc328141272"/>
            <w:r w:rsidRPr="000A398E">
              <w:rPr>
                <w:lang w:val="es-ES_tradnl" w:eastAsia="ja-JP"/>
              </w:rPr>
              <w:t>Aplicación</w:t>
            </w:r>
            <w:r w:rsidRPr="000A398E">
              <w:rPr>
                <w:color w:val="000000"/>
                <w:lang w:val="es-ES_tradnl" w:eastAsia="nl-NL"/>
              </w:rPr>
              <w:t xml:space="preserve"> de la Resolución 86 (Rev.</w:t>
            </w:r>
            <w:r w:rsidR="00E2199B">
              <w:rPr>
                <w:color w:val="000000"/>
                <w:lang w:val="es-ES_tradnl" w:eastAsia="nl-NL"/>
              </w:rPr>
              <w:t> </w:t>
            </w:r>
            <w:r w:rsidRPr="000A398E">
              <w:rPr>
                <w:color w:val="000000"/>
                <w:lang w:val="es-ES_tradnl" w:eastAsia="nl-NL"/>
              </w:rPr>
              <w:t>Marrakech, 2002)</w:t>
            </w:r>
            <w:r w:rsidR="00E2199B">
              <w:rPr>
                <w:color w:val="000000"/>
                <w:lang w:val="es-ES_tradnl" w:eastAsia="nl-NL"/>
              </w:rPr>
              <w:t xml:space="preserve"> </w:t>
            </w:r>
            <w:r w:rsidRPr="000A398E">
              <w:rPr>
                <w:color w:val="000000"/>
                <w:lang w:val="es-ES_tradnl" w:eastAsia="nl-NL"/>
              </w:rPr>
              <w:t>de la Conferencia de Plenipotenciarios</w:t>
            </w:r>
            <w:bookmarkEnd w:id="38"/>
          </w:p>
        </w:tc>
        <w:tc>
          <w:tcPr>
            <w:tcW w:w="1517" w:type="dxa"/>
          </w:tcPr>
          <w:p w14:paraId="708DD759" w14:textId="32032260"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DD275E">
              <w:rPr>
                <w:b/>
                <w:bCs/>
                <w:lang w:eastAsia="nl-NL"/>
              </w:rPr>
              <w:t> 4A</w:t>
            </w:r>
          </w:p>
        </w:tc>
        <w:tc>
          <w:tcPr>
            <w:tcW w:w="7809" w:type="dxa"/>
          </w:tcPr>
          <w:p w14:paraId="0C8B567D" w14:textId="493FE3FD" w:rsidR="004A7B85" w:rsidRPr="000A398E" w:rsidRDefault="00DD275E" w:rsidP="00BD2741">
            <w:pPr>
              <w:pStyle w:val="Tabletext"/>
              <w:tabs>
                <w:tab w:val="clear" w:pos="284"/>
                <w:tab w:val="left" w:pos="463"/>
              </w:tabs>
              <w:ind w:left="454"/>
              <w:jc w:val="both"/>
              <w:rPr>
                <w:rFonts w:eastAsia="???"/>
                <w:i/>
                <w:iCs/>
                <w:lang w:val="es-ES" w:eastAsia="nl-NL"/>
              </w:rPr>
            </w:pPr>
            <w:bookmarkStart w:id="39" w:name="_Hlk26784544"/>
            <w:r w:rsidRPr="000A398E">
              <w:rPr>
                <w:rFonts w:eastAsia="???"/>
                <w:i/>
                <w:iCs/>
                <w:lang w:val="es-ES" w:eastAsia="nl-NL"/>
              </w:rPr>
              <w:t>resuelve invitar a las futuras Conferencias Mundiales de Radiocomunicaciones</w:t>
            </w:r>
          </w:p>
          <w:p w14:paraId="3E96A91A" w14:textId="77777777" w:rsidR="00DD275E" w:rsidRPr="000A398E" w:rsidRDefault="00DD275E" w:rsidP="00BD2741">
            <w:pPr>
              <w:pStyle w:val="Tabletext"/>
              <w:tabs>
                <w:tab w:val="clear" w:pos="284"/>
                <w:tab w:val="left" w:pos="463"/>
              </w:tabs>
              <w:jc w:val="both"/>
              <w:rPr>
                <w:lang w:val="es-ES_tradnl" w:eastAsia="nl-NL"/>
              </w:rPr>
            </w:pPr>
            <w:r w:rsidRPr="000A398E">
              <w:rPr>
                <w:lang w:val="es-ES_tradnl" w:eastAsia="nl-NL"/>
              </w:rPr>
              <w:t>1</w:t>
            </w:r>
            <w:r w:rsidRPr="000A398E">
              <w:rPr>
                <w:lang w:val="es-ES_tradnl" w:eastAsia="nl-NL"/>
              </w:rPr>
              <w:tab/>
              <w:t>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14:paraId="34E21A2C" w14:textId="77777777" w:rsidR="00DD275E" w:rsidRPr="000A398E" w:rsidRDefault="00DD275E" w:rsidP="00BD2741">
            <w:pPr>
              <w:pStyle w:val="Tabletext"/>
              <w:tabs>
                <w:tab w:val="clear" w:pos="284"/>
                <w:tab w:val="left" w:pos="463"/>
              </w:tabs>
              <w:jc w:val="both"/>
              <w:rPr>
                <w:lang w:val="es-ES_tradnl" w:eastAsia="nl-NL"/>
              </w:rPr>
            </w:pPr>
            <w:r w:rsidRPr="000A398E">
              <w:rPr>
                <w:lang w:val="es-ES_tradnl" w:eastAsia="nl-NL"/>
              </w:rPr>
              <w:t>2</w:t>
            </w:r>
            <w:r w:rsidRPr="000A398E">
              <w:rPr>
                <w:lang w:val="es-ES_tradnl" w:eastAsia="nl-NL"/>
              </w:rPr>
              <w:tab/>
              <w:t>a velar por que esos procedimientos y los correspondientes Apéndices del Reglamento de Radiocomunicaciones reflejen en la medida de lo posible las tecnologías más recientes,</w:t>
            </w:r>
          </w:p>
          <w:p w14:paraId="6112C7A6" w14:textId="77777777" w:rsidR="00DD275E" w:rsidRPr="000A398E" w:rsidRDefault="00DD275E" w:rsidP="00BD2741">
            <w:pPr>
              <w:pStyle w:val="Tabletext"/>
              <w:tabs>
                <w:tab w:val="clear" w:pos="284"/>
                <w:tab w:val="left" w:pos="463"/>
              </w:tabs>
              <w:ind w:left="454"/>
              <w:jc w:val="both"/>
              <w:rPr>
                <w:rFonts w:eastAsia="???"/>
                <w:i/>
                <w:iCs/>
                <w:lang w:val="es-ES" w:eastAsia="nl-NL"/>
              </w:rPr>
            </w:pPr>
            <w:r w:rsidRPr="000A398E">
              <w:rPr>
                <w:rFonts w:eastAsia="???"/>
                <w:i/>
                <w:iCs/>
                <w:lang w:val="es-ES" w:eastAsia="nl-NL"/>
              </w:rPr>
              <w:t>invita a las administraciones</w:t>
            </w:r>
          </w:p>
          <w:p w14:paraId="74430ABE" w14:textId="3127B4B8" w:rsidR="004A7B85" w:rsidRPr="000A398E" w:rsidRDefault="00DD275E" w:rsidP="00BD2741">
            <w:pPr>
              <w:pStyle w:val="Tabletext"/>
              <w:tabs>
                <w:tab w:val="clear" w:pos="284"/>
                <w:tab w:val="left" w:pos="463"/>
              </w:tabs>
              <w:jc w:val="both"/>
              <w:rPr>
                <w:spacing w:val="-4"/>
                <w:lang w:val="es-ES" w:eastAsia="nl-NL"/>
              </w:rPr>
            </w:pPr>
            <w:r w:rsidRPr="000A398E">
              <w:rPr>
                <w:lang w:val="es-ES_tradnl" w:eastAsia="nl-NL"/>
              </w:rPr>
              <w:t xml:space="preserve">a que, en el marco de sus preparativos para la PP-10, estudien las medidas que procede </w:t>
            </w:r>
            <w:r w:rsidRPr="000A398E">
              <w:rPr>
                <w:lang w:val="es-ES_tradnl" w:eastAsia="ja-JP"/>
              </w:rPr>
              <w:t>adoptar</w:t>
            </w:r>
            <w:r w:rsidRPr="000A398E">
              <w:rPr>
                <w:lang w:val="es-ES_tradnl" w:eastAsia="nl-NL"/>
              </w:rPr>
              <w:t xml:space="preserve"> en relación con la Resolución 86 (Rev. Marrakech, 2002) de la Conferencia de Plenipotenciarios.</w:t>
            </w:r>
            <w:bookmarkEnd w:id="39"/>
          </w:p>
        </w:tc>
        <w:tc>
          <w:tcPr>
            <w:tcW w:w="1433" w:type="dxa"/>
            <w:gridSpan w:val="2"/>
          </w:tcPr>
          <w:p w14:paraId="4B00195A" w14:textId="77777777" w:rsidR="004A7B85" w:rsidRPr="000A398E" w:rsidRDefault="004A7B85" w:rsidP="000A398E">
            <w:pPr>
              <w:pStyle w:val="Tabletext"/>
              <w:tabs>
                <w:tab w:val="clear" w:pos="284"/>
                <w:tab w:val="left" w:pos="463"/>
              </w:tabs>
              <w:jc w:val="center"/>
              <w:rPr>
                <w:lang w:eastAsia="nl-NL"/>
              </w:rPr>
            </w:pPr>
            <w:r w:rsidRPr="000A398E">
              <w:rPr>
                <w:lang w:eastAsia="nl-NL"/>
              </w:rPr>
              <w:t>–</w:t>
            </w:r>
          </w:p>
        </w:tc>
      </w:tr>
      <w:tr w:rsidR="004A7B85" w:rsidRPr="00CE4E08" w14:paraId="3B82774E" w14:textId="77777777" w:rsidTr="003F05FF">
        <w:trPr>
          <w:cantSplit/>
          <w:jc w:val="center"/>
        </w:trPr>
        <w:tc>
          <w:tcPr>
            <w:tcW w:w="14058" w:type="dxa"/>
            <w:gridSpan w:val="5"/>
          </w:tcPr>
          <w:p w14:paraId="155A1273" w14:textId="37A63C82" w:rsidR="004A7B85" w:rsidRPr="00A665BE" w:rsidRDefault="004A7B85" w:rsidP="00BD2741">
            <w:pPr>
              <w:pStyle w:val="Tabletext"/>
              <w:tabs>
                <w:tab w:val="clear" w:pos="284"/>
                <w:tab w:val="left" w:pos="594"/>
              </w:tabs>
              <w:jc w:val="both"/>
              <w:rPr>
                <w:lang w:val="es-ES_tradnl" w:eastAsia="nl-NL"/>
              </w:rPr>
            </w:pPr>
            <w:r w:rsidRPr="00A665BE">
              <w:rPr>
                <w:lang w:val="es-ES_tradnl" w:eastAsia="nl-NL"/>
              </w:rPr>
              <w:lastRenderedPageBreak/>
              <w:t>8</w:t>
            </w:r>
            <w:r w:rsidRPr="00A665BE">
              <w:rPr>
                <w:lang w:val="es-ES_tradnl" w:eastAsia="nl-NL"/>
              </w:rPr>
              <w:tab/>
            </w:r>
            <w:r w:rsidR="00D02C16" w:rsidRPr="00A665BE">
              <w:rPr>
                <w:lang w:val="es-ES_tradnl" w:eastAsia="nl-NL"/>
              </w:rPr>
              <w:t xml:space="preserve">examinar las peticiones de las administraciones de suprimir las notas de sus países o de que se suprima el nombre de sus países de las notas, cuando ya no sea necesario, teniendo en cuenta la Resolución </w:t>
            </w:r>
            <w:r w:rsidR="00D02C16" w:rsidRPr="00A665BE">
              <w:rPr>
                <w:b/>
                <w:bCs/>
                <w:lang w:val="es-ES_tradnl" w:eastAsia="nl-NL"/>
              </w:rPr>
              <w:t>26 (Rev.CMR-19)</w:t>
            </w:r>
            <w:r w:rsidR="00D02C16" w:rsidRPr="00A665BE">
              <w:rPr>
                <w:lang w:val="es-ES_tradnl" w:eastAsia="nl-NL"/>
              </w:rPr>
              <w:t>, y adoptar las medidas oportunas al respecto;</w:t>
            </w:r>
          </w:p>
        </w:tc>
      </w:tr>
      <w:tr w:rsidR="004A7B85" w:rsidRPr="004A7B85" w14:paraId="631FF2BD" w14:textId="77777777" w:rsidTr="003F05FF">
        <w:trPr>
          <w:jc w:val="center"/>
        </w:trPr>
        <w:tc>
          <w:tcPr>
            <w:tcW w:w="3304" w:type="dxa"/>
          </w:tcPr>
          <w:p w14:paraId="1727C7A7" w14:textId="211EC2C4" w:rsidR="004A7B85" w:rsidRPr="00E71DEC" w:rsidRDefault="004A7B85" w:rsidP="00E71DEC">
            <w:pPr>
              <w:pStyle w:val="Tabletext"/>
              <w:tabs>
                <w:tab w:val="clear" w:pos="284"/>
                <w:tab w:val="left" w:pos="463"/>
              </w:tabs>
              <w:rPr>
                <w:b/>
                <w:lang w:val="es-ES" w:eastAsia="nl-NL"/>
              </w:rPr>
            </w:pPr>
            <w:r w:rsidRPr="00E71DEC">
              <w:rPr>
                <w:lang w:val="es-ES" w:eastAsia="nl-NL"/>
              </w:rPr>
              <w:t>Resolu</w:t>
            </w:r>
            <w:r w:rsidR="00FD39FB" w:rsidRPr="00E71DEC">
              <w:rPr>
                <w:lang w:val="es-ES" w:eastAsia="nl-NL"/>
              </w:rPr>
              <w:t>ció</w:t>
            </w:r>
            <w:r w:rsidRPr="00E71DEC">
              <w:rPr>
                <w:lang w:val="es-ES" w:eastAsia="nl-NL"/>
              </w:rPr>
              <w:t>n</w:t>
            </w:r>
            <w:r w:rsidRPr="00E71DEC">
              <w:rPr>
                <w:b/>
                <w:lang w:val="es-ES" w:eastAsia="nl-NL"/>
              </w:rPr>
              <w:t> 26 (Rev.</w:t>
            </w:r>
            <w:r w:rsidR="00D02C16" w:rsidRPr="00E71DEC">
              <w:rPr>
                <w:b/>
                <w:lang w:val="es-ES" w:eastAsia="nl-NL"/>
              </w:rPr>
              <w:t>CM</w:t>
            </w:r>
            <w:r w:rsidRPr="00E71DEC">
              <w:rPr>
                <w:b/>
                <w:lang w:val="es-ES" w:eastAsia="nl-NL"/>
              </w:rPr>
              <w:t>R</w:t>
            </w:r>
            <w:r w:rsidRPr="00E71DEC">
              <w:rPr>
                <w:b/>
                <w:lang w:val="es-ES" w:eastAsia="nl-NL"/>
              </w:rPr>
              <w:noBreakHyphen/>
              <w:t>19)</w:t>
            </w:r>
          </w:p>
          <w:p w14:paraId="6C22FCC0" w14:textId="49CC411C" w:rsidR="004A7B85" w:rsidRPr="00E71DEC" w:rsidRDefault="00472816" w:rsidP="00E71DEC">
            <w:pPr>
              <w:pStyle w:val="Tabletext"/>
              <w:tabs>
                <w:tab w:val="clear" w:pos="284"/>
                <w:tab w:val="left" w:pos="463"/>
              </w:tabs>
              <w:rPr>
                <w:lang w:val="es-ES" w:eastAsia="nl-NL"/>
              </w:rPr>
            </w:pPr>
            <w:bookmarkStart w:id="40" w:name="_Toc328141232"/>
            <w:bookmarkStart w:id="41" w:name="_Toc327364290"/>
            <w:bookmarkStart w:id="42" w:name="_Toc450048577"/>
            <w:r w:rsidRPr="00E71DEC">
              <w:rPr>
                <w:lang w:val="es-ES_tradnl" w:eastAsia="nl-NL"/>
              </w:rPr>
              <w:t>Notas del Cuadro de atribución de bandas de frecuencias en el Artículo 5</w:t>
            </w:r>
            <w:r w:rsidR="00E71DEC">
              <w:rPr>
                <w:lang w:val="es-ES_tradnl" w:eastAsia="nl-NL"/>
              </w:rPr>
              <w:t xml:space="preserve"> </w:t>
            </w:r>
            <w:r w:rsidRPr="00E71DEC">
              <w:rPr>
                <w:lang w:val="es-ES_tradnl" w:eastAsia="nl-NL"/>
              </w:rPr>
              <w:t>del Reglamento de Radiocomunicaciones</w:t>
            </w:r>
            <w:bookmarkEnd w:id="40"/>
            <w:bookmarkEnd w:id="41"/>
            <w:bookmarkEnd w:id="42"/>
          </w:p>
        </w:tc>
        <w:tc>
          <w:tcPr>
            <w:tcW w:w="1516" w:type="dxa"/>
          </w:tcPr>
          <w:p w14:paraId="15473C9A" w14:textId="7A82027C" w:rsidR="004A7B85" w:rsidRPr="00E97C92" w:rsidRDefault="00E97C92" w:rsidP="006B10FF">
            <w:pPr>
              <w:pStyle w:val="Tabletext"/>
              <w:tabs>
                <w:tab w:val="clear" w:pos="284"/>
                <w:tab w:val="left" w:pos="463"/>
              </w:tabs>
              <w:jc w:val="center"/>
              <w:rPr>
                <w:b/>
                <w:bCs/>
                <w:lang w:val="es-ES" w:eastAsia="nl-NL"/>
              </w:rPr>
            </w:pPr>
            <w:r w:rsidRPr="00E97C92">
              <w:rPr>
                <w:b/>
                <w:bCs/>
                <w:lang w:val="es-ES" w:eastAsia="nl-NL"/>
              </w:rPr>
              <w:t>Fuera del alcance de l</w:t>
            </w:r>
            <w:r>
              <w:rPr>
                <w:b/>
                <w:bCs/>
                <w:lang w:val="es-ES" w:eastAsia="nl-NL"/>
              </w:rPr>
              <w:t>a RPC23-2</w:t>
            </w:r>
          </w:p>
        </w:tc>
        <w:tc>
          <w:tcPr>
            <w:tcW w:w="7806" w:type="dxa"/>
          </w:tcPr>
          <w:p w14:paraId="68EC9451" w14:textId="1BBBCEF2" w:rsidR="004A7B85" w:rsidRPr="00E71DEC" w:rsidRDefault="00472816"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resuelve</w:t>
            </w:r>
          </w:p>
          <w:p w14:paraId="50265C61" w14:textId="698A821D"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1</w:t>
            </w:r>
            <w:r w:rsidRPr="00E71DEC">
              <w:rPr>
                <w:lang w:val="es-ES_tradnl" w:eastAsia="nl-NL"/>
              </w:rPr>
              <w:tab/>
              <w:t>que, siempre que sea posible, las notas al Cuadro de atribución de bandas de frecuencias se limiten a modificar, restringir o cambiar de alguna otra manera las atribuciones pertinentes, y no traten de la explotación de estaciones, las asignaciones de frecuencia</w:t>
            </w:r>
            <w:r w:rsidR="00A96272">
              <w:rPr>
                <w:lang w:val="es-ES_tradnl" w:eastAsia="nl-NL"/>
              </w:rPr>
              <w:t>s</w:t>
            </w:r>
            <w:r w:rsidRPr="00E71DEC">
              <w:rPr>
                <w:lang w:val="es-ES_tradnl" w:eastAsia="nl-NL"/>
              </w:rPr>
              <w:t xml:space="preserve"> u otros asuntos;</w:t>
            </w:r>
          </w:p>
          <w:p w14:paraId="6AB2E27B"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2</w:t>
            </w:r>
            <w:r w:rsidRPr="00E71DEC">
              <w:rPr>
                <w:lang w:val="es-ES_tradnl" w:eastAsia="nl-NL"/>
              </w:rPr>
              <w:tab/>
              <w:t>que el Cuadro de atribución de bandas de frecuencias incluya únicamente aquellas notas que tengan repercusiones internacionales para la utilización del espectro de frecuencias radioeléctricas;</w:t>
            </w:r>
          </w:p>
          <w:p w14:paraId="6BA78271"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3</w:t>
            </w:r>
            <w:r w:rsidRPr="00E71DEC">
              <w:rPr>
                <w:lang w:val="es-ES_tradnl" w:eastAsia="nl-NL"/>
              </w:rPr>
              <w:tab/>
              <w:t>que sólo se adopten nuevas notas al Cuadro de atribución de bandas de frecuencias para:</w:t>
            </w:r>
          </w:p>
          <w:p w14:paraId="14440943" w14:textId="77777777" w:rsidR="00472816" w:rsidRPr="00E71DEC" w:rsidRDefault="00472816" w:rsidP="00BD2741">
            <w:pPr>
              <w:pStyle w:val="Tabletext"/>
              <w:tabs>
                <w:tab w:val="clear" w:pos="284"/>
                <w:tab w:val="left" w:pos="463"/>
              </w:tabs>
              <w:jc w:val="both"/>
              <w:rPr>
                <w:lang w:val="es-ES_tradnl" w:eastAsia="nl-NL"/>
              </w:rPr>
            </w:pPr>
            <w:r w:rsidRPr="00E71DEC">
              <w:rPr>
                <w:i/>
                <w:iCs/>
                <w:lang w:val="es-ES_tradnl" w:eastAsia="nl-NL"/>
              </w:rPr>
              <w:t>a)</w:t>
            </w:r>
            <w:r w:rsidRPr="00E71DEC">
              <w:rPr>
                <w:lang w:val="es-ES_tradnl" w:eastAsia="nl-NL"/>
              </w:rPr>
              <w:tab/>
              <w:t>dar flexibilidad al Cuadro de atribución de bandas de frecuencias;</w:t>
            </w:r>
          </w:p>
          <w:p w14:paraId="11240B83" w14:textId="57DC3B3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b)</w:t>
            </w:r>
            <w:r w:rsidRPr="00E71DEC">
              <w:rPr>
                <w:lang w:val="es-ES_tradnl" w:eastAsia="nl-NL"/>
              </w:rPr>
              <w:tab/>
              <w:t>proteger las atribuciones pertinentes que figuran en el Cuadro de atribución de bandas de frecuencias y en otras notas, conforme a lo dispuesto en la Sección II del Artículo </w:t>
            </w:r>
            <w:r w:rsidRPr="00E71DEC">
              <w:rPr>
                <w:b/>
                <w:lang w:val="es-ES_tradnl" w:eastAsia="nl-NL"/>
              </w:rPr>
              <w:t>5</w:t>
            </w:r>
            <w:r w:rsidRPr="00E71DEC">
              <w:rPr>
                <w:lang w:val="es-ES_tradnl" w:eastAsia="nl-NL"/>
              </w:rPr>
              <w:t>;</w:t>
            </w:r>
          </w:p>
          <w:p w14:paraId="2EDA4E99" w14:textId="7777777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c)</w:t>
            </w:r>
            <w:r w:rsidRPr="00E71DEC">
              <w:rPr>
                <w:lang w:val="es-ES_tradnl" w:eastAsia="nl-NL"/>
              </w:rPr>
              <w:tab/>
              <w:t>introducir restricciones transitorias o permanentes en un nuevo servicio con objeto de lograr la compatibilidad; o</w:t>
            </w:r>
          </w:p>
          <w:p w14:paraId="08060B4B" w14:textId="7777777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d)</w:t>
            </w:r>
            <w:r w:rsidRPr="00E71DEC">
              <w:rPr>
                <w:lang w:val="es-ES_tradnl" w:eastAsia="nl-NL"/>
              </w:rPr>
              <w:tab/>
              <w:t>satisfacer las necesidades específicas de un país o zona, cuando no sea posible atender esas necesidades de otro modo dentro del Cuadro de atribución de bandas de frecuencias;</w:t>
            </w:r>
          </w:p>
          <w:p w14:paraId="6AEBE933"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4</w:t>
            </w:r>
            <w:r w:rsidRPr="00E71DEC">
              <w:rPr>
                <w:lang w:val="es-ES_tradnl" w:eastAsia="nl-NL"/>
              </w:rPr>
              <w:tab/>
              <w:t>que las notas cuya finalidad sea común tengan el mismo formato y, siempre que sea posible, se agrupen en una sola nota, con las correspondientes referencias a las bandas de frecuencias pertinentes,</w:t>
            </w:r>
          </w:p>
          <w:p w14:paraId="775E4921" w14:textId="77777777" w:rsidR="00472816" w:rsidRPr="00E71DEC" w:rsidRDefault="00472816"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resuelve además</w:t>
            </w:r>
          </w:p>
          <w:p w14:paraId="77285DB6"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1</w:t>
            </w:r>
            <w:r w:rsidRPr="00E71DEC">
              <w:rPr>
                <w:lang w:val="es-ES_tradnl" w:eastAsia="nl-NL"/>
              </w:rPr>
              <w:tab/>
              <w:t>que la adición de una nueva nota o la modificación de una nota existente sólo sea examinada por una CMR:</w:t>
            </w:r>
          </w:p>
          <w:p w14:paraId="62A01084" w14:textId="7777777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a)</w:t>
            </w:r>
            <w:r w:rsidRPr="00E71DEC">
              <w:rPr>
                <w:lang w:val="es-ES_tradnl" w:eastAsia="nl-NL"/>
              </w:rPr>
              <w:tab/>
              <w:t>cuando en el orden del día de dicha CMR figure explícitamente la banda de frecuencias a la que se refiere la propuesta de adición o modificación de la nota; o</w:t>
            </w:r>
          </w:p>
          <w:p w14:paraId="31A68C78" w14:textId="7777777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b)</w:t>
            </w:r>
            <w:r w:rsidRPr="00E71DEC">
              <w:rPr>
                <w:lang w:val="es-ES_tradnl" w:eastAsia="nl-NL"/>
              </w:rPr>
              <w:tab/>
              <w:t>cuando, durante la CMR, se consideren las bandas de frecuencias a las que se refieren las adiciones o modificaciones deseadas de la nota y la CMR decida introducir cambios en esas bandas; o</w:t>
            </w:r>
          </w:p>
          <w:p w14:paraId="5D679C60" w14:textId="77777777" w:rsidR="00472816" w:rsidRPr="00E71DEC" w:rsidRDefault="00472816" w:rsidP="00BD2741">
            <w:pPr>
              <w:pStyle w:val="Tabletext"/>
              <w:tabs>
                <w:tab w:val="clear" w:pos="284"/>
                <w:tab w:val="left" w:pos="463"/>
              </w:tabs>
              <w:ind w:left="463" w:hanging="463"/>
              <w:jc w:val="both"/>
              <w:rPr>
                <w:lang w:val="es-ES_tradnl" w:eastAsia="nl-NL"/>
              </w:rPr>
            </w:pPr>
            <w:r w:rsidRPr="00E71DEC">
              <w:rPr>
                <w:i/>
                <w:iCs/>
                <w:lang w:val="es-ES_tradnl" w:eastAsia="nl-NL"/>
              </w:rPr>
              <w:t>c)</w:t>
            </w:r>
            <w:r w:rsidRPr="00E71DEC">
              <w:rPr>
                <w:lang w:val="es-ES_tradnl" w:eastAsia="nl-NL"/>
              </w:rPr>
              <w:tab/>
              <w:t>cuando la adición o modificación figure específicamente en el orden del día de la CMR como resultado del examen de las propuestas presentadas por la administración o las administraciones interesadas;</w:t>
            </w:r>
          </w:p>
          <w:p w14:paraId="6AE70556"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lastRenderedPageBreak/>
              <w:t>2</w:t>
            </w:r>
            <w:r w:rsidRPr="00E71DEC">
              <w:rPr>
                <w:lang w:val="es-ES_tradnl" w:eastAsia="nl-NL"/>
              </w:rPr>
              <w:tab/>
              <w:t>que se incluya un punto permanente en los órdenes del día recomendados de las futuras conferencias mundiales de radiocomunicaciones que permita examinar propuestas de las administraciones relativas a la supresión de notas referentes a países o de nombres de países en las notas, cuando ya no sean necesarios;</w:t>
            </w:r>
          </w:p>
          <w:p w14:paraId="3BC494C0"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3</w:t>
            </w:r>
            <w:r w:rsidRPr="00E71DEC">
              <w:rPr>
                <w:lang w:val="es-ES_tradnl" w:eastAsia="nl-NL"/>
              </w:rPr>
              <w:tab/>
              <w:t xml:space="preserve">que, en los casos no abarcados por los </w:t>
            </w:r>
            <w:r w:rsidRPr="00E71DEC">
              <w:rPr>
                <w:i/>
                <w:lang w:val="es-ES_tradnl" w:eastAsia="nl-NL"/>
              </w:rPr>
              <w:t>resuelve además </w:t>
            </w:r>
            <w:r w:rsidRPr="00E71DEC">
              <w:rPr>
                <w:lang w:val="es-ES_tradnl" w:eastAsia="nl-NL"/>
              </w:rPr>
              <w:t>1 y 2, una conferencia mundial de radiocomunicaciones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 (Antalya, 2006),</w:t>
            </w:r>
          </w:p>
          <w:p w14:paraId="7F8B61CA" w14:textId="77777777" w:rsidR="00472816" w:rsidRPr="00E71DEC" w:rsidRDefault="00472816"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insta a las administraciones</w:t>
            </w:r>
          </w:p>
          <w:p w14:paraId="21336CA2" w14:textId="77777777" w:rsidR="00472816" w:rsidRPr="00E71DEC" w:rsidRDefault="00472816" w:rsidP="00BD2741">
            <w:pPr>
              <w:pStyle w:val="Tabletext"/>
              <w:tabs>
                <w:tab w:val="clear" w:pos="284"/>
                <w:tab w:val="left" w:pos="463"/>
              </w:tabs>
              <w:jc w:val="both"/>
              <w:rPr>
                <w:lang w:val="es-ES_tradnl" w:eastAsia="nl-NL"/>
              </w:rPr>
            </w:pPr>
            <w:r w:rsidRPr="00E71DEC">
              <w:rPr>
                <w:lang w:val="es-ES_tradnl" w:eastAsia="nl-NL"/>
              </w:rPr>
              <w:t>1</w:t>
            </w:r>
            <w:r w:rsidRPr="00E71DEC">
              <w:rPr>
                <w:lang w:val="es-ES_tradnl" w:eastAsia="nl-NL"/>
              </w:rPr>
              <w:tab/>
              <w:t>a que revisen las notas periódicamente y propongan la supresión de notas referentes a su país o del nombre de su país en una nota, según corresponda;</w:t>
            </w:r>
          </w:p>
          <w:p w14:paraId="33ED9309" w14:textId="2F25B085" w:rsidR="004A7B85" w:rsidRPr="00E71DEC" w:rsidRDefault="00472816" w:rsidP="00BD2741">
            <w:pPr>
              <w:pStyle w:val="Tabletext"/>
              <w:tabs>
                <w:tab w:val="clear" w:pos="284"/>
                <w:tab w:val="left" w:pos="463"/>
              </w:tabs>
              <w:jc w:val="both"/>
              <w:rPr>
                <w:lang w:val="es-ES" w:eastAsia="nl-NL"/>
              </w:rPr>
            </w:pPr>
            <w:r w:rsidRPr="00E71DEC">
              <w:rPr>
                <w:lang w:val="es-ES_tradnl" w:eastAsia="nl-NL"/>
              </w:rPr>
              <w:t>2</w:t>
            </w:r>
            <w:r w:rsidRPr="00E71DEC">
              <w:rPr>
                <w:lang w:val="es-ES_tradnl" w:eastAsia="nl-NL"/>
              </w:rPr>
              <w:tab/>
              <w:t xml:space="preserve">a que tengan en cuenta los </w:t>
            </w:r>
            <w:r w:rsidRPr="00E71DEC">
              <w:rPr>
                <w:i/>
                <w:lang w:val="es-ES_tradnl" w:eastAsia="nl-NL"/>
              </w:rPr>
              <w:t>resuelve además</w:t>
            </w:r>
            <w:r w:rsidRPr="00E71DEC">
              <w:rPr>
                <w:lang w:val="es-ES_tradnl" w:eastAsia="nl-NL"/>
              </w:rPr>
              <w:t xml:space="preserve"> al efectuar propuestas a las conferencias mundiales de radiocomunicaciones en relación con las notas o los nombres de países en las notas.</w:t>
            </w:r>
          </w:p>
        </w:tc>
        <w:tc>
          <w:tcPr>
            <w:tcW w:w="1432" w:type="dxa"/>
            <w:gridSpan w:val="2"/>
          </w:tcPr>
          <w:p w14:paraId="3C2E9BE8" w14:textId="77777777" w:rsidR="004A7B85" w:rsidRPr="00E71DEC" w:rsidRDefault="004A7B85" w:rsidP="00E71DEC">
            <w:pPr>
              <w:pStyle w:val="Tabletext"/>
              <w:tabs>
                <w:tab w:val="clear" w:pos="284"/>
                <w:tab w:val="left" w:pos="463"/>
              </w:tabs>
              <w:jc w:val="center"/>
              <w:rPr>
                <w:lang w:eastAsia="nl-NL"/>
              </w:rPr>
            </w:pPr>
            <w:r w:rsidRPr="00E71DEC">
              <w:rPr>
                <w:lang w:eastAsia="nl-NL"/>
              </w:rPr>
              <w:lastRenderedPageBreak/>
              <w:t>–</w:t>
            </w:r>
          </w:p>
        </w:tc>
      </w:tr>
      <w:tr w:rsidR="004A7B85" w:rsidRPr="00CE4E08" w14:paraId="12F5946B" w14:textId="77777777" w:rsidTr="003F05FF">
        <w:trPr>
          <w:cantSplit/>
          <w:jc w:val="center"/>
        </w:trPr>
        <w:tc>
          <w:tcPr>
            <w:tcW w:w="14058" w:type="dxa"/>
            <w:gridSpan w:val="5"/>
          </w:tcPr>
          <w:p w14:paraId="5BB0263C" w14:textId="0B958427" w:rsidR="004A7B85" w:rsidRPr="00207DE5" w:rsidRDefault="004A7B85" w:rsidP="00BD2741">
            <w:pPr>
              <w:pStyle w:val="Tabletext"/>
              <w:tabs>
                <w:tab w:val="clear" w:pos="284"/>
                <w:tab w:val="left" w:pos="594"/>
              </w:tabs>
              <w:jc w:val="both"/>
              <w:rPr>
                <w:lang w:val="es-ES_tradnl" w:eastAsia="nl-NL"/>
              </w:rPr>
            </w:pPr>
            <w:r w:rsidRPr="00207DE5">
              <w:rPr>
                <w:lang w:val="es-ES_tradnl" w:eastAsia="nl-NL"/>
              </w:rPr>
              <w:t>9</w:t>
            </w:r>
            <w:r w:rsidRPr="00207DE5">
              <w:rPr>
                <w:lang w:val="es-ES_tradnl" w:eastAsia="nl-NL"/>
              </w:rPr>
              <w:tab/>
            </w:r>
            <w:r w:rsidR="00D02C16" w:rsidRPr="00207DE5">
              <w:rPr>
                <w:lang w:val="es-ES_tradnl" w:eastAsia="nl-NL"/>
              </w:rPr>
              <w:t>examinar y aprobar el Informe del Director de la Oficina de Radiocomunicaciones, de conformidad con el Artículo 7 del Convenio</w:t>
            </w:r>
            <w:r w:rsidRPr="00207DE5">
              <w:rPr>
                <w:lang w:val="es-ES_tradnl" w:eastAsia="nl-NL"/>
              </w:rPr>
              <w:t>;</w:t>
            </w:r>
          </w:p>
          <w:p w14:paraId="0FB7A304" w14:textId="60D9803F" w:rsidR="004A7B85" w:rsidRPr="00207DE5" w:rsidRDefault="004A7B85" w:rsidP="00BD2741">
            <w:pPr>
              <w:pStyle w:val="Tabletext"/>
              <w:tabs>
                <w:tab w:val="clear" w:pos="284"/>
                <w:tab w:val="left" w:pos="594"/>
              </w:tabs>
              <w:jc w:val="both"/>
              <w:rPr>
                <w:lang w:val="es-ES_tradnl" w:eastAsia="nl-NL"/>
              </w:rPr>
            </w:pPr>
            <w:r w:rsidRPr="00207DE5">
              <w:rPr>
                <w:lang w:val="es-ES_tradnl" w:eastAsia="nl-NL"/>
              </w:rPr>
              <w:t>9.1</w:t>
            </w:r>
            <w:r w:rsidRPr="00207DE5">
              <w:rPr>
                <w:lang w:val="es-ES_tradnl" w:eastAsia="nl-NL"/>
              </w:rPr>
              <w:tab/>
            </w:r>
            <w:r w:rsidR="00D02C16" w:rsidRPr="00207DE5">
              <w:rPr>
                <w:lang w:val="es-ES_tradnl" w:eastAsia="nl-NL"/>
              </w:rPr>
              <w:t>sobre las actividades del Sector de Radiocomunicaciones desde la CMR</w:t>
            </w:r>
            <w:r w:rsidR="00D02C16" w:rsidRPr="00207DE5">
              <w:rPr>
                <w:lang w:val="es-ES_tradnl" w:eastAsia="nl-NL"/>
              </w:rPr>
              <w:noBreakHyphen/>
              <w:t>19</w:t>
            </w:r>
            <w:r w:rsidRPr="00207DE5">
              <w:rPr>
                <w:lang w:val="es-ES_tradnl" w:eastAsia="nl-NL"/>
              </w:rPr>
              <w:t>:</w:t>
            </w:r>
          </w:p>
        </w:tc>
      </w:tr>
      <w:tr w:rsidR="004A7B85" w:rsidRPr="00CE4E08" w14:paraId="5414D8B0" w14:textId="77777777" w:rsidTr="003F05FF">
        <w:trPr>
          <w:cantSplit/>
          <w:jc w:val="center"/>
        </w:trPr>
        <w:tc>
          <w:tcPr>
            <w:tcW w:w="14058" w:type="dxa"/>
            <w:gridSpan w:val="5"/>
          </w:tcPr>
          <w:p w14:paraId="724B76AE" w14:textId="71851A37" w:rsidR="004A7B85" w:rsidRPr="00207DE5" w:rsidRDefault="004A7B85" w:rsidP="00BD2741">
            <w:pPr>
              <w:pStyle w:val="Tabletext"/>
              <w:tabs>
                <w:tab w:val="clear" w:pos="284"/>
                <w:tab w:val="left" w:pos="594"/>
              </w:tabs>
              <w:jc w:val="both"/>
              <w:rPr>
                <w:lang w:val="es-ES_tradnl" w:eastAsia="nl-NL"/>
              </w:rPr>
            </w:pPr>
            <w:r w:rsidRPr="00207DE5">
              <w:rPr>
                <w:lang w:val="es-ES_tradnl" w:eastAsia="nl-NL"/>
              </w:rPr>
              <w:t>a)</w:t>
            </w:r>
            <w:r w:rsidRPr="00207DE5">
              <w:rPr>
                <w:lang w:val="es-ES_tradnl" w:eastAsia="nl-NL"/>
              </w:rPr>
              <w:tab/>
            </w:r>
            <w:r w:rsidR="00FD39FB" w:rsidRPr="00207DE5">
              <w:rPr>
                <w:lang w:val="es-ES_tradnl" w:eastAsia="nl-NL"/>
              </w:rPr>
              <w:t xml:space="preserve">examinar, de conformidad con la Resolución </w:t>
            </w:r>
            <w:r w:rsidR="00FD39FB" w:rsidRPr="00207DE5">
              <w:rPr>
                <w:b/>
                <w:bCs/>
                <w:lang w:val="es-ES_tradnl" w:eastAsia="nl-NL"/>
              </w:rPr>
              <w:t>657 (</w:t>
            </w:r>
            <w:r w:rsidR="00E2199B">
              <w:rPr>
                <w:b/>
                <w:bCs/>
                <w:lang w:val="es-ES_tradnl" w:eastAsia="nl-NL"/>
              </w:rPr>
              <w:t>Rev.</w:t>
            </w:r>
            <w:r w:rsidR="00FD39FB" w:rsidRPr="00207DE5">
              <w:rPr>
                <w:b/>
                <w:bCs/>
                <w:lang w:val="es-ES_tradnl" w:eastAsia="nl-NL"/>
              </w:rPr>
              <w:t>CMR-19)</w:t>
            </w:r>
            <w:r w:rsidR="00FD39FB" w:rsidRPr="00207DE5">
              <w:rPr>
                <w:lang w:val="es-ES_tradnl" w:eastAsia="nl-NL"/>
              </w:rPr>
              <w:t>, los resultados de los estudios relativos a las características técnicas y operativas, las necesidades de espectro y la pertenencia al servicio radioeléctrico pertinente de los sensores meteorológicos espaciales con el fin de proporcionar el reconocimiento y protección adecuados en el Reglamento de Radiocomunicaciones, sin imponer restricciones adicionales a los servicios existentes;</w:t>
            </w:r>
          </w:p>
        </w:tc>
      </w:tr>
      <w:tr w:rsidR="004A7B85" w:rsidRPr="00A92266" w14:paraId="70D20B72" w14:textId="77777777" w:rsidTr="003F05FF">
        <w:trPr>
          <w:jc w:val="center"/>
        </w:trPr>
        <w:tc>
          <w:tcPr>
            <w:tcW w:w="3304" w:type="dxa"/>
          </w:tcPr>
          <w:p w14:paraId="3EC9ABEF" w14:textId="269ADB44" w:rsidR="004A7B85" w:rsidRPr="00E71DEC" w:rsidRDefault="004A7B85" w:rsidP="00E71DEC">
            <w:pPr>
              <w:pStyle w:val="Tabletext"/>
              <w:tabs>
                <w:tab w:val="clear" w:pos="284"/>
                <w:tab w:val="left" w:pos="463"/>
              </w:tabs>
              <w:rPr>
                <w:b/>
                <w:lang w:val="es-ES" w:eastAsia="nl-NL"/>
              </w:rPr>
            </w:pPr>
            <w:r w:rsidRPr="00E71DEC">
              <w:rPr>
                <w:lang w:val="es-ES_tradnl" w:eastAsia="ja-JP"/>
              </w:rPr>
              <w:t>Resolu</w:t>
            </w:r>
            <w:r w:rsidR="00FD39FB" w:rsidRPr="00E71DEC">
              <w:rPr>
                <w:lang w:val="es-ES_tradnl" w:eastAsia="ja-JP"/>
              </w:rPr>
              <w:t>ció</w:t>
            </w:r>
            <w:r w:rsidRPr="00E71DEC">
              <w:rPr>
                <w:lang w:val="es-ES_tradnl" w:eastAsia="ja-JP"/>
              </w:rPr>
              <w:t>n</w:t>
            </w:r>
            <w:r w:rsidRPr="00E71DEC">
              <w:rPr>
                <w:b/>
                <w:lang w:val="es-ES" w:eastAsia="nl-NL"/>
              </w:rPr>
              <w:t> 657 (Rev.</w:t>
            </w:r>
            <w:r w:rsidR="00FD39FB" w:rsidRPr="00E71DEC">
              <w:rPr>
                <w:b/>
                <w:bCs/>
                <w:lang w:val="es-ES_tradnl" w:eastAsia="nl-NL"/>
              </w:rPr>
              <w:t>CMR</w:t>
            </w:r>
            <w:r w:rsidRPr="00E71DEC">
              <w:rPr>
                <w:b/>
                <w:lang w:val="es-ES" w:eastAsia="nl-NL"/>
              </w:rPr>
              <w:noBreakHyphen/>
              <w:t>19)</w:t>
            </w:r>
          </w:p>
          <w:p w14:paraId="59D5BB0D" w14:textId="103B8D12" w:rsidR="004A7B85" w:rsidRPr="00E71DEC" w:rsidRDefault="00A7694B" w:rsidP="00E71DEC">
            <w:pPr>
              <w:pStyle w:val="Tabletext"/>
              <w:tabs>
                <w:tab w:val="clear" w:pos="284"/>
                <w:tab w:val="left" w:pos="463"/>
              </w:tabs>
              <w:rPr>
                <w:lang w:val="es-ES" w:eastAsia="nl-NL"/>
              </w:rPr>
            </w:pPr>
            <w:bookmarkStart w:id="43" w:name="_Toc450048795"/>
            <w:r w:rsidRPr="00E71DEC">
              <w:rPr>
                <w:lang w:val="es-ES_tradnl" w:eastAsia="ja-JP"/>
              </w:rPr>
              <w:t>Protección</w:t>
            </w:r>
            <w:r w:rsidRPr="00E71DEC">
              <w:rPr>
                <w:lang w:val="es-ES_tradnl" w:eastAsia="nl-NL"/>
              </w:rPr>
              <w:t xml:space="preserve"> de los sensores meteorológicos espaciales dependientes del espectro radioeléctrico utilizados para predicción y alertas mundiales</w:t>
            </w:r>
            <w:bookmarkEnd w:id="43"/>
          </w:p>
        </w:tc>
        <w:tc>
          <w:tcPr>
            <w:tcW w:w="1516" w:type="dxa"/>
          </w:tcPr>
          <w:p w14:paraId="7775C9A5" w14:textId="4338C466" w:rsidR="004A7B85" w:rsidRPr="004A7B85" w:rsidRDefault="00A92266"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Pr>
                <w:b/>
                <w:bCs/>
                <w:sz w:val="20"/>
                <w:lang w:eastAsia="nl-NL"/>
              </w:rPr>
              <w:t>GT</w:t>
            </w:r>
            <w:r w:rsidR="004A7B85" w:rsidRPr="00A7694B">
              <w:rPr>
                <w:b/>
                <w:bCs/>
                <w:sz w:val="20"/>
                <w:lang w:eastAsia="nl-NL"/>
              </w:rPr>
              <w:t> 7C</w:t>
            </w:r>
          </w:p>
        </w:tc>
        <w:tc>
          <w:tcPr>
            <w:tcW w:w="7806" w:type="dxa"/>
          </w:tcPr>
          <w:p w14:paraId="7CC5BCAB" w14:textId="7B26792D" w:rsidR="004A7B85" w:rsidRPr="00E71DEC" w:rsidRDefault="00A7694B"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resuelve invitar al UIT-R</w:t>
            </w:r>
          </w:p>
          <w:p w14:paraId="45B3E8FD" w14:textId="77777777" w:rsidR="00A7694B" w:rsidRPr="00E71DEC" w:rsidRDefault="00A7694B" w:rsidP="00BD2741">
            <w:pPr>
              <w:pStyle w:val="Tabletext"/>
              <w:tabs>
                <w:tab w:val="clear" w:pos="284"/>
                <w:tab w:val="left" w:pos="463"/>
              </w:tabs>
              <w:jc w:val="both"/>
              <w:rPr>
                <w:lang w:val="es-ES_tradnl" w:eastAsia="nl-NL"/>
              </w:rPr>
            </w:pPr>
            <w:r w:rsidRPr="00E71DEC">
              <w:rPr>
                <w:lang w:val="es-ES_tradnl" w:eastAsia="nl-NL"/>
              </w:rPr>
              <w:t>1</w:t>
            </w:r>
            <w:r w:rsidRPr="00E71DEC">
              <w:rPr>
                <w:lang w:val="es-ES_tradnl" w:eastAsia="nl-NL"/>
              </w:rPr>
              <w:tab/>
              <w:t>a determinar, a tiempo para la CMR</w:t>
            </w:r>
            <w:r w:rsidRPr="00E71DEC">
              <w:rPr>
                <w:lang w:val="es-ES_tradnl" w:eastAsia="nl-NL"/>
              </w:rPr>
              <w:noBreakHyphen/>
              <w:t>23, de acuerdo con los estudios presentes y futuros del UIT-R relativos a las características técnicas y operativas, los sensores meteorológicos espaciales específicos que se ha de proteger mediante la reglamentación adecuada, y en particular:</w:t>
            </w:r>
          </w:p>
          <w:p w14:paraId="21FE0A7A" w14:textId="77777777" w:rsidR="00A7694B" w:rsidRPr="00E71DEC" w:rsidRDefault="00A7694B" w:rsidP="00BD2741">
            <w:pPr>
              <w:pStyle w:val="Tabletext"/>
              <w:tabs>
                <w:tab w:val="clear" w:pos="284"/>
                <w:tab w:val="left" w:pos="463"/>
              </w:tabs>
              <w:ind w:left="463" w:hanging="463"/>
              <w:jc w:val="both"/>
              <w:rPr>
                <w:lang w:val="es-ES_tradnl" w:eastAsia="nl-NL"/>
              </w:rPr>
            </w:pPr>
            <w:r w:rsidRPr="00E71DEC">
              <w:rPr>
                <w:lang w:val="es-ES_tradnl" w:eastAsia="nl-NL"/>
              </w:rPr>
              <w:t>–</w:t>
            </w:r>
            <w:r w:rsidRPr="00E71DEC">
              <w:rPr>
                <w:lang w:val="es-ES_tradnl" w:eastAsia="nl-NL"/>
              </w:rPr>
              <w:tab/>
              <w:t>a determinar si los sensores meteorológicos espaciales de sólo recepción se designarán como aplicaciones del servicio de ayudas a la meteorología;</w:t>
            </w:r>
          </w:p>
          <w:p w14:paraId="29E4B89F" w14:textId="77777777" w:rsidR="00A7694B" w:rsidRPr="00E71DEC" w:rsidRDefault="00A7694B" w:rsidP="00BD2741">
            <w:pPr>
              <w:pStyle w:val="Tabletext"/>
              <w:tabs>
                <w:tab w:val="clear" w:pos="284"/>
                <w:tab w:val="left" w:pos="463"/>
              </w:tabs>
              <w:ind w:left="463" w:hanging="463"/>
              <w:jc w:val="both"/>
              <w:rPr>
                <w:lang w:val="es-ES_tradnl" w:eastAsia="nl-NL"/>
              </w:rPr>
            </w:pPr>
            <w:r w:rsidRPr="00E71DEC">
              <w:rPr>
                <w:lang w:val="es-ES_tradnl" w:eastAsia="nl-NL"/>
              </w:rPr>
              <w:t>–</w:t>
            </w:r>
            <w:r w:rsidRPr="00E71DEC">
              <w:rPr>
                <w:lang w:val="es-ES_tradnl" w:eastAsia="nl-NL"/>
              </w:rPr>
              <w:tab/>
              <w:t>a determinar el servicio de radiocomunicaciones adecuado, en su caso, para los casos en que se determine que los sensores meteorológicos espaciales de sólo recepción no pertenecen al servicio de ayudas a la meteorología;</w:t>
            </w:r>
          </w:p>
          <w:p w14:paraId="468B7E7C" w14:textId="77777777" w:rsidR="00A7694B" w:rsidRPr="00E71DEC" w:rsidRDefault="00A7694B" w:rsidP="00BD2741">
            <w:pPr>
              <w:pStyle w:val="Tabletext"/>
              <w:tabs>
                <w:tab w:val="clear" w:pos="284"/>
                <w:tab w:val="left" w:pos="463"/>
              </w:tabs>
              <w:jc w:val="both"/>
              <w:rPr>
                <w:lang w:val="es-ES_tradnl" w:eastAsia="nl-NL"/>
              </w:rPr>
            </w:pPr>
            <w:r w:rsidRPr="00E71DEC">
              <w:rPr>
                <w:lang w:val="es-ES_tradnl" w:eastAsia="nl-NL"/>
              </w:rPr>
              <w:lastRenderedPageBreak/>
              <w:t>2</w:t>
            </w:r>
            <w:r w:rsidRPr="00E71DEC">
              <w:rPr>
                <w:lang w:val="es-ES_tradnl" w:eastAsia="nl-NL"/>
              </w:rPr>
              <w:tab/>
              <w:t>a llevar a cabo, a tiempo para la CMR</w:t>
            </w:r>
            <w:r w:rsidRPr="00E71DEC">
              <w:rPr>
                <w:lang w:val="es-ES_tradnl" w:eastAsia="nl-NL"/>
              </w:rPr>
              <w:noBreakHyphen/>
              <w:t>23, los estudios necesarios de compartición con los sistemas existentes que funcionan en las bandas de frecuencias utilizadas por los sensores meteorológicos espaciales, con objeto de determinar las posibles disposiciones reglamentarias que puedan proporcionarse para los sensores meteorológicos espaciales de sólo recepción operativos con objeto de su adecuado reconocimiento en el Reglamento de Radiocomunicaciones, sin imponer nuevas restricciones a los servicios existentes;</w:t>
            </w:r>
          </w:p>
          <w:p w14:paraId="708022E7" w14:textId="420C2B3B" w:rsidR="00A7694B" w:rsidRPr="00E71DEC" w:rsidRDefault="00A7694B" w:rsidP="00BD2741">
            <w:pPr>
              <w:pStyle w:val="Tabletext"/>
              <w:tabs>
                <w:tab w:val="clear" w:pos="284"/>
                <w:tab w:val="left" w:pos="463"/>
              </w:tabs>
              <w:jc w:val="both"/>
              <w:rPr>
                <w:lang w:val="es-ES_tradnl" w:eastAsia="nl-NL"/>
              </w:rPr>
            </w:pPr>
            <w:r w:rsidRPr="00E71DEC">
              <w:rPr>
                <w:lang w:val="es-ES_tradnl" w:eastAsia="nl-NL"/>
              </w:rPr>
              <w:t>3</w:t>
            </w:r>
            <w:r w:rsidRPr="00E71DEC">
              <w:rPr>
                <w:lang w:val="es-ES_tradnl" w:eastAsia="nl-NL"/>
              </w:rPr>
              <w:tab/>
              <w:t xml:space="preserve">a determinar las posibles opciones para describir los sistemas de sensores meteorológicos espaciales y su correspondiente utilización en los Artículos </w:t>
            </w:r>
            <w:r w:rsidRPr="00E71DEC">
              <w:rPr>
                <w:b/>
                <w:bCs/>
                <w:lang w:val="es-ES_tradnl" w:eastAsia="nl-NL"/>
              </w:rPr>
              <w:t>1</w:t>
            </w:r>
            <w:r w:rsidRPr="00E71DEC">
              <w:rPr>
                <w:lang w:val="es-ES_tradnl" w:eastAsia="nl-NL"/>
              </w:rPr>
              <w:t xml:space="preserve"> y </w:t>
            </w:r>
            <w:r w:rsidRPr="00E71DEC">
              <w:rPr>
                <w:b/>
                <w:bCs/>
                <w:lang w:val="es-ES_tradnl" w:eastAsia="nl-NL"/>
              </w:rPr>
              <w:t>4</w:t>
            </w:r>
            <w:r w:rsidRPr="00E71DEC">
              <w:rPr>
                <w:lang w:val="es-ES_tradnl" w:eastAsia="nl-NL"/>
              </w:rPr>
              <w:t xml:space="preserve"> del Reglamento de Radiocomunicaciones y/o en una Resolución de la CMR, según proceda, así como los requisitos de protección de los sensores meteorológicos espaciales de sólo recepción, y someterlos a la consideración de la CMR-23</w:t>
            </w:r>
            <w:r w:rsidR="00C10E36">
              <w:rPr>
                <w:lang w:val="es-ES_tradnl" w:eastAsia="nl-NL"/>
              </w:rPr>
              <w:t>;</w:t>
            </w:r>
          </w:p>
          <w:p w14:paraId="7EC7D92C" w14:textId="77777777" w:rsidR="00A7694B" w:rsidRPr="00E71DEC" w:rsidRDefault="00A7694B" w:rsidP="00BD2741">
            <w:pPr>
              <w:pStyle w:val="Tabletext"/>
              <w:tabs>
                <w:tab w:val="clear" w:pos="284"/>
                <w:tab w:val="left" w:pos="463"/>
              </w:tabs>
              <w:jc w:val="both"/>
              <w:rPr>
                <w:lang w:val="es-ES_tradnl" w:eastAsia="nl-NL"/>
              </w:rPr>
            </w:pPr>
            <w:r w:rsidRPr="00E71DEC">
              <w:rPr>
                <w:lang w:val="es-ES_tradnl" w:eastAsia="nl-NL"/>
              </w:rPr>
              <w:t>4</w:t>
            </w:r>
            <w:r w:rsidRPr="00E71DEC">
              <w:rPr>
                <w:lang w:val="es-ES_tradnl" w:eastAsia="nl-NL"/>
              </w:rPr>
              <w:tab/>
              <w:t>a realizar y terminar a tiempo para la CMR-23 estudios sobre las características técnicas y operativas de los sensores meteorológicos espaciales activos y a realizar los necesarios estudios de compartición con los sistemas existentes operativos en las bandas de frecuencias que utilizan los sensores meteorológicos espaciales activos, con objeto de determinar el servicio de radiocomunicaciones al que pertenecen esos sensores,</w:t>
            </w:r>
          </w:p>
          <w:p w14:paraId="53E3647E" w14:textId="77777777" w:rsidR="00A7694B" w:rsidRPr="00E71DEC" w:rsidRDefault="00A7694B"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encarga al Director de la Oficina de Radiocomunicaciones</w:t>
            </w:r>
          </w:p>
          <w:p w14:paraId="55932B2F" w14:textId="77777777" w:rsidR="00A7694B" w:rsidRPr="00E71DEC" w:rsidRDefault="00A7694B" w:rsidP="00BD2741">
            <w:pPr>
              <w:pStyle w:val="Tabletext"/>
              <w:tabs>
                <w:tab w:val="clear" w:pos="284"/>
                <w:tab w:val="left" w:pos="463"/>
              </w:tabs>
              <w:jc w:val="both"/>
              <w:rPr>
                <w:lang w:val="es-ES_tradnl" w:eastAsia="nl-NL"/>
              </w:rPr>
            </w:pPr>
            <w:r w:rsidRPr="00E71DEC">
              <w:rPr>
                <w:lang w:val="es-ES_tradnl" w:eastAsia="ja-JP"/>
              </w:rPr>
              <w:t>que</w:t>
            </w:r>
            <w:r w:rsidRPr="00E71DEC">
              <w:rPr>
                <w:lang w:val="es-ES_tradnl" w:eastAsia="nl-NL"/>
              </w:rPr>
              <w:t xml:space="preserve"> presente a la CMR-23 los resultados de los estudios del UIT-R,</w:t>
            </w:r>
          </w:p>
          <w:p w14:paraId="09EC9C1E" w14:textId="77777777" w:rsidR="00A7694B" w:rsidRPr="00E71DEC" w:rsidRDefault="00A7694B"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invita a las administraciones</w:t>
            </w:r>
          </w:p>
          <w:p w14:paraId="552DEFE8" w14:textId="1BD77330" w:rsidR="00A7694B" w:rsidRPr="00E71DEC" w:rsidRDefault="00A7694B" w:rsidP="00BD2741">
            <w:pPr>
              <w:pStyle w:val="Tabletext"/>
              <w:tabs>
                <w:tab w:val="clear" w:pos="284"/>
                <w:tab w:val="left" w:pos="463"/>
              </w:tabs>
              <w:jc w:val="both"/>
              <w:rPr>
                <w:lang w:val="es-ES_tradnl" w:eastAsia="nl-NL"/>
              </w:rPr>
            </w:pPr>
            <w:r w:rsidRPr="00E71DEC">
              <w:rPr>
                <w:lang w:val="es-ES_tradnl" w:eastAsia="nl-NL"/>
              </w:rPr>
              <w:t xml:space="preserve">a </w:t>
            </w:r>
            <w:r w:rsidRPr="00E71DEC">
              <w:rPr>
                <w:lang w:val="es-ES_tradnl" w:eastAsia="ja-JP"/>
              </w:rPr>
              <w:t>participar</w:t>
            </w:r>
            <w:r w:rsidRPr="00E71DEC">
              <w:rPr>
                <w:lang w:val="es-ES_tradnl" w:eastAsia="nl-NL"/>
              </w:rPr>
              <w:t xml:space="preserve"> activamente en los estudios y suministrar las características técnicas y operativas de los sistemas en cuestión, mediante la presentación de contribuciones al</w:t>
            </w:r>
            <w:r w:rsidR="00E2199B">
              <w:rPr>
                <w:lang w:val="es-ES_tradnl" w:eastAsia="nl-NL"/>
              </w:rPr>
              <w:t> </w:t>
            </w:r>
            <w:r w:rsidRPr="00E71DEC">
              <w:rPr>
                <w:lang w:val="es-ES_tradnl" w:eastAsia="nl-NL"/>
              </w:rPr>
              <w:t>UIT</w:t>
            </w:r>
            <w:r w:rsidRPr="00E71DEC">
              <w:rPr>
                <w:lang w:val="es-ES_tradnl" w:eastAsia="nl-NL"/>
              </w:rPr>
              <w:noBreakHyphen/>
              <w:t>R,</w:t>
            </w:r>
          </w:p>
          <w:p w14:paraId="5E597C48" w14:textId="77777777" w:rsidR="00A7694B" w:rsidRPr="00E71DEC" w:rsidRDefault="00A7694B"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encarga al Secretario General</w:t>
            </w:r>
          </w:p>
          <w:p w14:paraId="5026F148" w14:textId="411192FD" w:rsidR="004A7B85" w:rsidRPr="00E71DEC" w:rsidRDefault="00A7694B" w:rsidP="00BD2741">
            <w:pPr>
              <w:pStyle w:val="Tabletext"/>
              <w:tabs>
                <w:tab w:val="clear" w:pos="284"/>
                <w:tab w:val="left" w:pos="463"/>
              </w:tabs>
              <w:jc w:val="both"/>
              <w:rPr>
                <w:lang w:val="es-ES" w:eastAsia="nl-NL"/>
              </w:rPr>
            </w:pPr>
            <w:r w:rsidRPr="00E71DEC">
              <w:rPr>
                <w:lang w:val="es-ES_tradnl" w:eastAsia="nl-NL"/>
              </w:rPr>
              <w:t>que señale esta Resolución a la atención de la Organización Meteorológica Mundial (OMM), y de otras organizaciones internacionales y regionales interesadas.</w:t>
            </w:r>
          </w:p>
        </w:tc>
        <w:tc>
          <w:tcPr>
            <w:tcW w:w="1432" w:type="dxa"/>
            <w:gridSpan w:val="2"/>
          </w:tcPr>
          <w:p w14:paraId="010325E9" w14:textId="4CDDB2CB" w:rsidR="004A7B85" w:rsidRPr="006B10FF" w:rsidRDefault="00A92266" w:rsidP="006B10FF">
            <w:pPr>
              <w:pStyle w:val="Tabletext"/>
              <w:tabs>
                <w:tab w:val="clear" w:pos="284"/>
                <w:tab w:val="left" w:pos="463"/>
              </w:tabs>
              <w:jc w:val="center"/>
              <w:rPr>
                <w:b/>
                <w:bCs/>
                <w:lang w:eastAsia="nl-NL"/>
              </w:rPr>
            </w:pPr>
            <w:r w:rsidRPr="00564FF1">
              <w:rPr>
                <w:b/>
                <w:bCs/>
                <w:lang w:eastAsia="nl-NL"/>
              </w:rPr>
              <w:lastRenderedPageBreak/>
              <w:t>GT</w:t>
            </w:r>
            <w:r w:rsidR="004A7B85" w:rsidRPr="00A92266">
              <w:rPr>
                <w:b/>
                <w:bCs/>
                <w:lang w:eastAsia="nl-NL"/>
              </w:rPr>
              <w:t xml:space="preserve"> 1B, </w:t>
            </w:r>
            <w:r w:rsidR="006B10FF">
              <w:rPr>
                <w:b/>
                <w:bCs/>
                <w:lang w:eastAsia="nl-NL"/>
              </w:rPr>
              <w:br/>
            </w:r>
            <w:r w:rsidRPr="00564FF1">
              <w:rPr>
                <w:b/>
                <w:bCs/>
                <w:lang w:eastAsia="nl-NL"/>
              </w:rPr>
              <w:t>GT</w:t>
            </w:r>
            <w:r w:rsidR="004A7B85" w:rsidRPr="00A92266">
              <w:rPr>
                <w:b/>
                <w:bCs/>
                <w:lang w:eastAsia="nl-NL"/>
              </w:rPr>
              <w:t xml:space="preserve"> 3J, </w:t>
            </w:r>
            <w:r w:rsidR="006B10FF">
              <w:rPr>
                <w:b/>
                <w:bCs/>
                <w:lang w:eastAsia="nl-NL"/>
              </w:rPr>
              <w:br/>
            </w:r>
            <w:r w:rsidRPr="00564FF1">
              <w:rPr>
                <w:b/>
                <w:bCs/>
                <w:lang w:eastAsia="nl-NL"/>
              </w:rPr>
              <w:t>GT</w:t>
            </w:r>
            <w:r w:rsidR="004A7B85" w:rsidRPr="00A92266">
              <w:rPr>
                <w:b/>
                <w:bCs/>
                <w:lang w:eastAsia="nl-NL"/>
              </w:rPr>
              <w:t xml:space="preserve"> 3K, </w:t>
            </w:r>
            <w:r w:rsidR="006B10FF">
              <w:rPr>
                <w:b/>
                <w:bCs/>
                <w:lang w:eastAsia="nl-NL"/>
              </w:rPr>
              <w:br/>
            </w:r>
            <w:r w:rsidRPr="00564FF1">
              <w:rPr>
                <w:b/>
                <w:bCs/>
                <w:lang w:eastAsia="nl-NL"/>
              </w:rPr>
              <w:t>GT</w:t>
            </w:r>
            <w:r w:rsidR="004A7B85" w:rsidRPr="00A92266">
              <w:rPr>
                <w:b/>
                <w:bCs/>
                <w:lang w:eastAsia="nl-NL"/>
              </w:rPr>
              <w:t xml:space="preserve"> 3L, </w:t>
            </w:r>
            <w:r w:rsidR="006B10FF">
              <w:rPr>
                <w:b/>
                <w:bCs/>
                <w:lang w:eastAsia="nl-NL"/>
              </w:rPr>
              <w:br/>
            </w:r>
            <w:r w:rsidRPr="00564FF1">
              <w:rPr>
                <w:b/>
                <w:bCs/>
                <w:lang w:eastAsia="nl-NL"/>
              </w:rPr>
              <w:t>GT</w:t>
            </w:r>
            <w:r w:rsidR="004A7B85" w:rsidRPr="00A92266">
              <w:rPr>
                <w:b/>
                <w:bCs/>
                <w:lang w:eastAsia="nl-NL"/>
              </w:rPr>
              <w:t xml:space="preserve"> 3M, </w:t>
            </w:r>
            <w:r w:rsidR="006B10FF">
              <w:rPr>
                <w:b/>
                <w:bCs/>
                <w:lang w:eastAsia="nl-NL"/>
              </w:rPr>
              <w:br/>
            </w:r>
            <w:r w:rsidRPr="00564FF1">
              <w:rPr>
                <w:b/>
                <w:bCs/>
                <w:lang w:eastAsia="nl-NL"/>
              </w:rPr>
              <w:t>GT</w:t>
            </w:r>
            <w:r w:rsidR="004A7B85" w:rsidRPr="00A92266">
              <w:rPr>
                <w:b/>
                <w:bCs/>
                <w:lang w:eastAsia="nl-NL"/>
              </w:rPr>
              <w:t xml:space="preserve"> 5A, </w:t>
            </w:r>
            <w:r w:rsidR="006B10FF">
              <w:rPr>
                <w:b/>
                <w:bCs/>
                <w:lang w:eastAsia="nl-NL"/>
              </w:rPr>
              <w:br/>
            </w:r>
            <w:r w:rsidRPr="00564FF1">
              <w:rPr>
                <w:b/>
                <w:bCs/>
                <w:lang w:eastAsia="nl-NL"/>
              </w:rPr>
              <w:t>GT</w:t>
            </w:r>
            <w:r w:rsidR="004A7B85" w:rsidRPr="00A92266">
              <w:rPr>
                <w:b/>
                <w:bCs/>
                <w:lang w:eastAsia="nl-NL"/>
              </w:rPr>
              <w:t xml:space="preserve"> 5B, </w:t>
            </w:r>
            <w:r w:rsidR="006B10FF">
              <w:rPr>
                <w:b/>
                <w:bCs/>
                <w:lang w:eastAsia="nl-NL"/>
              </w:rPr>
              <w:br/>
            </w:r>
            <w:r w:rsidRPr="00564FF1">
              <w:rPr>
                <w:b/>
                <w:bCs/>
                <w:lang w:eastAsia="nl-NL"/>
              </w:rPr>
              <w:t>GT</w:t>
            </w:r>
            <w:r w:rsidR="004A7B85" w:rsidRPr="00A92266">
              <w:rPr>
                <w:b/>
                <w:bCs/>
                <w:lang w:eastAsia="nl-NL"/>
              </w:rPr>
              <w:t xml:space="preserve"> 5C, </w:t>
            </w:r>
            <w:r w:rsidR="006B10FF">
              <w:rPr>
                <w:b/>
                <w:bCs/>
                <w:lang w:eastAsia="nl-NL"/>
              </w:rPr>
              <w:br/>
            </w:r>
            <w:r w:rsidRPr="00564FF1">
              <w:rPr>
                <w:b/>
                <w:bCs/>
                <w:lang w:eastAsia="nl-NL"/>
              </w:rPr>
              <w:t>GT</w:t>
            </w:r>
            <w:r w:rsidR="004A7B85" w:rsidRPr="00A92266">
              <w:rPr>
                <w:b/>
                <w:bCs/>
                <w:lang w:eastAsia="nl-NL"/>
              </w:rPr>
              <w:t xml:space="preserve"> 6A, </w:t>
            </w:r>
            <w:r w:rsidR="006B10FF">
              <w:rPr>
                <w:b/>
                <w:bCs/>
                <w:lang w:eastAsia="nl-NL"/>
              </w:rPr>
              <w:br/>
            </w:r>
            <w:r w:rsidRPr="00564FF1">
              <w:rPr>
                <w:b/>
                <w:bCs/>
                <w:lang w:eastAsia="nl-NL"/>
              </w:rPr>
              <w:t>GT</w:t>
            </w:r>
            <w:r w:rsidR="004A7B85" w:rsidRPr="00A92266">
              <w:rPr>
                <w:b/>
                <w:bCs/>
                <w:lang w:eastAsia="nl-NL"/>
              </w:rPr>
              <w:t> 7D</w:t>
            </w:r>
          </w:p>
        </w:tc>
      </w:tr>
      <w:tr w:rsidR="004A7B85" w:rsidRPr="00CE4E08" w14:paraId="4793162F" w14:textId="77777777" w:rsidTr="003F05FF">
        <w:trPr>
          <w:cantSplit/>
          <w:jc w:val="center"/>
        </w:trPr>
        <w:tc>
          <w:tcPr>
            <w:tcW w:w="14058" w:type="dxa"/>
            <w:gridSpan w:val="5"/>
          </w:tcPr>
          <w:p w14:paraId="450E1046" w14:textId="1FABD31D" w:rsidR="004A7B85" w:rsidRPr="00207DE5" w:rsidRDefault="004A7B85" w:rsidP="00BD2741">
            <w:pPr>
              <w:pStyle w:val="Tabletext"/>
              <w:keepNext/>
              <w:keepLines/>
              <w:tabs>
                <w:tab w:val="clear" w:pos="284"/>
                <w:tab w:val="left" w:pos="594"/>
              </w:tabs>
              <w:jc w:val="both"/>
              <w:rPr>
                <w:lang w:val="es-ES_tradnl" w:eastAsia="nl-NL"/>
              </w:rPr>
            </w:pPr>
            <w:r w:rsidRPr="00207DE5">
              <w:rPr>
                <w:lang w:val="es-ES_tradnl" w:eastAsia="nl-NL"/>
              </w:rPr>
              <w:lastRenderedPageBreak/>
              <w:t>b)</w:t>
            </w:r>
            <w:r w:rsidRPr="00207DE5">
              <w:rPr>
                <w:lang w:val="es-ES_tradnl" w:eastAsia="nl-NL"/>
              </w:rPr>
              <w:tab/>
            </w:r>
            <w:r w:rsidR="00E2199B">
              <w:rPr>
                <w:lang w:val="es-ES_tradnl" w:eastAsia="nl-NL"/>
              </w:rPr>
              <w:t>r</w:t>
            </w:r>
            <w:r w:rsidR="00FD39FB" w:rsidRPr="00207DE5">
              <w:rPr>
                <w:lang w:val="es-ES_tradnl" w:eastAsia="nl-NL"/>
              </w:rPr>
              <w:t>evisar las atribuciones al servicio de aficionados y al servicio de aficionados por satélite en la banda de frecuencias 1 240</w:t>
            </w:r>
            <w:r w:rsidR="00FD39FB" w:rsidRPr="00207DE5">
              <w:rPr>
                <w:lang w:val="es-ES_tradnl" w:eastAsia="nl-NL"/>
              </w:rPr>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00FD39FB" w:rsidRPr="00207DE5">
              <w:rPr>
                <w:b/>
                <w:bCs/>
                <w:lang w:val="es-ES_tradnl" w:eastAsia="nl-NL"/>
              </w:rPr>
              <w:t>774 (CMR-19)</w:t>
            </w:r>
            <w:r w:rsidR="00FD39FB" w:rsidRPr="00207DE5">
              <w:rPr>
                <w:lang w:val="es-ES_tradnl" w:eastAsia="nl-NL"/>
              </w:rPr>
              <w:t>;</w:t>
            </w:r>
          </w:p>
        </w:tc>
      </w:tr>
      <w:tr w:rsidR="004A7B85" w:rsidRPr="00CE4E08" w14:paraId="6D4BF8BE" w14:textId="77777777" w:rsidTr="003F05FF">
        <w:trPr>
          <w:cantSplit/>
          <w:jc w:val="center"/>
        </w:trPr>
        <w:tc>
          <w:tcPr>
            <w:tcW w:w="3304" w:type="dxa"/>
            <w:shd w:val="clear" w:color="auto" w:fill="auto"/>
          </w:tcPr>
          <w:p w14:paraId="70C6F139" w14:textId="3B71D424" w:rsidR="004A7B85" w:rsidRPr="00E71DEC" w:rsidRDefault="004A7B85" w:rsidP="00E71DEC">
            <w:pPr>
              <w:pStyle w:val="Tabletext"/>
              <w:tabs>
                <w:tab w:val="clear" w:pos="284"/>
                <w:tab w:val="left" w:pos="463"/>
              </w:tabs>
              <w:rPr>
                <w:b/>
                <w:lang w:val="es-ES" w:eastAsia="nl-NL"/>
              </w:rPr>
            </w:pPr>
            <w:r w:rsidRPr="00E71DEC">
              <w:rPr>
                <w:lang w:val="es-ES_tradnl" w:eastAsia="nl-NL"/>
              </w:rPr>
              <w:t>Resolu</w:t>
            </w:r>
            <w:r w:rsidR="00FD39FB" w:rsidRPr="00E71DEC">
              <w:rPr>
                <w:lang w:val="es-ES_tradnl" w:eastAsia="nl-NL"/>
              </w:rPr>
              <w:t>ció</w:t>
            </w:r>
            <w:r w:rsidRPr="00E71DEC">
              <w:rPr>
                <w:lang w:val="es-ES_tradnl" w:eastAsia="nl-NL"/>
              </w:rPr>
              <w:t>n</w:t>
            </w:r>
            <w:r w:rsidRPr="00E71DEC">
              <w:rPr>
                <w:b/>
                <w:lang w:val="es-ES_tradnl" w:eastAsia="nl-NL"/>
              </w:rPr>
              <w:t> </w:t>
            </w:r>
            <w:r w:rsidRPr="00E71DEC">
              <w:rPr>
                <w:b/>
                <w:lang w:val="es-ES" w:eastAsia="nl-NL"/>
              </w:rPr>
              <w:t>774 (</w:t>
            </w:r>
            <w:r w:rsidR="00FD39FB" w:rsidRPr="00E71DEC">
              <w:rPr>
                <w:b/>
                <w:lang w:val="es-ES" w:eastAsia="nl-NL"/>
              </w:rPr>
              <w:t>CMR</w:t>
            </w:r>
            <w:r w:rsidRPr="00E71DEC">
              <w:rPr>
                <w:b/>
                <w:lang w:val="es-ES" w:eastAsia="nl-NL"/>
              </w:rPr>
              <w:noBreakHyphen/>
              <w:t>19)</w:t>
            </w:r>
          </w:p>
          <w:p w14:paraId="1B2103FB" w14:textId="56FD1669" w:rsidR="004A7B85" w:rsidRPr="00E71DEC" w:rsidRDefault="003419ED" w:rsidP="00E71DEC">
            <w:pPr>
              <w:pStyle w:val="Tabletext"/>
              <w:tabs>
                <w:tab w:val="clear" w:pos="284"/>
                <w:tab w:val="left" w:pos="463"/>
              </w:tabs>
              <w:rPr>
                <w:lang w:val="es-ES" w:eastAsia="nl-NL"/>
              </w:rPr>
            </w:pPr>
            <w:r w:rsidRPr="00E71DEC">
              <w:rPr>
                <w:lang w:val="es-ES_tradnl" w:eastAsia="nl-NL"/>
              </w:rPr>
              <w:t>Estudios sobre las medidas técnicas y operativas aplicables en la banda de frecuencias 1 240-1 300 MHz para garantizar la protección del servicio de radionavegación por satélite (espacio</w:t>
            </w:r>
            <w:r w:rsidR="00E2199B">
              <w:rPr>
                <w:lang w:val="es-ES_tradnl" w:eastAsia="nl-NL"/>
              </w:rPr>
              <w:noBreakHyphen/>
            </w:r>
            <w:r w:rsidRPr="00E71DEC">
              <w:rPr>
                <w:lang w:val="es-ES_tradnl" w:eastAsia="nl-NL"/>
              </w:rPr>
              <w:t>Tierra)</w:t>
            </w:r>
          </w:p>
        </w:tc>
        <w:tc>
          <w:tcPr>
            <w:tcW w:w="1516" w:type="dxa"/>
          </w:tcPr>
          <w:p w14:paraId="5CA279CA" w14:textId="1099BE20" w:rsidR="004A7B85" w:rsidRPr="004A7B85" w:rsidRDefault="00A92266"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Pr>
                <w:b/>
                <w:bCs/>
                <w:sz w:val="20"/>
                <w:lang w:eastAsia="nl-NL"/>
              </w:rPr>
              <w:t>GT</w:t>
            </w:r>
            <w:r w:rsidR="004A7B85" w:rsidRPr="00EF2329">
              <w:rPr>
                <w:b/>
                <w:bCs/>
                <w:sz w:val="20"/>
                <w:lang w:eastAsia="nl-NL"/>
              </w:rPr>
              <w:t> 5A</w:t>
            </w:r>
          </w:p>
        </w:tc>
        <w:tc>
          <w:tcPr>
            <w:tcW w:w="7806" w:type="dxa"/>
          </w:tcPr>
          <w:p w14:paraId="602730C5" w14:textId="389EFBC0" w:rsidR="004A7B85" w:rsidRPr="00E71DEC" w:rsidRDefault="00EF2329"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resuelve invitar al Sector de Radiocomunicaciones de la UIT</w:t>
            </w:r>
          </w:p>
          <w:p w14:paraId="03C9E46B" w14:textId="67E34568" w:rsidR="00EF2329" w:rsidRPr="00E71DEC" w:rsidRDefault="00EF2329" w:rsidP="00BD2741">
            <w:pPr>
              <w:pStyle w:val="Tabletext"/>
              <w:tabs>
                <w:tab w:val="clear" w:pos="284"/>
                <w:tab w:val="left" w:pos="463"/>
              </w:tabs>
              <w:jc w:val="both"/>
              <w:rPr>
                <w:lang w:val="es-ES_tradnl" w:eastAsia="nl-NL"/>
              </w:rPr>
            </w:pPr>
            <w:r w:rsidRPr="00E71DEC">
              <w:rPr>
                <w:lang w:val="es-ES_tradnl" w:eastAsia="nl-NL"/>
              </w:rPr>
              <w:t>1</w:t>
            </w:r>
            <w:r w:rsidRPr="00E71DEC">
              <w:rPr>
                <w:lang w:val="es-ES_tradnl" w:eastAsia="nl-NL"/>
              </w:rPr>
              <w:tab/>
              <w:t>a realizar un examen detallado de diversos sistemas y aplicaciones utilizados en las atribuciones al servicio de radioaficionados y radioaficionados por satélite en la banda de frecuencias 1 240-1 300 MHz;</w:t>
            </w:r>
          </w:p>
          <w:p w14:paraId="734C97D6" w14:textId="4430CA80" w:rsidR="00EF2329" w:rsidRPr="00E71DEC" w:rsidRDefault="00EF2329" w:rsidP="00BD2741">
            <w:pPr>
              <w:pStyle w:val="Tabletext"/>
              <w:tabs>
                <w:tab w:val="clear" w:pos="284"/>
                <w:tab w:val="left" w:pos="463"/>
              </w:tabs>
              <w:jc w:val="both"/>
              <w:rPr>
                <w:lang w:val="es-ES_tradnl" w:eastAsia="nl-NL"/>
              </w:rPr>
            </w:pPr>
            <w:r w:rsidRPr="00E71DEC">
              <w:rPr>
                <w:lang w:val="es-ES_tradnl" w:eastAsia="nl-NL"/>
              </w:rPr>
              <w:t>2</w:t>
            </w:r>
            <w:r w:rsidRPr="00E71DEC">
              <w:rPr>
                <w:lang w:val="es-ES_tradnl" w:eastAsia="nl-NL"/>
              </w:rPr>
              <w:tab/>
              <w:t>a estudiar, habida cuenta de los resultados del examen anterior, posibles medidas técnicas y operativas para garantizar la protección de los receptores del SRNS (espacio</w:t>
            </w:r>
            <w:r w:rsidR="00E2199B">
              <w:rPr>
                <w:lang w:val="es-ES_tradnl" w:eastAsia="nl-NL"/>
              </w:rPr>
              <w:noBreakHyphen/>
            </w:r>
            <w:r w:rsidRPr="00E71DEC">
              <w:rPr>
                <w:lang w:val="es-ES_tradnl" w:eastAsia="nl-NL"/>
              </w:rPr>
              <w:t>Tierra) frente a los servicios de radioaficionados y radioaficionados por satélite en la banda de frecuencias 1 240-1 300 MHz, sin considerar la supresión de las atribuciones a los servicios de radioaficionados y radioaficionados por satélite,</w:t>
            </w:r>
          </w:p>
          <w:p w14:paraId="5C69EB12" w14:textId="77777777" w:rsidR="00EF2329" w:rsidRPr="00E71DEC" w:rsidRDefault="00EF2329" w:rsidP="00BD2741">
            <w:pPr>
              <w:pStyle w:val="Tabletext"/>
              <w:tabs>
                <w:tab w:val="clear" w:pos="284"/>
                <w:tab w:val="left" w:pos="463"/>
              </w:tabs>
              <w:ind w:left="454"/>
              <w:jc w:val="both"/>
              <w:rPr>
                <w:rFonts w:eastAsia="???"/>
                <w:i/>
                <w:iCs/>
                <w:lang w:val="es-ES" w:eastAsia="nl-NL"/>
              </w:rPr>
            </w:pPr>
            <w:r w:rsidRPr="00E71DEC">
              <w:rPr>
                <w:rFonts w:eastAsia="???"/>
                <w:i/>
                <w:iCs/>
                <w:lang w:val="es-ES" w:eastAsia="nl-NL"/>
              </w:rPr>
              <w:t>encarga al Director de la Oficina de Radiocomunicaciones</w:t>
            </w:r>
          </w:p>
          <w:p w14:paraId="325F47D3" w14:textId="28AF8A8D" w:rsidR="004A7B85" w:rsidRPr="00E71DEC" w:rsidRDefault="00EF2329" w:rsidP="00BD2741">
            <w:pPr>
              <w:pStyle w:val="Tabletext"/>
              <w:tabs>
                <w:tab w:val="clear" w:pos="284"/>
                <w:tab w:val="left" w:pos="463"/>
              </w:tabs>
              <w:jc w:val="both"/>
              <w:rPr>
                <w:lang w:val="es-ES_tradnl" w:eastAsia="nl-NL"/>
              </w:rPr>
            </w:pPr>
            <w:r w:rsidRPr="00E71DEC">
              <w:rPr>
                <w:lang w:val="es-ES_tradnl" w:eastAsia="nl-NL"/>
              </w:rPr>
              <w:t xml:space="preserve">a incluir los resultados de estos estudios en su Informe a la CMR-23, a fin de que ésta considere las medidas adecuadas en respuesta al </w:t>
            </w:r>
            <w:r w:rsidRPr="00E71DEC">
              <w:rPr>
                <w:i/>
                <w:iCs/>
                <w:lang w:val="es-ES_tradnl" w:eastAsia="nl-NL"/>
              </w:rPr>
              <w:t xml:space="preserve">resuelve invitar al Sector de Radiocomunicaciones de la UIT </w:t>
            </w:r>
            <w:r w:rsidRPr="00E71DEC">
              <w:rPr>
                <w:lang w:val="es-ES_tradnl" w:eastAsia="nl-NL"/>
              </w:rPr>
              <w:t>anterior.</w:t>
            </w:r>
          </w:p>
        </w:tc>
        <w:tc>
          <w:tcPr>
            <w:tcW w:w="1432" w:type="dxa"/>
            <w:gridSpan w:val="2"/>
          </w:tcPr>
          <w:p w14:paraId="0C5328AC" w14:textId="7C887035" w:rsidR="004A7B85" w:rsidRPr="00564FF1" w:rsidRDefault="00A92266"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_tradnl" w:eastAsia="nl-NL"/>
              </w:rPr>
            </w:pPr>
            <w:r w:rsidRPr="00564FF1">
              <w:rPr>
                <w:b/>
                <w:bCs/>
                <w:sz w:val="20"/>
                <w:lang w:val="es-ES_tradnl" w:eastAsia="nl-NL"/>
              </w:rPr>
              <w:t>GT</w:t>
            </w:r>
            <w:r w:rsidR="004A7B85" w:rsidRPr="00564FF1">
              <w:rPr>
                <w:b/>
                <w:bCs/>
                <w:sz w:val="20"/>
                <w:lang w:val="es-ES_tradnl" w:eastAsia="nl-NL"/>
              </w:rPr>
              <w:t xml:space="preserve"> 3M, </w:t>
            </w:r>
            <w:r w:rsidR="006B10FF">
              <w:rPr>
                <w:b/>
                <w:bCs/>
                <w:sz w:val="20"/>
                <w:lang w:val="es-ES_tradnl" w:eastAsia="nl-NL"/>
              </w:rPr>
              <w:br/>
            </w:r>
            <w:r w:rsidRPr="00564FF1">
              <w:rPr>
                <w:b/>
                <w:bCs/>
                <w:sz w:val="20"/>
                <w:lang w:val="es-ES_tradnl" w:eastAsia="nl-NL"/>
              </w:rPr>
              <w:t>GT</w:t>
            </w:r>
            <w:r w:rsidR="004A7B85" w:rsidRPr="00564FF1">
              <w:rPr>
                <w:b/>
                <w:bCs/>
                <w:sz w:val="20"/>
                <w:lang w:val="es-ES_tradnl" w:eastAsia="nl-NL"/>
              </w:rPr>
              <w:t xml:space="preserve"> 4C </w:t>
            </w:r>
            <w:r w:rsidR="004A7B85" w:rsidRPr="00564FF1">
              <w:rPr>
                <w:sz w:val="20"/>
                <w:lang w:val="es-ES_tradnl" w:eastAsia="nl-NL"/>
              </w:rPr>
              <w:t>(</w:t>
            </w:r>
            <w:r w:rsidR="00E2199B" w:rsidRPr="00564FF1">
              <w:rPr>
                <w:sz w:val="20"/>
                <w:lang w:val="es-ES_tradnl" w:eastAsia="nl-NL"/>
              </w:rPr>
              <w:t>responsable</w:t>
            </w:r>
            <w:r w:rsidR="00AA3DC8" w:rsidRPr="00564FF1">
              <w:rPr>
                <w:sz w:val="20"/>
                <w:lang w:val="es-ES_tradnl" w:eastAsia="nl-NL"/>
              </w:rPr>
              <w:t xml:space="preserve"> de preparar los estudios sobre el </w:t>
            </w:r>
            <w:r w:rsidR="00AA3DC8" w:rsidRPr="00564FF1">
              <w:rPr>
                <w:i/>
                <w:iCs/>
                <w:sz w:val="20"/>
                <w:lang w:val="es-ES_tradnl" w:eastAsia="nl-NL"/>
              </w:rPr>
              <w:t>resuelv</w:t>
            </w:r>
            <w:r w:rsidR="00AA3DC8">
              <w:rPr>
                <w:i/>
                <w:iCs/>
                <w:sz w:val="20"/>
                <w:lang w:val="es-ES_tradnl" w:eastAsia="nl-NL"/>
              </w:rPr>
              <w:t>e invitar al UIT</w:t>
            </w:r>
            <w:r w:rsidR="00E2199B">
              <w:rPr>
                <w:i/>
                <w:iCs/>
                <w:sz w:val="20"/>
                <w:lang w:val="es-ES_tradnl" w:eastAsia="nl-NL"/>
              </w:rPr>
              <w:noBreakHyphen/>
            </w:r>
            <w:r w:rsidR="00AA3DC8">
              <w:rPr>
                <w:i/>
                <w:iCs/>
                <w:sz w:val="20"/>
                <w:lang w:val="es-ES_tradnl" w:eastAsia="nl-NL"/>
              </w:rPr>
              <w:t>R</w:t>
            </w:r>
            <w:r w:rsidR="00E2199B">
              <w:rPr>
                <w:i/>
                <w:iCs/>
                <w:sz w:val="20"/>
                <w:lang w:val="es-ES_tradnl" w:eastAsia="nl-NL"/>
              </w:rPr>
              <w:t> </w:t>
            </w:r>
            <w:r w:rsidR="004A7B85" w:rsidRPr="00564FF1">
              <w:rPr>
                <w:i/>
                <w:iCs/>
                <w:sz w:val="20"/>
                <w:lang w:val="es-ES_tradnl" w:eastAsia="nl-NL"/>
              </w:rPr>
              <w:t>2</w:t>
            </w:r>
            <w:r w:rsidR="00AA3DC8">
              <w:rPr>
                <w:i/>
                <w:iCs/>
                <w:sz w:val="20"/>
                <w:lang w:val="es-ES_tradnl" w:eastAsia="nl-NL"/>
              </w:rPr>
              <w:t xml:space="preserve">, </w:t>
            </w:r>
            <w:r w:rsidR="00AA3DC8" w:rsidRPr="00564FF1">
              <w:rPr>
                <w:sz w:val="20"/>
                <w:lang w:val="es-ES_tradnl" w:eastAsia="nl-NL"/>
              </w:rPr>
              <w:t>que enviará al</w:t>
            </w:r>
            <w:r w:rsidR="006B10FF">
              <w:rPr>
                <w:sz w:val="20"/>
                <w:lang w:val="es-ES_tradnl" w:eastAsia="nl-NL"/>
              </w:rPr>
              <w:t xml:space="preserve"> </w:t>
            </w:r>
            <w:r w:rsidRPr="00564FF1">
              <w:rPr>
                <w:sz w:val="20"/>
                <w:lang w:val="es-ES_tradnl" w:eastAsia="nl-NL"/>
              </w:rPr>
              <w:t>GT</w:t>
            </w:r>
            <w:r w:rsidR="004A7B85" w:rsidRPr="00564FF1">
              <w:rPr>
                <w:sz w:val="20"/>
                <w:lang w:val="es-ES_tradnl" w:eastAsia="nl-NL"/>
              </w:rPr>
              <w:t> 5A)</w:t>
            </w:r>
          </w:p>
        </w:tc>
      </w:tr>
      <w:tr w:rsidR="004A7B85" w:rsidRPr="00CE4E08" w14:paraId="6A4BCC55" w14:textId="77777777" w:rsidTr="003F05FF">
        <w:trPr>
          <w:jc w:val="center"/>
        </w:trPr>
        <w:tc>
          <w:tcPr>
            <w:tcW w:w="14058" w:type="dxa"/>
            <w:gridSpan w:val="5"/>
          </w:tcPr>
          <w:p w14:paraId="0CA9D48D" w14:textId="12169C02" w:rsidR="004A7B85" w:rsidRPr="00FD39FB" w:rsidRDefault="004A7B85" w:rsidP="00BD2741">
            <w:pPr>
              <w:pStyle w:val="Tabletext"/>
              <w:keepNext/>
              <w:keepLines/>
              <w:tabs>
                <w:tab w:val="clear" w:pos="284"/>
                <w:tab w:val="left" w:pos="594"/>
              </w:tabs>
              <w:jc w:val="both"/>
              <w:rPr>
                <w:bCs/>
                <w:lang w:val="es-ES" w:eastAsia="nl-NL"/>
              </w:rPr>
            </w:pPr>
            <w:r w:rsidRPr="00FD39FB">
              <w:rPr>
                <w:bCs/>
                <w:lang w:val="es-ES" w:eastAsia="nl-NL"/>
              </w:rPr>
              <w:t>c)</w:t>
            </w:r>
            <w:r w:rsidRPr="00FD39FB">
              <w:rPr>
                <w:bCs/>
                <w:lang w:val="es-ES" w:eastAsia="nl-NL"/>
              </w:rPr>
              <w:tab/>
            </w:r>
            <w:r w:rsidR="00FD39FB" w:rsidRPr="00FD39FB">
              <w:rPr>
                <w:bCs/>
                <w:lang w:val="es-ES_tradnl" w:eastAsia="nl-NL"/>
              </w:rPr>
              <w:t xml:space="preserve">estudiar la utilización de los sistemas de telecomunicaciones móviles internacionales para la banda ancha inalámbrica fija en las bandas de frecuencias atribuidas al servicio fijo a título primario, de conformidad con la Resolución </w:t>
            </w:r>
            <w:r w:rsidR="00FD39FB" w:rsidRPr="00FD39FB">
              <w:rPr>
                <w:b/>
                <w:bCs/>
                <w:lang w:val="es-ES" w:eastAsia="nl-NL"/>
              </w:rPr>
              <w:t>175</w:t>
            </w:r>
            <w:r w:rsidR="00FD39FB" w:rsidRPr="00FD39FB">
              <w:rPr>
                <w:b/>
                <w:bCs/>
                <w:lang w:val="es-ES_tradnl" w:eastAsia="nl-NL"/>
              </w:rPr>
              <w:t xml:space="preserve"> (CMR-19)</w:t>
            </w:r>
            <w:r w:rsidR="00FD39FB" w:rsidRPr="00FD39FB">
              <w:rPr>
                <w:bCs/>
                <w:lang w:val="es-ES_tradnl" w:eastAsia="nl-NL"/>
              </w:rPr>
              <w:t>;</w:t>
            </w:r>
          </w:p>
        </w:tc>
      </w:tr>
      <w:tr w:rsidR="004A7B85" w:rsidRPr="004A7B85" w14:paraId="090C6D34" w14:textId="77777777" w:rsidTr="003F05FF">
        <w:trPr>
          <w:jc w:val="center"/>
        </w:trPr>
        <w:tc>
          <w:tcPr>
            <w:tcW w:w="3304" w:type="dxa"/>
          </w:tcPr>
          <w:p w14:paraId="78EAD209" w14:textId="19C4294D" w:rsidR="004A7B85" w:rsidRPr="00537CF6" w:rsidRDefault="004A7B85" w:rsidP="00537CF6">
            <w:pPr>
              <w:pStyle w:val="Tabletext"/>
              <w:tabs>
                <w:tab w:val="clear" w:pos="284"/>
                <w:tab w:val="left" w:pos="463"/>
              </w:tabs>
              <w:rPr>
                <w:b/>
                <w:lang w:val="es-ES" w:eastAsia="nl-NL"/>
              </w:rPr>
            </w:pPr>
            <w:r w:rsidRPr="00537CF6">
              <w:rPr>
                <w:lang w:val="es-ES_tradnl" w:eastAsia="nl-NL"/>
              </w:rPr>
              <w:t>Resolu</w:t>
            </w:r>
            <w:r w:rsidR="00FD39FB" w:rsidRPr="00537CF6">
              <w:rPr>
                <w:lang w:val="es-ES_tradnl" w:eastAsia="nl-NL"/>
              </w:rPr>
              <w:t>ció</w:t>
            </w:r>
            <w:r w:rsidRPr="00537CF6">
              <w:rPr>
                <w:lang w:val="es-ES_tradnl" w:eastAsia="nl-NL"/>
              </w:rPr>
              <w:t>n</w:t>
            </w:r>
            <w:r w:rsidRPr="00537CF6">
              <w:rPr>
                <w:b/>
                <w:lang w:val="es-ES" w:eastAsia="nl-NL"/>
              </w:rPr>
              <w:t> 175 (</w:t>
            </w:r>
            <w:r w:rsidR="00FD39FB" w:rsidRPr="00537CF6">
              <w:rPr>
                <w:b/>
                <w:lang w:val="es-ES" w:eastAsia="nl-NL"/>
              </w:rPr>
              <w:t>CMR</w:t>
            </w:r>
            <w:r w:rsidRPr="00537CF6">
              <w:rPr>
                <w:b/>
                <w:lang w:val="es-ES" w:eastAsia="nl-NL"/>
              </w:rPr>
              <w:noBreakHyphen/>
              <w:t>19)</w:t>
            </w:r>
          </w:p>
          <w:p w14:paraId="63889875" w14:textId="079D8F8F" w:rsidR="004A7B85" w:rsidRPr="00537CF6" w:rsidRDefault="00EF2329" w:rsidP="00537CF6">
            <w:pPr>
              <w:pStyle w:val="Tabletext"/>
              <w:tabs>
                <w:tab w:val="clear" w:pos="284"/>
                <w:tab w:val="left" w:pos="463"/>
              </w:tabs>
              <w:rPr>
                <w:lang w:val="es-ES" w:eastAsia="nl-NL"/>
              </w:rPr>
            </w:pPr>
            <w:r w:rsidRPr="00537CF6">
              <w:rPr>
                <w:lang w:val="es-ES_tradnl" w:eastAsia="nl-NL"/>
              </w:rPr>
              <w:t>Utilización de sistemas de telecomunicaciones móviles internacionales para la banda ancha fija inalámbrica en las bandas de frecuencias atribuidas al servicio fijo a título primario</w:t>
            </w:r>
          </w:p>
        </w:tc>
        <w:tc>
          <w:tcPr>
            <w:tcW w:w="1516" w:type="dxa"/>
          </w:tcPr>
          <w:p w14:paraId="0A4D9DA5" w14:textId="30556D27" w:rsidR="004A7B85" w:rsidRPr="007A7DF3" w:rsidRDefault="00A92266" w:rsidP="00537CF6">
            <w:pPr>
              <w:pStyle w:val="Tabletext"/>
              <w:tabs>
                <w:tab w:val="clear" w:pos="284"/>
                <w:tab w:val="left" w:pos="463"/>
              </w:tabs>
              <w:jc w:val="center"/>
              <w:rPr>
                <w:b/>
                <w:bCs/>
                <w:lang w:val="es-ES" w:eastAsia="nl-NL"/>
              </w:rPr>
            </w:pPr>
            <w:r w:rsidRPr="007A7DF3">
              <w:rPr>
                <w:b/>
                <w:bCs/>
                <w:lang w:val="es-ES" w:eastAsia="nl-NL"/>
              </w:rPr>
              <w:t>GT</w:t>
            </w:r>
            <w:r w:rsidR="004A7B85" w:rsidRPr="007A7DF3">
              <w:rPr>
                <w:b/>
                <w:bCs/>
                <w:lang w:val="es-ES" w:eastAsia="nl-NL"/>
              </w:rPr>
              <w:t xml:space="preserve"> 5A </w:t>
            </w:r>
            <w:r w:rsidR="00AA3DC8" w:rsidRPr="007A7DF3">
              <w:rPr>
                <w:b/>
                <w:bCs/>
                <w:lang w:val="es-ES" w:eastAsia="nl-NL"/>
              </w:rPr>
              <w:t>y</w:t>
            </w:r>
            <w:r w:rsidR="004A7B85" w:rsidRPr="007A7DF3">
              <w:rPr>
                <w:b/>
                <w:bCs/>
                <w:lang w:val="es-ES" w:eastAsia="nl-NL"/>
              </w:rPr>
              <w:t xml:space="preserve"> </w:t>
            </w:r>
            <w:r w:rsidRPr="007A7DF3">
              <w:rPr>
                <w:b/>
                <w:bCs/>
                <w:lang w:val="es-ES" w:eastAsia="nl-NL"/>
              </w:rPr>
              <w:t>GT</w:t>
            </w:r>
            <w:r w:rsidR="004A7B85" w:rsidRPr="007A7DF3">
              <w:rPr>
                <w:b/>
                <w:bCs/>
                <w:lang w:val="es-ES" w:eastAsia="nl-NL"/>
              </w:rPr>
              <w:t> 5C</w:t>
            </w:r>
          </w:p>
          <w:p w14:paraId="5EA56DF3" w14:textId="7EAA6E39" w:rsidR="004A7B85" w:rsidRPr="00564FF1" w:rsidRDefault="004A7B85" w:rsidP="00E2199B">
            <w:pPr>
              <w:pStyle w:val="Tabletext"/>
              <w:tabs>
                <w:tab w:val="clear" w:pos="284"/>
                <w:tab w:val="left" w:pos="463"/>
              </w:tabs>
              <w:rPr>
                <w:lang w:val="es-ES" w:eastAsia="nl-NL"/>
              </w:rPr>
            </w:pPr>
            <w:r w:rsidRPr="00564FF1">
              <w:rPr>
                <w:u w:val="single"/>
                <w:lang w:val="es-ES" w:eastAsia="nl-NL"/>
              </w:rPr>
              <w:t>Not</w:t>
            </w:r>
            <w:r w:rsidR="00AA3DC8" w:rsidRPr="00564FF1">
              <w:rPr>
                <w:u w:val="single"/>
                <w:lang w:val="es-ES" w:eastAsia="nl-NL"/>
              </w:rPr>
              <w:t>a</w:t>
            </w:r>
            <w:r w:rsidRPr="00564FF1">
              <w:rPr>
                <w:lang w:val="es-ES" w:eastAsia="nl-NL"/>
              </w:rPr>
              <w:t xml:space="preserve">: </w:t>
            </w:r>
            <w:r w:rsidR="00AA3DC8" w:rsidRPr="00564FF1">
              <w:rPr>
                <w:lang w:val="es-ES" w:eastAsia="nl-NL"/>
              </w:rPr>
              <w:t>Se</w:t>
            </w:r>
            <w:r w:rsidR="00E2199B">
              <w:rPr>
                <w:lang w:val="es-ES" w:eastAsia="nl-NL"/>
              </w:rPr>
              <w:t xml:space="preserve"> </w:t>
            </w:r>
            <w:r w:rsidR="00AA3DC8" w:rsidRPr="00564FF1">
              <w:rPr>
                <w:lang w:val="es-ES" w:eastAsia="nl-NL"/>
              </w:rPr>
              <w:t>trata de una actividad conjunta, por lo que habrá de celebrarse una plenaria conjun</w:t>
            </w:r>
            <w:r w:rsidR="00AA3DC8">
              <w:rPr>
                <w:lang w:val="es-ES" w:eastAsia="nl-NL"/>
              </w:rPr>
              <w:t xml:space="preserve">ta. </w:t>
            </w:r>
            <w:r w:rsidR="00AA3DC8" w:rsidRPr="00AA3DC8">
              <w:rPr>
                <w:lang w:val="es-ES" w:eastAsia="nl-NL"/>
              </w:rPr>
              <w:t>El</w:t>
            </w:r>
            <w:r w:rsidRPr="00564FF1">
              <w:rPr>
                <w:lang w:val="es-ES" w:eastAsia="nl-NL"/>
              </w:rPr>
              <w:t xml:space="preserve"> </w:t>
            </w:r>
            <w:r w:rsidR="00A92266" w:rsidRPr="00564FF1">
              <w:rPr>
                <w:lang w:val="es-ES" w:eastAsia="nl-NL"/>
              </w:rPr>
              <w:t>GT</w:t>
            </w:r>
            <w:r w:rsidR="00E2199B">
              <w:rPr>
                <w:lang w:val="es-ES" w:eastAsia="nl-NL"/>
              </w:rPr>
              <w:t> </w:t>
            </w:r>
            <w:r w:rsidRPr="00564FF1">
              <w:rPr>
                <w:lang w:val="es-ES" w:eastAsia="nl-NL"/>
              </w:rPr>
              <w:t xml:space="preserve">5A </w:t>
            </w:r>
            <w:r w:rsidR="00AA3DC8" w:rsidRPr="00564FF1">
              <w:rPr>
                <w:lang w:val="es-ES" w:eastAsia="nl-NL"/>
              </w:rPr>
              <w:t>facilitará el proyecto de texto sobre los resul</w:t>
            </w:r>
            <w:r w:rsidR="00AA3DC8">
              <w:rPr>
                <w:lang w:val="es-ES" w:eastAsia="nl-NL"/>
              </w:rPr>
              <w:t>t</w:t>
            </w:r>
            <w:r w:rsidR="00AA3DC8" w:rsidRPr="00564FF1">
              <w:rPr>
                <w:lang w:val="es-ES" w:eastAsia="nl-NL"/>
              </w:rPr>
              <w:t>ados de lo</w:t>
            </w:r>
            <w:r w:rsidR="00AA3DC8">
              <w:rPr>
                <w:lang w:val="es-ES" w:eastAsia="nl-NL"/>
              </w:rPr>
              <w:t xml:space="preserve">s estudios a </w:t>
            </w:r>
            <w:r w:rsidR="00AA3DC8">
              <w:rPr>
                <w:lang w:val="es-ES" w:eastAsia="nl-NL"/>
              </w:rPr>
              <w:lastRenderedPageBreak/>
              <w:t>los Correlatores de Capítulo de la RPC</w:t>
            </w:r>
            <w:r w:rsidRPr="00564FF1">
              <w:rPr>
                <w:lang w:val="es-ES" w:eastAsia="nl-NL"/>
              </w:rPr>
              <w:t>.</w:t>
            </w:r>
          </w:p>
        </w:tc>
        <w:tc>
          <w:tcPr>
            <w:tcW w:w="7806" w:type="dxa"/>
          </w:tcPr>
          <w:p w14:paraId="0B77E729" w14:textId="7E957460" w:rsidR="004A7B85" w:rsidRPr="00537CF6" w:rsidRDefault="00EF2329" w:rsidP="00BD2741">
            <w:pPr>
              <w:pStyle w:val="Tabletext"/>
              <w:tabs>
                <w:tab w:val="clear" w:pos="284"/>
                <w:tab w:val="left" w:pos="463"/>
              </w:tabs>
              <w:ind w:left="454"/>
              <w:jc w:val="both"/>
              <w:rPr>
                <w:rFonts w:eastAsia="???"/>
                <w:i/>
                <w:iCs/>
                <w:lang w:val="es-ES" w:eastAsia="nl-NL"/>
              </w:rPr>
            </w:pPr>
            <w:r w:rsidRPr="00537CF6">
              <w:rPr>
                <w:rFonts w:eastAsia="???"/>
                <w:i/>
                <w:iCs/>
                <w:lang w:val="es-ES" w:eastAsia="nl-NL"/>
              </w:rPr>
              <w:lastRenderedPageBreak/>
              <w:t>resuelve invitar al Sector de Radiocomunicaciones de la UIT</w:t>
            </w:r>
          </w:p>
          <w:p w14:paraId="46FF200B" w14:textId="77777777" w:rsidR="00EF2329" w:rsidRPr="00537CF6" w:rsidRDefault="00EF2329" w:rsidP="00BD2741">
            <w:pPr>
              <w:pStyle w:val="Tabletext"/>
              <w:tabs>
                <w:tab w:val="clear" w:pos="284"/>
                <w:tab w:val="left" w:pos="463"/>
              </w:tabs>
              <w:jc w:val="both"/>
              <w:rPr>
                <w:lang w:val="es-ES_tradnl" w:eastAsia="nl-NL"/>
              </w:rPr>
            </w:pPr>
            <w:r w:rsidRPr="00537CF6">
              <w:rPr>
                <w:lang w:val="es-ES_tradnl" w:eastAsia="nl-NL"/>
              </w:rPr>
              <w:t>a realizar los estudios necesarios sobre la utilización de sistemas de telecomunicaciones móviles internacionales para la banda ancha fija inalámbrica en las bandas de frecuencias atribuidas al servicio fijo a título primario, habida cuenta de los estudios, Manuales, Recomendaciones e Informes del UIT-R pertinentes,</w:t>
            </w:r>
          </w:p>
          <w:p w14:paraId="447D19D7" w14:textId="77777777" w:rsidR="00EF2329" w:rsidRPr="00537CF6" w:rsidRDefault="00EF2329" w:rsidP="00BD2741">
            <w:pPr>
              <w:pStyle w:val="Tabletext"/>
              <w:tabs>
                <w:tab w:val="clear" w:pos="284"/>
                <w:tab w:val="left" w:pos="463"/>
              </w:tabs>
              <w:ind w:left="454"/>
              <w:jc w:val="both"/>
              <w:rPr>
                <w:rFonts w:eastAsia="???"/>
                <w:i/>
                <w:iCs/>
                <w:lang w:val="es-ES" w:eastAsia="nl-NL"/>
              </w:rPr>
            </w:pPr>
            <w:r w:rsidRPr="00537CF6">
              <w:rPr>
                <w:rFonts w:eastAsia="???"/>
                <w:i/>
                <w:iCs/>
                <w:lang w:val="es-ES" w:eastAsia="nl-NL"/>
              </w:rPr>
              <w:t>encarga al Director de la Oficina de Radiocomunicaciones</w:t>
            </w:r>
          </w:p>
          <w:p w14:paraId="0E5530C3" w14:textId="77777777" w:rsidR="00EF2329" w:rsidRPr="00537CF6" w:rsidRDefault="00EF2329" w:rsidP="00BD2741">
            <w:pPr>
              <w:pStyle w:val="Tabletext"/>
              <w:tabs>
                <w:tab w:val="clear" w:pos="284"/>
                <w:tab w:val="left" w:pos="463"/>
              </w:tabs>
              <w:jc w:val="both"/>
              <w:rPr>
                <w:lang w:val="es-ES_tradnl" w:eastAsia="nl-NL"/>
              </w:rPr>
            </w:pPr>
            <w:r w:rsidRPr="00537CF6">
              <w:rPr>
                <w:lang w:val="es-ES_tradnl" w:eastAsia="nl-NL"/>
              </w:rPr>
              <w:t>a presentar a la CMR-23 los resultados de estos estudios,</w:t>
            </w:r>
          </w:p>
          <w:p w14:paraId="753C72A4" w14:textId="77777777" w:rsidR="00EF2329" w:rsidRPr="00537CF6" w:rsidRDefault="00EF2329" w:rsidP="00BD2741">
            <w:pPr>
              <w:pStyle w:val="Tabletext"/>
              <w:tabs>
                <w:tab w:val="clear" w:pos="284"/>
                <w:tab w:val="left" w:pos="463"/>
              </w:tabs>
              <w:ind w:left="454"/>
              <w:jc w:val="both"/>
              <w:rPr>
                <w:rFonts w:eastAsia="???"/>
                <w:i/>
                <w:iCs/>
                <w:lang w:val="es-ES" w:eastAsia="nl-NL"/>
              </w:rPr>
            </w:pPr>
            <w:r w:rsidRPr="00537CF6">
              <w:rPr>
                <w:rFonts w:eastAsia="???"/>
                <w:i/>
                <w:iCs/>
                <w:lang w:val="es-ES" w:eastAsia="nl-NL"/>
              </w:rPr>
              <w:t>invita las administraciones</w:t>
            </w:r>
          </w:p>
          <w:p w14:paraId="4FA0B73E" w14:textId="141522BB" w:rsidR="004A7B85" w:rsidRPr="00537CF6" w:rsidRDefault="00EF2329" w:rsidP="00BD2741">
            <w:pPr>
              <w:pStyle w:val="Tabletext"/>
              <w:tabs>
                <w:tab w:val="clear" w:pos="284"/>
                <w:tab w:val="left" w:pos="463"/>
              </w:tabs>
              <w:jc w:val="both"/>
              <w:rPr>
                <w:lang w:val="es-ES" w:eastAsia="nl-NL"/>
              </w:rPr>
            </w:pPr>
            <w:r w:rsidRPr="00537CF6">
              <w:rPr>
                <w:lang w:val="es-ES_tradnl" w:eastAsia="nl-NL"/>
              </w:rPr>
              <w:t>a participar en estos estudios en el marco del proceso preparatorio de la CMR-23.</w:t>
            </w:r>
          </w:p>
        </w:tc>
        <w:tc>
          <w:tcPr>
            <w:tcW w:w="1432" w:type="dxa"/>
            <w:gridSpan w:val="2"/>
          </w:tcPr>
          <w:p w14:paraId="6F36168F" w14:textId="7CECDE6B"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4A7B85">
              <w:rPr>
                <w:b/>
                <w:bCs/>
                <w:lang w:eastAsia="nl-NL"/>
              </w:rPr>
              <w:t xml:space="preserve"> 1B, </w:t>
            </w:r>
            <w:r w:rsidR="006B10FF">
              <w:rPr>
                <w:b/>
                <w:bCs/>
                <w:lang w:eastAsia="nl-NL"/>
              </w:rPr>
              <w:br/>
            </w:r>
            <w:r>
              <w:rPr>
                <w:b/>
                <w:bCs/>
                <w:lang w:eastAsia="nl-NL"/>
              </w:rPr>
              <w:t>GT</w:t>
            </w:r>
            <w:r w:rsidR="004A7B85" w:rsidRPr="004A7B85">
              <w:rPr>
                <w:b/>
                <w:bCs/>
                <w:lang w:eastAsia="nl-NL"/>
              </w:rPr>
              <w:t xml:space="preserve"> 4A, </w:t>
            </w:r>
            <w:r w:rsidR="006B10FF">
              <w:rPr>
                <w:b/>
                <w:bCs/>
                <w:lang w:eastAsia="nl-NL"/>
              </w:rPr>
              <w:br/>
            </w:r>
            <w:r>
              <w:rPr>
                <w:b/>
                <w:bCs/>
                <w:lang w:eastAsia="nl-NL"/>
              </w:rPr>
              <w:t>GT</w:t>
            </w:r>
            <w:r w:rsidR="004A7B85" w:rsidRPr="004A7B85">
              <w:rPr>
                <w:b/>
                <w:bCs/>
                <w:lang w:eastAsia="nl-NL"/>
              </w:rPr>
              <w:t xml:space="preserve"> 4C, </w:t>
            </w:r>
            <w:r w:rsidR="006B10FF">
              <w:rPr>
                <w:b/>
                <w:bCs/>
                <w:lang w:eastAsia="nl-NL"/>
              </w:rPr>
              <w:br/>
            </w:r>
            <w:r>
              <w:rPr>
                <w:b/>
                <w:bCs/>
                <w:lang w:eastAsia="nl-NL"/>
              </w:rPr>
              <w:t>GT</w:t>
            </w:r>
            <w:r w:rsidR="004A7B85" w:rsidRPr="004A7B85">
              <w:rPr>
                <w:b/>
                <w:bCs/>
                <w:lang w:eastAsia="nl-NL"/>
              </w:rPr>
              <w:t xml:space="preserve"> 5D, </w:t>
            </w:r>
            <w:r w:rsidR="006B10FF">
              <w:rPr>
                <w:b/>
                <w:bCs/>
                <w:lang w:eastAsia="nl-NL"/>
              </w:rPr>
              <w:br/>
            </w:r>
            <w:r>
              <w:rPr>
                <w:b/>
                <w:bCs/>
                <w:lang w:eastAsia="nl-NL"/>
              </w:rPr>
              <w:t>GT</w:t>
            </w:r>
            <w:r w:rsidR="004A7B85" w:rsidRPr="004A7B85">
              <w:rPr>
                <w:b/>
                <w:bCs/>
                <w:lang w:eastAsia="nl-NL"/>
              </w:rPr>
              <w:t xml:space="preserve"> 6A, </w:t>
            </w:r>
            <w:r w:rsidR="006B10FF">
              <w:rPr>
                <w:b/>
                <w:bCs/>
                <w:lang w:eastAsia="nl-NL"/>
              </w:rPr>
              <w:br/>
            </w:r>
            <w:r>
              <w:rPr>
                <w:b/>
                <w:bCs/>
                <w:lang w:eastAsia="nl-NL"/>
              </w:rPr>
              <w:t>GT</w:t>
            </w:r>
            <w:r w:rsidR="004A7B85" w:rsidRPr="004A7B85">
              <w:rPr>
                <w:b/>
                <w:bCs/>
                <w:lang w:eastAsia="nl-NL"/>
              </w:rPr>
              <w:t xml:space="preserve"> 7B, </w:t>
            </w:r>
            <w:r w:rsidR="006B10FF">
              <w:rPr>
                <w:b/>
                <w:bCs/>
                <w:lang w:eastAsia="nl-NL"/>
              </w:rPr>
              <w:br/>
            </w:r>
            <w:r>
              <w:rPr>
                <w:b/>
                <w:bCs/>
                <w:lang w:eastAsia="nl-NL"/>
              </w:rPr>
              <w:t>GT</w:t>
            </w:r>
            <w:r w:rsidR="004A7B85" w:rsidRPr="004A7B85">
              <w:rPr>
                <w:b/>
                <w:bCs/>
                <w:lang w:eastAsia="nl-NL"/>
              </w:rPr>
              <w:t xml:space="preserve"> 7C, </w:t>
            </w:r>
            <w:r w:rsidR="006B10FF">
              <w:rPr>
                <w:b/>
                <w:bCs/>
                <w:lang w:eastAsia="nl-NL"/>
              </w:rPr>
              <w:br/>
            </w:r>
            <w:r>
              <w:rPr>
                <w:b/>
                <w:bCs/>
                <w:lang w:eastAsia="nl-NL"/>
              </w:rPr>
              <w:t>GT</w:t>
            </w:r>
            <w:r w:rsidR="004A7B85" w:rsidRPr="004A7B85">
              <w:rPr>
                <w:b/>
                <w:bCs/>
                <w:lang w:eastAsia="nl-NL"/>
              </w:rPr>
              <w:t> 7D</w:t>
            </w:r>
          </w:p>
        </w:tc>
      </w:tr>
      <w:tr w:rsidR="004A7B85" w:rsidRPr="00CE4E08" w14:paraId="1863ECD6" w14:textId="77777777" w:rsidTr="003F05FF">
        <w:trPr>
          <w:cantSplit/>
          <w:jc w:val="center"/>
        </w:trPr>
        <w:tc>
          <w:tcPr>
            <w:tcW w:w="14058" w:type="dxa"/>
            <w:gridSpan w:val="5"/>
          </w:tcPr>
          <w:p w14:paraId="3CC6241B" w14:textId="7F962497" w:rsidR="004A7B85" w:rsidRPr="00564FF1" w:rsidRDefault="004A7B85" w:rsidP="00BD2741">
            <w:pPr>
              <w:keepNext/>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sz w:val="20"/>
                <w:lang w:val="es-ES" w:eastAsia="nl-NL"/>
              </w:rPr>
            </w:pPr>
            <w:r w:rsidRPr="00564FF1">
              <w:rPr>
                <w:bCs/>
                <w:sz w:val="20"/>
                <w:lang w:val="es-ES" w:eastAsia="nl-NL"/>
              </w:rPr>
              <w:t>d)</w:t>
            </w:r>
            <w:r w:rsidRPr="00564FF1">
              <w:rPr>
                <w:bCs/>
                <w:sz w:val="20"/>
                <w:lang w:val="es-ES" w:eastAsia="nl-NL"/>
              </w:rPr>
              <w:tab/>
            </w:r>
            <w:r w:rsidR="00E2199B">
              <w:rPr>
                <w:sz w:val="20"/>
                <w:lang w:val="es-ES" w:eastAsia="nl-NL"/>
              </w:rPr>
              <w:t>p</w:t>
            </w:r>
            <w:r w:rsidRPr="00564FF1">
              <w:rPr>
                <w:sz w:val="20"/>
                <w:lang w:val="es-ES" w:eastAsia="nl-NL"/>
              </w:rPr>
              <w:t>rotec</w:t>
            </w:r>
            <w:r w:rsidR="00AA3DC8" w:rsidRPr="00564FF1">
              <w:rPr>
                <w:sz w:val="20"/>
                <w:lang w:val="es-ES" w:eastAsia="nl-NL"/>
              </w:rPr>
              <w:t>ción del SETS (pasivo) en la banda de frecuencias</w:t>
            </w:r>
            <w:r w:rsidRPr="00564FF1">
              <w:rPr>
                <w:sz w:val="20"/>
                <w:lang w:val="es-ES" w:eastAsia="nl-NL"/>
              </w:rPr>
              <w:t xml:space="preserve"> 36-37 GHz </w:t>
            </w:r>
            <w:r w:rsidR="00AA3DC8" w:rsidRPr="00564FF1">
              <w:rPr>
                <w:sz w:val="20"/>
                <w:lang w:val="es-ES" w:eastAsia="nl-NL"/>
              </w:rPr>
              <w:t>co</w:t>
            </w:r>
            <w:r w:rsidR="00AA3DC8">
              <w:rPr>
                <w:sz w:val="20"/>
                <w:lang w:val="es-ES" w:eastAsia="nl-NL"/>
              </w:rPr>
              <w:t>ntra las estacion</w:t>
            </w:r>
            <w:r w:rsidR="006B10FF">
              <w:rPr>
                <w:sz w:val="20"/>
                <w:lang w:val="es-ES" w:eastAsia="nl-NL"/>
              </w:rPr>
              <w:t>e</w:t>
            </w:r>
            <w:r w:rsidR="00AA3DC8">
              <w:rPr>
                <w:sz w:val="20"/>
                <w:lang w:val="es-ES" w:eastAsia="nl-NL"/>
              </w:rPr>
              <w:t>s espaciales del SFS no OSG</w:t>
            </w:r>
            <w:r w:rsidRPr="00564FF1">
              <w:rPr>
                <w:sz w:val="20"/>
                <w:lang w:val="es-ES" w:eastAsia="nl-NL"/>
              </w:rPr>
              <w:t>;</w:t>
            </w:r>
          </w:p>
        </w:tc>
      </w:tr>
      <w:tr w:rsidR="004A7B85" w:rsidRPr="004A7B85" w14:paraId="6F4685B6" w14:textId="77777777" w:rsidTr="003F05FF">
        <w:trPr>
          <w:cantSplit/>
          <w:jc w:val="center"/>
        </w:trPr>
        <w:tc>
          <w:tcPr>
            <w:tcW w:w="3304" w:type="dxa"/>
          </w:tcPr>
          <w:p w14:paraId="4C819D17" w14:textId="3958D86D" w:rsidR="00C04CEA" w:rsidRPr="00C04CEA" w:rsidRDefault="00C04CEA" w:rsidP="00537CF6">
            <w:pPr>
              <w:pStyle w:val="Tabletext"/>
              <w:tabs>
                <w:tab w:val="clear" w:pos="284"/>
                <w:tab w:val="left" w:pos="463"/>
              </w:tabs>
              <w:rPr>
                <w:lang w:val="es-ES" w:eastAsia="nl-NL"/>
              </w:rPr>
            </w:pPr>
            <w:r>
              <w:rPr>
                <w:lang w:val="es-ES" w:eastAsia="nl-NL"/>
              </w:rPr>
              <w:t xml:space="preserve">Véase el </w:t>
            </w:r>
            <w:hyperlink r:id="rId24" w:history="1">
              <w:r w:rsidRPr="00C04CEA">
                <w:rPr>
                  <w:rStyle w:val="Hyperlink"/>
                  <w:lang w:val="es-ES" w:eastAsia="nl-NL"/>
                </w:rPr>
                <w:t>Documento 535 de la CMR</w:t>
              </w:r>
              <w:r>
                <w:rPr>
                  <w:rStyle w:val="Hyperlink"/>
                  <w:lang w:val="es-ES" w:eastAsia="nl-NL"/>
                </w:rPr>
                <w:noBreakHyphen/>
              </w:r>
              <w:r w:rsidRPr="00C04CEA">
                <w:rPr>
                  <w:rStyle w:val="Hyperlink"/>
                  <w:lang w:val="es-ES" w:eastAsia="nl-NL"/>
                </w:rPr>
                <w:t>19</w:t>
              </w:r>
            </w:hyperlink>
            <w:r w:rsidRPr="00C04CEA">
              <w:rPr>
                <w:lang w:val="es-ES" w:eastAsia="nl-NL"/>
              </w:rPr>
              <w:t>, Sección 2 del Anexo</w:t>
            </w:r>
            <w:r w:rsidR="007115A4">
              <w:rPr>
                <w:lang w:val="es-ES" w:eastAsia="nl-NL"/>
              </w:rPr>
              <w:t>.</w:t>
            </w:r>
          </w:p>
        </w:tc>
        <w:tc>
          <w:tcPr>
            <w:tcW w:w="1516" w:type="dxa"/>
          </w:tcPr>
          <w:p w14:paraId="237462E9" w14:textId="69FB521D"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D0248C">
              <w:rPr>
                <w:b/>
                <w:bCs/>
                <w:lang w:eastAsia="nl-NL"/>
              </w:rPr>
              <w:t> 7C</w:t>
            </w:r>
          </w:p>
        </w:tc>
        <w:tc>
          <w:tcPr>
            <w:tcW w:w="7806" w:type="dxa"/>
          </w:tcPr>
          <w:p w14:paraId="4303392B" w14:textId="772EB1C7" w:rsidR="004A7B85" w:rsidRPr="00537CF6" w:rsidRDefault="00D0248C" w:rsidP="00BD2741">
            <w:pPr>
              <w:pStyle w:val="Tabletext"/>
              <w:tabs>
                <w:tab w:val="clear" w:pos="284"/>
                <w:tab w:val="left" w:pos="463"/>
              </w:tabs>
              <w:jc w:val="both"/>
              <w:rPr>
                <w:b/>
                <w:bCs/>
                <w:lang w:val="es-ES" w:eastAsia="nl-NL"/>
              </w:rPr>
            </w:pPr>
            <w:bookmarkStart w:id="44" w:name="_Hlk26785038"/>
            <w:r w:rsidRPr="00537CF6">
              <w:rPr>
                <w:b/>
                <w:bCs/>
                <w:lang w:val="es-ES_tradnl" w:eastAsia="nl-NL"/>
              </w:rPr>
              <w:t xml:space="preserve">Protección del SETS </w:t>
            </w:r>
            <w:r w:rsidRPr="00537CF6">
              <w:rPr>
                <w:b/>
                <w:bCs/>
                <w:lang w:val="es-ES" w:eastAsia="nl-NL"/>
              </w:rPr>
              <w:t>(pasiv</w:t>
            </w:r>
            <w:r w:rsidR="00AA3DC8" w:rsidRPr="00537CF6">
              <w:rPr>
                <w:b/>
                <w:bCs/>
                <w:lang w:val="es-ES" w:eastAsia="nl-NL"/>
              </w:rPr>
              <w:t>o</w:t>
            </w:r>
            <w:r w:rsidRPr="00537CF6">
              <w:rPr>
                <w:b/>
                <w:bCs/>
                <w:lang w:val="es-ES" w:eastAsia="nl-NL"/>
              </w:rPr>
              <w:t xml:space="preserve">) </w:t>
            </w:r>
            <w:r w:rsidRPr="00537CF6">
              <w:rPr>
                <w:b/>
                <w:bCs/>
                <w:lang w:val="es-ES_tradnl" w:eastAsia="nl-NL"/>
              </w:rPr>
              <w:t>en la banda de frecuencias 36-37 GHz</w:t>
            </w:r>
          </w:p>
          <w:p w14:paraId="04063BBF" w14:textId="6E0275F8" w:rsidR="00D0248C" w:rsidRPr="00537CF6" w:rsidRDefault="00D0248C" w:rsidP="00BD2741">
            <w:pPr>
              <w:pStyle w:val="Tabletext"/>
              <w:tabs>
                <w:tab w:val="clear" w:pos="284"/>
                <w:tab w:val="left" w:pos="463"/>
              </w:tabs>
              <w:jc w:val="both"/>
              <w:rPr>
                <w:lang w:val="es-ES_tradnl" w:eastAsia="nl-NL"/>
              </w:rPr>
            </w:pPr>
            <w:r w:rsidRPr="00537CF6">
              <w:rPr>
                <w:lang w:val="es-ES_tradnl" w:eastAsia="nl-NL"/>
              </w:rPr>
              <w:t>En el marco de los estudios considerados sobre el punto 1.6 del orden del día de la CMR</w:t>
            </w:r>
            <w:r w:rsidR="00E2199B">
              <w:rPr>
                <w:lang w:val="es-ES_tradnl" w:eastAsia="nl-NL"/>
              </w:rPr>
              <w:noBreakHyphen/>
            </w:r>
            <w:r w:rsidRPr="00537CF6">
              <w:rPr>
                <w:lang w:val="es-ES_tradnl" w:eastAsia="nl-NL"/>
              </w:rPr>
              <w:t>19, se presentó al UIT-R un estudio preliminar sobre la protección de los sensores del SETS (pasivo) que funcionan en la banda de frecuencias 36-37 GHz. Este estudio preliminar indicó que puede ser necesario no sobrepasar un valor de la p.i.r.e. fuera de banda de –34 dBW/100 MHz para todo ángulo superior a 71,4 grados desde el nadir, para estaciones espaciales no OSG del SFS que funcionen en la banda de frecuencias 37,5-38 GHz. Además, no se ha estudiado la interferencia sobre el canal de calibración fría del sensor del SETS (pasivo) en la banda de frecuencias 36</w:t>
            </w:r>
            <w:r w:rsidRPr="00537CF6">
              <w:rPr>
                <w:lang w:val="es-ES_tradnl" w:eastAsia="nl-NL"/>
              </w:rPr>
              <w:noBreakHyphen/>
              <w:t>37 GHz.</w:t>
            </w:r>
          </w:p>
          <w:p w14:paraId="7E2EBE43" w14:textId="77777777" w:rsidR="00D0248C" w:rsidRPr="00537CF6" w:rsidRDefault="00D0248C" w:rsidP="00BD2741">
            <w:pPr>
              <w:pStyle w:val="Tabletext"/>
              <w:tabs>
                <w:tab w:val="clear" w:pos="284"/>
                <w:tab w:val="left" w:pos="463"/>
              </w:tabs>
              <w:jc w:val="both"/>
              <w:rPr>
                <w:lang w:val="es-ES_tradnl" w:eastAsia="nl-NL"/>
              </w:rPr>
            </w:pPr>
            <w:r w:rsidRPr="00537CF6">
              <w:rPr>
                <w:lang w:val="es-ES_tradnl" w:eastAsia="nl-NL"/>
              </w:rPr>
              <w:t>La CMR-19 invita al UIT-R a que realice estudios adicionales sobre este asunto y elabore Recomendaciones y/o Informes, según convenga, y que informe a la CMR-23 a fin de adoptar medidas en caso de ser necesario.</w:t>
            </w:r>
          </w:p>
          <w:p w14:paraId="0CCEEF1F" w14:textId="61953665" w:rsidR="004A7B85" w:rsidRPr="00E2199B" w:rsidRDefault="00D0248C" w:rsidP="00BD2741">
            <w:pPr>
              <w:pStyle w:val="Tabletext"/>
              <w:tabs>
                <w:tab w:val="clear" w:pos="284"/>
                <w:tab w:val="left" w:pos="463"/>
              </w:tabs>
              <w:jc w:val="both"/>
              <w:rPr>
                <w:lang w:val="es-ES" w:eastAsia="nl-NL"/>
              </w:rPr>
            </w:pPr>
            <w:r w:rsidRPr="00537CF6">
              <w:rPr>
                <w:lang w:val="es-ES_tradnl" w:eastAsia="nl-NL"/>
              </w:rPr>
              <w:t xml:space="preserve">Además, la CMR-19 acordó que las modificaciones a la Resolución </w:t>
            </w:r>
            <w:r w:rsidRPr="00537CF6">
              <w:rPr>
                <w:b/>
                <w:bCs/>
                <w:lang w:val="es-ES_tradnl" w:eastAsia="nl-NL"/>
              </w:rPr>
              <w:t>750 (</w:t>
            </w:r>
            <w:r w:rsidR="00E2199B">
              <w:rPr>
                <w:b/>
                <w:bCs/>
                <w:lang w:val="es-ES_tradnl" w:eastAsia="nl-NL"/>
              </w:rPr>
              <w:t>Rev.</w:t>
            </w:r>
            <w:r w:rsidRPr="00537CF6">
              <w:rPr>
                <w:b/>
                <w:bCs/>
                <w:lang w:val="es-ES_tradnl" w:eastAsia="nl-NL"/>
              </w:rPr>
              <w:t>CMR-19)</w:t>
            </w:r>
            <w:r w:rsidRPr="00537CF6">
              <w:rPr>
                <w:lang w:val="es-ES_tradnl" w:eastAsia="nl-NL"/>
              </w:rPr>
              <w:t xml:space="preserve"> no deberían considerar esos estudios dado que en el número </w:t>
            </w:r>
            <w:r w:rsidRPr="00537CF6">
              <w:rPr>
                <w:b/>
                <w:bCs/>
                <w:lang w:val="es-ES_tradnl" w:eastAsia="nl-NL"/>
              </w:rPr>
              <w:t>5.340</w:t>
            </w:r>
            <w:r w:rsidRPr="00537CF6">
              <w:rPr>
                <w:lang w:val="es-ES_tradnl" w:eastAsia="nl-NL"/>
              </w:rPr>
              <w:t xml:space="preserve"> no se hace referencia a la banda de frecuencias 36-37 GHz.</w:t>
            </w:r>
            <w:bookmarkEnd w:id="44"/>
          </w:p>
        </w:tc>
        <w:tc>
          <w:tcPr>
            <w:tcW w:w="1432" w:type="dxa"/>
            <w:gridSpan w:val="2"/>
          </w:tcPr>
          <w:p w14:paraId="2C7DC049" w14:textId="090E8DCB"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4A7B85">
              <w:rPr>
                <w:b/>
                <w:bCs/>
                <w:lang w:eastAsia="nl-NL"/>
              </w:rPr>
              <w:t xml:space="preserve"> 4A, </w:t>
            </w:r>
            <w:r w:rsidR="006B10FF">
              <w:rPr>
                <w:b/>
                <w:bCs/>
                <w:lang w:eastAsia="nl-NL"/>
              </w:rPr>
              <w:br/>
            </w:r>
            <w:r>
              <w:rPr>
                <w:b/>
                <w:bCs/>
                <w:lang w:eastAsia="nl-NL"/>
              </w:rPr>
              <w:t>GT</w:t>
            </w:r>
            <w:r w:rsidR="004A7B85" w:rsidRPr="004A7B85">
              <w:rPr>
                <w:b/>
                <w:bCs/>
                <w:lang w:eastAsia="nl-NL"/>
              </w:rPr>
              <w:t xml:space="preserve"> 5A, </w:t>
            </w:r>
            <w:r w:rsidR="006B10FF">
              <w:rPr>
                <w:b/>
                <w:bCs/>
                <w:lang w:eastAsia="nl-NL"/>
              </w:rPr>
              <w:br/>
            </w:r>
            <w:r>
              <w:rPr>
                <w:b/>
                <w:bCs/>
                <w:lang w:eastAsia="nl-NL"/>
              </w:rPr>
              <w:t>GT</w:t>
            </w:r>
            <w:r w:rsidR="004A7B85" w:rsidRPr="004A7B85">
              <w:rPr>
                <w:b/>
                <w:bCs/>
                <w:lang w:eastAsia="nl-NL"/>
              </w:rPr>
              <w:t> 5C,</w:t>
            </w:r>
            <w:r w:rsidR="006B10FF">
              <w:rPr>
                <w:b/>
                <w:bCs/>
                <w:lang w:eastAsia="nl-NL"/>
              </w:rPr>
              <w:br/>
            </w:r>
            <w:r>
              <w:rPr>
                <w:b/>
                <w:bCs/>
                <w:lang w:eastAsia="nl-NL"/>
              </w:rPr>
              <w:t>GT</w:t>
            </w:r>
            <w:r w:rsidR="004A7B85" w:rsidRPr="004A7B85">
              <w:rPr>
                <w:b/>
                <w:bCs/>
                <w:lang w:eastAsia="nl-NL"/>
              </w:rPr>
              <w:t> 5D</w:t>
            </w:r>
          </w:p>
        </w:tc>
      </w:tr>
      <w:tr w:rsidR="004A7B85" w:rsidRPr="00CE4E08" w14:paraId="19F375E4" w14:textId="77777777" w:rsidTr="003F05FF">
        <w:trPr>
          <w:cantSplit/>
          <w:jc w:val="center"/>
        </w:trPr>
        <w:tc>
          <w:tcPr>
            <w:tcW w:w="14058" w:type="dxa"/>
            <w:gridSpan w:val="5"/>
          </w:tcPr>
          <w:p w14:paraId="7F84851C" w14:textId="473CDF4F" w:rsidR="004A7B85" w:rsidRPr="00207DE5" w:rsidRDefault="004A7B85" w:rsidP="00C10E36">
            <w:pPr>
              <w:pStyle w:val="Tabletext"/>
              <w:keepNext/>
              <w:keepLines/>
              <w:tabs>
                <w:tab w:val="clear" w:pos="284"/>
                <w:tab w:val="left" w:pos="594"/>
              </w:tabs>
              <w:rPr>
                <w:bCs/>
                <w:lang w:val="es-ES" w:eastAsia="nl-NL"/>
              </w:rPr>
            </w:pPr>
            <w:r w:rsidRPr="00207DE5">
              <w:rPr>
                <w:bCs/>
                <w:lang w:val="es-ES" w:eastAsia="nl-NL"/>
              </w:rPr>
              <w:lastRenderedPageBreak/>
              <w:t>9.2</w:t>
            </w:r>
            <w:r w:rsidRPr="00207DE5">
              <w:rPr>
                <w:bCs/>
                <w:lang w:val="es-ES" w:eastAsia="nl-NL"/>
              </w:rPr>
              <w:tab/>
            </w:r>
            <w:r w:rsidR="00A66ACE" w:rsidRPr="00207DE5">
              <w:rPr>
                <w:bCs/>
                <w:lang w:val="es-ES" w:eastAsia="nl-NL"/>
              </w:rPr>
              <w:t>sobre las dificultades o incoherencias observadas en la aplicación del Reglamento de Radiocomunicaciones, y</w:t>
            </w:r>
            <w:r w:rsidR="00A66ACE" w:rsidRPr="00E2199B">
              <w:rPr>
                <w:rStyle w:val="FootnoteReference"/>
                <w:lang w:val="es-ES"/>
              </w:rPr>
              <w:footnoteReference w:customMarkFollows="1" w:id="12"/>
              <w:t>1</w:t>
            </w:r>
          </w:p>
        </w:tc>
      </w:tr>
      <w:tr w:rsidR="004A7B85" w:rsidRPr="004A7B85" w14:paraId="0240E118" w14:textId="77777777" w:rsidTr="003F05FF">
        <w:trPr>
          <w:cantSplit/>
          <w:jc w:val="center"/>
        </w:trPr>
        <w:tc>
          <w:tcPr>
            <w:tcW w:w="3304" w:type="dxa"/>
          </w:tcPr>
          <w:p w14:paraId="2BFE62E7" w14:textId="77777777" w:rsidR="004A7B85" w:rsidRPr="004A7B85" w:rsidRDefault="004A7B85" w:rsidP="00C10E36">
            <w:pPr>
              <w:keepNext/>
              <w:keepLines/>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eastAsia="nl-NL"/>
              </w:rPr>
            </w:pPr>
            <w:r w:rsidRPr="004A7B85">
              <w:rPr>
                <w:sz w:val="20"/>
                <w:lang w:eastAsia="nl-NL"/>
              </w:rPr>
              <w:t>–</w:t>
            </w:r>
          </w:p>
        </w:tc>
        <w:tc>
          <w:tcPr>
            <w:tcW w:w="1516" w:type="dxa"/>
          </w:tcPr>
          <w:p w14:paraId="5924FECD" w14:textId="77777777" w:rsidR="004A7B85" w:rsidRPr="004A7B85" w:rsidRDefault="004A7B85" w:rsidP="00BD2741">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4A7B85">
              <w:rPr>
                <w:sz w:val="20"/>
                <w:lang w:eastAsia="nl-NL"/>
              </w:rPr>
              <w:t>–</w:t>
            </w:r>
          </w:p>
        </w:tc>
        <w:tc>
          <w:tcPr>
            <w:tcW w:w="7806" w:type="dxa"/>
          </w:tcPr>
          <w:p w14:paraId="7B4FD1DD" w14:textId="77777777" w:rsidR="004A7B85" w:rsidRPr="004A7B85" w:rsidRDefault="004A7B85"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eastAsia="nl-NL"/>
              </w:rPr>
            </w:pPr>
            <w:r w:rsidRPr="004A7B85">
              <w:rPr>
                <w:sz w:val="20"/>
                <w:lang w:eastAsia="nl-NL"/>
              </w:rPr>
              <w:t>–</w:t>
            </w:r>
          </w:p>
        </w:tc>
        <w:tc>
          <w:tcPr>
            <w:tcW w:w="1432" w:type="dxa"/>
            <w:gridSpan w:val="2"/>
          </w:tcPr>
          <w:p w14:paraId="403311DB" w14:textId="77777777" w:rsidR="004A7B85" w:rsidRPr="004A7B85" w:rsidRDefault="004A7B85" w:rsidP="00BD2741">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eastAsia="nl-NL"/>
              </w:rPr>
            </w:pPr>
            <w:r w:rsidRPr="004A7B85">
              <w:rPr>
                <w:sz w:val="20"/>
                <w:lang w:eastAsia="nl-NL"/>
              </w:rPr>
              <w:t>–</w:t>
            </w:r>
          </w:p>
        </w:tc>
      </w:tr>
      <w:tr w:rsidR="004A7B85" w:rsidRPr="00CE4E08" w14:paraId="6483BE47" w14:textId="77777777" w:rsidTr="003F05FF">
        <w:trPr>
          <w:cantSplit/>
          <w:jc w:val="center"/>
        </w:trPr>
        <w:tc>
          <w:tcPr>
            <w:tcW w:w="14058" w:type="dxa"/>
            <w:gridSpan w:val="5"/>
          </w:tcPr>
          <w:p w14:paraId="0E0803BA" w14:textId="1C76B49E" w:rsidR="004A7B85" w:rsidRPr="00207DE5" w:rsidRDefault="004A7B85" w:rsidP="00E56659">
            <w:pPr>
              <w:pStyle w:val="Tabletext"/>
              <w:keepNext/>
              <w:tabs>
                <w:tab w:val="clear" w:pos="284"/>
                <w:tab w:val="left" w:pos="594"/>
              </w:tabs>
              <w:rPr>
                <w:bCs/>
                <w:lang w:val="es-ES" w:eastAsia="nl-NL"/>
              </w:rPr>
            </w:pPr>
            <w:r w:rsidRPr="00207DE5">
              <w:rPr>
                <w:bCs/>
                <w:lang w:val="es-ES" w:eastAsia="nl-NL"/>
              </w:rPr>
              <w:t>9.3</w:t>
            </w:r>
            <w:r w:rsidRPr="00207DE5">
              <w:rPr>
                <w:bCs/>
                <w:lang w:val="es-ES" w:eastAsia="nl-NL"/>
              </w:rPr>
              <w:tab/>
            </w:r>
            <w:r w:rsidR="00A66ACE" w:rsidRPr="00207DE5">
              <w:rPr>
                <w:bCs/>
                <w:lang w:val="es-ES" w:eastAsia="nl-NL"/>
              </w:rPr>
              <w:t xml:space="preserve">sobre acciones en respuesta a la Resolución </w:t>
            </w:r>
            <w:r w:rsidR="00A66ACE" w:rsidRPr="00207DE5">
              <w:rPr>
                <w:b/>
                <w:lang w:val="es-ES" w:eastAsia="nl-NL"/>
              </w:rPr>
              <w:t>80 (Rev.CMR-07)</w:t>
            </w:r>
            <w:r w:rsidR="00A66ACE" w:rsidRPr="00207DE5">
              <w:rPr>
                <w:bCs/>
                <w:lang w:val="es-ES" w:eastAsia="nl-NL"/>
              </w:rPr>
              <w:t>;</w:t>
            </w:r>
          </w:p>
        </w:tc>
      </w:tr>
      <w:tr w:rsidR="004A7B85" w:rsidRPr="004A7B85" w14:paraId="53AFDEBA" w14:textId="77777777" w:rsidTr="003F05FF">
        <w:trPr>
          <w:cantSplit/>
          <w:jc w:val="center"/>
        </w:trPr>
        <w:tc>
          <w:tcPr>
            <w:tcW w:w="3304" w:type="dxa"/>
          </w:tcPr>
          <w:p w14:paraId="2D27941E" w14:textId="7040550D" w:rsidR="004A7B85" w:rsidRPr="00537CF6" w:rsidRDefault="00537CF6" w:rsidP="00537CF6">
            <w:pPr>
              <w:pStyle w:val="Tabletext"/>
              <w:tabs>
                <w:tab w:val="clear" w:pos="284"/>
                <w:tab w:val="left" w:pos="463"/>
              </w:tabs>
              <w:rPr>
                <w:b/>
                <w:lang w:val="es-ES" w:eastAsia="nl-NL"/>
              </w:rPr>
            </w:pPr>
            <w:r w:rsidRPr="00537CF6">
              <w:rPr>
                <w:lang w:val="es-ES" w:eastAsia="nl-NL"/>
              </w:rPr>
              <w:t>Resolución</w:t>
            </w:r>
            <w:r w:rsidR="004A7B85" w:rsidRPr="00537CF6">
              <w:rPr>
                <w:b/>
                <w:lang w:val="es-ES" w:eastAsia="nl-NL"/>
              </w:rPr>
              <w:t> 80 (Rev.</w:t>
            </w:r>
            <w:r w:rsidR="00FD39FB" w:rsidRPr="00537CF6">
              <w:rPr>
                <w:b/>
                <w:lang w:val="es-ES" w:eastAsia="nl-NL"/>
              </w:rPr>
              <w:t>CMR</w:t>
            </w:r>
            <w:r w:rsidR="004A7B85" w:rsidRPr="00537CF6">
              <w:rPr>
                <w:b/>
                <w:lang w:val="es-ES" w:eastAsia="nl-NL"/>
              </w:rPr>
              <w:noBreakHyphen/>
              <w:t>07)</w:t>
            </w:r>
          </w:p>
          <w:p w14:paraId="626A1312" w14:textId="330A85A4" w:rsidR="004A7B85" w:rsidRPr="00537CF6" w:rsidRDefault="003419ED" w:rsidP="00537CF6">
            <w:pPr>
              <w:pStyle w:val="Tabletext"/>
              <w:tabs>
                <w:tab w:val="clear" w:pos="284"/>
                <w:tab w:val="left" w:pos="463"/>
              </w:tabs>
              <w:rPr>
                <w:color w:val="000000"/>
                <w:lang w:val="es-ES" w:eastAsia="nl-NL"/>
              </w:rPr>
            </w:pPr>
            <w:bookmarkStart w:id="45" w:name="_Toc328141266"/>
            <w:r w:rsidRPr="00537CF6">
              <w:rPr>
                <w:color w:val="000000"/>
                <w:lang w:val="es-ES_tradnl" w:eastAsia="nl-NL"/>
              </w:rPr>
              <w:t xml:space="preserve">Diligencia debida en la aplicación de los </w:t>
            </w:r>
            <w:r w:rsidRPr="00537CF6">
              <w:rPr>
                <w:lang w:val="es-ES" w:eastAsia="nl-NL"/>
              </w:rPr>
              <w:t>principios</w:t>
            </w:r>
            <w:r w:rsidR="00537CF6" w:rsidRPr="00537CF6">
              <w:rPr>
                <w:lang w:val="es-ES" w:eastAsia="nl-NL"/>
              </w:rPr>
              <w:t xml:space="preserve"> </w:t>
            </w:r>
            <w:r w:rsidRPr="00537CF6">
              <w:rPr>
                <w:color w:val="000000"/>
                <w:lang w:val="es-ES_tradnl" w:eastAsia="nl-NL"/>
              </w:rPr>
              <w:t>recogidos en la Constitución</w:t>
            </w:r>
            <w:bookmarkEnd w:id="45"/>
          </w:p>
        </w:tc>
        <w:tc>
          <w:tcPr>
            <w:tcW w:w="1516" w:type="dxa"/>
          </w:tcPr>
          <w:p w14:paraId="1A6A8105" w14:textId="77777777" w:rsidR="004A7B85" w:rsidRPr="004A7B85" w:rsidRDefault="004A7B85" w:rsidP="00537CF6">
            <w:pPr>
              <w:pStyle w:val="Tabletext"/>
              <w:tabs>
                <w:tab w:val="clear" w:pos="284"/>
                <w:tab w:val="left" w:pos="463"/>
              </w:tabs>
              <w:jc w:val="center"/>
              <w:rPr>
                <w:lang w:eastAsia="nl-NL"/>
              </w:rPr>
            </w:pPr>
            <w:r w:rsidRPr="004A7B85">
              <w:rPr>
                <w:lang w:eastAsia="nl-NL"/>
              </w:rPr>
              <w:t>–</w:t>
            </w:r>
          </w:p>
        </w:tc>
        <w:tc>
          <w:tcPr>
            <w:tcW w:w="7806" w:type="dxa"/>
          </w:tcPr>
          <w:p w14:paraId="02E44A60" w14:textId="78C54E70" w:rsidR="004A7B85" w:rsidRPr="00537CF6" w:rsidRDefault="003419ED" w:rsidP="004A2293">
            <w:pPr>
              <w:pStyle w:val="Tabletext"/>
              <w:tabs>
                <w:tab w:val="clear" w:pos="284"/>
                <w:tab w:val="left" w:pos="463"/>
              </w:tabs>
              <w:ind w:left="454"/>
              <w:jc w:val="both"/>
              <w:rPr>
                <w:rFonts w:eastAsia="???"/>
                <w:i/>
                <w:iCs/>
                <w:lang w:val="es-ES" w:eastAsia="nl-NL"/>
              </w:rPr>
            </w:pPr>
            <w:r w:rsidRPr="00537CF6">
              <w:rPr>
                <w:rFonts w:eastAsia="???"/>
                <w:i/>
                <w:iCs/>
                <w:lang w:val="es-ES" w:eastAsia="nl-NL"/>
              </w:rPr>
              <w:t>resuelve</w:t>
            </w:r>
          </w:p>
          <w:p w14:paraId="2A48ADFB" w14:textId="77777777" w:rsidR="003419ED" w:rsidRPr="00537CF6" w:rsidRDefault="003419ED" w:rsidP="004A2293">
            <w:pPr>
              <w:pStyle w:val="Tabletext"/>
              <w:tabs>
                <w:tab w:val="clear" w:pos="284"/>
                <w:tab w:val="left" w:pos="463"/>
              </w:tabs>
              <w:jc w:val="both"/>
              <w:rPr>
                <w:lang w:val="es-ES_tradnl" w:eastAsia="nl-NL"/>
              </w:rPr>
            </w:pPr>
            <w:r w:rsidRPr="00537CF6">
              <w:rPr>
                <w:lang w:val="es-ES_tradnl" w:eastAsia="nl-NL"/>
              </w:rPr>
              <w:t>1</w:t>
            </w:r>
            <w:r w:rsidRPr="00537CF6">
              <w:rPr>
                <w:lang w:val="es-ES_tradnl" w:eastAsia="nl-NL"/>
              </w:rPr>
              <w:tab/>
              <w:t>encargar al Sector de Radiocomunicaciones, de conformidad con el número 1 del Artículo 12 de la Constitución, que realice estudios sobre los procedimientos que permitan ponderar y analizar la aplicación de los principios básicos contenidos en el Artículo 44 de la Constitución;</w:t>
            </w:r>
          </w:p>
          <w:p w14:paraId="41473E0A" w14:textId="77777777" w:rsidR="003419ED" w:rsidRPr="00537CF6" w:rsidRDefault="003419ED" w:rsidP="004A2293">
            <w:pPr>
              <w:pStyle w:val="Tabletext"/>
              <w:tabs>
                <w:tab w:val="clear" w:pos="284"/>
                <w:tab w:val="left" w:pos="463"/>
              </w:tabs>
              <w:jc w:val="both"/>
              <w:rPr>
                <w:lang w:val="es-ES_tradnl" w:eastAsia="nl-NL"/>
              </w:rPr>
            </w:pPr>
            <w:r w:rsidRPr="00537CF6">
              <w:rPr>
                <w:lang w:val="es-ES_tradnl" w:eastAsia="nl-NL"/>
              </w:rPr>
              <w:t>2</w:t>
            </w:r>
            <w:r w:rsidRPr="00537CF6">
              <w:rPr>
                <w:lang w:val="es-ES_tradnl" w:eastAsia="nl-NL"/>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44 de la Constitución y el número </w:t>
            </w:r>
            <w:r w:rsidRPr="00537CF6">
              <w:rPr>
                <w:b/>
                <w:lang w:val="es-ES_tradnl" w:eastAsia="nl-NL"/>
              </w:rPr>
              <w:t>0.3</w:t>
            </w:r>
            <w:r w:rsidRPr="00537CF6">
              <w:rPr>
                <w:lang w:val="es-ES_tradnl" w:eastAsia="nl-NL"/>
              </w:rPr>
              <w:t xml:space="preserve"> del Preámbulo del Reglamento de Radiocomunicaciones y que presente un informe a cada futura Conferencia Mundial de Radiocomunicaciones en relación con la presente Resolución;</w:t>
            </w:r>
          </w:p>
          <w:p w14:paraId="6523E6E3" w14:textId="77777777" w:rsidR="003419ED" w:rsidRPr="00537CF6" w:rsidRDefault="003419ED" w:rsidP="004A2293">
            <w:pPr>
              <w:pStyle w:val="Tabletext"/>
              <w:tabs>
                <w:tab w:val="clear" w:pos="284"/>
                <w:tab w:val="left" w:pos="463"/>
              </w:tabs>
              <w:jc w:val="both"/>
              <w:rPr>
                <w:lang w:val="es-ES_tradnl" w:eastAsia="nl-NL"/>
              </w:rPr>
            </w:pPr>
            <w:r w:rsidRPr="00537CF6">
              <w:rPr>
                <w:lang w:val="es-ES_tradnl" w:eastAsia="nl-NL"/>
              </w:rPr>
              <w:t>3</w:t>
            </w:r>
            <w:r w:rsidRPr="00537CF6">
              <w:rPr>
                <w:lang w:val="es-ES_tradnl" w:eastAsia="nl-NL"/>
              </w:rPr>
              <w:tab/>
              <w:t>encargar al Director de la Oficina de Radiocomunicaciones que presente a las futuras Conferencias Mundiales de Radiocomunicaciones un informe detallado sobre los progresos obtenidos en cuanto al cumplimiento de esta Resolución,</w:t>
            </w:r>
          </w:p>
          <w:p w14:paraId="2D5D89D4" w14:textId="77777777" w:rsidR="003419ED" w:rsidRPr="00537CF6" w:rsidRDefault="003419ED" w:rsidP="004A2293">
            <w:pPr>
              <w:pStyle w:val="Tabletext"/>
              <w:tabs>
                <w:tab w:val="clear" w:pos="284"/>
                <w:tab w:val="left" w:pos="463"/>
              </w:tabs>
              <w:ind w:left="454"/>
              <w:jc w:val="both"/>
              <w:rPr>
                <w:rFonts w:eastAsia="???"/>
                <w:i/>
                <w:iCs/>
                <w:lang w:val="es-ES" w:eastAsia="nl-NL"/>
              </w:rPr>
            </w:pPr>
            <w:r w:rsidRPr="00537CF6">
              <w:rPr>
                <w:rFonts w:eastAsia="???"/>
                <w:i/>
                <w:iCs/>
                <w:lang w:val="es-ES" w:eastAsia="nl-NL"/>
              </w:rPr>
              <w:t>invita</w:t>
            </w:r>
          </w:p>
          <w:p w14:paraId="787D4B0D" w14:textId="77777777" w:rsidR="003419ED" w:rsidRPr="00537CF6" w:rsidRDefault="003419ED" w:rsidP="004A2293">
            <w:pPr>
              <w:pStyle w:val="Tabletext"/>
              <w:tabs>
                <w:tab w:val="clear" w:pos="284"/>
                <w:tab w:val="left" w:pos="463"/>
              </w:tabs>
              <w:jc w:val="both"/>
              <w:rPr>
                <w:lang w:val="es-ES_tradnl" w:eastAsia="nl-NL"/>
              </w:rPr>
            </w:pPr>
            <w:r w:rsidRPr="00537CF6">
              <w:rPr>
                <w:lang w:val="es-ES_tradnl" w:eastAsia="nl-NL"/>
              </w:rPr>
              <w:t>1</w:t>
            </w:r>
            <w:r w:rsidRPr="00537CF6">
              <w:rPr>
                <w:lang w:val="es-ES_tradnl" w:eastAsia="nl-NL"/>
              </w:rPr>
              <w:tab/>
              <w:t>a los demás órganos del Sector de Radiocomunicaciones, en particular al Grupo Asesor de Radiocomunicaciones, a presentar Contribuciones pertinentes al Director de la Oficina de Radiocomunicaciones para que las incluya en su informe a las futuras Conferencias Mundiales de Radiocomunicaciones;</w:t>
            </w:r>
          </w:p>
          <w:p w14:paraId="1AC12FA9" w14:textId="4DC945EC" w:rsidR="004A7B85" w:rsidRPr="00537CF6" w:rsidRDefault="003419ED" w:rsidP="004A2293">
            <w:pPr>
              <w:pStyle w:val="Tabletext"/>
              <w:tabs>
                <w:tab w:val="clear" w:pos="284"/>
                <w:tab w:val="left" w:pos="463"/>
              </w:tabs>
              <w:jc w:val="both"/>
              <w:rPr>
                <w:lang w:val="es-ES" w:eastAsia="nl-NL"/>
              </w:rPr>
            </w:pPr>
            <w:r w:rsidRPr="00537CF6">
              <w:rPr>
                <w:lang w:val="es-ES_tradnl" w:eastAsia="nl-NL"/>
              </w:rPr>
              <w:t>2</w:t>
            </w:r>
            <w:r w:rsidRPr="00537CF6">
              <w:rPr>
                <w:lang w:val="es-ES_tradnl" w:eastAsia="nl-NL"/>
              </w:rPr>
              <w:tab/>
              <w:t xml:space="preserve">a las administraciones a contribuir a los estudios mencionados en el </w:t>
            </w:r>
            <w:r w:rsidRPr="00537CF6">
              <w:rPr>
                <w:i/>
                <w:iCs/>
                <w:lang w:val="es-ES_tradnl" w:eastAsia="nl-NL"/>
              </w:rPr>
              <w:t>resuelve</w:t>
            </w:r>
            <w:r w:rsidRPr="00537CF6">
              <w:rPr>
                <w:lang w:val="es-ES_tradnl" w:eastAsia="nl-NL"/>
              </w:rPr>
              <w:t xml:space="preserve"> 1 y a los trabajos de la Junta del Reglamento de Radiocomunicaciones detallados en el </w:t>
            </w:r>
            <w:r w:rsidRPr="00537CF6">
              <w:rPr>
                <w:i/>
                <w:iCs/>
                <w:lang w:val="es-ES_tradnl" w:eastAsia="nl-NL"/>
              </w:rPr>
              <w:t>resuelve</w:t>
            </w:r>
            <w:r w:rsidRPr="00537CF6">
              <w:rPr>
                <w:lang w:val="es-ES_tradnl" w:eastAsia="nl-NL"/>
              </w:rPr>
              <w:t> 2</w:t>
            </w:r>
            <w:r w:rsidR="00C10E36">
              <w:rPr>
                <w:lang w:val="es-ES_tradnl" w:eastAsia="nl-NL"/>
              </w:rPr>
              <w:t>.</w:t>
            </w:r>
          </w:p>
        </w:tc>
        <w:tc>
          <w:tcPr>
            <w:tcW w:w="1432" w:type="dxa"/>
            <w:gridSpan w:val="2"/>
          </w:tcPr>
          <w:p w14:paraId="004E3765" w14:textId="10FE7C9A" w:rsidR="004A7B85" w:rsidRPr="006B10FF" w:rsidRDefault="00A92266" w:rsidP="006B10FF">
            <w:pPr>
              <w:pStyle w:val="Tabletext"/>
              <w:tabs>
                <w:tab w:val="clear" w:pos="284"/>
                <w:tab w:val="left" w:pos="463"/>
              </w:tabs>
              <w:jc w:val="center"/>
              <w:rPr>
                <w:b/>
                <w:bCs/>
                <w:lang w:eastAsia="nl-NL"/>
              </w:rPr>
            </w:pPr>
            <w:r>
              <w:rPr>
                <w:b/>
                <w:bCs/>
                <w:lang w:eastAsia="nl-NL"/>
              </w:rPr>
              <w:t>GT</w:t>
            </w:r>
            <w:r w:rsidR="004A7B85" w:rsidRPr="004A7B85">
              <w:rPr>
                <w:b/>
                <w:bCs/>
                <w:lang w:eastAsia="nl-NL"/>
              </w:rPr>
              <w:t> 4A</w:t>
            </w:r>
          </w:p>
        </w:tc>
      </w:tr>
      <w:tr w:rsidR="004A7B85" w:rsidRPr="00CE4E08" w14:paraId="15938550" w14:textId="77777777" w:rsidTr="003F05FF">
        <w:trPr>
          <w:cantSplit/>
          <w:jc w:val="center"/>
        </w:trPr>
        <w:tc>
          <w:tcPr>
            <w:tcW w:w="14058" w:type="dxa"/>
            <w:gridSpan w:val="5"/>
          </w:tcPr>
          <w:p w14:paraId="362A733C" w14:textId="4872F077" w:rsidR="004A7B85" w:rsidRPr="00207DE5" w:rsidRDefault="004A7B85" w:rsidP="004A2293">
            <w:pPr>
              <w:pStyle w:val="Tabletext"/>
              <w:keepNext/>
              <w:tabs>
                <w:tab w:val="clear" w:pos="284"/>
                <w:tab w:val="left" w:pos="594"/>
              </w:tabs>
              <w:jc w:val="both"/>
              <w:rPr>
                <w:bCs/>
                <w:lang w:val="es-ES" w:eastAsia="nl-NL"/>
              </w:rPr>
            </w:pPr>
            <w:r w:rsidRPr="00207DE5">
              <w:rPr>
                <w:bCs/>
                <w:lang w:val="es-ES" w:eastAsia="nl-NL"/>
              </w:rPr>
              <w:lastRenderedPageBreak/>
              <w:t>10</w:t>
            </w:r>
            <w:r w:rsidRPr="00207DE5">
              <w:rPr>
                <w:bCs/>
                <w:lang w:val="es-ES" w:eastAsia="nl-NL"/>
              </w:rPr>
              <w:tab/>
            </w:r>
            <w:r w:rsidR="00A66ACE" w:rsidRPr="00207DE5">
              <w:rPr>
                <w:bCs/>
                <w:lang w:val="es-ES" w:eastAsia="nl-NL"/>
              </w:rPr>
              <w:t xml:space="preserve">recomendar al Consejo los puntos que debe contener el orden del día de la próxima CMR y los temas a incluir en el orden del día preliminar de futuras conferencias, de conformidad con el Artículo 7 del Convenio y la Resolución </w:t>
            </w:r>
            <w:r w:rsidR="00A66ACE" w:rsidRPr="00207DE5">
              <w:rPr>
                <w:b/>
                <w:lang w:val="es-ES" w:eastAsia="nl-NL"/>
              </w:rPr>
              <w:t>804 (Rev.CMR-19)</w:t>
            </w:r>
            <w:r w:rsidR="00C10E36" w:rsidRPr="00C10E36">
              <w:rPr>
                <w:bCs/>
                <w:lang w:val="es-ES" w:eastAsia="nl-NL"/>
              </w:rPr>
              <w:t>;</w:t>
            </w:r>
          </w:p>
        </w:tc>
      </w:tr>
      <w:tr w:rsidR="004A7B85" w:rsidRPr="00DA5CCB" w14:paraId="679D1345" w14:textId="77777777" w:rsidTr="003F05FF">
        <w:trPr>
          <w:cantSplit/>
          <w:jc w:val="center"/>
        </w:trPr>
        <w:tc>
          <w:tcPr>
            <w:tcW w:w="3304" w:type="dxa"/>
          </w:tcPr>
          <w:p w14:paraId="576E1099" w14:textId="6053129E" w:rsidR="004A7B85" w:rsidRPr="00537CF6" w:rsidRDefault="004A7B85" w:rsidP="00537CF6">
            <w:pPr>
              <w:pStyle w:val="Tabletext"/>
              <w:tabs>
                <w:tab w:val="clear" w:pos="284"/>
                <w:tab w:val="left" w:pos="463"/>
              </w:tabs>
              <w:rPr>
                <w:lang w:val="es-ES" w:eastAsia="nl-NL"/>
              </w:rPr>
            </w:pPr>
            <w:r w:rsidRPr="00537CF6">
              <w:rPr>
                <w:lang w:val="es-ES" w:eastAsia="nl-NL"/>
              </w:rPr>
              <w:t>Resolu</w:t>
            </w:r>
            <w:r w:rsidR="00A7694B" w:rsidRPr="00537CF6">
              <w:rPr>
                <w:lang w:val="es-ES" w:eastAsia="nl-NL"/>
              </w:rPr>
              <w:t>ció</w:t>
            </w:r>
            <w:r w:rsidRPr="00537CF6">
              <w:rPr>
                <w:lang w:val="es-ES" w:eastAsia="nl-NL"/>
              </w:rPr>
              <w:t>n </w:t>
            </w:r>
            <w:r w:rsidRPr="00537CF6">
              <w:rPr>
                <w:b/>
                <w:bCs/>
                <w:lang w:val="es-ES" w:eastAsia="nl-NL"/>
              </w:rPr>
              <w:t>804 (Rev.</w:t>
            </w:r>
            <w:r w:rsidR="00FD39FB" w:rsidRPr="00537CF6">
              <w:rPr>
                <w:b/>
                <w:bCs/>
                <w:lang w:val="es-ES_tradnl" w:eastAsia="nl-NL"/>
              </w:rPr>
              <w:t>CMR</w:t>
            </w:r>
            <w:r w:rsidRPr="00537CF6">
              <w:rPr>
                <w:b/>
                <w:bCs/>
                <w:lang w:val="es-ES" w:eastAsia="nl-NL"/>
              </w:rPr>
              <w:noBreakHyphen/>
              <w:t>19)</w:t>
            </w:r>
          </w:p>
          <w:p w14:paraId="347FA2D0" w14:textId="2C74DF5C" w:rsidR="004A7B85" w:rsidRPr="00537CF6" w:rsidRDefault="00A7694B" w:rsidP="00537CF6">
            <w:pPr>
              <w:pStyle w:val="Tabletext"/>
              <w:tabs>
                <w:tab w:val="clear" w:pos="284"/>
                <w:tab w:val="left" w:pos="463"/>
              </w:tabs>
              <w:rPr>
                <w:sz w:val="22"/>
                <w:lang w:val="es-ES" w:eastAsia="nl-NL"/>
              </w:rPr>
            </w:pPr>
            <w:bookmarkStart w:id="46" w:name="_Toc320536606"/>
            <w:bookmarkStart w:id="47" w:name="_Toc328141491"/>
            <w:bookmarkStart w:id="48" w:name="_Toc319401920"/>
            <w:bookmarkStart w:id="49" w:name="_Toc327364583"/>
            <w:bookmarkStart w:id="50" w:name="_Toc450048853"/>
            <w:r w:rsidRPr="00537CF6">
              <w:rPr>
                <w:lang w:val="es-ES" w:eastAsia="nl-NL"/>
              </w:rPr>
              <w:t>Principios</w:t>
            </w:r>
            <w:r w:rsidRPr="00537CF6">
              <w:rPr>
                <w:lang w:val="es-ES_tradnl" w:eastAsia="nl-NL"/>
              </w:rPr>
              <w:t xml:space="preserve"> para establecer el orden del día de las Conferencias Mundiales de Radiocomunicaciones</w:t>
            </w:r>
            <w:bookmarkEnd w:id="46"/>
            <w:bookmarkEnd w:id="47"/>
            <w:bookmarkEnd w:id="48"/>
            <w:bookmarkEnd w:id="49"/>
            <w:bookmarkEnd w:id="50"/>
          </w:p>
        </w:tc>
        <w:tc>
          <w:tcPr>
            <w:tcW w:w="1516" w:type="dxa"/>
          </w:tcPr>
          <w:p w14:paraId="1F95C840" w14:textId="59588208" w:rsidR="004A7B85" w:rsidRPr="00E2199B" w:rsidRDefault="00AA3DC8" w:rsidP="006B10FF">
            <w:pPr>
              <w:pStyle w:val="Tabletext"/>
              <w:tabs>
                <w:tab w:val="clear" w:pos="284"/>
                <w:tab w:val="left" w:pos="463"/>
              </w:tabs>
              <w:jc w:val="center"/>
              <w:rPr>
                <w:b/>
                <w:bCs/>
                <w:lang w:val="es-ES" w:eastAsia="nl-NL"/>
              </w:rPr>
            </w:pPr>
            <w:r w:rsidRPr="00E2199B">
              <w:rPr>
                <w:b/>
                <w:bCs/>
                <w:lang w:val="es-ES" w:eastAsia="nl-NL"/>
              </w:rPr>
              <w:t>Véase el Anexo</w:t>
            </w:r>
            <w:r w:rsidR="00E2199B" w:rsidRPr="00E2199B">
              <w:rPr>
                <w:b/>
                <w:bCs/>
                <w:lang w:val="es-ES" w:eastAsia="nl-NL"/>
              </w:rPr>
              <w:t> </w:t>
            </w:r>
            <w:r w:rsidRPr="00E2199B">
              <w:rPr>
                <w:b/>
                <w:bCs/>
                <w:lang w:val="es-ES" w:eastAsia="nl-NL"/>
              </w:rPr>
              <w:t>8 a la presente Circular Administrativa</w:t>
            </w:r>
          </w:p>
        </w:tc>
        <w:tc>
          <w:tcPr>
            <w:tcW w:w="7806" w:type="dxa"/>
          </w:tcPr>
          <w:p w14:paraId="50300C0D" w14:textId="7D3D4E0B" w:rsidR="004A7B85" w:rsidRPr="00537CF6" w:rsidRDefault="00A7694B" w:rsidP="004A2293">
            <w:pPr>
              <w:pStyle w:val="Tabletext"/>
              <w:tabs>
                <w:tab w:val="clear" w:pos="284"/>
                <w:tab w:val="left" w:pos="463"/>
              </w:tabs>
              <w:ind w:left="454"/>
              <w:jc w:val="both"/>
              <w:rPr>
                <w:rFonts w:eastAsia="???"/>
                <w:i/>
                <w:iCs/>
                <w:lang w:val="es-ES" w:eastAsia="nl-NL"/>
              </w:rPr>
            </w:pPr>
            <w:r w:rsidRPr="00537CF6">
              <w:rPr>
                <w:rFonts w:eastAsia="???"/>
                <w:i/>
                <w:iCs/>
                <w:lang w:val="es-ES" w:eastAsia="nl-NL"/>
              </w:rPr>
              <w:t>resuelve</w:t>
            </w:r>
          </w:p>
          <w:p w14:paraId="0C665DD4" w14:textId="77777777" w:rsidR="00A7694B" w:rsidRPr="00537CF6" w:rsidRDefault="00A7694B" w:rsidP="004A2293">
            <w:pPr>
              <w:pStyle w:val="Tabletext"/>
              <w:tabs>
                <w:tab w:val="clear" w:pos="284"/>
                <w:tab w:val="left" w:pos="463"/>
              </w:tabs>
              <w:jc w:val="both"/>
              <w:rPr>
                <w:lang w:val="es-ES_tradnl" w:eastAsia="nl-NL"/>
              </w:rPr>
            </w:pPr>
            <w:r w:rsidRPr="00537CF6">
              <w:rPr>
                <w:lang w:val="es-ES_tradnl" w:eastAsia="nl-NL"/>
              </w:rPr>
              <w:t>1</w:t>
            </w:r>
            <w:r w:rsidRPr="00537CF6">
              <w:rPr>
                <w:lang w:val="es-ES_tradnl" w:eastAsia="nl-NL"/>
              </w:rPr>
              <w:tab/>
              <w:t>que el orden del día recomendado para las futuras CMR incluya un punto permanente sobre el orden del día preliminar de las CMR posteriores;</w:t>
            </w:r>
          </w:p>
          <w:p w14:paraId="4E2A3487" w14:textId="77777777" w:rsidR="00A7694B" w:rsidRPr="00537CF6" w:rsidRDefault="00A7694B" w:rsidP="004A2293">
            <w:pPr>
              <w:pStyle w:val="Tabletext"/>
              <w:tabs>
                <w:tab w:val="clear" w:pos="284"/>
                <w:tab w:val="left" w:pos="463"/>
              </w:tabs>
              <w:jc w:val="both"/>
              <w:rPr>
                <w:lang w:val="es-ES_tradnl" w:eastAsia="nl-NL"/>
              </w:rPr>
            </w:pPr>
            <w:r w:rsidRPr="00537CF6">
              <w:rPr>
                <w:lang w:val="es-ES_tradnl" w:eastAsia="nl-NL"/>
              </w:rPr>
              <w:t>2</w:t>
            </w:r>
            <w:r w:rsidRPr="00537CF6">
              <w:rPr>
                <w:lang w:val="es-ES_tradnl" w:eastAsia="nl-NL"/>
              </w:rPr>
              <w:tab/>
              <w:t>aplicar los principios del Anexo 1 a la presente Resolución al elaborar los órdenes del día de futuras CMR;</w:t>
            </w:r>
          </w:p>
          <w:p w14:paraId="442E06D2" w14:textId="77777777" w:rsidR="00A7694B" w:rsidRPr="00537CF6" w:rsidRDefault="00A7694B" w:rsidP="004A2293">
            <w:pPr>
              <w:pStyle w:val="Tabletext"/>
              <w:tabs>
                <w:tab w:val="clear" w:pos="284"/>
                <w:tab w:val="left" w:pos="463"/>
              </w:tabs>
              <w:jc w:val="both"/>
              <w:rPr>
                <w:lang w:val="es-ES_tradnl" w:eastAsia="nl-NL"/>
              </w:rPr>
            </w:pPr>
            <w:r w:rsidRPr="00537CF6">
              <w:rPr>
                <w:lang w:val="es-ES_tradnl" w:eastAsia="nl-NL"/>
              </w:rPr>
              <w:t>3</w:t>
            </w:r>
            <w:r w:rsidRPr="00537CF6">
              <w:rPr>
                <w:lang w:val="es-ES_tradnl" w:eastAsia="nl-NL"/>
              </w:rPr>
              <w:tab/>
              <w:t xml:space="preserve">instar a las administraciones y a los organismos de telecomunicación regionales a que presenten, en la medida de lo posible, información sobre los puntos/temas que podrían incluirse en el orden del día de futuras CMR en el marco del punto permanente del orden del día de la CMR mencionado en el </w:t>
            </w:r>
            <w:r w:rsidRPr="00537CF6">
              <w:rPr>
                <w:i/>
                <w:iCs/>
                <w:lang w:val="es-ES_tradnl" w:eastAsia="nl-NL"/>
              </w:rPr>
              <w:t>resuelve</w:t>
            </w:r>
            <w:r w:rsidRPr="00537CF6">
              <w:rPr>
                <w:lang w:val="es-ES_tradnl" w:eastAsia="nl-NL"/>
              </w:rPr>
              <w:t xml:space="preserve"> 1 a la segunda sesión de la RPC,</w:t>
            </w:r>
          </w:p>
          <w:p w14:paraId="34C86FB8" w14:textId="77777777" w:rsidR="00A7694B" w:rsidRPr="00537CF6" w:rsidRDefault="00A7694B" w:rsidP="004A2293">
            <w:pPr>
              <w:pStyle w:val="Tabletext"/>
              <w:tabs>
                <w:tab w:val="clear" w:pos="284"/>
                <w:tab w:val="left" w:pos="463"/>
              </w:tabs>
              <w:ind w:left="454"/>
              <w:jc w:val="both"/>
              <w:rPr>
                <w:rFonts w:eastAsia="???"/>
                <w:i/>
                <w:iCs/>
                <w:lang w:val="es-ES" w:eastAsia="nl-NL"/>
              </w:rPr>
            </w:pPr>
            <w:r w:rsidRPr="00537CF6">
              <w:rPr>
                <w:rFonts w:eastAsia="???"/>
                <w:i/>
                <w:iCs/>
                <w:lang w:val="es-ES" w:eastAsia="nl-NL"/>
              </w:rPr>
              <w:t>resuelve invitar a las administraciones</w:t>
            </w:r>
          </w:p>
          <w:p w14:paraId="0872BFFC" w14:textId="77777777" w:rsidR="00A7694B" w:rsidRPr="00537CF6" w:rsidRDefault="00A7694B" w:rsidP="004A2293">
            <w:pPr>
              <w:pStyle w:val="Tabletext"/>
              <w:tabs>
                <w:tab w:val="clear" w:pos="284"/>
                <w:tab w:val="left" w:pos="463"/>
              </w:tabs>
              <w:jc w:val="both"/>
              <w:rPr>
                <w:lang w:val="es-ES_tradnl" w:eastAsia="nl-NL"/>
              </w:rPr>
            </w:pPr>
            <w:r w:rsidRPr="00537CF6">
              <w:rPr>
                <w:lang w:val="es-ES_tradnl" w:eastAsia="nl-NL"/>
              </w:rPr>
              <w:t>1</w:t>
            </w:r>
            <w:r w:rsidRPr="00537CF6">
              <w:rPr>
                <w:lang w:val="es-ES_tradnl" w:eastAsia="nl-NL"/>
              </w:rPr>
              <w:tab/>
              <w:t>a que utilicen el modelo del Anexo 2 a la presente Resolución al proponer puntos para el orden del día de las CMR;</w:t>
            </w:r>
          </w:p>
          <w:p w14:paraId="49C3707D" w14:textId="0562B639" w:rsidR="004A7B85" w:rsidRPr="00537CF6" w:rsidRDefault="00A7694B" w:rsidP="004A2293">
            <w:pPr>
              <w:pStyle w:val="Tabletext"/>
              <w:tabs>
                <w:tab w:val="clear" w:pos="284"/>
                <w:tab w:val="left" w:pos="463"/>
              </w:tabs>
              <w:jc w:val="both"/>
              <w:rPr>
                <w:lang w:val="es-ES_tradnl" w:eastAsia="nl-NL"/>
              </w:rPr>
            </w:pPr>
            <w:r w:rsidRPr="00537CF6">
              <w:rPr>
                <w:lang w:val="es-ES_tradnl" w:eastAsia="nl-NL"/>
              </w:rPr>
              <w:t>2</w:t>
            </w:r>
            <w:r w:rsidRPr="00537CF6">
              <w:rPr>
                <w:lang w:val="es-ES_tradnl" w:eastAsia="nl-NL"/>
              </w:rPr>
              <w:tab/>
              <w:t>a que participen en las actividades regionales de preparación del orden del día de futuras CMR.</w:t>
            </w:r>
          </w:p>
        </w:tc>
        <w:tc>
          <w:tcPr>
            <w:tcW w:w="1432" w:type="dxa"/>
            <w:gridSpan w:val="2"/>
          </w:tcPr>
          <w:p w14:paraId="69BF3690" w14:textId="292905AD" w:rsidR="004A7B85" w:rsidRPr="00DD275E" w:rsidRDefault="00AC0ECF" w:rsidP="00537CF6">
            <w:pPr>
              <w:pStyle w:val="Tabletext"/>
              <w:tabs>
                <w:tab w:val="clear" w:pos="284"/>
                <w:tab w:val="left" w:pos="463"/>
              </w:tabs>
              <w:jc w:val="center"/>
              <w:rPr>
                <w:lang w:val="es-ES" w:eastAsia="nl-NL"/>
              </w:rPr>
            </w:pPr>
            <w:r w:rsidRPr="00425A39">
              <w:t>–</w:t>
            </w:r>
          </w:p>
        </w:tc>
      </w:tr>
      <w:bookmarkEnd w:id="21"/>
    </w:tbl>
    <w:p w14:paraId="62562E1B" w14:textId="77777777" w:rsidR="004A7B85" w:rsidRPr="00DD275E" w:rsidRDefault="004A7B85" w:rsidP="004A7B85">
      <w:pPr>
        <w:rPr>
          <w:lang w:val="es-ES"/>
        </w:rPr>
      </w:pPr>
    </w:p>
    <w:p w14:paraId="35692E99" w14:textId="77777777" w:rsidR="007A7DF3" w:rsidRDefault="007A7DF3" w:rsidP="00031E64">
      <w:pPr>
        <w:rPr>
          <w:rFonts w:asciiTheme="minorHAnsi" w:hAnsiTheme="minorHAnsi" w:cstheme="minorHAnsi"/>
          <w:szCs w:val="24"/>
          <w:lang w:val="es-ES"/>
        </w:rPr>
        <w:sectPr w:rsidR="007A7DF3" w:rsidSect="004A7B85">
          <w:headerReference w:type="first" r:id="rId25"/>
          <w:footerReference w:type="first" r:id="rId26"/>
          <w:pgSz w:w="16834" w:h="11907" w:orient="landscape" w:code="9"/>
          <w:pgMar w:top="1134" w:right="1134" w:bottom="1134" w:left="993" w:header="567" w:footer="397" w:gutter="0"/>
          <w:cols w:space="720"/>
          <w:titlePg/>
          <w:docGrid w:linePitch="326"/>
        </w:sectPr>
      </w:pPr>
    </w:p>
    <w:p w14:paraId="488409C9" w14:textId="77777777" w:rsidR="007A7DF3" w:rsidRPr="004A5136" w:rsidRDefault="007A7DF3" w:rsidP="004E66B6">
      <w:pPr>
        <w:pStyle w:val="AnnexNo"/>
        <w:rPr>
          <w:highlight w:val="yellow"/>
          <w:lang w:val="es-ES"/>
        </w:rPr>
      </w:pPr>
      <w:r w:rsidRPr="004A5136">
        <w:rPr>
          <w:lang w:val="es-ES"/>
        </w:rPr>
        <w:lastRenderedPageBreak/>
        <w:t>ANEXO 8</w:t>
      </w:r>
      <w:r w:rsidRPr="004A5136">
        <w:rPr>
          <w:rStyle w:val="FootnoteReference"/>
          <w:caps w:val="0"/>
          <w:lang w:val="es-ES"/>
        </w:rPr>
        <w:footnoteReference w:customMarkFollows="1" w:id="13"/>
        <w:t>**</w:t>
      </w:r>
    </w:p>
    <w:p w14:paraId="0C784325" w14:textId="104CA1EF" w:rsidR="007A7DF3" w:rsidRPr="004E66B6" w:rsidRDefault="007A7DF3" w:rsidP="004E66B6">
      <w:pPr>
        <w:pStyle w:val="Annextitle0"/>
        <w:rPr>
          <w:lang w:val="es-ES"/>
        </w:rPr>
      </w:pPr>
      <w:r w:rsidRPr="004E66B6">
        <w:rPr>
          <w:lang w:val="es-ES"/>
        </w:rPr>
        <w:t>Atribución de los trabajos preparatorios del UIT</w:t>
      </w:r>
      <w:r w:rsidRPr="004E66B6">
        <w:rPr>
          <w:lang w:val="es-ES"/>
        </w:rPr>
        <w:noBreakHyphen/>
        <w:t>R para la CMR-27</w:t>
      </w:r>
    </w:p>
    <w:p w14:paraId="7CB4996F" w14:textId="08B64DFD" w:rsidR="007A7DF3" w:rsidRPr="004A5136" w:rsidRDefault="007A7DF3" w:rsidP="000A60D5">
      <w:pPr>
        <w:pStyle w:val="Normalaftertitle"/>
        <w:rPr>
          <w:lang w:val="es-ES"/>
        </w:rPr>
      </w:pPr>
      <w:r w:rsidRPr="007A7DF3">
        <w:rPr>
          <w:lang w:val="es-ES"/>
        </w:rPr>
        <w:t xml:space="preserve">El Cuadro que figura a continuación recoge los trabajos preparatorios provisionales del UIT-R para los puntos del orden del día preliminar de la CMR-23, que se proponen en la Resolución </w:t>
      </w:r>
      <w:r w:rsidRPr="00564FF1">
        <w:rPr>
          <w:b/>
          <w:bCs/>
          <w:lang w:val="es-ES_tradnl"/>
        </w:rPr>
        <w:t>812</w:t>
      </w:r>
      <w:r w:rsidRPr="007A7DF3">
        <w:rPr>
          <w:b/>
          <w:bCs/>
          <w:lang w:val="es-ES"/>
        </w:rPr>
        <w:t xml:space="preserve"> (CMR</w:t>
      </w:r>
      <w:r w:rsidRPr="007A7DF3">
        <w:rPr>
          <w:b/>
          <w:bCs/>
          <w:lang w:val="es-ES"/>
        </w:rPr>
        <w:noBreakHyphen/>
      </w:r>
      <w:r w:rsidRPr="004E66B6">
        <w:rPr>
          <w:b/>
          <w:bCs/>
          <w:lang w:val="es-ES_tradnl"/>
        </w:rPr>
        <w:t>19</w:t>
      </w:r>
      <w:r w:rsidRPr="007A7DF3">
        <w:rPr>
          <w:b/>
          <w:bCs/>
          <w:lang w:val="es-ES"/>
        </w:rPr>
        <w:t>)</w:t>
      </w:r>
      <w:r w:rsidRPr="007A7DF3">
        <w:rPr>
          <w:lang w:val="es-ES"/>
        </w:rPr>
        <w:t>.</w:t>
      </w:r>
    </w:p>
    <w:p w14:paraId="376F43F7" w14:textId="238FA6A3" w:rsidR="007A7DF3" w:rsidRPr="001F3073" w:rsidRDefault="007A7DF3" w:rsidP="00100121">
      <w:pPr>
        <w:rPr>
          <w:lang w:val="es-ES_tradnl"/>
        </w:rPr>
      </w:pPr>
      <w:r w:rsidRPr="001F3073">
        <w:rPr>
          <w:lang w:val="es-ES_tradnl"/>
        </w:rPr>
        <w:t>Incluye anotaciones para la identificación de los «</w:t>
      </w:r>
      <w:r w:rsidR="004E66B6">
        <w:rPr>
          <w:lang w:val="es-ES_tradnl"/>
        </w:rPr>
        <w:t>g</w:t>
      </w:r>
      <w:r w:rsidRPr="001F3073">
        <w:rPr>
          <w:lang w:val="es-ES_tradnl"/>
        </w:rPr>
        <w:t>rupos responsables» y los «</w:t>
      </w:r>
      <w:r w:rsidR="004E66B6">
        <w:rPr>
          <w:lang w:val="es-ES_tradnl"/>
        </w:rPr>
        <w:t>g</w:t>
      </w:r>
      <w:r w:rsidRPr="001F3073">
        <w:rPr>
          <w:lang w:val="es-ES_tradnl"/>
        </w:rPr>
        <w:t>rupos contribuyentes»</w:t>
      </w:r>
      <w:r w:rsidRPr="001F3073">
        <w:rPr>
          <w:rStyle w:val="FootnoteReference"/>
          <w:i/>
          <w:lang w:val="es-ES_tradnl"/>
        </w:rPr>
        <w:footnoteReference w:customMarkFollows="1" w:id="14"/>
        <w:t>*</w:t>
      </w:r>
      <w:r w:rsidRPr="001F3073">
        <w:rPr>
          <w:rFonts w:asciiTheme="minorHAnsi" w:hAnsiTheme="minorHAnsi"/>
          <w:lang w:val="es-ES_tradnl"/>
        </w:rPr>
        <w:t xml:space="preserve"> </w:t>
      </w:r>
      <w:r w:rsidRPr="001F3073">
        <w:rPr>
          <w:lang w:val="es-ES_tradnl"/>
        </w:rPr>
        <w:t>del UIT-R para los puntos del orden del día de la CMR-27.</w:t>
      </w:r>
    </w:p>
    <w:p w14:paraId="428F3252" w14:textId="5893A9CA" w:rsidR="007A7DF3" w:rsidRPr="001F3073" w:rsidRDefault="007A7DF3" w:rsidP="004E66B6">
      <w:pPr>
        <w:pStyle w:val="Note"/>
        <w:rPr>
          <w:lang w:val="es-ES_tradnl"/>
        </w:rPr>
      </w:pPr>
      <w:r w:rsidRPr="001F3073">
        <w:rPr>
          <w:lang w:val="es-ES_tradnl"/>
        </w:rPr>
        <w:t>NOTA 1 – Las Comisiones de Estudio y los Grupos de Trabajo del UIT-R indicados en el siguiente Cuadro se han identificado basándose en la estructura de las Comisiones de Estudio contenida en el Documento</w:t>
      </w:r>
      <w:r w:rsidR="004E66B6">
        <w:rPr>
          <w:lang w:val="es-ES_tradnl"/>
        </w:rPr>
        <w:t xml:space="preserve"> </w:t>
      </w:r>
      <w:hyperlink r:id="rId27" w:history="1">
        <w:r w:rsidRPr="00564FF1">
          <w:rPr>
            <w:rStyle w:val="Hyperlink"/>
            <w:rFonts w:asciiTheme="minorHAnsi" w:hAnsiTheme="minorHAnsi"/>
            <w:lang w:val="es-ES_tradnl"/>
          </w:rPr>
          <w:t>CPM23-1/1</w:t>
        </w:r>
      </w:hyperlink>
      <w:r w:rsidRPr="001F3073">
        <w:rPr>
          <w:lang w:val="es-ES_tradnl"/>
        </w:rPr>
        <w:t>.</w:t>
      </w:r>
    </w:p>
    <w:p w14:paraId="78C234C9" w14:textId="449FBFA0" w:rsidR="007A7DF3" w:rsidRPr="001F3073" w:rsidRDefault="007A7DF3" w:rsidP="004E66B6">
      <w:pPr>
        <w:pStyle w:val="Note"/>
        <w:rPr>
          <w:lang w:val="es-ES_tradnl"/>
        </w:rPr>
      </w:pPr>
      <w:r w:rsidRPr="001F3073">
        <w:rPr>
          <w:lang w:val="es-ES_tradnl"/>
        </w:rPr>
        <w:t xml:space="preserve">NOTA 2 </w:t>
      </w:r>
      <w:r w:rsidR="000A60D5" w:rsidRPr="000A60D5">
        <w:rPr>
          <w:lang w:val="es-ES_tradnl"/>
        </w:rPr>
        <w:t>–</w:t>
      </w:r>
      <w:r w:rsidRPr="001F3073">
        <w:rPr>
          <w:lang w:val="es-ES_tradnl"/>
        </w:rPr>
        <w:t xml:space="preserve"> Habida cuenta </w:t>
      </w:r>
      <w:r w:rsidR="004E66B6">
        <w:rPr>
          <w:lang w:val="es-ES_tradnl"/>
        </w:rPr>
        <w:t>d</w:t>
      </w:r>
      <w:r w:rsidRPr="001F3073">
        <w:rPr>
          <w:lang w:val="es-ES_tradnl"/>
        </w:rPr>
        <w:t>el carácter provisional del orden del día preliminar de la CMR-27, la asignación de los puntos del orden del día preliminar a los grupos responsables se ha hecho a nivel de Comisión de Estudio. Las Comisiones de Estudio podrán determinar los Grupos de Trabajo pertinentes, según proceda.</w:t>
      </w:r>
    </w:p>
    <w:p w14:paraId="4D6FEC5E" w14:textId="77777777" w:rsidR="007A7DF3" w:rsidRPr="001F3073" w:rsidRDefault="007A7DF3" w:rsidP="00100121">
      <w:pPr>
        <w:spacing w:line="240" w:lineRule="auto"/>
        <w:rPr>
          <w:rFonts w:asciiTheme="minorHAnsi" w:hAnsiTheme="minorHAnsi"/>
          <w:lang w:val="es-ES_tradnl"/>
        </w:rPr>
      </w:pPr>
    </w:p>
    <w:p w14:paraId="59CBBAF9" w14:textId="77777777" w:rsidR="007A7DF3" w:rsidRPr="001F3073" w:rsidRDefault="007A7DF3" w:rsidP="00EA1F31">
      <w:pPr>
        <w:rPr>
          <w:lang w:val="es-ES_tradnl"/>
        </w:rPr>
        <w:sectPr w:rsidR="007A7DF3" w:rsidRPr="001F3073" w:rsidSect="00100121">
          <w:headerReference w:type="even" r:id="rId28"/>
          <w:footerReference w:type="even" r:id="rId29"/>
          <w:headerReference w:type="first" r:id="rId30"/>
          <w:footerReference w:type="first" r:id="rId31"/>
          <w:pgSz w:w="11907" w:h="16834" w:code="9"/>
          <w:pgMar w:top="1134" w:right="1134" w:bottom="993" w:left="1134" w:header="567" w:footer="397" w:gutter="0"/>
          <w:cols w:space="720"/>
          <w:titlePg/>
          <w:docGrid w:linePitch="326"/>
        </w:sectPr>
      </w:pP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
        <w:gridCol w:w="2707"/>
        <w:gridCol w:w="7177"/>
        <w:gridCol w:w="1392"/>
      </w:tblGrid>
      <w:tr w:rsidR="007A7DF3" w:rsidRPr="00CE4E08" w14:paraId="66AAE82B" w14:textId="77777777" w:rsidTr="003F05FF">
        <w:trPr>
          <w:cantSplit/>
          <w:tblHeader/>
          <w:jc w:val="center"/>
        </w:trPr>
        <w:tc>
          <w:tcPr>
            <w:tcW w:w="14474" w:type="dxa"/>
            <w:gridSpan w:val="5"/>
            <w:tcBorders>
              <w:top w:val="nil"/>
              <w:left w:val="nil"/>
              <w:right w:val="nil"/>
            </w:tcBorders>
          </w:tcPr>
          <w:p w14:paraId="1E7E19A7" w14:textId="42D5A213" w:rsidR="007A7DF3" w:rsidRPr="000A60D5" w:rsidRDefault="007A7DF3" w:rsidP="00100121">
            <w:pPr>
              <w:pStyle w:val="Tablehead"/>
              <w:rPr>
                <w:sz w:val="16"/>
                <w:szCs w:val="16"/>
                <w:lang w:val="es-ES_tradnl"/>
              </w:rPr>
            </w:pPr>
            <w:bookmarkStart w:id="51" w:name="_Hlk26973790"/>
            <w:r w:rsidRPr="000A60D5">
              <w:rPr>
                <w:lang w:val="es-ES_tradnl"/>
              </w:rPr>
              <w:lastRenderedPageBreak/>
              <w:t>Atribución de los trabajos preparatorios del UIT-R para la CMR-27</w:t>
            </w:r>
          </w:p>
        </w:tc>
      </w:tr>
      <w:tr w:rsidR="007A7DF3" w:rsidRPr="004E66B6" w14:paraId="7F2E3102" w14:textId="77777777" w:rsidTr="003F05FF">
        <w:trPr>
          <w:cantSplit/>
          <w:tblHeader/>
          <w:jc w:val="center"/>
        </w:trPr>
        <w:tc>
          <w:tcPr>
            <w:tcW w:w="3192" w:type="dxa"/>
            <w:vAlign w:val="center"/>
          </w:tcPr>
          <w:p w14:paraId="4599A4EB" w14:textId="77777777" w:rsidR="007A7DF3" w:rsidRPr="004E66B6" w:rsidRDefault="007A7DF3" w:rsidP="004E66B6">
            <w:pPr>
              <w:pStyle w:val="Tablehead"/>
              <w:rPr>
                <w:lang w:val="es-ES_tradnl"/>
              </w:rPr>
            </w:pPr>
            <w:r w:rsidRPr="004E66B6">
              <w:rPr>
                <w:lang w:val="es-ES_tradnl"/>
              </w:rPr>
              <w:t>Tema</w:t>
            </w:r>
          </w:p>
        </w:tc>
        <w:tc>
          <w:tcPr>
            <w:tcW w:w="2713" w:type="dxa"/>
            <w:gridSpan w:val="2"/>
            <w:vAlign w:val="center"/>
          </w:tcPr>
          <w:p w14:paraId="3258A968" w14:textId="77777777" w:rsidR="007A7DF3" w:rsidRPr="004E66B6" w:rsidRDefault="007A7DF3" w:rsidP="004E66B6">
            <w:pPr>
              <w:pStyle w:val="Tablehead"/>
              <w:rPr>
                <w:lang w:val="es-ES_tradnl"/>
              </w:rPr>
            </w:pPr>
            <w:r w:rsidRPr="004E66B6">
              <w:rPr>
                <w:lang w:val="es-ES_tradnl"/>
              </w:rPr>
              <w:t>Grupo encargado</w:t>
            </w:r>
          </w:p>
        </w:tc>
        <w:tc>
          <w:tcPr>
            <w:tcW w:w="7177" w:type="dxa"/>
            <w:vAlign w:val="center"/>
          </w:tcPr>
          <w:p w14:paraId="0E67D30D" w14:textId="77777777" w:rsidR="007A7DF3" w:rsidRPr="004E66B6" w:rsidRDefault="007A7DF3" w:rsidP="004E66B6">
            <w:pPr>
              <w:pStyle w:val="Tablehead"/>
              <w:rPr>
                <w:lang w:val="es-ES_tradnl"/>
              </w:rPr>
            </w:pPr>
            <w:r w:rsidRPr="004E66B6">
              <w:rPr>
                <w:lang w:val="es-ES_tradnl"/>
              </w:rPr>
              <w:t>Cometido del Grupo</w:t>
            </w:r>
          </w:p>
        </w:tc>
        <w:tc>
          <w:tcPr>
            <w:tcW w:w="1392" w:type="dxa"/>
            <w:vAlign w:val="center"/>
          </w:tcPr>
          <w:p w14:paraId="40184C26" w14:textId="77777777" w:rsidR="007A7DF3" w:rsidRPr="004E66B6" w:rsidRDefault="007A7DF3" w:rsidP="004E66B6">
            <w:pPr>
              <w:pStyle w:val="Tablehead"/>
              <w:rPr>
                <w:lang w:val="es-ES_tradnl"/>
              </w:rPr>
            </w:pPr>
            <w:r w:rsidRPr="004E66B6">
              <w:rPr>
                <w:lang w:val="es-ES_tradnl"/>
              </w:rPr>
              <w:t>Grupo contribuyente</w:t>
            </w:r>
          </w:p>
        </w:tc>
      </w:tr>
      <w:tr w:rsidR="007A7DF3" w:rsidRPr="00CE4E08" w14:paraId="69D332D5" w14:textId="77777777" w:rsidTr="003F05FF">
        <w:trPr>
          <w:cantSplit/>
          <w:jc w:val="center"/>
        </w:trPr>
        <w:tc>
          <w:tcPr>
            <w:tcW w:w="14474" w:type="dxa"/>
            <w:gridSpan w:val="5"/>
          </w:tcPr>
          <w:p w14:paraId="2A1B0673" w14:textId="1A899F7E" w:rsidR="007A7DF3" w:rsidRPr="000A60D5" w:rsidRDefault="007A7DF3" w:rsidP="004A2293">
            <w:pPr>
              <w:pStyle w:val="Tabletext"/>
              <w:tabs>
                <w:tab w:val="clear" w:pos="284"/>
                <w:tab w:val="left" w:pos="594"/>
              </w:tabs>
              <w:jc w:val="both"/>
              <w:rPr>
                <w:lang w:val="es-ES_tradnl"/>
              </w:rPr>
            </w:pPr>
            <w:r w:rsidRPr="000A60D5">
              <w:rPr>
                <w:lang w:val="es-ES_tradnl"/>
              </w:rPr>
              <w:t>1</w:t>
            </w:r>
            <w:r w:rsidRPr="000A60D5">
              <w:rPr>
                <w:lang w:val="es-ES_tradnl"/>
              </w:rPr>
              <w:tab/>
              <w:t>tomar las medidas adecuadas con respecto a los temas urgentes que solicitó específicamente la CMR</w:t>
            </w:r>
            <w:r w:rsidRPr="000A60D5">
              <w:rPr>
                <w:lang w:val="es-ES_tradnl"/>
              </w:rPr>
              <w:noBreakHyphen/>
              <w:t>23;</w:t>
            </w:r>
          </w:p>
        </w:tc>
      </w:tr>
      <w:tr w:rsidR="007A7DF3" w:rsidRPr="00CE4E08" w14:paraId="70E5A26B" w14:textId="77777777" w:rsidTr="003F05FF">
        <w:trPr>
          <w:cantSplit/>
          <w:jc w:val="center"/>
        </w:trPr>
        <w:tc>
          <w:tcPr>
            <w:tcW w:w="14474" w:type="dxa"/>
            <w:gridSpan w:val="5"/>
          </w:tcPr>
          <w:p w14:paraId="6651F30A" w14:textId="77777777" w:rsidR="007A7DF3" w:rsidRPr="000A60D5" w:rsidRDefault="007A7DF3" w:rsidP="004A2293">
            <w:pPr>
              <w:pStyle w:val="Tabletext"/>
              <w:tabs>
                <w:tab w:val="clear" w:pos="284"/>
                <w:tab w:val="left" w:pos="594"/>
              </w:tabs>
              <w:jc w:val="both"/>
              <w:rPr>
                <w:lang w:val="es-ES_tradnl"/>
              </w:rPr>
            </w:pPr>
            <w:r w:rsidRPr="000A60D5">
              <w:rPr>
                <w:lang w:val="es-ES_tradnl"/>
              </w:rPr>
              <w:t>2</w:t>
            </w:r>
            <w:r w:rsidRPr="000A60D5">
              <w:rPr>
                <w:lang w:val="es-ES_tradnl"/>
              </w:rPr>
              <w:tab/>
              <w:t>basándose en las propuestas de las administraciones y en el Informe de la Reunión Preparatoria de la Conferencia, y teniendo en cuenta los resultados de la CMR</w:t>
            </w:r>
            <w:r w:rsidRPr="000A60D5">
              <w:rPr>
                <w:lang w:val="es-ES_tradnl"/>
              </w:rPr>
              <w:noBreakHyphen/>
              <w:t>23, considerar y tomar las medidas adecuadas con respecto a los temas siguientes:</w:t>
            </w:r>
          </w:p>
        </w:tc>
      </w:tr>
      <w:tr w:rsidR="007A7DF3" w:rsidRPr="00CE4E08" w14:paraId="4C06A209" w14:textId="77777777" w:rsidTr="003F05FF">
        <w:trPr>
          <w:cantSplit/>
          <w:jc w:val="center"/>
        </w:trPr>
        <w:tc>
          <w:tcPr>
            <w:tcW w:w="14474" w:type="dxa"/>
            <w:gridSpan w:val="5"/>
          </w:tcPr>
          <w:p w14:paraId="3494D044" w14:textId="52B50B4F" w:rsidR="007A7DF3" w:rsidRPr="000A60D5" w:rsidRDefault="007A7DF3" w:rsidP="004A2293">
            <w:pPr>
              <w:pStyle w:val="Tabletext"/>
              <w:tabs>
                <w:tab w:val="clear" w:pos="284"/>
                <w:tab w:val="left" w:pos="594"/>
              </w:tabs>
              <w:jc w:val="both"/>
              <w:rPr>
                <w:lang w:val="es-ES_tradnl"/>
              </w:rPr>
            </w:pPr>
            <w:r w:rsidRPr="000A60D5">
              <w:rPr>
                <w:lang w:val="es-ES_tradnl"/>
              </w:rPr>
              <w:t>2.1</w:t>
            </w:r>
            <w:r w:rsidRPr="000A60D5">
              <w:rPr>
                <w:lang w:val="es-ES_tradnl"/>
              </w:rPr>
              <w:tab/>
              <w:t>considerar la posibilidad de efectuar atribuciones adicionales de espectro al servicio de radiolocalización a título coprimario en la banda de frecuencias 231,5</w:t>
            </w:r>
            <w:r w:rsidRPr="000A60D5">
              <w:rPr>
                <w:lang w:val="es-ES_tradnl"/>
              </w:rPr>
              <w:noBreakHyphen/>
              <w:t>275 GHz y la identificación de espectro para aplicaciones de radiolocalización en las bandas de frecuencias en la gama 275</w:t>
            </w:r>
            <w:r w:rsidRPr="000A60D5">
              <w:rPr>
                <w:lang w:val="es-ES_tradnl"/>
              </w:rPr>
              <w:noBreakHyphen/>
              <w:t xml:space="preserve">700 GHz para sistemas de imágenes en ondas milimétricas y submilimétricas, de conformidad con la Resolución </w:t>
            </w:r>
            <w:r w:rsidRPr="000A60D5">
              <w:rPr>
                <w:b/>
                <w:bCs/>
                <w:lang w:val="es-ES_tradnl"/>
              </w:rPr>
              <w:t>663 (CMR-19)</w:t>
            </w:r>
            <w:r w:rsidRPr="000A60D5">
              <w:rPr>
                <w:lang w:val="es-ES_tradnl"/>
              </w:rPr>
              <w:t>;</w:t>
            </w:r>
          </w:p>
        </w:tc>
      </w:tr>
      <w:tr w:rsidR="007A7DF3" w:rsidRPr="001F3073" w14:paraId="348BA148" w14:textId="77777777" w:rsidTr="003F05FF">
        <w:trPr>
          <w:jc w:val="center"/>
        </w:trPr>
        <w:tc>
          <w:tcPr>
            <w:tcW w:w="3192" w:type="dxa"/>
          </w:tcPr>
          <w:p w14:paraId="35830B3C" w14:textId="55BC5DE0" w:rsidR="007A7DF3" w:rsidRPr="00537CF6" w:rsidRDefault="007A7DF3" w:rsidP="00537CF6">
            <w:pPr>
              <w:pStyle w:val="Tabletext"/>
              <w:tabs>
                <w:tab w:val="clear" w:pos="284"/>
                <w:tab w:val="left" w:pos="463"/>
              </w:tabs>
              <w:rPr>
                <w:lang w:val="es-ES" w:eastAsia="nl-NL"/>
              </w:rPr>
            </w:pPr>
            <w:bookmarkStart w:id="52" w:name="_Hlk26796575"/>
            <w:bookmarkStart w:id="53" w:name="_Hlk26796563"/>
            <w:r w:rsidRPr="00537CF6">
              <w:rPr>
                <w:lang w:val="es-ES" w:eastAsia="nl-NL"/>
              </w:rPr>
              <w:t xml:space="preserve">Resolución </w:t>
            </w:r>
            <w:r w:rsidRPr="00537CF6">
              <w:rPr>
                <w:b/>
                <w:bCs/>
                <w:lang w:val="es-ES" w:eastAsia="nl-NL"/>
              </w:rPr>
              <w:t>663 (C</w:t>
            </w:r>
            <w:r w:rsidR="00537CF6" w:rsidRPr="00537CF6">
              <w:rPr>
                <w:b/>
                <w:bCs/>
                <w:lang w:val="es-ES" w:eastAsia="nl-NL"/>
              </w:rPr>
              <w:t>MR</w:t>
            </w:r>
            <w:r w:rsidRPr="00537CF6">
              <w:rPr>
                <w:b/>
                <w:bCs/>
                <w:lang w:val="es-ES" w:eastAsia="nl-NL"/>
              </w:rPr>
              <w:noBreakHyphen/>
              <w:t>19)</w:t>
            </w:r>
          </w:p>
          <w:p w14:paraId="296B2C98" w14:textId="140A4931" w:rsidR="007A7DF3" w:rsidRPr="00537CF6" w:rsidRDefault="007A7DF3" w:rsidP="000A60D5">
            <w:pPr>
              <w:pStyle w:val="Tabletext"/>
              <w:rPr>
                <w:lang w:val="es-ES_tradnl"/>
              </w:rPr>
            </w:pPr>
            <w:r w:rsidRPr="000A60D5">
              <w:rPr>
                <w:lang w:val="es-ES_tradnl"/>
              </w:rPr>
              <w:t>Nuevas atribuciones al servicio de radiodeterminación en la banda de frecuencias 231,5</w:t>
            </w:r>
            <w:r w:rsidRPr="000A60D5">
              <w:rPr>
                <w:lang w:val="es-ES_tradnl"/>
              </w:rPr>
              <w:noBreakHyphen/>
              <w:t>275 GHz y nueva identificación para aplicaciones del servicio de radiodeterminación en la gama de frecuencias 275-700 GHz</w:t>
            </w:r>
            <w:bookmarkEnd w:id="52"/>
          </w:p>
        </w:tc>
        <w:tc>
          <w:tcPr>
            <w:tcW w:w="2713" w:type="dxa"/>
            <w:gridSpan w:val="2"/>
          </w:tcPr>
          <w:p w14:paraId="0F9A8815" w14:textId="72504122" w:rsidR="007A7DF3" w:rsidRPr="000A60D5" w:rsidRDefault="007A7DF3" w:rsidP="000A60D5">
            <w:pPr>
              <w:pStyle w:val="Tabletext"/>
              <w:jc w:val="center"/>
              <w:rPr>
                <w:lang w:val="es-ES_tradnl"/>
              </w:rPr>
            </w:pPr>
            <w:r w:rsidRPr="000A60D5">
              <w:rPr>
                <w:b/>
                <w:bCs/>
                <w:lang w:val="es-ES_tradnl"/>
              </w:rPr>
              <w:t>CE</w:t>
            </w:r>
            <w:r w:rsidR="004E66B6">
              <w:rPr>
                <w:b/>
                <w:bCs/>
                <w:lang w:val="es-ES_tradnl"/>
              </w:rPr>
              <w:t> </w:t>
            </w:r>
            <w:r w:rsidRPr="000A60D5">
              <w:rPr>
                <w:b/>
                <w:bCs/>
                <w:lang w:val="es-ES_tradnl"/>
              </w:rPr>
              <w:t>1/CE</w:t>
            </w:r>
            <w:r w:rsidR="004E66B6">
              <w:rPr>
                <w:b/>
                <w:bCs/>
                <w:lang w:val="es-ES_tradnl"/>
              </w:rPr>
              <w:t> </w:t>
            </w:r>
            <w:r w:rsidRPr="000A60D5">
              <w:rPr>
                <w:b/>
                <w:bCs/>
                <w:lang w:val="es-ES_tradnl"/>
              </w:rPr>
              <w:t>5</w:t>
            </w:r>
          </w:p>
        </w:tc>
        <w:tc>
          <w:tcPr>
            <w:tcW w:w="7177" w:type="dxa"/>
          </w:tcPr>
          <w:p w14:paraId="36633E55"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al Sector de Radiocomunicaciones de la UIT</w:t>
            </w:r>
          </w:p>
          <w:p w14:paraId="185B1F45"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 xml:space="preserve">a estudiar los requisitos futuros de espectro armonizado a nivel mundial para el servicio de radiodeterminación, en particular, para aplicaciones de imágenes en ondas milimétricas y submilimétricas por encima de 231,5 GHz a que se hace referencia en los </w:t>
            </w:r>
            <w:r w:rsidRPr="000A60D5">
              <w:rPr>
                <w:i/>
                <w:iCs/>
                <w:lang w:val="es-ES_tradnl"/>
              </w:rPr>
              <w:t>considerando a)</w:t>
            </w:r>
            <w:r w:rsidRPr="000A60D5">
              <w:rPr>
                <w:lang w:val="es-ES_tradnl"/>
              </w:rPr>
              <w:t xml:space="preserve"> y </w:t>
            </w:r>
            <w:r w:rsidRPr="000A60D5">
              <w:rPr>
                <w:i/>
                <w:iCs/>
                <w:lang w:val="es-ES_tradnl"/>
              </w:rPr>
              <w:t>b)</w:t>
            </w:r>
            <w:r w:rsidRPr="000A60D5">
              <w:rPr>
                <w:lang w:val="es-ES_tradnl"/>
              </w:rPr>
              <w:t>;</w:t>
            </w:r>
          </w:p>
          <w:p w14:paraId="7ACB4C1E"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t>a definir las características técnicas y operacionales, incluidos los criterios de protección de los sistemas de imágenes en ondas milimétricas y submilimétricas;</w:t>
            </w:r>
          </w:p>
          <w:p w14:paraId="643401A0" w14:textId="1BFC0AFD" w:rsidR="007A7DF3" w:rsidRPr="000A60D5" w:rsidRDefault="007A7DF3" w:rsidP="004A2293">
            <w:pPr>
              <w:pStyle w:val="Tabletext"/>
              <w:tabs>
                <w:tab w:val="clear" w:pos="284"/>
                <w:tab w:val="left" w:pos="463"/>
              </w:tabs>
              <w:jc w:val="both"/>
              <w:rPr>
                <w:lang w:val="es-ES_tradnl"/>
              </w:rPr>
            </w:pPr>
            <w:r w:rsidRPr="000A60D5">
              <w:rPr>
                <w:lang w:val="es-ES_tradnl"/>
              </w:rPr>
              <w:t>3</w:t>
            </w:r>
            <w:r w:rsidRPr="000A60D5">
              <w:rPr>
                <w:lang w:val="es-ES_tradnl"/>
              </w:rPr>
              <w:tab/>
              <w:t>a estudiar la compartición y la compatibilidad entre las aplicaciones de imágenes en ondas milimétricas y submilimétricas y otros sistemas en la gama de frecuencias entre 231,5 GHz y 275 GH</w:t>
            </w:r>
            <w:r w:rsidR="00A96272" w:rsidRPr="000A60D5">
              <w:rPr>
                <w:lang w:val="es-ES_tradnl"/>
              </w:rPr>
              <w:t>z</w:t>
            </w:r>
            <w:r w:rsidRPr="000A60D5">
              <w:rPr>
                <w:lang w:val="es-ES_tradnl"/>
              </w:rPr>
              <w:t>, garantizando además la protección del servicio de exploración de la Tierra por satélite (SETS) (pasivo), del servicio de investigación espacial (SIE) (pasivo) y del servicio de radioastronomía atribuidos en esta gama de frecuencias;</w:t>
            </w:r>
          </w:p>
          <w:p w14:paraId="3A2F322A" w14:textId="77777777" w:rsidR="007A7DF3" w:rsidRPr="000A60D5" w:rsidRDefault="007A7DF3" w:rsidP="004A2293">
            <w:pPr>
              <w:pStyle w:val="Tabletext"/>
              <w:tabs>
                <w:tab w:val="clear" w:pos="284"/>
                <w:tab w:val="left" w:pos="463"/>
              </w:tabs>
              <w:jc w:val="both"/>
              <w:rPr>
                <w:lang w:val="es-ES_tradnl"/>
              </w:rPr>
            </w:pPr>
            <w:r w:rsidRPr="000A60D5">
              <w:rPr>
                <w:lang w:val="es-ES_tradnl"/>
              </w:rPr>
              <w:t>4</w:t>
            </w:r>
            <w:r w:rsidRPr="000A60D5">
              <w:rPr>
                <w:lang w:val="es-ES_tradnl"/>
              </w:rPr>
              <w:tab/>
              <w:t xml:space="preserve">a </w:t>
            </w:r>
            <w:r w:rsidRPr="000A60D5">
              <w:rPr>
                <w:lang w:val="es-ES_tradnl" w:eastAsia="nl-NL"/>
              </w:rPr>
              <w:t>llevar</w:t>
            </w:r>
            <w:r w:rsidRPr="000A60D5">
              <w:rPr>
                <w:lang w:val="es-ES_tradnl"/>
              </w:rPr>
              <w:t xml:space="preserve"> a cabo estudios de compartición y compatibilidad entre la radiodeterminación y las aplicaciones del SETS (pasivo), del SIE (pasivo) y del servicio de radioastronomía que funcionan en la gama de frecuencias 275</w:t>
            </w:r>
            <w:r w:rsidRPr="000A60D5">
              <w:rPr>
                <w:lang w:val="es-ES_tradnl"/>
              </w:rPr>
              <w:noBreakHyphen/>
              <w:t>700 GHz, manteniendo además la protección de las aplicaciones de los servicios pasivos identificadas en el número </w:t>
            </w:r>
            <w:r w:rsidRPr="000A60D5">
              <w:rPr>
                <w:b/>
                <w:bCs/>
                <w:lang w:val="es-ES_tradnl"/>
              </w:rPr>
              <w:t>5.565</w:t>
            </w:r>
            <w:r w:rsidRPr="000A60D5">
              <w:rPr>
                <w:lang w:val="es-ES_tradnl"/>
              </w:rPr>
              <w:t>;</w:t>
            </w:r>
          </w:p>
          <w:p w14:paraId="3FA44355" w14:textId="0431E933" w:rsidR="007A7DF3" w:rsidRPr="000A60D5" w:rsidRDefault="007A7DF3" w:rsidP="004A2293">
            <w:pPr>
              <w:pStyle w:val="Tabletext"/>
              <w:tabs>
                <w:tab w:val="clear" w:pos="284"/>
                <w:tab w:val="left" w:pos="463"/>
              </w:tabs>
              <w:jc w:val="both"/>
              <w:rPr>
                <w:lang w:val="es-ES_tradnl"/>
              </w:rPr>
            </w:pPr>
            <w:r w:rsidRPr="000A60D5">
              <w:rPr>
                <w:lang w:val="es-ES_tradnl"/>
              </w:rPr>
              <w:t>5</w:t>
            </w:r>
            <w:r w:rsidRPr="000A60D5">
              <w:rPr>
                <w:lang w:val="es-ES_tradnl"/>
              </w:rPr>
              <w:tab/>
              <w:t xml:space="preserve">a </w:t>
            </w:r>
            <w:r w:rsidRPr="000A60D5">
              <w:rPr>
                <w:lang w:val="es-ES_tradnl" w:eastAsia="nl-NL"/>
              </w:rPr>
              <w:t>estudiar</w:t>
            </w:r>
            <w:r w:rsidRPr="000A60D5">
              <w:rPr>
                <w:lang w:val="es-ES_tradnl"/>
              </w:rPr>
              <w:t xml:space="preserve"> la compartición entre las aplicaciones de imágenes en ondas milimétricas y submilimétricas únicamente de recepción y otros sistemas en la gama de frecuencias entre 275 GHz y 700 GH</w:t>
            </w:r>
            <w:r w:rsidR="00A96272" w:rsidRPr="000A60D5">
              <w:rPr>
                <w:lang w:val="es-ES_tradnl"/>
              </w:rPr>
              <w:t>z</w:t>
            </w:r>
            <w:r w:rsidRPr="000A60D5">
              <w:rPr>
                <w:lang w:val="es-ES_tradnl"/>
              </w:rPr>
              <w:t xml:space="preserve"> y la compatibilidad entre ellos;</w:t>
            </w:r>
          </w:p>
          <w:p w14:paraId="1BB7F810" w14:textId="77777777" w:rsidR="007A7DF3" w:rsidRPr="000A60D5" w:rsidRDefault="007A7DF3" w:rsidP="004A2293">
            <w:pPr>
              <w:pStyle w:val="Tabletext"/>
              <w:tabs>
                <w:tab w:val="clear" w:pos="284"/>
                <w:tab w:val="left" w:pos="463"/>
              </w:tabs>
              <w:jc w:val="both"/>
              <w:rPr>
                <w:lang w:val="es-ES_tradnl"/>
              </w:rPr>
            </w:pPr>
            <w:r w:rsidRPr="000A60D5">
              <w:rPr>
                <w:lang w:val="es-ES_tradnl"/>
              </w:rPr>
              <w:t>6</w:t>
            </w:r>
            <w:r w:rsidRPr="000A60D5">
              <w:rPr>
                <w:lang w:val="es-ES_tradnl"/>
              </w:rPr>
              <w:tab/>
              <w:t xml:space="preserve">a </w:t>
            </w:r>
            <w:r w:rsidRPr="000A60D5">
              <w:rPr>
                <w:lang w:val="es-ES_tradnl" w:eastAsia="nl-NL"/>
              </w:rPr>
              <w:t>estudiar</w:t>
            </w:r>
            <w:r w:rsidRPr="000A60D5">
              <w:rPr>
                <w:lang w:val="es-ES_tradnl"/>
              </w:rPr>
              <w:t xml:space="preserve"> posibles nuevas atribuciones al servicio de radiodeterminación a título primario con igualdad de derechos en la gama de frecuencias comprendidas entre 231,5 GHz y 275 GHz, garantizando, a su vez, la protección de los servicios existentes en las bandas de frecuencias consideradas y, si procede, en las bandas de frecuencias adyacentes;</w:t>
            </w:r>
          </w:p>
          <w:p w14:paraId="7BB42BAA" w14:textId="77777777" w:rsidR="007A7DF3" w:rsidRPr="000A60D5" w:rsidRDefault="007A7DF3" w:rsidP="004A2293">
            <w:pPr>
              <w:pStyle w:val="Tabletext"/>
              <w:tabs>
                <w:tab w:val="clear" w:pos="284"/>
                <w:tab w:val="left" w:pos="463"/>
              </w:tabs>
              <w:jc w:val="both"/>
              <w:rPr>
                <w:lang w:val="es-ES_tradnl"/>
              </w:rPr>
            </w:pPr>
            <w:r w:rsidRPr="000A60D5">
              <w:rPr>
                <w:lang w:val="es-ES_tradnl"/>
              </w:rPr>
              <w:lastRenderedPageBreak/>
              <w:t>7</w:t>
            </w:r>
            <w:r w:rsidRPr="000A60D5">
              <w:rPr>
                <w:lang w:val="es-ES_tradnl"/>
              </w:rPr>
              <w:tab/>
              <w:t>a estudiar una posible identificación de bandas de frecuencias en la gama 275</w:t>
            </w:r>
            <w:r w:rsidRPr="000A60D5">
              <w:rPr>
                <w:lang w:val="es-ES_tradnl"/>
              </w:rPr>
              <w:noBreakHyphen/>
              <w:t>700 GHz para su utilización para aplicaciones del servicio de radiodeterminación;</w:t>
            </w:r>
          </w:p>
          <w:p w14:paraId="49FC1F41" w14:textId="77777777" w:rsidR="007A7DF3" w:rsidRPr="000A60D5" w:rsidRDefault="007A7DF3" w:rsidP="004A2293">
            <w:pPr>
              <w:pStyle w:val="Tabletext"/>
              <w:tabs>
                <w:tab w:val="clear" w:pos="284"/>
                <w:tab w:val="left" w:pos="463"/>
              </w:tabs>
              <w:jc w:val="both"/>
              <w:rPr>
                <w:lang w:val="es-ES_tradnl"/>
              </w:rPr>
            </w:pPr>
            <w:r w:rsidRPr="000A60D5">
              <w:rPr>
                <w:lang w:val="es-ES_tradnl"/>
              </w:rPr>
              <w:t>8</w:t>
            </w:r>
            <w:r w:rsidRPr="000A60D5">
              <w:rPr>
                <w:lang w:val="es-ES_tradnl"/>
              </w:rPr>
              <w:tab/>
              <w:t xml:space="preserve">a examinar los estudios realizados en virtud de los </w:t>
            </w:r>
            <w:r w:rsidRPr="000A60D5">
              <w:rPr>
                <w:i/>
                <w:iCs/>
                <w:lang w:val="es-ES_tradnl"/>
              </w:rPr>
              <w:t>resuelve invitar al Sector de Radiocomunicaciones de la UIT</w:t>
            </w:r>
            <w:r w:rsidRPr="000A60D5">
              <w:rPr>
                <w:lang w:val="es-ES_tradnl"/>
              </w:rPr>
              <w:t xml:space="preserve"> 1 a 7 y diseñar medidas reglamentarias para la posible introducción de sistemas de imágenes en ondas milimétricas y submilimétricas;</w:t>
            </w:r>
          </w:p>
          <w:p w14:paraId="6847DC40" w14:textId="77777777" w:rsidR="007A7DF3" w:rsidRPr="000A60D5" w:rsidRDefault="007A7DF3" w:rsidP="004A2293">
            <w:pPr>
              <w:pStyle w:val="Tabletext"/>
              <w:tabs>
                <w:tab w:val="clear" w:pos="284"/>
                <w:tab w:val="left" w:pos="463"/>
              </w:tabs>
              <w:jc w:val="both"/>
              <w:rPr>
                <w:lang w:val="es-ES_tradnl"/>
              </w:rPr>
            </w:pPr>
            <w:r w:rsidRPr="000A60D5">
              <w:rPr>
                <w:lang w:val="es-ES_tradnl"/>
              </w:rPr>
              <w:t>9</w:t>
            </w:r>
            <w:r w:rsidRPr="000A60D5">
              <w:rPr>
                <w:lang w:val="es-ES_tradnl"/>
              </w:rPr>
              <w:tab/>
              <w:t>a completar los estudios a tiempo para la CMR-27,</w:t>
            </w:r>
          </w:p>
          <w:p w14:paraId="27D962B6"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 Conferencia Mundial de Radiocomunicaciones de 2027</w:t>
            </w:r>
          </w:p>
          <w:p w14:paraId="59ACA354"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examinar</w:t>
            </w:r>
            <w:r w:rsidRPr="000A60D5">
              <w:rPr>
                <w:lang w:val="es-ES_tradnl"/>
              </w:rPr>
              <w:t xml:space="preserve"> los resultados de estos estudios y tomar las medidas adecuadas,</w:t>
            </w:r>
          </w:p>
          <w:p w14:paraId="4F02A4BB"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33768442"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participar</w:t>
            </w:r>
            <w:r w:rsidRPr="000A60D5">
              <w:rPr>
                <w:lang w:val="es-ES_tradnl"/>
              </w:rPr>
              <w:t xml:space="preserve"> activamente en los estudios mediante la presentación de contribuciones al UIT</w:t>
            </w:r>
            <w:r w:rsidRPr="000A60D5">
              <w:rPr>
                <w:lang w:val="es-ES_tradnl"/>
              </w:rPr>
              <w:noBreakHyphen/>
              <w:t>R.</w:t>
            </w:r>
          </w:p>
        </w:tc>
        <w:tc>
          <w:tcPr>
            <w:tcW w:w="1392" w:type="dxa"/>
          </w:tcPr>
          <w:p w14:paraId="64BCA826" w14:textId="0B54473A" w:rsidR="007A7DF3" w:rsidRPr="007A7DF3" w:rsidRDefault="007A7DF3" w:rsidP="00100121">
            <w:pPr>
              <w:pStyle w:val="Tabletext"/>
              <w:jc w:val="center"/>
            </w:pPr>
            <w:r w:rsidRPr="007A7DF3">
              <w:rPr>
                <w:b/>
                <w:bCs/>
              </w:rPr>
              <w:lastRenderedPageBreak/>
              <w:t xml:space="preserve">GT 1A, </w:t>
            </w:r>
            <w:r w:rsidR="000A60D5">
              <w:rPr>
                <w:b/>
                <w:bCs/>
              </w:rPr>
              <w:br/>
            </w:r>
            <w:r w:rsidRPr="007A7DF3">
              <w:rPr>
                <w:b/>
                <w:bCs/>
              </w:rPr>
              <w:t xml:space="preserve">GT 3J, </w:t>
            </w:r>
            <w:r w:rsidR="000A60D5">
              <w:rPr>
                <w:b/>
                <w:bCs/>
              </w:rPr>
              <w:br/>
            </w:r>
            <w:r w:rsidRPr="007A7DF3">
              <w:rPr>
                <w:b/>
                <w:bCs/>
              </w:rPr>
              <w:t xml:space="preserve">GT 3K, </w:t>
            </w:r>
            <w:r w:rsidR="000A60D5">
              <w:rPr>
                <w:b/>
                <w:bCs/>
              </w:rPr>
              <w:br/>
            </w:r>
            <w:r w:rsidRPr="007A7DF3">
              <w:rPr>
                <w:b/>
                <w:bCs/>
              </w:rPr>
              <w:t xml:space="preserve">GT 3M, </w:t>
            </w:r>
            <w:r w:rsidR="000A60D5">
              <w:rPr>
                <w:b/>
                <w:bCs/>
              </w:rPr>
              <w:br/>
            </w:r>
            <w:r w:rsidRPr="007A7DF3">
              <w:rPr>
                <w:b/>
                <w:bCs/>
              </w:rPr>
              <w:t xml:space="preserve">GT 5A, </w:t>
            </w:r>
            <w:r w:rsidR="000A60D5">
              <w:rPr>
                <w:b/>
                <w:bCs/>
              </w:rPr>
              <w:br/>
            </w:r>
            <w:r w:rsidRPr="007A7DF3">
              <w:rPr>
                <w:b/>
                <w:bCs/>
              </w:rPr>
              <w:t xml:space="preserve">GT 5B, </w:t>
            </w:r>
            <w:r w:rsidR="000A60D5">
              <w:rPr>
                <w:b/>
                <w:bCs/>
              </w:rPr>
              <w:br/>
            </w:r>
            <w:r w:rsidRPr="007A7DF3">
              <w:rPr>
                <w:b/>
                <w:bCs/>
              </w:rPr>
              <w:t xml:space="preserve">GT 5C, </w:t>
            </w:r>
            <w:r w:rsidR="000A60D5">
              <w:rPr>
                <w:b/>
                <w:bCs/>
              </w:rPr>
              <w:br/>
            </w:r>
            <w:r w:rsidRPr="007A7DF3">
              <w:rPr>
                <w:b/>
                <w:bCs/>
              </w:rPr>
              <w:t xml:space="preserve">GT 7C, </w:t>
            </w:r>
            <w:r w:rsidR="000A60D5">
              <w:rPr>
                <w:b/>
                <w:bCs/>
              </w:rPr>
              <w:br/>
            </w:r>
            <w:r w:rsidRPr="007A7DF3">
              <w:rPr>
                <w:b/>
                <w:bCs/>
              </w:rPr>
              <w:t>GT 7D</w:t>
            </w:r>
          </w:p>
        </w:tc>
      </w:tr>
      <w:bookmarkEnd w:id="53"/>
      <w:tr w:rsidR="007A7DF3" w:rsidRPr="00CE4E08" w14:paraId="6A969286" w14:textId="77777777" w:rsidTr="003F05FF">
        <w:trPr>
          <w:cantSplit/>
          <w:jc w:val="center"/>
        </w:trPr>
        <w:tc>
          <w:tcPr>
            <w:tcW w:w="14474" w:type="dxa"/>
            <w:gridSpan w:val="5"/>
          </w:tcPr>
          <w:p w14:paraId="6BB71B13" w14:textId="77777777" w:rsidR="007A7DF3" w:rsidRPr="000A60D5" w:rsidRDefault="007A7DF3" w:rsidP="004A2293">
            <w:pPr>
              <w:pStyle w:val="Tabletext"/>
              <w:keepNext/>
              <w:keepLines/>
              <w:tabs>
                <w:tab w:val="clear" w:pos="284"/>
                <w:tab w:val="left" w:pos="594"/>
              </w:tabs>
              <w:jc w:val="both"/>
              <w:rPr>
                <w:lang w:val="es-ES_tradnl"/>
              </w:rPr>
            </w:pPr>
            <w:r w:rsidRPr="000A60D5">
              <w:rPr>
                <w:lang w:val="es-ES_tradnl"/>
              </w:rPr>
              <w:t>2.2</w:t>
            </w:r>
            <w:r w:rsidRPr="000A60D5">
              <w:rPr>
                <w:lang w:val="es-ES_tradnl"/>
              </w:rPr>
              <w:tab/>
            </w:r>
            <w:r w:rsidRPr="000A60D5">
              <w:rPr>
                <w:bCs/>
                <w:lang w:val="es-ES_tradnl"/>
              </w:rPr>
              <w:t>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w:t>
            </w:r>
            <w:r w:rsidRPr="000A60D5">
              <w:rPr>
                <w:b/>
                <w:lang w:val="es-ES_tradnl"/>
              </w:rPr>
              <w:t> 176 (CMR-19);</w:t>
            </w:r>
          </w:p>
        </w:tc>
      </w:tr>
      <w:tr w:rsidR="007A7DF3" w:rsidRPr="001F3073" w14:paraId="155B39FF" w14:textId="77777777" w:rsidTr="003F05FF">
        <w:trPr>
          <w:jc w:val="center"/>
        </w:trPr>
        <w:tc>
          <w:tcPr>
            <w:tcW w:w="3192" w:type="dxa"/>
          </w:tcPr>
          <w:p w14:paraId="2D800ACD"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176 (CMR</w:t>
            </w:r>
            <w:r w:rsidRPr="00537CF6">
              <w:rPr>
                <w:b/>
                <w:bCs/>
                <w:lang w:val="es-ES" w:eastAsia="nl-NL"/>
              </w:rPr>
              <w:noBreakHyphen/>
              <w:t>19)</w:t>
            </w:r>
          </w:p>
          <w:p w14:paraId="2920CBA0" w14:textId="080391F0" w:rsidR="007A7DF3" w:rsidRPr="000A60D5" w:rsidRDefault="007A7DF3" w:rsidP="000A60D5">
            <w:pPr>
              <w:pStyle w:val="Tabletext"/>
              <w:rPr>
                <w:lang w:val="es-ES_tradnl"/>
              </w:rPr>
            </w:pPr>
            <w:bookmarkStart w:id="54" w:name="_Hlk26796731"/>
            <w:r w:rsidRPr="000A60D5">
              <w:rPr>
                <w:lang w:val="es-ES_tradnl"/>
              </w:rPr>
              <w:t>Utilización de las bandas de frecuencias 37,5-39,5 GHz (espacio</w:t>
            </w:r>
            <w:r w:rsidR="004E66B6">
              <w:rPr>
                <w:lang w:val="es-ES_tradnl"/>
              </w:rPr>
              <w:noBreakHyphen/>
            </w:r>
            <w:r w:rsidRPr="000A60D5">
              <w:rPr>
                <w:lang w:val="es-ES_tradnl"/>
              </w:rPr>
              <w:t>Tierra), 40,5</w:t>
            </w:r>
            <w:r w:rsidRPr="000A60D5">
              <w:rPr>
                <w:lang w:val="es-ES_tradnl"/>
              </w:rPr>
              <w:noBreakHyphen/>
              <w:t>42,5 GHz (espacio</w:t>
            </w:r>
            <w:r w:rsidR="004E66B6">
              <w:rPr>
                <w:lang w:val="es-ES_tradnl"/>
              </w:rPr>
              <w:noBreakHyphen/>
            </w:r>
            <w:r w:rsidRPr="000A60D5">
              <w:rPr>
                <w:lang w:val="es-ES_tradnl"/>
              </w:rPr>
              <w:t>Tierra), 47,2-50,2 GHz (Tierra-espacio) y 50,4</w:t>
            </w:r>
            <w:r w:rsidRPr="000A60D5">
              <w:rPr>
                <w:lang w:val="es-ES_tradnl"/>
              </w:rPr>
              <w:noBreakHyphen/>
              <w:t>51,4 GHz (Tierra-espacio) por estaciones terrenas en movimiento marítimas y aeronáuticas que comunican con estaciones espaciales geoestacionarias del servicio fijo por satélite</w:t>
            </w:r>
            <w:bookmarkEnd w:id="54"/>
          </w:p>
        </w:tc>
        <w:tc>
          <w:tcPr>
            <w:tcW w:w="2713" w:type="dxa"/>
            <w:gridSpan w:val="2"/>
          </w:tcPr>
          <w:p w14:paraId="6A306FAC" w14:textId="1EB26C71" w:rsidR="007A7DF3" w:rsidRPr="000A60D5" w:rsidRDefault="007A7DF3" w:rsidP="000A60D5">
            <w:pPr>
              <w:pStyle w:val="Tabletext"/>
              <w:jc w:val="center"/>
              <w:rPr>
                <w:lang w:val="es-ES_tradnl"/>
              </w:rPr>
            </w:pPr>
            <w:r w:rsidRPr="000A60D5">
              <w:rPr>
                <w:b/>
                <w:bCs/>
                <w:lang w:val="es-ES_tradnl"/>
              </w:rPr>
              <w:t>CE</w:t>
            </w:r>
            <w:r w:rsidR="004E66B6">
              <w:rPr>
                <w:b/>
                <w:bCs/>
                <w:lang w:val="es-ES_tradnl"/>
              </w:rPr>
              <w:t> </w:t>
            </w:r>
            <w:r w:rsidRPr="000A60D5">
              <w:rPr>
                <w:b/>
                <w:bCs/>
                <w:lang w:val="es-ES_tradnl"/>
              </w:rPr>
              <w:t>4</w:t>
            </w:r>
          </w:p>
        </w:tc>
        <w:tc>
          <w:tcPr>
            <w:tcW w:w="7177" w:type="dxa"/>
          </w:tcPr>
          <w:p w14:paraId="5F38FC50" w14:textId="77777777" w:rsidR="007A7DF3" w:rsidRPr="00A665BE" w:rsidRDefault="007A7DF3" w:rsidP="004A2293">
            <w:pPr>
              <w:pStyle w:val="Tabletext"/>
              <w:tabs>
                <w:tab w:val="clear" w:pos="284"/>
                <w:tab w:val="left" w:pos="463"/>
              </w:tabs>
              <w:ind w:left="454"/>
              <w:jc w:val="both"/>
              <w:rPr>
                <w:rFonts w:eastAsia="???"/>
                <w:i/>
                <w:iCs/>
                <w:lang w:val="es-ES" w:eastAsia="nl-NL"/>
              </w:rPr>
            </w:pPr>
            <w:bookmarkStart w:id="55" w:name="_Hlk26796724"/>
            <w:r w:rsidRPr="00A665BE">
              <w:rPr>
                <w:rFonts w:eastAsia="???"/>
                <w:i/>
                <w:iCs/>
                <w:lang w:val="es-ES" w:eastAsia="nl-NL"/>
              </w:rPr>
              <w:t>resuelve invitar al Sector de Radiocomunicaciones de la UIT</w:t>
            </w:r>
          </w:p>
          <w:p w14:paraId="2834794F"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a estudiar las características técnicas y operativas de las ETEM marítimas y aeronáuticas cuyo funcionamiento está previsto en atribuciones al SFS geoestacionario en las bandas de frecuencias 37,5-39,5 GHz, 40,5-42,5 GHz, 47,2</w:t>
            </w:r>
            <w:r w:rsidRPr="000A60D5">
              <w:rPr>
                <w:lang w:val="es-ES_tradnl"/>
              </w:rPr>
              <w:noBreakHyphen/>
              <w:t>50,2 GHz y 50,4</w:t>
            </w:r>
            <w:r w:rsidRPr="000A60D5">
              <w:rPr>
                <w:lang w:val="es-ES_tradnl"/>
              </w:rPr>
              <w:noBreakHyphen/>
              <w:t>51,4 GHz;</w:t>
            </w:r>
          </w:p>
          <w:p w14:paraId="001E82ED"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t>a estudiar la compartición y compatibilidad entre las ETEM marítimas y aeronáuticas que funcionan con redes geoestacionarias del SFS en las bandas de frecuencias 37,5-39,5 GHz, 40,5-42,5 GHz, 47,2</w:t>
            </w:r>
            <w:r w:rsidRPr="000A60D5">
              <w:rPr>
                <w:lang w:val="es-ES_tradnl"/>
              </w:rPr>
              <w:noBreakHyphen/>
              <w:t>50,2</w:t>
            </w:r>
            <w:r w:rsidRPr="000A60D5">
              <w:rPr>
                <w:lang w:val="es-ES_tradnl"/>
              </w:rPr>
              <w:footnoteReference w:customMarkFollows="1" w:id="15"/>
              <w:t>* GHz y 50,4-51,4</w:t>
            </w:r>
            <w:r w:rsidRPr="000A60D5">
              <w:rPr>
                <w:vertAlign w:val="superscript"/>
                <w:lang w:val="es-ES_tradnl"/>
              </w:rPr>
              <w:t>*</w:t>
            </w:r>
            <w:r w:rsidRPr="000A60D5">
              <w:rPr>
                <w:lang w:val="es-ES_tradnl"/>
              </w:rPr>
              <w:t> GHz y las estaciones actuales y planificadas de los servicios existentes con atribuciones en estas bandas y, cuando proceda, en bandas adyacentes, para garantizar la protección de esos servicios</w:t>
            </w:r>
            <w:r w:rsidRPr="000A60D5">
              <w:rPr>
                <w:iCs/>
                <w:lang w:val="es-ES_tradnl"/>
              </w:rPr>
              <w:t xml:space="preserve"> </w:t>
            </w:r>
            <w:r w:rsidRPr="000A60D5">
              <w:rPr>
                <w:lang w:val="es-ES_tradnl"/>
              </w:rPr>
              <w:t>sin imponerles restricciones indebidas;</w:t>
            </w:r>
          </w:p>
          <w:p w14:paraId="2D916C8E" w14:textId="77777777" w:rsidR="007A7DF3" w:rsidRPr="000A60D5" w:rsidRDefault="007A7DF3" w:rsidP="004A2293">
            <w:pPr>
              <w:pStyle w:val="Tabletext"/>
              <w:tabs>
                <w:tab w:val="clear" w:pos="284"/>
                <w:tab w:val="left" w:pos="463"/>
              </w:tabs>
              <w:jc w:val="both"/>
              <w:rPr>
                <w:lang w:val="es-ES_tradnl"/>
              </w:rPr>
            </w:pPr>
            <w:r w:rsidRPr="000A60D5">
              <w:rPr>
                <w:lang w:val="es-ES_tradnl"/>
              </w:rPr>
              <w:t>3</w:t>
            </w:r>
            <w:r w:rsidRPr="000A60D5">
              <w:rPr>
                <w:lang w:val="es-ES_tradnl"/>
              </w:rPr>
              <w:tab/>
              <w:t>a determinar, para los distintos tipos de ETEM, las condiciones técnicas y disposiciones reglamentarias aplicables a su funcionamiento, teniendo en cuenta los resultados de los estudios anteriormente citados,</w:t>
            </w:r>
          </w:p>
          <w:p w14:paraId="3EFE4EBE" w14:textId="4FD3215A"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lastRenderedPageBreak/>
              <w:t>resuelve además invitar a la Conferencia Mundial de Radiocomunicaciones de</w:t>
            </w:r>
            <w:r w:rsidR="004E66B6">
              <w:rPr>
                <w:rFonts w:eastAsia="???"/>
                <w:i/>
                <w:iCs/>
                <w:lang w:val="es-ES" w:eastAsia="nl-NL"/>
              </w:rPr>
              <w:t> </w:t>
            </w:r>
            <w:r w:rsidRPr="00A665BE">
              <w:rPr>
                <w:rFonts w:eastAsia="???"/>
                <w:i/>
                <w:iCs/>
                <w:lang w:val="es-ES" w:eastAsia="nl-NL"/>
              </w:rPr>
              <w:t>2027</w:t>
            </w:r>
          </w:p>
          <w:p w14:paraId="3D1F9801"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examinar</w:t>
            </w:r>
            <w:r w:rsidRPr="000A60D5">
              <w:rPr>
                <w:lang w:val="es-ES_tradnl"/>
              </w:rPr>
              <w:t xml:space="preserve"> los resultados de los estudios antes mencionados y adoptar las medidas necesarias, según proceda, siempre y cuando los resultados de los estudios mencionados en el </w:t>
            </w:r>
            <w:r w:rsidRPr="000A60D5">
              <w:rPr>
                <w:i/>
                <w:iCs/>
                <w:lang w:val="es-ES_tradnl"/>
              </w:rPr>
              <w:t xml:space="preserve">resuelve invitar al Sector de Radiocomunicaciones de la UIT </w:t>
            </w:r>
            <w:r w:rsidRPr="000A60D5">
              <w:rPr>
                <w:lang w:val="es-ES_tradnl"/>
              </w:rPr>
              <w:t>estén completos y hayan recibido el acuerdo de las Comisiones de Estudio del UIT</w:t>
            </w:r>
            <w:r w:rsidRPr="000A60D5">
              <w:rPr>
                <w:lang w:val="es-ES_tradnl"/>
              </w:rPr>
              <w:noBreakHyphen/>
              <w:t>R.</w:t>
            </w:r>
            <w:bookmarkEnd w:id="55"/>
          </w:p>
        </w:tc>
        <w:tc>
          <w:tcPr>
            <w:tcW w:w="1392" w:type="dxa"/>
          </w:tcPr>
          <w:p w14:paraId="0253DA6C" w14:textId="77777777" w:rsidR="000A60D5" w:rsidRDefault="007A7DF3" w:rsidP="00100121">
            <w:pPr>
              <w:pStyle w:val="Tabletext"/>
              <w:jc w:val="center"/>
              <w:rPr>
                <w:b/>
                <w:bCs/>
              </w:rPr>
            </w:pPr>
            <w:r w:rsidRPr="007A7DF3">
              <w:rPr>
                <w:b/>
                <w:bCs/>
              </w:rPr>
              <w:lastRenderedPageBreak/>
              <w:t xml:space="preserve">GT 3M, </w:t>
            </w:r>
            <w:r w:rsidR="000A60D5">
              <w:rPr>
                <w:b/>
                <w:bCs/>
              </w:rPr>
              <w:br/>
            </w:r>
            <w:r w:rsidRPr="007A7DF3">
              <w:rPr>
                <w:b/>
                <w:bCs/>
              </w:rPr>
              <w:t xml:space="preserve">GT 4A, </w:t>
            </w:r>
            <w:r w:rsidR="000A60D5">
              <w:rPr>
                <w:b/>
                <w:bCs/>
              </w:rPr>
              <w:br/>
            </w:r>
            <w:r w:rsidRPr="007A7DF3">
              <w:rPr>
                <w:b/>
                <w:bCs/>
              </w:rPr>
              <w:t xml:space="preserve">GT 5A, </w:t>
            </w:r>
            <w:r w:rsidR="000A60D5">
              <w:rPr>
                <w:b/>
                <w:bCs/>
              </w:rPr>
              <w:br/>
            </w:r>
            <w:r w:rsidRPr="007A7DF3">
              <w:rPr>
                <w:b/>
                <w:bCs/>
              </w:rPr>
              <w:t xml:space="preserve">GT 5C, </w:t>
            </w:r>
            <w:r w:rsidR="000A60D5">
              <w:rPr>
                <w:b/>
                <w:bCs/>
              </w:rPr>
              <w:br/>
            </w:r>
            <w:r w:rsidRPr="007A7DF3">
              <w:rPr>
                <w:b/>
                <w:bCs/>
              </w:rPr>
              <w:t xml:space="preserve">GT 5D, </w:t>
            </w:r>
          </w:p>
          <w:p w14:paraId="0017350F" w14:textId="5BA5CA6F" w:rsidR="007A7DF3" w:rsidRPr="007A7DF3" w:rsidRDefault="007A7DF3" w:rsidP="00100121">
            <w:pPr>
              <w:pStyle w:val="Tabletext"/>
              <w:jc w:val="center"/>
            </w:pPr>
            <w:r w:rsidRPr="007A7DF3">
              <w:rPr>
                <w:b/>
                <w:bCs/>
              </w:rPr>
              <w:t>GT 7C</w:t>
            </w:r>
          </w:p>
        </w:tc>
      </w:tr>
      <w:tr w:rsidR="007A7DF3" w:rsidRPr="00CE4E08" w14:paraId="08525DAF" w14:textId="77777777" w:rsidTr="003F05FF">
        <w:trPr>
          <w:cantSplit/>
          <w:jc w:val="center"/>
        </w:trPr>
        <w:tc>
          <w:tcPr>
            <w:tcW w:w="14474" w:type="dxa"/>
            <w:gridSpan w:val="5"/>
          </w:tcPr>
          <w:p w14:paraId="770EA810" w14:textId="1FDA0326" w:rsidR="007A7DF3" w:rsidRPr="000A60D5" w:rsidRDefault="007A7DF3" w:rsidP="004A2293">
            <w:pPr>
              <w:pStyle w:val="Tabletext"/>
              <w:keepNext/>
              <w:keepLines/>
              <w:tabs>
                <w:tab w:val="clear" w:pos="284"/>
                <w:tab w:val="left" w:pos="594"/>
              </w:tabs>
              <w:jc w:val="both"/>
              <w:rPr>
                <w:lang w:val="es-ES_tradnl"/>
              </w:rPr>
            </w:pPr>
            <w:r w:rsidRPr="000A60D5">
              <w:rPr>
                <w:lang w:val="es-ES_tradnl"/>
              </w:rPr>
              <w:t>2.3</w:t>
            </w:r>
            <w:r w:rsidRPr="000A60D5">
              <w:rPr>
                <w:lang w:val="es-ES_tradnl"/>
              </w:rPr>
              <w:tab/>
              <w:t>considerar la atribución de la totalidad o partes de la banda de frecuencias, [43,5</w:t>
            </w:r>
            <w:r w:rsidRPr="000A60D5">
              <w:rPr>
                <w:lang w:val="es-ES_tradnl"/>
              </w:rPr>
              <w:noBreakHyphen/>
              <w:t xml:space="preserve">45,5 GHz] al servicio fijo por satélite de conformidad con la Resolución </w:t>
            </w:r>
            <w:r w:rsidRPr="000A60D5">
              <w:rPr>
                <w:b/>
                <w:bCs/>
                <w:lang w:val="es-ES_tradnl"/>
              </w:rPr>
              <w:t>177 (CMR</w:t>
            </w:r>
            <w:r w:rsidRPr="000A60D5">
              <w:rPr>
                <w:b/>
                <w:bCs/>
                <w:lang w:val="es-ES_tradnl"/>
              </w:rPr>
              <w:noBreakHyphen/>
              <w:t>19)</w:t>
            </w:r>
            <w:r w:rsidRPr="000A60D5">
              <w:rPr>
                <w:lang w:val="es-ES_tradnl"/>
              </w:rPr>
              <w:t>;</w:t>
            </w:r>
          </w:p>
        </w:tc>
      </w:tr>
      <w:tr w:rsidR="007A7DF3" w:rsidRPr="001F3073" w14:paraId="2E35AA87" w14:textId="77777777" w:rsidTr="003F05FF">
        <w:trPr>
          <w:cantSplit/>
          <w:jc w:val="center"/>
        </w:trPr>
        <w:tc>
          <w:tcPr>
            <w:tcW w:w="3198" w:type="dxa"/>
            <w:gridSpan w:val="2"/>
          </w:tcPr>
          <w:p w14:paraId="5AE0BD64" w14:textId="77777777" w:rsidR="007A7DF3" w:rsidRPr="00537CF6" w:rsidRDefault="007A7DF3" w:rsidP="004A2293">
            <w:pPr>
              <w:pStyle w:val="Tabletext"/>
              <w:tabs>
                <w:tab w:val="clear" w:pos="284"/>
                <w:tab w:val="left" w:pos="463"/>
              </w:tabs>
              <w:jc w:val="both"/>
              <w:rPr>
                <w:lang w:val="es-ES" w:eastAsia="nl-NL"/>
              </w:rPr>
            </w:pPr>
            <w:r w:rsidRPr="00537CF6">
              <w:rPr>
                <w:lang w:val="es-ES" w:eastAsia="nl-NL"/>
              </w:rPr>
              <w:t>Resolución </w:t>
            </w:r>
            <w:r w:rsidRPr="00537CF6">
              <w:rPr>
                <w:b/>
                <w:bCs/>
                <w:lang w:val="es-ES" w:eastAsia="nl-NL"/>
              </w:rPr>
              <w:t>177 (CMR</w:t>
            </w:r>
            <w:r w:rsidRPr="00537CF6">
              <w:rPr>
                <w:b/>
                <w:bCs/>
                <w:lang w:val="es-ES" w:eastAsia="nl-NL"/>
              </w:rPr>
              <w:noBreakHyphen/>
              <w:t>19)</w:t>
            </w:r>
          </w:p>
          <w:p w14:paraId="62529F5D" w14:textId="54C61214" w:rsidR="007A7DF3" w:rsidRPr="000A60D5" w:rsidRDefault="007A7DF3" w:rsidP="004A2293">
            <w:pPr>
              <w:pStyle w:val="Tabletext"/>
              <w:jc w:val="both"/>
              <w:rPr>
                <w:rFonts w:asciiTheme="minorHAnsi" w:hAnsiTheme="minorHAnsi" w:cstheme="minorHAnsi"/>
                <w:lang w:val="es-ES_tradnl"/>
              </w:rPr>
            </w:pPr>
            <w:r w:rsidRPr="000A60D5">
              <w:rPr>
                <w:rFonts w:asciiTheme="minorHAnsi" w:hAnsiTheme="minorHAnsi" w:cstheme="minorHAnsi"/>
                <w:lang w:val="es-ES_tradnl"/>
              </w:rPr>
              <w:t>Estudios relacionados con las necesidades de espectro y la posible atribución de la banda de frecuencias 43,5-45,5 GHz para el servicio fijo por satélite</w:t>
            </w:r>
          </w:p>
        </w:tc>
        <w:tc>
          <w:tcPr>
            <w:tcW w:w="2707" w:type="dxa"/>
          </w:tcPr>
          <w:p w14:paraId="16B8A5CE" w14:textId="2F778502" w:rsidR="007A7DF3" w:rsidRPr="000A60D5" w:rsidRDefault="007A7DF3" w:rsidP="0014314B">
            <w:pPr>
              <w:pStyle w:val="Tabletext"/>
              <w:jc w:val="center"/>
              <w:rPr>
                <w:lang w:val="es-ES_tradnl"/>
              </w:rPr>
            </w:pPr>
            <w:r w:rsidRPr="000A60D5">
              <w:rPr>
                <w:b/>
                <w:bCs/>
                <w:lang w:val="es-ES_tradnl"/>
              </w:rPr>
              <w:t>CE</w:t>
            </w:r>
            <w:r w:rsidR="000A4F64">
              <w:rPr>
                <w:b/>
                <w:bCs/>
                <w:lang w:val="es-ES_tradnl"/>
              </w:rPr>
              <w:t> </w:t>
            </w:r>
            <w:r w:rsidRPr="000A60D5">
              <w:rPr>
                <w:b/>
                <w:bCs/>
                <w:lang w:val="es-ES_tradnl"/>
              </w:rPr>
              <w:t>4</w:t>
            </w:r>
          </w:p>
        </w:tc>
        <w:tc>
          <w:tcPr>
            <w:tcW w:w="7177" w:type="dxa"/>
          </w:tcPr>
          <w:p w14:paraId="44BD7C58" w14:textId="77777777" w:rsidR="007A7DF3" w:rsidRPr="00A665BE" w:rsidRDefault="007A7DF3" w:rsidP="004A2293">
            <w:pPr>
              <w:pStyle w:val="Tabletext"/>
              <w:tabs>
                <w:tab w:val="clear" w:pos="284"/>
                <w:tab w:val="left" w:pos="463"/>
              </w:tabs>
              <w:ind w:left="454"/>
              <w:jc w:val="both"/>
              <w:rPr>
                <w:rFonts w:eastAsia="???"/>
                <w:i/>
                <w:iCs/>
                <w:lang w:val="es-ES" w:eastAsia="nl-NL"/>
              </w:rPr>
            </w:pPr>
            <w:bookmarkStart w:id="56" w:name="_Hlk26796803"/>
            <w:r w:rsidRPr="00A665BE">
              <w:rPr>
                <w:rFonts w:eastAsia="???"/>
                <w:i/>
                <w:iCs/>
                <w:lang w:val="es-ES" w:eastAsia="nl-NL"/>
              </w:rPr>
              <w:t>resuelve invitar al Sector de Radiocomunicaciones de la UIT</w:t>
            </w:r>
          </w:p>
          <w:p w14:paraId="345811C3" w14:textId="77777777" w:rsidR="007A7DF3" w:rsidRPr="000A60D5" w:rsidRDefault="007A7DF3" w:rsidP="004A2293">
            <w:pPr>
              <w:pStyle w:val="Tabletext"/>
              <w:tabs>
                <w:tab w:val="clear" w:pos="284"/>
                <w:tab w:val="left" w:pos="463"/>
              </w:tabs>
              <w:jc w:val="both"/>
              <w:rPr>
                <w:lang w:val="es-ES_tradnl"/>
              </w:rPr>
            </w:pPr>
            <w:r w:rsidRPr="000A60D5">
              <w:rPr>
                <w:lang w:val="es-ES_tradnl"/>
              </w:rPr>
              <w:t>a efectuar y finalizar a tiempo para la CMR-27:</w:t>
            </w:r>
          </w:p>
          <w:p w14:paraId="31AE3EDB"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estudios en los que se consideren las necesidades de espectro adicional para el desarrollo del SFS, teniendo en cuenta las bandas de frecuencias actualmente atribuidas a dicho servicio, las condiciones técnicas de su uso, y la posibilidad de optimizar el uso de esas bandas de frecuencias a fin de lograr una mayor eficiencia del espectro;</w:t>
            </w:r>
          </w:p>
          <w:p w14:paraId="04AE294F"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r>
            <w:r w:rsidRPr="000A60D5">
              <w:rPr>
                <w:lang w:val="es-ES_tradnl" w:eastAsia="nl-NL"/>
              </w:rPr>
              <w:t>estudios</w:t>
            </w:r>
            <w:r w:rsidRPr="000A60D5">
              <w:rPr>
                <w:lang w:val="es-ES_tradnl"/>
              </w:rPr>
              <w:t xml:space="preserve"> de compartición y compatibilidad con los servicios existentes, a título primario, a fin de determinar si las nuevas atribuciones a título primario al SFS en las bandas de frecuencias 43,5-45,5 GHz resultan adecuadas,</w:t>
            </w:r>
          </w:p>
          <w:p w14:paraId="287375B2"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además</w:t>
            </w:r>
          </w:p>
          <w:p w14:paraId="7076F7C4" w14:textId="77777777" w:rsidR="007A7DF3" w:rsidRPr="000A60D5" w:rsidRDefault="007A7DF3" w:rsidP="004A2293">
            <w:pPr>
              <w:pStyle w:val="Tabletext"/>
              <w:tabs>
                <w:tab w:val="clear" w:pos="284"/>
                <w:tab w:val="left" w:pos="463"/>
              </w:tabs>
              <w:jc w:val="both"/>
              <w:rPr>
                <w:lang w:val="es-ES_tradnl"/>
              </w:rPr>
            </w:pPr>
            <w:r w:rsidRPr="000A60D5">
              <w:rPr>
                <w:lang w:val="es-ES_tradnl" w:eastAsia="nl-NL"/>
              </w:rPr>
              <w:t>invitar</w:t>
            </w:r>
            <w:r w:rsidRPr="000A60D5">
              <w:rPr>
                <w:lang w:val="es-ES_tradnl"/>
              </w:rPr>
              <w:t xml:space="preserve"> a la CMR</w:t>
            </w:r>
            <w:r w:rsidRPr="000A60D5">
              <w:rPr>
                <w:lang w:val="es-ES_tradnl"/>
              </w:rPr>
              <w:noBreakHyphen/>
              <w:t xml:space="preserve">27 a considerar los resultados de los estudios indicados en el </w:t>
            </w:r>
            <w:r w:rsidRPr="000A60D5">
              <w:rPr>
                <w:i/>
                <w:iCs/>
                <w:lang w:val="es-ES_tradnl"/>
              </w:rPr>
              <w:t xml:space="preserve">resuelve invitar al Sector de Radiocomunicaciones de la UIT </w:t>
            </w:r>
            <w:r w:rsidRPr="000A60D5">
              <w:rPr>
                <w:lang w:val="es-ES_tradnl"/>
              </w:rPr>
              <w:t>1</w:t>
            </w:r>
            <w:r w:rsidRPr="000A60D5">
              <w:rPr>
                <w:i/>
                <w:iCs/>
                <w:lang w:val="es-ES_tradnl"/>
              </w:rPr>
              <w:t xml:space="preserve"> </w:t>
            </w:r>
            <w:r w:rsidRPr="000A60D5">
              <w:rPr>
                <w:lang w:val="es-ES_tradnl"/>
              </w:rPr>
              <w:t>anterior y, en su caso, a tomar las medidas adecuadas,</w:t>
            </w:r>
          </w:p>
          <w:p w14:paraId="1F0C0CB2"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2C4FD11F"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participar</w:t>
            </w:r>
            <w:r w:rsidRPr="000A60D5">
              <w:rPr>
                <w:lang w:val="es-ES_tradnl"/>
              </w:rPr>
              <w:t xml:space="preserve"> activamente en dichos estudios presentando contribuciones al UIT-R.</w:t>
            </w:r>
            <w:bookmarkEnd w:id="56"/>
          </w:p>
        </w:tc>
        <w:tc>
          <w:tcPr>
            <w:tcW w:w="1392" w:type="dxa"/>
          </w:tcPr>
          <w:p w14:paraId="0D165E8B" w14:textId="0E5CF970" w:rsidR="007A7DF3" w:rsidRPr="007A7DF3" w:rsidRDefault="007A7DF3" w:rsidP="0014314B">
            <w:pPr>
              <w:pStyle w:val="Tabletext"/>
              <w:jc w:val="center"/>
              <w:rPr>
                <w:b/>
                <w:bCs/>
              </w:rPr>
            </w:pPr>
            <w:r w:rsidRPr="007A7DF3">
              <w:rPr>
                <w:b/>
                <w:bCs/>
              </w:rPr>
              <w:t xml:space="preserve">GT 3M, </w:t>
            </w:r>
            <w:r w:rsidR="000A60D5">
              <w:rPr>
                <w:b/>
                <w:bCs/>
              </w:rPr>
              <w:br/>
            </w:r>
            <w:r w:rsidRPr="007A7DF3">
              <w:rPr>
                <w:b/>
                <w:bCs/>
              </w:rPr>
              <w:t xml:space="preserve">GT 4A, </w:t>
            </w:r>
            <w:r w:rsidR="000A60D5">
              <w:rPr>
                <w:b/>
                <w:bCs/>
              </w:rPr>
              <w:br/>
            </w:r>
            <w:r w:rsidRPr="007A7DF3">
              <w:rPr>
                <w:b/>
                <w:bCs/>
              </w:rPr>
              <w:t xml:space="preserve">GT 4C, </w:t>
            </w:r>
            <w:r w:rsidR="000A60D5">
              <w:rPr>
                <w:b/>
                <w:bCs/>
              </w:rPr>
              <w:br/>
            </w:r>
            <w:r w:rsidRPr="007A7DF3">
              <w:rPr>
                <w:b/>
                <w:bCs/>
              </w:rPr>
              <w:t>GT 5A</w:t>
            </w:r>
          </w:p>
        </w:tc>
      </w:tr>
      <w:tr w:rsidR="007A7DF3" w:rsidRPr="00CE4E08" w14:paraId="188AF369" w14:textId="77777777" w:rsidTr="003F05FF">
        <w:trPr>
          <w:cantSplit/>
          <w:jc w:val="center"/>
        </w:trPr>
        <w:tc>
          <w:tcPr>
            <w:tcW w:w="14474" w:type="dxa"/>
            <w:gridSpan w:val="5"/>
          </w:tcPr>
          <w:p w14:paraId="5BDBC114" w14:textId="48F9F9E8" w:rsidR="007A7DF3" w:rsidRPr="000A60D5" w:rsidRDefault="007A7DF3" w:rsidP="003F05FF">
            <w:pPr>
              <w:pStyle w:val="Tabletext"/>
              <w:keepNext/>
              <w:keepLines/>
              <w:tabs>
                <w:tab w:val="clear" w:pos="284"/>
                <w:tab w:val="left" w:pos="594"/>
              </w:tabs>
              <w:jc w:val="both"/>
              <w:rPr>
                <w:lang w:val="es-ES_tradnl"/>
              </w:rPr>
            </w:pPr>
            <w:r w:rsidRPr="000A60D5">
              <w:rPr>
                <w:lang w:val="es-ES_tradnl"/>
              </w:rPr>
              <w:lastRenderedPageBreak/>
              <w:t>2.4</w:t>
            </w:r>
            <w:r w:rsidR="00207DE5">
              <w:rPr>
                <w:rFonts w:ascii="Times New Roman" w:hAnsi="Times New Roman" w:cs="Times New Roman"/>
                <w:sz w:val="24"/>
                <w:szCs w:val="20"/>
                <w:lang w:val="es-ES_tradnl"/>
              </w:rPr>
              <w:tab/>
            </w:r>
            <w:r w:rsidRPr="000A60D5">
              <w:rPr>
                <w:lang w:val="es-ES_tradnl"/>
              </w:rPr>
              <w:t xml:space="preserve">introducción en el Artículo </w:t>
            </w:r>
            <w:r w:rsidRPr="000A60D5">
              <w:rPr>
                <w:b/>
                <w:bCs/>
                <w:lang w:val="es-ES_tradnl"/>
              </w:rPr>
              <w:t>21</w:t>
            </w:r>
            <w:r w:rsidRPr="000A60D5">
              <w:rPr>
                <w:lang w:val="es-ES_tradnl"/>
              </w:rPr>
              <w:t xml:space="preserve"> de límites de la densidad de flujo de potencia y de la potencia isotrópica radiada equivalente (p.i.r.e.) para las bandas de frecuencias 71</w:t>
            </w:r>
            <w:r w:rsidR="00537CF6">
              <w:rPr>
                <w:lang w:val="es-ES_tradnl"/>
              </w:rPr>
              <w:noBreakHyphen/>
            </w:r>
            <w:r w:rsidRPr="000A60D5">
              <w:rPr>
                <w:lang w:val="es-ES_tradnl"/>
              </w:rPr>
              <w:t>76 GHz y 81</w:t>
            </w:r>
            <w:r w:rsidRPr="000A60D5">
              <w:rPr>
                <w:lang w:val="es-ES_tradnl"/>
              </w:rPr>
              <w:noBreakHyphen/>
              <w:t>86 GHz, de conformidad con la Resolución </w:t>
            </w:r>
            <w:r w:rsidRPr="000A60D5">
              <w:rPr>
                <w:b/>
                <w:bCs/>
                <w:lang w:val="es-ES_tradnl"/>
              </w:rPr>
              <w:t>775</w:t>
            </w:r>
            <w:r w:rsidRPr="000A60D5">
              <w:rPr>
                <w:b/>
                <w:lang w:val="es-ES_tradnl"/>
              </w:rPr>
              <w:t xml:space="preserve"> (CMR-19)</w:t>
            </w:r>
            <w:r w:rsidRPr="000A60D5">
              <w:rPr>
                <w:lang w:val="es-ES_tradnl"/>
              </w:rPr>
              <w:t>;</w:t>
            </w:r>
          </w:p>
        </w:tc>
      </w:tr>
      <w:tr w:rsidR="007A7DF3" w:rsidRPr="001F3073" w14:paraId="47A3ACEF" w14:textId="77777777" w:rsidTr="003F05FF">
        <w:trPr>
          <w:cantSplit/>
          <w:jc w:val="center"/>
        </w:trPr>
        <w:tc>
          <w:tcPr>
            <w:tcW w:w="3198" w:type="dxa"/>
            <w:gridSpan w:val="2"/>
          </w:tcPr>
          <w:p w14:paraId="25A8C023"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775 (CMR</w:t>
            </w:r>
            <w:r w:rsidRPr="00537CF6">
              <w:rPr>
                <w:b/>
                <w:bCs/>
                <w:lang w:val="es-ES" w:eastAsia="nl-NL"/>
              </w:rPr>
              <w:noBreakHyphen/>
              <w:t>19)</w:t>
            </w:r>
          </w:p>
          <w:p w14:paraId="06AEDAD5" w14:textId="7E91A25B" w:rsidR="007A7DF3" w:rsidRPr="00537CF6" w:rsidRDefault="007A7DF3" w:rsidP="000A60D5">
            <w:pPr>
              <w:pStyle w:val="Tabletext"/>
              <w:rPr>
                <w:lang w:val="es-ES_tradnl"/>
              </w:rPr>
            </w:pPr>
            <w:r w:rsidRPr="000A60D5">
              <w:rPr>
                <w:lang w:val="es-ES_tradnl"/>
              </w:rPr>
              <w:t>Compartición entre estaciones del servicio fijo y de los servicios</w:t>
            </w:r>
            <w:r w:rsidR="000A4F64">
              <w:rPr>
                <w:lang w:val="es-ES_tradnl"/>
              </w:rPr>
              <w:t xml:space="preserve"> </w:t>
            </w:r>
            <w:r w:rsidRPr="000A60D5">
              <w:rPr>
                <w:lang w:val="es-ES_tradnl"/>
              </w:rPr>
              <w:t>por satélite en las bandas de frecuencias 71-76 GHz y 81-86 GHz</w:t>
            </w:r>
          </w:p>
        </w:tc>
        <w:tc>
          <w:tcPr>
            <w:tcW w:w="2707" w:type="dxa"/>
          </w:tcPr>
          <w:p w14:paraId="7D0DCE74" w14:textId="1F0C1083" w:rsidR="007A7DF3" w:rsidRPr="000A60D5" w:rsidRDefault="007A7DF3" w:rsidP="000A60D5">
            <w:pPr>
              <w:pStyle w:val="Tabletext"/>
              <w:jc w:val="center"/>
              <w:rPr>
                <w:lang w:val="es-ES_tradnl"/>
              </w:rPr>
            </w:pPr>
            <w:r w:rsidRPr="000A60D5">
              <w:rPr>
                <w:b/>
                <w:bCs/>
                <w:lang w:val="es-ES_tradnl"/>
              </w:rPr>
              <w:t>CE</w:t>
            </w:r>
            <w:r w:rsidR="000A4F64">
              <w:rPr>
                <w:b/>
                <w:bCs/>
                <w:lang w:val="es-ES_tradnl"/>
              </w:rPr>
              <w:t> </w:t>
            </w:r>
            <w:r w:rsidRPr="000A60D5">
              <w:rPr>
                <w:b/>
                <w:bCs/>
                <w:lang w:val="es-ES_tradnl"/>
              </w:rPr>
              <w:t>4/CE</w:t>
            </w:r>
            <w:r w:rsidR="000A4F64">
              <w:rPr>
                <w:b/>
                <w:bCs/>
                <w:lang w:val="es-ES_tradnl"/>
              </w:rPr>
              <w:t> </w:t>
            </w:r>
            <w:r w:rsidRPr="000A60D5">
              <w:rPr>
                <w:b/>
                <w:bCs/>
                <w:lang w:val="es-ES_tradnl"/>
              </w:rPr>
              <w:t>5</w:t>
            </w:r>
          </w:p>
        </w:tc>
        <w:tc>
          <w:tcPr>
            <w:tcW w:w="7177" w:type="dxa"/>
            <w:tcBorders>
              <w:bottom w:val="single" w:sz="4" w:space="0" w:color="auto"/>
            </w:tcBorders>
          </w:tcPr>
          <w:p w14:paraId="15B6375F" w14:textId="77777777" w:rsidR="007A7DF3" w:rsidRPr="00A665BE" w:rsidRDefault="007A7DF3" w:rsidP="004A2293">
            <w:pPr>
              <w:pStyle w:val="Tabletext"/>
              <w:tabs>
                <w:tab w:val="clear" w:pos="284"/>
                <w:tab w:val="left" w:pos="463"/>
              </w:tabs>
              <w:ind w:left="454"/>
              <w:jc w:val="both"/>
              <w:rPr>
                <w:rFonts w:eastAsia="???"/>
                <w:i/>
                <w:iCs/>
                <w:lang w:val="es-ES" w:eastAsia="nl-NL"/>
              </w:rPr>
            </w:pPr>
            <w:bookmarkStart w:id="57" w:name="_Hlk26795724"/>
            <w:r w:rsidRPr="00A665BE">
              <w:rPr>
                <w:rFonts w:eastAsia="???"/>
                <w:i/>
                <w:iCs/>
                <w:lang w:val="es-ES" w:eastAsia="nl-NL"/>
              </w:rPr>
              <w:t>resuelve invitar al Sector de Radiocomunicaciones de la UIT</w:t>
            </w:r>
          </w:p>
          <w:p w14:paraId="0A76FB7A"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llevar</w:t>
            </w:r>
            <w:r w:rsidRPr="000A60D5">
              <w:rPr>
                <w:lang w:val="es-ES_tradnl"/>
              </w:rPr>
              <w:t xml:space="preserve"> a cabo, con carácter urgente y a tiempo para la CMR-27, los estudios pertinentes para determinar los límites de densidad de flujo de potencia y de potencia isótropa radiada equivalente del Artículo </w:t>
            </w:r>
            <w:r w:rsidRPr="000A60D5">
              <w:rPr>
                <w:b/>
                <w:lang w:val="es-ES_tradnl"/>
              </w:rPr>
              <w:t>21</w:t>
            </w:r>
            <w:r w:rsidRPr="000A60D5">
              <w:rPr>
                <w:lang w:val="es-ES_tradnl"/>
              </w:rPr>
              <w:t xml:space="preserve"> para los servicios de satélite, a fin de proteger el servicio fijo en las bandas de frecuencias 71-76 GHz y 81-86 GHz sin imponer restricciones indebidas a los sistemas de satélites,</w:t>
            </w:r>
          </w:p>
          <w:p w14:paraId="119A2122"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 Conferencia Mundial de Radiocomunicaciones de 2027</w:t>
            </w:r>
          </w:p>
          <w:p w14:paraId="60F5D676"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tomar en consideración los resultados de los estudios y tomar las medidas </w:t>
            </w:r>
            <w:r w:rsidRPr="000A60D5">
              <w:rPr>
                <w:lang w:val="es-ES_tradnl" w:eastAsia="nl-NL"/>
              </w:rPr>
              <w:t>pertinentes</w:t>
            </w:r>
            <w:r w:rsidRPr="000A60D5">
              <w:rPr>
                <w:lang w:val="es-ES_tradnl"/>
              </w:rPr>
              <w:t>,</w:t>
            </w:r>
          </w:p>
          <w:p w14:paraId="52316726"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4C4F076D"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participar</w:t>
            </w:r>
            <w:r w:rsidRPr="000A60D5">
              <w:rPr>
                <w:lang w:val="es-ES_tradnl"/>
              </w:rPr>
              <w:t xml:space="preserve"> activamente en los estudios mediante la presentación de contribuciones al UIT-R.</w:t>
            </w:r>
            <w:bookmarkEnd w:id="57"/>
          </w:p>
        </w:tc>
        <w:tc>
          <w:tcPr>
            <w:tcW w:w="1392" w:type="dxa"/>
          </w:tcPr>
          <w:p w14:paraId="0EDCCCA6" w14:textId="08EF73D4" w:rsidR="007A7DF3" w:rsidRPr="007A7DF3" w:rsidRDefault="007A7DF3" w:rsidP="00100121">
            <w:pPr>
              <w:pStyle w:val="Tabletext"/>
              <w:jc w:val="center"/>
              <w:rPr>
                <w:b/>
                <w:bCs/>
              </w:rPr>
            </w:pPr>
            <w:r w:rsidRPr="007A7DF3">
              <w:rPr>
                <w:b/>
                <w:bCs/>
              </w:rPr>
              <w:t xml:space="preserve">GT 3J, </w:t>
            </w:r>
            <w:r w:rsidR="000A60D5">
              <w:rPr>
                <w:b/>
                <w:bCs/>
              </w:rPr>
              <w:br/>
            </w:r>
            <w:r w:rsidRPr="007A7DF3">
              <w:rPr>
                <w:b/>
                <w:bCs/>
              </w:rPr>
              <w:t xml:space="preserve">GT 3M, </w:t>
            </w:r>
            <w:r w:rsidR="000A60D5">
              <w:rPr>
                <w:b/>
                <w:bCs/>
              </w:rPr>
              <w:br/>
            </w:r>
            <w:r w:rsidRPr="007A7DF3">
              <w:rPr>
                <w:b/>
                <w:bCs/>
              </w:rPr>
              <w:t xml:space="preserve">GT 4A, </w:t>
            </w:r>
            <w:r w:rsidR="000A60D5">
              <w:rPr>
                <w:b/>
                <w:bCs/>
              </w:rPr>
              <w:br/>
            </w:r>
            <w:r w:rsidRPr="007A7DF3">
              <w:rPr>
                <w:b/>
                <w:bCs/>
              </w:rPr>
              <w:t xml:space="preserve">GT 4C, </w:t>
            </w:r>
            <w:r w:rsidR="000A60D5">
              <w:rPr>
                <w:b/>
                <w:bCs/>
              </w:rPr>
              <w:br/>
            </w:r>
            <w:r w:rsidRPr="007A7DF3">
              <w:rPr>
                <w:b/>
                <w:bCs/>
              </w:rPr>
              <w:t xml:space="preserve">GT 5A, </w:t>
            </w:r>
            <w:r w:rsidR="000A60D5">
              <w:rPr>
                <w:b/>
                <w:bCs/>
              </w:rPr>
              <w:br/>
            </w:r>
            <w:r w:rsidRPr="007A7DF3">
              <w:rPr>
                <w:b/>
                <w:bCs/>
              </w:rPr>
              <w:t xml:space="preserve">GT 5B, </w:t>
            </w:r>
            <w:r w:rsidR="000A60D5">
              <w:rPr>
                <w:b/>
                <w:bCs/>
              </w:rPr>
              <w:br/>
            </w:r>
            <w:r w:rsidRPr="007A7DF3">
              <w:rPr>
                <w:b/>
                <w:bCs/>
              </w:rPr>
              <w:t>GT 5C</w:t>
            </w:r>
          </w:p>
        </w:tc>
      </w:tr>
      <w:tr w:rsidR="007A7DF3" w:rsidRPr="00CE4E08" w14:paraId="623802E0" w14:textId="77777777" w:rsidTr="003F05FF">
        <w:trPr>
          <w:cantSplit/>
          <w:jc w:val="center"/>
        </w:trPr>
        <w:tc>
          <w:tcPr>
            <w:tcW w:w="14474" w:type="dxa"/>
            <w:gridSpan w:val="5"/>
          </w:tcPr>
          <w:p w14:paraId="1DE48110" w14:textId="77777777" w:rsidR="007A7DF3" w:rsidRPr="000A60D5" w:rsidRDefault="007A7DF3" w:rsidP="004A2293">
            <w:pPr>
              <w:pStyle w:val="Tabletext"/>
              <w:tabs>
                <w:tab w:val="clear" w:pos="284"/>
                <w:tab w:val="left" w:pos="594"/>
              </w:tabs>
              <w:jc w:val="both"/>
              <w:rPr>
                <w:lang w:val="es-ES_tradnl"/>
              </w:rPr>
            </w:pPr>
            <w:r w:rsidRPr="000A60D5">
              <w:rPr>
                <w:lang w:val="es-ES_tradnl"/>
              </w:rPr>
              <w:t>2.5</w:t>
            </w:r>
            <w:r w:rsidRPr="000A60D5">
              <w:rPr>
                <w:lang w:val="es-ES_tradnl"/>
              </w:rPr>
              <w:tab/>
              <w:t>condiciones de utilización de las bandas de frecuencias de 71-76 GHz y 81-86 GHz por las estaciones de los servicios por satélite para garantizar la compatibilidad con los servicios pasivos, de conformidad con la Resolución</w:t>
            </w:r>
            <w:r w:rsidRPr="000A60D5">
              <w:rPr>
                <w:b/>
                <w:lang w:val="es-ES_tradnl"/>
              </w:rPr>
              <w:t xml:space="preserve"> 776 (CMR</w:t>
            </w:r>
            <w:r w:rsidRPr="000A60D5">
              <w:rPr>
                <w:b/>
                <w:lang w:val="es-ES_tradnl"/>
              </w:rPr>
              <w:noBreakHyphen/>
              <w:t>19)</w:t>
            </w:r>
            <w:r w:rsidRPr="000A60D5">
              <w:rPr>
                <w:lang w:val="es-ES_tradnl"/>
              </w:rPr>
              <w:t>;</w:t>
            </w:r>
          </w:p>
        </w:tc>
      </w:tr>
      <w:tr w:rsidR="007A7DF3" w:rsidRPr="001F3073" w14:paraId="2A668F92" w14:textId="77777777" w:rsidTr="003F05FF">
        <w:trPr>
          <w:cantSplit/>
          <w:jc w:val="center"/>
        </w:trPr>
        <w:tc>
          <w:tcPr>
            <w:tcW w:w="3198" w:type="dxa"/>
            <w:gridSpan w:val="2"/>
          </w:tcPr>
          <w:p w14:paraId="19D330D5"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776 (CMR</w:t>
            </w:r>
            <w:r w:rsidRPr="00537CF6">
              <w:rPr>
                <w:b/>
                <w:bCs/>
                <w:lang w:val="es-ES" w:eastAsia="nl-NL"/>
              </w:rPr>
              <w:noBreakHyphen/>
              <w:t>19)</w:t>
            </w:r>
          </w:p>
          <w:p w14:paraId="1AC17D1D" w14:textId="326C00C2" w:rsidR="007A7DF3" w:rsidRPr="000A60D5" w:rsidRDefault="007A7DF3" w:rsidP="007115A4">
            <w:pPr>
              <w:pStyle w:val="Tabletext"/>
              <w:tabs>
                <w:tab w:val="clear" w:pos="284"/>
                <w:tab w:val="left" w:pos="594"/>
              </w:tabs>
              <w:rPr>
                <w:rFonts w:asciiTheme="minorHAnsi" w:hAnsiTheme="minorHAnsi" w:cstheme="minorHAnsi"/>
                <w:lang w:val="es-ES_tradnl"/>
              </w:rPr>
            </w:pPr>
            <w:r w:rsidRPr="007115A4">
              <w:rPr>
                <w:lang w:val="es-ES_tradnl"/>
              </w:rPr>
              <w:t>Condiciones de utilización de las bandas de frecuencias 71-76 GHz y 81-86 GHz por estaciones de los servicios por satélite para garantizar la compatibilidad con los servicios pasivos</w:t>
            </w:r>
          </w:p>
        </w:tc>
        <w:tc>
          <w:tcPr>
            <w:tcW w:w="2707" w:type="dxa"/>
          </w:tcPr>
          <w:p w14:paraId="0BE97D1B" w14:textId="77218B96" w:rsidR="007A7DF3" w:rsidRPr="000A60D5" w:rsidRDefault="007A7DF3" w:rsidP="00100121">
            <w:pPr>
              <w:pStyle w:val="Tabletext"/>
              <w:jc w:val="center"/>
              <w:rPr>
                <w:b/>
                <w:bCs/>
                <w:lang w:val="es-ES_tradnl"/>
              </w:rPr>
            </w:pPr>
            <w:r w:rsidRPr="000A60D5">
              <w:rPr>
                <w:b/>
                <w:bCs/>
                <w:lang w:val="es-ES_tradnl"/>
              </w:rPr>
              <w:t>CE</w:t>
            </w:r>
            <w:r w:rsidR="000A4F64">
              <w:rPr>
                <w:b/>
                <w:bCs/>
                <w:lang w:val="es-ES_tradnl"/>
              </w:rPr>
              <w:t> </w:t>
            </w:r>
            <w:r w:rsidRPr="000A60D5">
              <w:rPr>
                <w:b/>
                <w:bCs/>
                <w:lang w:val="es-ES_tradnl"/>
              </w:rPr>
              <w:t>7</w:t>
            </w:r>
          </w:p>
        </w:tc>
        <w:tc>
          <w:tcPr>
            <w:tcW w:w="7177" w:type="dxa"/>
          </w:tcPr>
          <w:p w14:paraId="177137CC" w14:textId="77777777" w:rsidR="007A7DF3" w:rsidRPr="00A665BE" w:rsidRDefault="007A7DF3" w:rsidP="004A2293">
            <w:pPr>
              <w:pStyle w:val="Tabletext"/>
              <w:tabs>
                <w:tab w:val="clear" w:pos="284"/>
                <w:tab w:val="left" w:pos="463"/>
              </w:tabs>
              <w:ind w:left="454"/>
              <w:jc w:val="both"/>
              <w:rPr>
                <w:rFonts w:eastAsia="???"/>
                <w:i/>
                <w:iCs/>
                <w:lang w:val="es-ES" w:eastAsia="nl-NL"/>
              </w:rPr>
            </w:pPr>
            <w:bookmarkStart w:id="58" w:name="_Hlk26795732"/>
            <w:r w:rsidRPr="00A665BE">
              <w:rPr>
                <w:rFonts w:eastAsia="???"/>
                <w:i/>
                <w:iCs/>
                <w:lang w:val="es-ES" w:eastAsia="nl-NL"/>
              </w:rPr>
              <w:t>resuelve invitar al Sector de Radiocomunicaciones de la UIT</w:t>
            </w:r>
          </w:p>
          <w:p w14:paraId="6D764F6B"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realizar los estudios pertinentes para determinar las condiciones técnicas de los </w:t>
            </w:r>
            <w:r w:rsidRPr="000A60D5">
              <w:rPr>
                <w:lang w:val="es-ES_tradnl" w:eastAsia="nl-NL"/>
              </w:rPr>
              <w:t>servicios</w:t>
            </w:r>
            <w:r w:rsidRPr="000A60D5">
              <w:rPr>
                <w:lang w:val="es-ES_tradnl"/>
              </w:rPr>
              <w:t xml:space="preserve"> por satélite en la banda de frecuencias 81-86 GHz a fin de proteger el SETS (pasivo) y el SIE (pasivo) en la banda de frecuencias 86</w:t>
            </w:r>
            <w:r w:rsidRPr="000A60D5">
              <w:rPr>
                <w:lang w:val="es-ES_tradnl"/>
              </w:rPr>
              <w:noBreakHyphen/>
              <w:t xml:space="preserve">92 GHz y el SRA en las bandas de frecuencias mencionadas en los </w:t>
            </w:r>
            <w:r w:rsidRPr="000A60D5">
              <w:rPr>
                <w:i/>
                <w:iCs/>
                <w:lang w:val="es-ES_tradnl"/>
              </w:rPr>
              <w:t>considerando d)</w:t>
            </w:r>
            <w:r w:rsidRPr="000A60D5">
              <w:rPr>
                <w:lang w:val="es-ES_tradnl"/>
              </w:rPr>
              <w:t xml:space="preserve"> y</w:t>
            </w:r>
            <w:r w:rsidRPr="000A60D5">
              <w:rPr>
                <w:i/>
                <w:iCs/>
                <w:lang w:val="es-ES_tradnl"/>
              </w:rPr>
              <w:t xml:space="preserve"> e)</w:t>
            </w:r>
            <w:r w:rsidRPr="000A60D5">
              <w:rPr>
                <w:lang w:val="es-ES_tradnl"/>
              </w:rPr>
              <w:t xml:space="preserve"> sin limitar indebidamente los sistemas por satélite,</w:t>
            </w:r>
          </w:p>
          <w:p w14:paraId="6ED1B28E"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 Conferencia Mundial de Radiocomunicaciones de 2027</w:t>
            </w:r>
          </w:p>
          <w:p w14:paraId="7DBBE6FF"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considerar</w:t>
            </w:r>
            <w:r w:rsidRPr="000A60D5">
              <w:rPr>
                <w:lang w:val="es-ES_tradnl"/>
              </w:rPr>
              <w:t xml:space="preserve"> los resultados de los estudios y adoptar las medidas necesarias,</w:t>
            </w:r>
          </w:p>
          <w:p w14:paraId="2C99B6C1"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2004D62B"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a </w:t>
            </w:r>
            <w:r w:rsidRPr="000A60D5">
              <w:rPr>
                <w:lang w:val="es-ES_tradnl" w:eastAsia="nl-NL"/>
              </w:rPr>
              <w:t>participar</w:t>
            </w:r>
            <w:r w:rsidRPr="000A60D5">
              <w:rPr>
                <w:lang w:val="es-ES_tradnl"/>
              </w:rPr>
              <w:t xml:space="preserve"> activamente en los estudios mediante la presentación de contribuciones al UIT-R.</w:t>
            </w:r>
            <w:bookmarkEnd w:id="58"/>
          </w:p>
        </w:tc>
        <w:tc>
          <w:tcPr>
            <w:tcW w:w="1392" w:type="dxa"/>
          </w:tcPr>
          <w:p w14:paraId="7498F11B" w14:textId="382F1373" w:rsidR="007A7DF3" w:rsidRPr="000A60D5" w:rsidRDefault="007A7DF3" w:rsidP="00100121">
            <w:pPr>
              <w:pStyle w:val="Tabletext"/>
              <w:jc w:val="center"/>
              <w:rPr>
                <w:b/>
                <w:bCs/>
              </w:rPr>
            </w:pPr>
            <w:r w:rsidRPr="000A60D5">
              <w:rPr>
                <w:b/>
                <w:bCs/>
              </w:rPr>
              <w:t xml:space="preserve">GT 3J, </w:t>
            </w:r>
            <w:r w:rsidR="000A4F64">
              <w:rPr>
                <w:b/>
                <w:bCs/>
              </w:rPr>
              <w:br/>
            </w:r>
            <w:r w:rsidRPr="000A60D5">
              <w:rPr>
                <w:b/>
                <w:bCs/>
              </w:rPr>
              <w:t xml:space="preserve">GT 3M, </w:t>
            </w:r>
            <w:r w:rsidR="000A4F64">
              <w:rPr>
                <w:b/>
                <w:bCs/>
              </w:rPr>
              <w:br/>
            </w:r>
            <w:r w:rsidRPr="000A60D5">
              <w:rPr>
                <w:b/>
                <w:bCs/>
              </w:rPr>
              <w:t xml:space="preserve">GT 4A, </w:t>
            </w:r>
            <w:r w:rsidR="000A4F64">
              <w:rPr>
                <w:b/>
                <w:bCs/>
              </w:rPr>
              <w:br/>
            </w:r>
            <w:r w:rsidRPr="000A60D5">
              <w:rPr>
                <w:b/>
                <w:bCs/>
              </w:rPr>
              <w:t xml:space="preserve">GT 7C, </w:t>
            </w:r>
            <w:r w:rsidR="000A4F64">
              <w:rPr>
                <w:b/>
                <w:bCs/>
              </w:rPr>
              <w:br/>
            </w:r>
            <w:r w:rsidRPr="000A60D5">
              <w:rPr>
                <w:b/>
                <w:bCs/>
              </w:rPr>
              <w:t>GT 7D</w:t>
            </w:r>
          </w:p>
        </w:tc>
      </w:tr>
      <w:tr w:rsidR="007A7DF3" w:rsidRPr="00CE4E08" w14:paraId="50F1A8E0" w14:textId="77777777" w:rsidTr="003F05FF">
        <w:trPr>
          <w:jc w:val="center"/>
        </w:trPr>
        <w:tc>
          <w:tcPr>
            <w:tcW w:w="14474" w:type="dxa"/>
            <w:gridSpan w:val="5"/>
          </w:tcPr>
          <w:p w14:paraId="3B9EAA22" w14:textId="77777777" w:rsidR="007A7DF3" w:rsidRPr="000A60D5" w:rsidRDefault="007A7DF3" w:rsidP="003F05FF">
            <w:pPr>
              <w:pStyle w:val="Tabletext"/>
              <w:keepNext/>
              <w:keepLines/>
              <w:tabs>
                <w:tab w:val="clear" w:pos="284"/>
                <w:tab w:val="left" w:pos="594"/>
              </w:tabs>
              <w:jc w:val="both"/>
              <w:rPr>
                <w:lang w:val="es-ES_tradnl"/>
              </w:rPr>
            </w:pPr>
            <w:r w:rsidRPr="000A60D5">
              <w:rPr>
                <w:lang w:val="es-ES_tradnl"/>
              </w:rPr>
              <w:lastRenderedPageBreak/>
              <w:t>2.6</w:t>
            </w:r>
            <w:r w:rsidRPr="000A60D5">
              <w:rPr>
                <w:lang w:val="es-ES_tradnl"/>
              </w:rPr>
              <w:tab/>
              <w:t>considerar las disposiciones reglamentarias necesarias para que en el Reglamento de Radiocomunicaciones se reconozcan debidamente y se protejan los sensores meteorológicos espaciales, habida cuenta de los resultados de los estudios del UIT-R que se presenten a la CMR-23 en el marco del punto 9.1 del orden del día y de la Resolución </w:t>
            </w:r>
            <w:r w:rsidRPr="000A60D5">
              <w:rPr>
                <w:b/>
                <w:bCs/>
                <w:lang w:val="es-ES_tradnl"/>
              </w:rPr>
              <w:t>657 (Rev.CMR-19)</w:t>
            </w:r>
            <w:r w:rsidRPr="000A60D5">
              <w:rPr>
                <w:lang w:val="es-ES_tradnl"/>
              </w:rPr>
              <w:t xml:space="preserve"> conexa;</w:t>
            </w:r>
          </w:p>
        </w:tc>
      </w:tr>
      <w:tr w:rsidR="007A7DF3" w:rsidRPr="001F3073" w14:paraId="4979EA55" w14:textId="77777777" w:rsidTr="003F05FF">
        <w:trPr>
          <w:jc w:val="center"/>
        </w:trPr>
        <w:tc>
          <w:tcPr>
            <w:tcW w:w="3198" w:type="dxa"/>
            <w:gridSpan w:val="2"/>
          </w:tcPr>
          <w:p w14:paraId="61E88100" w14:textId="65450F95" w:rsidR="007A7DF3" w:rsidRPr="00537CF6" w:rsidRDefault="007A7DF3" w:rsidP="00537CF6">
            <w:pPr>
              <w:pStyle w:val="Tabletext"/>
              <w:tabs>
                <w:tab w:val="clear" w:pos="284"/>
                <w:tab w:val="left" w:pos="463"/>
              </w:tabs>
              <w:rPr>
                <w:lang w:val="es-ES" w:eastAsia="nl-NL"/>
              </w:rPr>
            </w:pPr>
            <w:bookmarkStart w:id="59" w:name="_Hlk26795652"/>
            <w:r w:rsidRPr="00537CF6">
              <w:rPr>
                <w:lang w:val="es-ES" w:eastAsia="nl-NL"/>
              </w:rPr>
              <w:t>Resolución </w:t>
            </w:r>
            <w:r w:rsidRPr="00537CF6">
              <w:rPr>
                <w:b/>
                <w:bCs/>
                <w:lang w:val="es-ES" w:eastAsia="nl-NL"/>
              </w:rPr>
              <w:t>657 (Rev.CMR</w:t>
            </w:r>
            <w:r w:rsidRPr="00537CF6">
              <w:rPr>
                <w:b/>
                <w:bCs/>
                <w:lang w:val="es-ES" w:eastAsia="nl-NL"/>
              </w:rPr>
              <w:noBreakHyphen/>
              <w:t>19)</w:t>
            </w:r>
          </w:p>
          <w:p w14:paraId="1E0BB9F1" w14:textId="78F83639" w:rsidR="007A7DF3" w:rsidRPr="000A60D5" w:rsidRDefault="007A7DF3" w:rsidP="007115A4">
            <w:pPr>
              <w:pStyle w:val="Tabletext"/>
              <w:tabs>
                <w:tab w:val="clear" w:pos="284"/>
                <w:tab w:val="left" w:pos="594"/>
              </w:tabs>
              <w:rPr>
                <w:rFonts w:asciiTheme="minorHAnsi" w:hAnsiTheme="minorHAnsi" w:cstheme="minorHAnsi"/>
                <w:lang w:val="es-ES_tradnl"/>
              </w:rPr>
            </w:pPr>
            <w:r w:rsidRPr="007115A4">
              <w:rPr>
                <w:lang w:val="es-ES_tradnl"/>
              </w:rPr>
              <w:t>Protección de los sensores meteorológicos espaciales dependientes del espectro radioeléctrico utilizados para predicción y alertas mundiales</w:t>
            </w:r>
          </w:p>
        </w:tc>
        <w:tc>
          <w:tcPr>
            <w:tcW w:w="2707" w:type="dxa"/>
          </w:tcPr>
          <w:p w14:paraId="42E918FC" w14:textId="39C3657D" w:rsidR="007A7DF3" w:rsidRPr="000A60D5" w:rsidRDefault="007A7DF3" w:rsidP="00100121">
            <w:pPr>
              <w:pStyle w:val="Tabletext"/>
              <w:jc w:val="center"/>
              <w:rPr>
                <w:b/>
                <w:bCs/>
                <w:lang w:val="es-ES_tradnl"/>
              </w:rPr>
            </w:pPr>
            <w:r w:rsidRPr="000A60D5">
              <w:rPr>
                <w:b/>
                <w:bCs/>
                <w:lang w:val="es-ES_tradnl"/>
              </w:rPr>
              <w:t>CE</w:t>
            </w:r>
            <w:r w:rsidR="000A4F64">
              <w:rPr>
                <w:b/>
                <w:bCs/>
                <w:lang w:val="es-ES_tradnl"/>
              </w:rPr>
              <w:t> </w:t>
            </w:r>
            <w:r w:rsidRPr="000A60D5">
              <w:rPr>
                <w:b/>
                <w:bCs/>
                <w:lang w:val="es-ES_tradnl"/>
              </w:rPr>
              <w:t>7</w:t>
            </w:r>
          </w:p>
        </w:tc>
        <w:tc>
          <w:tcPr>
            <w:tcW w:w="7177" w:type="dxa"/>
          </w:tcPr>
          <w:p w14:paraId="03704B80"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al UIT-R</w:t>
            </w:r>
          </w:p>
          <w:p w14:paraId="060D19B6"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a determinar, a tiempo para la CMR</w:t>
            </w:r>
            <w:r w:rsidRPr="000A60D5">
              <w:rPr>
                <w:lang w:val="es-ES_tradnl"/>
              </w:rPr>
              <w:noBreakHyphen/>
              <w:t>23, de acuerdo con los estudios presentes y futuros del UIT-R relativos a las características técnicas y operativas, los sensores meteorológicos espaciales específicos que se ha de proteger mediante la reglamentación adecuada, y en particular:</w:t>
            </w:r>
          </w:p>
          <w:p w14:paraId="3FA01509" w14:textId="77777777" w:rsidR="007A7DF3" w:rsidRPr="000A60D5" w:rsidRDefault="007A7DF3" w:rsidP="004A2293">
            <w:pPr>
              <w:pStyle w:val="Tabletext"/>
              <w:tabs>
                <w:tab w:val="clear" w:pos="284"/>
                <w:tab w:val="left" w:pos="463"/>
              </w:tabs>
              <w:ind w:left="463" w:hanging="463"/>
              <w:jc w:val="both"/>
              <w:rPr>
                <w:lang w:val="es-ES_tradnl"/>
              </w:rPr>
            </w:pPr>
            <w:r w:rsidRPr="000A60D5">
              <w:rPr>
                <w:lang w:val="es-ES_tradnl"/>
              </w:rPr>
              <w:t>–</w:t>
            </w:r>
            <w:r w:rsidRPr="000A60D5">
              <w:rPr>
                <w:lang w:val="es-ES_tradnl"/>
              </w:rPr>
              <w:tab/>
              <w:t>a determinar si los sensores meteorológicos espaciales de sólo recepción se designarán como aplicaciones del servicio de ayudas a la meteorología;</w:t>
            </w:r>
          </w:p>
          <w:p w14:paraId="7B53E3C4" w14:textId="77777777" w:rsidR="007A7DF3" w:rsidRPr="000A60D5" w:rsidRDefault="007A7DF3" w:rsidP="004A2293">
            <w:pPr>
              <w:pStyle w:val="Tabletext"/>
              <w:tabs>
                <w:tab w:val="clear" w:pos="284"/>
                <w:tab w:val="left" w:pos="463"/>
              </w:tabs>
              <w:ind w:left="463" w:hanging="463"/>
              <w:jc w:val="both"/>
              <w:rPr>
                <w:lang w:val="es-ES_tradnl"/>
              </w:rPr>
            </w:pPr>
            <w:r w:rsidRPr="000A60D5">
              <w:rPr>
                <w:lang w:val="es-ES_tradnl"/>
              </w:rPr>
              <w:t>–</w:t>
            </w:r>
            <w:r w:rsidRPr="000A60D5">
              <w:rPr>
                <w:lang w:val="es-ES_tradnl"/>
              </w:rPr>
              <w:tab/>
              <w:t>a determinar el servicio de radiocomunicaciones adecuado, en su caso, para los casos en que se determine que los sensores meteorológicos espaciales de sólo recepción no pertenecen al servicio de ayudas a la meteorología;</w:t>
            </w:r>
          </w:p>
          <w:p w14:paraId="5C55CCD0"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t xml:space="preserve">a </w:t>
            </w:r>
            <w:r w:rsidRPr="000A60D5">
              <w:rPr>
                <w:lang w:val="es-ES_tradnl" w:eastAsia="nl-NL"/>
              </w:rPr>
              <w:t>llevar</w:t>
            </w:r>
            <w:r w:rsidRPr="000A60D5">
              <w:rPr>
                <w:lang w:val="es-ES_tradnl"/>
              </w:rPr>
              <w:t xml:space="preserve"> a cabo, a tiempo para la CMR</w:t>
            </w:r>
            <w:r w:rsidRPr="000A60D5">
              <w:rPr>
                <w:lang w:val="es-ES_tradnl"/>
              </w:rPr>
              <w:noBreakHyphen/>
              <w:t>23, los estudios necesarios de compartición con los sistemas existentes que funcionan en las bandas de frecuencias utilizadas por los sensores meteorológicos espaciales, con objeto de determinar las posibles disposiciones reglamentarias que puedan proporcionarse para los sensores meteorológicos espaciales de sólo recepción operativos con objeto de su adecuado reconocimiento en el Reglamento de Radiocomunicaciones, sin imponer nuevas restricciones a los servicios existentes;</w:t>
            </w:r>
          </w:p>
          <w:p w14:paraId="629F3614" w14:textId="59E236F6" w:rsidR="007A7DF3" w:rsidRPr="000A60D5" w:rsidRDefault="007A7DF3" w:rsidP="004A2293">
            <w:pPr>
              <w:pStyle w:val="Tabletext"/>
              <w:tabs>
                <w:tab w:val="clear" w:pos="284"/>
                <w:tab w:val="left" w:pos="463"/>
              </w:tabs>
              <w:jc w:val="both"/>
              <w:rPr>
                <w:lang w:val="es-ES_tradnl"/>
              </w:rPr>
            </w:pPr>
            <w:r w:rsidRPr="000A60D5">
              <w:rPr>
                <w:lang w:val="es-ES_tradnl"/>
              </w:rPr>
              <w:t>3</w:t>
            </w:r>
            <w:r w:rsidRPr="000A60D5">
              <w:rPr>
                <w:lang w:val="es-ES_tradnl"/>
              </w:rPr>
              <w:tab/>
              <w:t xml:space="preserve">a determinar las posibles opciones para describir los sistemas de sensores </w:t>
            </w:r>
            <w:r w:rsidRPr="000A60D5">
              <w:rPr>
                <w:lang w:val="es-ES_tradnl" w:eastAsia="nl-NL"/>
              </w:rPr>
              <w:t>meteorológicos</w:t>
            </w:r>
            <w:r w:rsidRPr="000A60D5">
              <w:rPr>
                <w:lang w:val="es-ES_tradnl"/>
              </w:rPr>
              <w:t xml:space="preserve"> espaciales y su correspondiente utilización en los Artículos </w:t>
            </w:r>
            <w:r w:rsidRPr="000A60D5">
              <w:rPr>
                <w:b/>
                <w:bCs/>
                <w:lang w:val="es-ES_tradnl"/>
              </w:rPr>
              <w:t>1</w:t>
            </w:r>
            <w:r w:rsidRPr="000A60D5">
              <w:rPr>
                <w:lang w:val="es-ES_tradnl"/>
              </w:rPr>
              <w:t xml:space="preserve"> y </w:t>
            </w:r>
            <w:r w:rsidRPr="000A60D5">
              <w:rPr>
                <w:b/>
                <w:bCs/>
                <w:lang w:val="es-ES_tradnl"/>
              </w:rPr>
              <w:t>4</w:t>
            </w:r>
            <w:r w:rsidRPr="000A60D5">
              <w:rPr>
                <w:lang w:val="es-ES_tradnl"/>
              </w:rPr>
              <w:t xml:space="preserve"> del Reglamento de Radiocomunicaciones y/o en una Resolución de la CMR, según proceda, así como los requisitos de protección de los sensores meteorológicos espaciales de sólo recepción, y someterlos a la consideración de la CMR-23</w:t>
            </w:r>
            <w:r w:rsidR="00CA21E0">
              <w:rPr>
                <w:lang w:val="es-ES_tradnl"/>
              </w:rPr>
              <w:t>;</w:t>
            </w:r>
          </w:p>
          <w:p w14:paraId="10EA9A66" w14:textId="77777777" w:rsidR="007A7DF3" w:rsidRPr="000A60D5" w:rsidRDefault="007A7DF3" w:rsidP="004A2293">
            <w:pPr>
              <w:pStyle w:val="Tabletext"/>
              <w:tabs>
                <w:tab w:val="clear" w:pos="284"/>
                <w:tab w:val="left" w:pos="463"/>
              </w:tabs>
              <w:jc w:val="both"/>
              <w:rPr>
                <w:lang w:val="es-ES_tradnl"/>
              </w:rPr>
            </w:pPr>
            <w:r w:rsidRPr="000A60D5">
              <w:rPr>
                <w:lang w:val="es-ES_tradnl"/>
              </w:rPr>
              <w:t>4</w:t>
            </w:r>
            <w:r w:rsidRPr="000A60D5">
              <w:rPr>
                <w:lang w:val="es-ES_tradnl"/>
              </w:rPr>
              <w:tab/>
              <w:t>a realizar y terminar a tiempo para la CMR-23 estudios sobre las características técnicas y operativas de los sensores meteorológicos espaciales activos y a realizar los necesarios estudios de compartición con los sistemas existentes operativos en las bandas de frecuencias que utilizan los sensores meteorológicos espaciales activos, con objeto de determinar el servicio de radiocomunicaciones al que pertenecen esos sensores,</w:t>
            </w:r>
          </w:p>
          <w:p w14:paraId="1331FB92"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encarga al Director de la Oficina de Radiocomunicaciones</w:t>
            </w:r>
          </w:p>
          <w:p w14:paraId="7F8CD292" w14:textId="77777777" w:rsidR="007A7DF3" w:rsidRPr="000A60D5" w:rsidRDefault="007A7DF3" w:rsidP="004A2293">
            <w:pPr>
              <w:pStyle w:val="Tabletext"/>
              <w:tabs>
                <w:tab w:val="clear" w:pos="284"/>
                <w:tab w:val="left" w:pos="463"/>
              </w:tabs>
              <w:jc w:val="both"/>
              <w:rPr>
                <w:lang w:val="es-ES_tradnl"/>
              </w:rPr>
            </w:pPr>
            <w:r w:rsidRPr="000A60D5">
              <w:rPr>
                <w:lang w:val="es-ES_tradnl"/>
              </w:rPr>
              <w:t>que presente a la CMR-23 los resultados de los estudios del UIT-R,</w:t>
            </w:r>
          </w:p>
          <w:p w14:paraId="587736A1"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lastRenderedPageBreak/>
              <w:t>invita a las administraciones</w:t>
            </w:r>
          </w:p>
          <w:p w14:paraId="7077A79C" w14:textId="77777777" w:rsidR="007A7DF3" w:rsidRPr="000A60D5" w:rsidRDefault="007A7DF3" w:rsidP="004A2293">
            <w:pPr>
              <w:pStyle w:val="Tabletext"/>
              <w:tabs>
                <w:tab w:val="clear" w:pos="284"/>
                <w:tab w:val="left" w:pos="463"/>
              </w:tabs>
              <w:jc w:val="both"/>
              <w:rPr>
                <w:lang w:val="es-ES_tradnl"/>
              </w:rPr>
            </w:pPr>
            <w:r w:rsidRPr="000A60D5">
              <w:rPr>
                <w:lang w:val="es-ES_tradnl"/>
              </w:rPr>
              <w:t>a participar activamente en los estudios y suministrar las características técnicas y operativas de los sistemas en cuestión, mediante la presentación de contribuciones al UIT</w:t>
            </w:r>
            <w:r w:rsidRPr="000A60D5">
              <w:rPr>
                <w:lang w:val="es-ES_tradnl"/>
              </w:rPr>
              <w:noBreakHyphen/>
              <w:t>R,</w:t>
            </w:r>
          </w:p>
          <w:p w14:paraId="396605CE"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encarga al Secretario General</w:t>
            </w:r>
          </w:p>
          <w:p w14:paraId="19F98CAD" w14:textId="77777777" w:rsidR="007A7DF3" w:rsidRPr="000A60D5" w:rsidRDefault="007A7DF3" w:rsidP="004A2293">
            <w:pPr>
              <w:pStyle w:val="Tabletext"/>
              <w:tabs>
                <w:tab w:val="clear" w:pos="284"/>
                <w:tab w:val="left" w:pos="463"/>
              </w:tabs>
              <w:jc w:val="both"/>
              <w:rPr>
                <w:lang w:val="es-ES_tradnl"/>
              </w:rPr>
            </w:pPr>
            <w:r w:rsidRPr="000A60D5">
              <w:rPr>
                <w:lang w:val="es-ES_tradnl"/>
              </w:rPr>
              <w:t>que señale esta Resolución a la atención de la Organización Meteorológica Mundial (OMM), y de otras organizaciones internacionales y regionales interesadas.</w:t>
            </w:r>
          </w:p>
        </w:tc>
        <w:tc>
          <w:tcPr>
            <w:tcW w:w="1392" w:type="dxa"/>
          </w:tcPr>
          <w:p w14:paraId="15967E59" w14:textId="3027C82B" w:rsidR="007A7DF3" w:rsidRPr="000A60D5" w:rsidRDefault="007A7DF3" w:rsidP="00100121">
            <w:pPr>
              <w:pStyle w:val="Tabletext"/>
              <w:jc w:val="center"/>
              <w:rPr>
                <w:b/>
                <w:bCs/>
              </w:rPr>
            </w:pPr>
            <w:r w:rsidRPr="000A60D5">
              <w:rPr>
                <w:b/>
                <w:bCs/>
              </w:rPr>
              <w:lastRenderedPageBreak/>
              <w:t>GT</w:t>
            </w:r>
            <w:r w:rsidR="000A4F64">
              <w:rPr>
                <w:b/>
                <w:bCs/>
              </w:rPr>
              <w:t> </w:t>
            </w:r>
            <w:r w:rsidRPr="000A60D5">
              <w:rPr>
                <w:b/>
                <w:bCs/>
              </w:rPr>
              <w:t xml:space="preserve">1B, </w:t>
            </w:r>
            <w:r w:rsidR="000A60D5">
              <w:rPr>
                <w:b/>
                <w:bCs/>
              </w:rPr>
              <w:br/>
            </w:r>
            <w:r w:rsidRPr="000A60D5">
              <w:rPr>
                <w:b/>
                <w:bCs/>
              </w:rPr>
              <w:t>GT</w:t>
            </w:r>
            <w:r w:rsidR="000A4F64">
              <w:rPr>
                <w:b/>
                <w:bCs/>
              </w:rPr>
              <w:t> </w:t>
            </w:r>
            <w:r w:rsidRPr="000A60D5">
              <w:rPr>
                <w:b/>
                <w:bCs/>
              </w:rPr>
              <w:t xml:space="preserve">3J, </w:t>
            </w:r>
            <w:r w:rsidR="000A60D5">
              <w:rPr>
                <w:b/>
                <w:bCs/>
              </w:rPr>
              <w:br/>
            </w:r>
            <w:r w:rsidRPr="000A60D5">
              <w:rPr>
                <w:b/>
                <w:bCs/>
              </w:rPr>
              <w:t>GT</w:t>
            </w:r>
            <w:r w:rsidR="000A4F64">
              <w:rPr>
                <w:b/>
                <w:bCs/>
              </w:rPr>
              <w:t> </w:t>
            </w:r>
            <w:r w:rsidRPr="000A60D5">
              <w:rPr>
                <w:b/>
                <w:bCs/>
              </w:rPr>
              <w:t xml:space="preserve">3K, </w:t>
            </w:r>
            <w:r w:rsidR="000A60D5">
              <w:rPr>
                <w:b/>
                <w:bCs/>
              </w:rPr>
              <w:br/>
            </w:r>
            <w:r w:rsidRPr="000A60D5">
              <w:rPr>
                <w:b/>
                <w:bCs/>
              </w:rPr>
              <w:t>GT</w:t>
            </w:r>
            <w:r w:rsidR="000A4F64">
              <w:rPr>
                <w:b/>
                <w:bCs/>
              </w:rPr>
              <w:t> </w:t>
            </w:r>
            <w:r w:rsidRPr="000A60D5">
              <w:rPr>
                <w:b/>
                <w:bCs/>
              </w:rPr>
              <w:t xml:space="preserve">3L, </w:t>
            </w:r>
            <w:r w:rsidR="000A60D5">
              <w:rPr>
                <w:b/>
                <w:bCs/>
              </w:rPr>
              <w:br/>
            </w:r>
            <w:r w:rsidRPr="000A60D5">
              <w:rPr>
                <w:b/>
                <w:bCs/>
              </w:rPr>
              <w:t>GT</w:t>
            </w:r>
            <w:r w:rsidR="000A4F64">
              <w:rPr>
                <w:b/>
                <w:bCs/>
              </w:rPr>
              <w:t> </w:t>
            </w:r>
            <w:r w:rsidRPr="000A60D5">
              <w:rPr>
                <w:b/>
                <w:bCs/>
              </w:rPr>
              <w:t xml:space="preserve">3M, </w:t>
            </w:r>
            <w:r w:rsidR="000A60D5">
              <w:rPr>
                <w:b/>
                <w:bCs/>
              </w:rPr>
              <w:br/>
            </w:r>
            <w:r w:rsidRPr="000A60D5">
              <w:rPr>
                <w:b/>
                <w:bCs/>
              </w:rPr>
              <w:t>GT</w:t>
            </w:r>
            <w:r w:rsidR="000A4F64">
              <w:rPr>
                <w:b/>
                <w:bCs/>
              </w:rPr>
              <w:t> </w:t>
            </w:r>
            <w:r w:rsidRPr="000A60D5">
              <w:rPr>
                <w:b/>
                <w:bCs/>
              </w:rPr>
              <w:t xml:space="preserve">5A, </w:t>
            </w:r>
            <w:r w:rsidR="000A60D5">
              <w:rPr>
                <w:b/>
                <w:bCs/>
              </w:rPr>
              <w:br/>
            </w:r>
            <w:r w:rsidRPr="000A60D5">
              <w:rPr>
                <w:b/>
                <w:bCs/>
              </w:rPr>
              <w:t>GT</w:t>
            </w:r>
            <w:r w:rsidR="000A4F64">
              <w:rPr>
                <w:b/>
                <w:bCs/>
              </w:rPr>
              <w:t> </w:t>
            </w:r>
            <w:r w:rsidRPr="000A60D5">
              <w:rPr>
                <w:b/>
                <w:bCs/>
              </w:rPr>
              <w:t xml:space="preserve">5B, </w:t>
            </w:r>
            <w:r w:rsidR="000A60D5">
              <w:rPr>
                <w:b/>
                <w:bCs/>
              </w:rPr>
              <w:br/>
            </w:r>
            <w:r w:rsidRPr="000A60D5">
              <w:rPr>
                <w:b/>
                <w:bCs/>
              </w:rPr>
              <w:t>GT</w:t>
            </w:r>
            <w:r w:rsidR="000A4F64">
              <w:rPr>
                <w:b/>
                <w:bCs/>
              </w:rPr>
              <w:t> </w:t>
            </w:r>
            <w:r w:rsidRPr="000A60D5">
              <w:rPr>
                <w:b/>
                <w:bCs/>
              </w:rPr>
              <w:t xml:space="preserve">5C, </w:t>
            </w:r>
            <w:r w:rsidR="000A60D5">
              <w:rPr>
                <w:b/>
                <w:bCs/>
              </w:rPr>
              <w:br/>
            </w:r>
            <w:r w:rsidRPr="000A60D5">
              <w:rPr>
                <w:b/>
                <w:bCs/>
              </w:rPr>
              <w:t>GT</w:t>
            </w:r>
            <w:r w:rsidR="000A4F64">
              <w:rPr>
                <w:b/>
                <w:bCs/>
              </w:rPr>
              <w:t> </w:t>
            </w:r>
            <w:r w:rsidRPr="000A60D5">
              <w:rPr>
                <w:b/>
                <w:bCs/>
              </w:rPr>
              <w:t xml:space="preserve">7C, </w:t>
            </w:r>
            <w:r w:rsidR="000A60D5">
              <w:rPr>
                <w:b/>
                <w:bCs/>
              </w:rPr>
              <w:br/>
            </w:r>
            <w:r w:rsidRPr="000A60D5">
              <w:rPr>
                <w:b/>
                <w:bCs/>
              </w:rPr>
              <w:t>GT</w:t>
            </w:r>
            <w:r w:rsidR="000A4F64">
              <w:rPr>
                <w:b/>
                <w:bCs/>
              </w:rPr>
              <w:t> </w:t>
            </w:r>
            <w:r w:rsidRPr="000A60D5">
              <w:rPr>
                <w:b/>
                <w:bCs/>
              </w:rPr>
              <w:t>7D</w:t>
            </w:r>
          </w:p>
        </w:tc>
      </w:tr>
      <w:bookmarkEnd w:id="59"/>
      <w:tr w:rsidR="007A7DF3" w:rsidRPr="00CE4E08" w14:paraId="08B3F6B3" w14:textId="77777777" w:rsidTr="003F05FF">
        <w:trPr>
          <w:jc w:val="center"/>
        </w:trPr>
        <w:tc>
          <w:tcPr>
            <w:tcW w:w="14474" w:type="dxa"/>
            <w:gridSpan w:val="5"/>
          </w:tcPr>
          <w:p w14:paraId="651F9C16" w14:textId="4671321A" w:rsidR="007A7DF3" w:rsidRPr="000A60D5" w:rsidRDefault="007A7DF3" w:rsidP="004A2293">
            <w:pPr>
              <w:pStyle w:val="Tabletext"/>
              <w:tabs>
                <w:tab w:val="clear" w:pos="284"/>
                <w:tab w:val="left" w:pos="594"/>
              </w:tabs>
              <w:jc w:val="both"/>
              <w:rPr>
                <w:lang w:val="es-ES_tradnl"/>
              </w:rPr>
            </w:pPr>
            <w:r w:rsidRPr="000A60D5">
              <w:rPr>
                <w:lang w:val="es-ES_tradnl"/>
              </w:rPr>
              <w:t>2.7</w:t>
            </w:r>
            <w:r w:rsidRPr="000A60D5">
              <w:rPr>
                <w:bCs/>
                <w:lang w:val="es-ES_tradnl"/>
              </w:rPr>
              <w:tab/>
            </w:r>
            <w:r w:rsidRPr="000A60D5">
              <w:rPr>
                <w:lang w:val="es-ES_tradnl"/>
              </w:rPr>
              <w:t>considerar la elaboración de disposiciones reglamentarias para los enlaces de conexión de los sistemas de satélites no geoestacionarios del servicio fijo por satélite en las bandas de frecuencias 71-76 GHz (espacio</w:t>
            </w:r>
            <w:r w:rsidRPr="000A60D5">
              <w:rPr>
                <w:lang w:val="es-ES_tradnl"/>
              </w:rPr>
              <w:noBreakHyphen/>
              <w:t>Tierra y la nueva propuesta en el sentido Tierra</w:t>
            </w:r>
            <w:r w:rsidRPr="000A60D5">
              <w:rPr>
                <w:lang w:val="es-ES_tradnl"/>
              </w:rPr>
              <w:noBreakHyphen/>
              <w:t>espacio) y 81</w:t>
            </w:r>
            <w:r w:rsidRPr="000A60D5">
              <w:rPr>
                <w:lang w:val="es-ES_tradnl"/>
              </w:rPr>
              <w:noBreakHyphen/>
              <w:t>86 GHz (Tierra</w:t>
            </w:r>
            <w:r w:rsidRPr="000A60D5">
              <w:rPr>
                <w:lang w:val="es-ES_tradnl"/>
              </w:rPr>
              <w:noBreakHyphen/>
              <w:t xml:space="preserve">espacio), de conformidad con la Resolución </w:t>
            </w:r>
            <w:r w:rsidRPr="000A60D5">
              <w:rPr>
                <w:b/>
                <w:bCs/>
                <w:lang w:val="es-ES_tradnl"/>
              </w:rPr>
              <w:t>178 (CMR</w:t>
            </w:r>
            <w:r w:rsidRPr="000A60D5">
              <w:rPr>
                <w:b/>
                <w:bCs/>
                <w:lang w:val="es-ES_tradnl"/>
              </w:rPr>
              <w:noBreakHyphen/>
              <w:t>19)</w:t>
            </w:r>
            <w:r w:rsidRPr="000A60D5">
              <w:rPr>
                <w:lang w:val="es-ES_tradnl"/>
              </w:rPr>
              <w:t>;</w:t>
            </w:r>
          </w:p>
        </w:tc>
      </w:tr>
      <w:tr w:rsidR="007A7DF3" w:rsidRPr="001F3073" w14:paraId="5DF915AA" w14:textId="77777777" w:rsidTr="003F05FF">
        <w:trPr>
          <w:jc w:val="center"/>
        </w:trPr>
        <w:tc>
          <w:tcPr>
            <w:tcW w:w="3198" w:type="dxa"/>
            <w:gridSpan w:val="2"/>
          </w:tcPr>
          <w:p w14:paraId="7B0BEA6B" w14:textId="77777777" w:rsidR="007A7DF3" w:rsidRPr="00537CF6" w:rsidRDefault="007A7DF3" w:rsidP="00537CF6">
            <w:pPr>
              <w:pStyle w:val="Tabletext"/>
              <w:tabs>
                <w:tab w:val="clear" w:pos="284"/>
                <w:tab w:val="left" w:pos="463"/>
              </w:tabs>
              <w:rPr>
                <w:lang w:val="es-ES" w:eastAsia="nl-NL"/>
              </w:rPr>
            </w:pPr>
            <w:bookmarkStart w:id="60" w:name="_Hlk26795142"/>
            <w:bookmarkStart w:id="61" w:name="_Hlk26795133"/>
            <w:r w:rsidRPr="00564FF1">
              <w:rPr>
                <w:lang w:val="es-ES" w:eastAsia="nl-NL"/>
              </w:rPr>
              <w:t>Resolución</w:t>
            </w:r>
            <w:r w:rsidRPr="00537CF6">
              <w:rPr>
                <w:lang w:val="es-ES" w:eastAsia="nl-NL"/>
              </w:rPr>
              <w:t> </w:t>
            </w:r>
            <w:r w:rsidRPr="00537CF6">
              <w:rPr>
                <w:b/>
                <w:bCs/>
                <w:lang w:val="es-ES" w:eastAsia="nl-NL"/>
              </w:rPr>
              <w:t>178 (CMR</w:t>
            </w:r>
            <w:r w:rsidRPr="00537CF6">
              <w:rPr>
                <w:b/>
                <w:bCs/>
                <w:lang w:val="es-ES" w:eastAsia="nl-NL"/>
              </w:rPr>
              <w:noBreakHyphen/>
              <w:t>19)</w:t>
            </w:r>
          </w:p>
          <w:p w14:paraId="42D7E099" w14:textId="5193A810" w:rsidR="007A7DF3" w:rsidRPr="000A60D5" w:rsidRDefault="007A7DF3" w:rsidP="00100121">
            <w:pPr>
              <w:pStyle w:val="Tabletext"/>
              <w:rPr>
                <w:szCs w:val="20"/>
                <w:lang w:val="es-ES_tradnl"/>
              </w:rPr>
            </w:pPr>
            <w:r w:rsidRPr="000A60D5">
              <w:rPr>
                <w:szCs w:val="20"/>
                <w:lang w:val="es-ES_tradnl"/>
              </w:rPr>
              <w:t>Estudios sobre temas técnicos y operacionales y disposiciones reglamentarias para los enlaces de conexión de los sistemas de satélites no geoestacionarios del servicio fijo por satélite en las bandas de frecuencias 71-76 GHz (espacio-Tierra y una nueva propuesta en el sentido Tierra</w:t>
            </w:r>
            <w:r w:rsidR="00537CF6">
              <w:rPr>
                <w:szCs w:val="20"/>
                <w:lang w:val="es-ES_tradnl"/>
              </w:rPr>
              <w:noBreakHyphen/>
            </w:r>
            <w:r w:rsidRPr="000A60D5">
              <w:rPr>
                <w:szCs w:val="20"/>
                <w:lang w:val="es-ES_tradnl"/>
              </w:rPr>
              <w:t>espacio) y 81-86 GHz (Tierra</w:t>
            </w:r>
            <w:r w:rsidR="00537CF6">
              <w:rPr>
                <w:szCs w:val="20"/>
                <w:lang w:val="es-ES_tradnl"/>
              </w:rPr>
              <w:noBreakHyphen/>
            </w:r>
            <w:r w:rsidRPr="000A60D5">
              <w:rPr>
                <w:szCs w:val="20"/>
                <w:lang w:val="es-ES_tradnl"/>
              </w:rPr>
              <w:t>espacio)</w:t>
            </w:r>
            <w:bookmarkEnd w:id="60"/>
          </w:p>
        </w:tc>
        <w:tc>
          <w:tcPr>
            <w:tcW w:w="2707" w:type="dxa"/>
          </w:tcPr>
          <w:p w14:paraId="6ED01A02" w14:textId="31E221AA" w:rsidR="007A7DF3" w:rsidRPr="001F3073" w:rsidRDefault="007A7DF3" w:rsidP="00100121">
            <w:pPr>
              <w:pStyle w:val="Tabletext"/>
              <w:jc w:val="center"/>
              <w:rPr>
                <w:b/>
                <w:bCs/>
                <w:szCs w:val="20"/>
                <w:lang w:val="es-ES_tradnl"/>
              </w:rPr>
            </w:pPr>
            <w:r>
              <w:rPr>
                <w:b/>
                <w:bCs/>
                <w:szCs w:val="20"/>
                <w:lang w:val="es-ES_tradnl"/>
              </w:rPr>
              <w:t>CE</w:t>
            </w:r>
            <w:r w:rsidR="000A4F64">
              <w:rPr>
                <w:b/>
                <w:bCs/>
                <w:szCs w:val="20"/>
                <w:lang w:val="es-ES_tradnl"/>
              </w:rPr>
              <w:t> </w:t>
            </w:r>
            <w:r w:rsidRPr="001F3073">
              <w:rPr>
                <w:b/>
                <w:bCs/>
                <w:szCs w:val="20"/>
                <w:lang w:val="es-ES_tradnl"/>
              </w:rPr>
              <w:t>4</w:t>
            </w:r>
          </w:p>
        </w:tc>
        <w:tc>
          <w:tcPr>
            <w:tcW w:w="7177" w:type="dxa"/>
          </w:tcPr>
          <w:p w14:paraId="4082A30E"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al Sector de Radiocomunicaciones de la UIT</w:t>
            </w:r>
          </w:p>
          <w:p w14:paraId="6EB63250"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a efectuar y finalizar a tiempo para la CMR-27:</w:t>
            </w:r>
          </w:p>
          <w:p w14:paraId="5EB52C49"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1</w:t>
            </w:r>
            <w:r w:rsidRPr="000A60D5">
              <w:rPr>
                <w:szCs w:val="20"/>
                <w:lang w:val="es-ES_tradnl"/>
              </w:rPr>
              <w:tab/>
            </w:r>
            <w:r w:rsidRPr="00537CF6">
              <w:rPr>
                <w:lang w:val="es-ES_tradnl"/>
              </w:rPr>
              <w:t>estudios</w:t>
            </w:r>
            <w:r w:rsidRPr="000A60D5">
              <w:rPr>
                <w:szCs w:val="20"/>
                <w:lang w:val="es-ES_tradnl"/>
              </w:rPr>
              <w:t xml:space="preserve"> que tengan en cuenta las necesidades de espectro adicionales para el desarrollo de los sistemas de satélites no geoestacionarios en el SFS en las bandas de frecuencias 71-76 GHz y 81-86 GHz, las condiciones técnicas para su uso y la posibilidad de optimizar la utilización de esas bandas de frecuencias con objeto de aumentar la eficiencia del espectro;</w:t>
            </w:r>
          </w:p>
          <w:p w14:paraId="6770C4DC"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2</w:t>
            </w:r>
            <w:r w:rsidRPr="000A60D5">
              <w:rPr>
                <w:szCs w:val="20"/>
                <w:lang w:val="es-ES_tradnl"/>
              </w:rPr>
              <w:tab/>
            </w:r>
            <w:r w:rsidRPr="00537CF6">
              <w:rPr>
                <w:lang w:val="es-ES_tradnl"/>
              </w:rPr>
              <w:t>estudios</w:t>
            </w:r>
            <w:r w:rsidRPr="000A60D5">
              <w:rPr>
                <w:szCs w:val="20"/>
                <w:lang w:val="es-ES_tradnl"/>
              </w:rPr>
              <w:t xml:space="preserve"> sobre temas técnicos y operativos relacionados con el funcionamiento de los enlaces de conexión de los sistemas de satélites no geoestacionarios del SFS en las bandas de frecuencias 71</w:t>
            </w:r>
            <w:r w:rsidRPr="000A60D5">
              <w:rPr>
                <w:szCs w:val="20"/>
                <w:lang w:val="es-ES_tradnl"/>
              </w:rPr>
              <w:noBreakHyphen/>
              <w:t>76 GHz (espacio-Tierra, y la viabilidad de una posible nueva atribución para el funcionamiento de una conexión de banda inversa en el sentido Tierra-espacio) y 81-86 GHz (Tierra-espacio), así como el examen de disposiciones reglamentarias en algunas de esas bandas de frecuencias para sistemas de satélites no geoestacionarios, o en todas ellas, que se coordinan y comparten espectro con sistemas de satélites OCE y no OCE del SFS, el SMS y el SRS y sus estaciones terrenas específicas, teniendo en cuenta el futuro crecimiento de estos usos y la necesidad de garantizar su protección;</w:t>
            </w:r>
          </w:p>
          <w:p w14:paraId="6C3D0BAE"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3</w:t>
            </w:r>
            <w:r w:rsidRPr="000A60D5">
              <w:rPr>
                <w:szCs w:val="20"/>
                <w:lang w:val="es-ES_tradnl"/>
              </w:rPr>
              <w:tab/>
              <w:t xml:space="preserve">estudios de compartición y compatibilidad entre los enlaces de conexión de los </w:t>
            </w:r>
            <w:r w:rsidRPr="00537CF6">
              <w:rPr>
                <w:lang w:val="es-ES_tradnl"/>
              </w:rPr>
              <w:t>sistemas</w:t>
            </w:r>
            <w:r w:rsidRPr="000A60D5">
              <w:rPr>
                <w:szCs w:val="20"/>
                <w:lang w:val="es-ES_tradnl"/>
              </w:rPr>
              <w:t xml:space="preserve"> de satélites no OCE del SFS en las bandas de frecuencias 71-76 GHz (espacio-Tierra y una posible nueva atribución para los sistemas no OCE del SFS en el sentido Tierra-espacio) y 81</w:t>
            </w:r>
            <w:r w:rsidRPr="000A60D5">
              <w:rPr>
                <w:szCs w:val="20"/>
                <w:lang w:val="es-ES_tradnl"/>
              </w:rPr>
              <w:noBreakHyphen/>
              <w:t xml:space="preserve">86 GHz (Tierra-espacio) con otros servicios existentes a título primario en igualdad de condiciones, incluidos el SF y el SM en esas bandas y en bandas </w:t>
            </w:r>
            <w:r w:rsidRPr="000A60D5">
              <w:rPr>
                <w:szCs w:val="20"/>
                <w:lang w:val="es-ES_tradnl"/>
              </w:rPr>
              <w:lastRenderedPageBreak/>
              <w:t>de frecuencias adyacentes, teniendo en cuenta la necesidad de garantizar la protección de esos servicios;</w:t>
            </w:r>
          </w:p>
          <w:p w14:paraId="7CF5F14B"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4</w:t>
            </w:r>
            <w:r w:rsidRPr="000A60D5">
              <w:rPr>
                <w:szCs w:val="20"/>
                <w:lang w:val="es-ES_tradnl"/>
              </w:rPr>
              <w:tab/>
            </w:r>
            <w:r w:rsidRPr="00537CF6">
              <w:rPr>
                <w:lang w:val="es-ES_tradnl"/>
              </w:rPr>
              <w:t>estudios</w:t>
            </w:r>
            <w:r w:rsidRPr="000A60D5">
              <w:rPr>
                <w:szCs w:val="20"/>
                <w:lang w:val="es-ES_tradnl"/>
              </w:rPr>
              <w:t xml:space="preserve"> sobre posibles disposiciones del Reglamento de Radiocomunicaciones que sean necesarias para garantizar la protección del SETS (pasivo) y el SIE (pasivo) en la banda de frecuencias 86-92 GHz contra las transmisiones del SFS no OSG, incluido el estudio de la interferencia combinada del SFS;</w:t>
            </w:r>
          </w:p>
          <w:p w14:paraId="0236B76C"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5</w:t>
            </w:r>
            <w:r w:rsidRPr="000A60D5">
              <w:rPr>
                <w:szCs w:val="20"/>
                <w:lang w:val="es-ES_tradnl"/>
              </w:rPr>
              <w:tab/>
              <w:t xml:space="preserve">estudios encaminados a garantizar la protección del SRA que funciona en las </w:t>
            </w:r>
            <w:r w:rsidRPr="00537CF6">
              <w:rPr>
                <w:lang w:val="es-ES_tradnl"/>
              </w:rPr>
              <w:t>bandas</w:t>
            </w:r>
            <w:r w:rsidRPr="000A60D5">
              <w:rPr>
                <w:szCs w:val="20"/>
                <w:lang w:val="es-ES_tradnl"/>
              </w:rPr>
              <w:t xml:space="preserve"> de frecuencias 76</w:t>
            </w:r>
            <w:r w:rsidRPr="000A60D5">
              <w:rPr>
                <w:szCs w:val="20"/>
                <w:lang w:val="es-ES_tradnl"/>
              </w:rPr>
              <w:noBreakHyphen/>
              <w:t xml:space="preserve">86 GHz y 86-92 GHz contra las transmisiones del SFS no OSG, habida cuenta del </w:t>
            </w:r>
            <w:r w:rsidRPr="000A60D5">
              <w:rPr>
                <w:i/>
                <w:iCs/>
                <w:szCs w:val="20"/>
                <w:lang w:val="es-ES_tradnl"/>
              </w:rPr>
              <w:t>reconociendo b)</w:t>
            </w:r>
            <w:r w:rsidRPr="000A60D5">
              <w:rPr>
                <w:szCs w:val="20"/>
                <w:lang w:val="es-ES_tradnl"/>
              </w:rPr>
              <w:t xml:space="preserve"> anterior, e incluido el estudio de los efectos de la interferencia combinada del SFS causada por las redes y los sistemas que funcionan o está previsto que funcionen en las bandas de frecuencias descritas en el segundo </w:t>
            </w:r>
            <w:r w:rsidRPr="000A60D5">
              <w:rPr>
                <w:i/>
                <w:iCs/>
                <w:szCs w:val="20"/>
                <w:lang w:val="es-ES_tradnl"/>
              </w:rPr>
              <w:t>resuelve invitar al UIT</w:t>
            </w:r>
            <w:r w:rsidRPr="000A60D5">
              <w:rPr>
                <w:i/>
                <w:iCs/>
                <w:szCs w:val="20"/>
                <w:lang w:val="es-ES_tradnl"/>
              </w:rPr>
              <w:noBreakHyphen/>
              <w:t>R</w:t>
            </w:r>
            <w:r w:rsidRPr="000A60D5">
              <w:rPr>
                <w:szCs w:val="20"/>
                <w:lang w:val="es-ES_tradnl"/>
              </w:rPr>
              <w:t xml:space="preserve"> anterior,</w:t>
            </w:r>
          </w:p>
          <w:p w14:paraId="08275060" w14:textId="77777777" w:rsidR="007A7DF3" w:rsidRPr="00A665BE" w:rsidRDefault="007A7DF3" w:rsidP="004A2293">
            <w:pPr>
              <w:pStyle w:val="Tabletext"/>
              <w:keepNext/>
              <w:keepLines/>
              <w:tabs>
                <w:tab w:val="clear" w:pos="284"/>
                <w:tab w:val="left" w:pos="463"/>
              </w:tabs>
              <w:ind w:left="454"/>
              <w:jc w:val="both"/>
              <w:rPr>
                <w:rFonts w:eastAsia="???"/>
                <w:i/>
                <w:iCs/>
                <w:lang w:val="es-ES" w:eastAsia="nl-NL"/>
              </w:rPr>
            </w:pPr>
            <w:r w:rsidRPr="00A665BE">
              <w:rPr>
                <w:rFonts w:eastAsia="???"/>
                <w:i/>
                <w:iCs/>
                <w:lang w:val="es-ES" w:eastAsia="nl-NL"/>
              </w:rPr>
              <w:t>resuelve</w:t>
            </w:r>
          </w:p>
          <w:p w14:paraId="674337CF" w14:textId="77777777" w:rsidR="007A7DF3" w:rsidRPr="000A60D5" w:rsidRDefault="007A7DF3" w:rsidP="004A2293">
            <w:pPr>
              <w:pStyle w:val="Tabletext"/>
              <w:tabs>
                <w:tab w:val="clear" w:pos="284"/>
                <w:tab w:val="left" w:pos="463"/>
              </w:tabs>
              <w:jc w:val="both"/>
              <w:rPr>
                <w:szCs w:val="20"/>
                <w:lang w:val="es-ES_tradnl"/>
              </w:rPr>
            </w:pPr>
            <w:r w:rsidRPr="00537CF6">
              <w:rPr>
                <w:lang w:val="es-ES_tradnl"/>
              </w:rPr>
              <w:t>invitar</w:t>
            </w:r>
            <w:r w:rsidRPr="000A60D5">
              <w:rPr>
                <w:szCs w:val="20"/>
                <w:lang w:val="es-ES_tradnl"/>
              </w:rPr>
              <w:t xml:space="preserve"> a la CMR-27 a considerar los resultados de los estudios antes mencionados y tomar las medidas pertinentes,</w:t>
            </w:r>
          </w:p>
          <w:p w14:paraId="18C0F53B"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3D8C9859" w14:textId="77777777" w:rsidR="007A7DF3" w:rsidRPr="000A60D5" w:rsidRDefault="007A7DF3" w:rsidP="004A2293">
            <w:pPr>
              <w:pStyle w:val="Tabletext"/>
              <w:tabs>
                <w:tab w:val="clear" w:pos="284"/>
                <w:tab w:val="left" w:pos="463"/>
              </w:tabs>
              <w:jc w:val="both"/>
              <w:rPr>
                <w:szCs w:val="20"/>
                <w:lang w:val="es-ES_tradnl"/>
              </w:rPr>
            </w:pPr>
            <w:r w:rsidRPr="000A60D5">
              <w:rPr>
                <w:szCs w:val="20"/>
                <w:lang w:val="es-ES_tradnl"/>
              </w:rPr>
              <w:t xml:space="preserve">a </w:t>
            </w:r>
            <w:r w:rsidRPr="00537CF6">
              <w:rPr>
                <w:lang w:val="es-ES_tradnl"/>
              </w:rPr>
              <w:t>participar</w:t>
            </w:r>
            <w:r w:rsidRPr="000A60D5">
              <w:rPr>
                <w:szCs w:val="20"/>
                <w:lang w:val="es-ES_tradnl"/>
              </w:rPr>
              <w:t xml:space="preserve"> en los estudios presentando contribuciones al UIT-R.</w:t>
            </w:r>
          </w:p>
        </w:tc>
        <w:tc>
          <w:tcPr>
            <w:tcW w:w="1392" w:type="dxa"/>
          </w:tcPr>
          <w:p w14:paraId="55BD65D9" w14:textId="1146525B" w:rsidR="007A7DF3" w:rsidRPr="00BC1F63" w:rsidRDefault="007A7DF3" w:rsidP="00100121">
            <w:pPr>
              <w:pStyle w:val="Tabletext"/>
              <w:jc w:val="center"/>
              <w:rPr>
                <w:b/>
                <w:bCs/>
                <w:szCs w:val="20"/>
              </w:rPr>
            </w:pPr>
            <w:r w:rsidRPr="00BC1F63">
              <w:rPr>
                <w:b/>
                <w:bCs/>
                <w:szCs w:val="20"/>
              </w:rPr>
              <w:lastRenderedPageBreak/>
              <w:t>GT</w:t>
            </w:r>
            <w:r w:rsidR="000A4F64">
              <w:rPr>
                <w:b/>
                <w:bCs/>
                <w:szCs w:val="20"/>
              </w:rPr>
              <w:t> </w:t>
            </w:r>
            <w:r w:rsidRPr="00BC1F63">
              <w:rPr>
                <w:b/>
                <w:bCs/>
                <w:szCs w:val="20"/>
              </w:rPr>
              <w:t xml:space="preserve">3J, </w:t>
            </w:r>
            <w:r w:rsidR="000A60D5">
              <w:rPr>
                <w:b/>
                <w:bCs/>
                <w:szCs w:val="20"/>
              </w:rPr>
              <w:br/>
            </w:r>
            <w:r w:rsidRPr="00BC1F63">
              <w:rPr>
                <w:b/>
                <w:bCs/>
                <w:szCs w:val="20"/>
              </w:rPr>
              <w:t>GT</w:t>
            </w:r>
            <w:r w:rsidR="000A4F64">
              <w:rPr>
                <w:b/>
                <w:bCs/>
                <w:szCs w:val="20"/>
              </w:rPr>
              <w:t> </w:t>
            </w:r>
            <w:r w:rsidRPr="00BC1F63">
              <w:rPr>
                <w:b/>
                <w:bCs/>
                <w:szCs w:val="20"/>
              </w:rPr>
              <w:t>3K,</w:t>
            </w:r>
            <w:r w:rsidR="000A60D5">
              <w:rPr>
                <w:b/>
                <w:bCs/>
                <w:szCs w:val="20"/>
              </w:rPr>
              <w:t xml:space="preserve"> </w:t>
            </w:r>
            <w:r w:rsidR="000A60D5">
              <w:rPr>
                <w:b/>
                <w:bCs/>
                <w:szCs w:val="20"/>
              </w:rPr>
              <w:br/>
            </w:r>
            <w:r w:rsidRPr="00BC1F63">
              <w:rPr>
                <w:b/>
                <w:bCs/>
                <w:szCs w:val="20"/>
              </w:rPr>
              <w:t>GT</w:t>
            </w:r>
            <w:r w:rsidR="000A4F64">
              <w:rPr>
                <w:b/>
                <w:bCs/>
                <w:szCs w:val="20"/>
              </w:rPr>
              <w:t> </w:t>
            </w:r>
            <w:r w:rsidRPr="00BC1F63">
              <w:rPr>
                <w:b/>
                <w:bCs/>
                <w:szCs w:val="20"/>
              </w:rPr>
              <w:t xml:space="preserve">3M, </w:t>
            </w:r>
            <w:r w:rsidR="000A60D5">
              <w:rPr>
                <w:b/>
                <w:bCs/>
                <w:szCs w:val="20"/>
              </w:rPr>
              <w:br/>
            </w:r>
            <w:r w:rsidRPr="00BC1F63">
              <w:rPr>
                <w:b/>
                <w:bCs/>
                <w:szCs w:val="20"/>
              </w:rPr>
              <w:t>GT</w:t>
            </w:r>
            <w:r w:rsidR="000A4F64">
              <w:rPr>
                <w:b/>
                <w:bCs/>
                <w:szCs w:val="20"/>
              </w:rPr>
              <w:t> </w:t>
            </w:r>
            <w:r w:rsidRPr="00BC1F63">
              <w:rPr>
                <w:b/>
                <w:bCs/>
                <w:szCs w:val="20"/>
              </w:rPr>
              <w:t xml:space="preserve">4A, </w:t>
            </w:r>
            <w:r w:rsidR="000A60D5">
              <w:rPr>
                <w:b/>
                <w:bCs/>
                <w:szCs w:val="20"/>
              </w:rPr>
              <w:br/>
            </w:r>
            <w:r w:rsidRPr="00BC1F63">
              <w:rPr>
                <w:b/>
                <w:bCs/>
                <w:szCs w:val="20"/>
              </w:rPr>
              <w:t>GT</w:t>
            </w:r>
            <w:r w:rsidR="000A4F64">
              <w:rPr>
                <w:b/>
                <w:bCs/>
                <w:szCs w:val="20"/>
              </w:rPr>
              <w:t> </w:t>
            </w:r>
            <w:r w:rsidRPr="00BC1F63">
              <w:rPr>
                <w:b/>
                <w:bCs/>
                <w:szCs w:val="20"/>
              </w:rPr>
              <w:t xml:space="preserve">5A, </w:t>
            </w:r>
            <w:r w:rsidR="000A60D5">
              <w:rPr>
                <w:b/>
                <w:bCs/>
                <w:szCs w:val="20"/>
              </w:rPr>
              <w:br/>
            </w:r>
            <w:r w:rsidRPr="00BC1F63">
              <w:rPr>
                <w:b/>
                <w:bCs/>
                <w:szCs w:val="20"/>
              </w:rPr>
              <w:t>GT</w:t>
            </w:r>
            <w:r w:rsidR="000A4F64">
              <w:rPr>
                <w:b/>
                <w:bCs/>
                <w:szCs w:val="20"/>
              </w:rPr>
              <w:t> </w:t>
            </w:r>
            <w:r w:rsidRPr="00BC1F63">
              <w:rPr>
                <w:b/>
                <w:bCs/>
                <w:szCs w:val="20"/>
              </w:rPr>
              <w:t xml:space="preserve">5B, </w:t>
            </w:r>
            <w:r w:rsidR="000A60D5">
              <w:rPr>
                <w:b/>
                <w:bCs/>
                <w:szCs w:val="20"/>
              </w:rPr>
              <w:br/>
            </w:r>
            <w:r w:rsidRPr="00BC1F63">
              <w:rPr>
                <w:b/>
                <w:bCs/>
                <w:szCs w:val="20"/>
              </w:rPr>
              <w:t>GT</w:t>
            </w:r>
            <w:r w:rsidR="000A4F64">
              <w:rPr>
                <w:b/>
                <w:bCs/>
                <w:szCs w:val="20"/>
              </w:rPr>
              <w:t> </w:t>
            </w:r>
            <w:r w:rsidRPr="00BC1F63">
              <w:rPr>
                <w:b/>
                <w:bCs/>
                <w:szCs w:val="20"/>
              </w:rPr>
              <w:t xml:space="preserve">5C, </w:t>
            </w:r>
            <w:r w:rsidR="000A60D5">
              <w:rPr>
                <w:b/>
                <w:bCs/>
                <w:szCs w:val="20"/>
              </w:rPr>
              <w:br/>
            </w:r>
            <w:r w:rsidRPr="00BC1F63">
              <w:rPr>
                <w:b/>
                <w:bCs/>
                <w:szCs w:val="20"/>
              </w:rPr>
              <w:t>GT</w:t>
            </w:r>
            <w:r w:rsidR="000A4F64">
              <w:rPr>
                <w:b/>
                <w:bCs/>
                <w:szCs w:val="20"/>
              </w:rPr>
              <w:t> </w:t>
            </w:r>
            <w:r w:rsidRPr="00BC1F63">
              <w:rPr>
                <w:b/>
                <w:bCs/>
                <w:szCs w:val="20"/>
              </w:rPr>
              <w:t xml:space="preserve">7C, </w:t>
            </w:r>
            <w:r w:rsidR="000A60D5">
              <w:rPr>
                <w:b/>
                <w:bCs/>
                <w:szCs w:val="20"/>
              </w:rPr>
              <w:br/>
            </w:r>
            <w:r w:rsidRPr="00BC1F63">
              <w:rPr>
                <w:b/>
                <w:bCs/>
                <w:szCs w:val="20"/>
              </w:rPr>
              <w:t>GT</w:t>
            </w:r>
            <w:r w:rsidR="000A4F64">
              <w:rPr>
                <w:b/>
                <w:bCs/>
                <w:szCs w:val="20"/>
              </w:rPr>
              <w:t> </w:t>
            </w:r>
            <w:r w:rsidRPr="00BC1F63">
              <w:rPr>
                <w:b/>
                <w:bCs/>
                <w:szCs w:val="20"/>
              </w:rPr>
              <w:t>7D</w:t>
            </w:r>
          </w:p>
        </w:tc>
      </w:tr>
      <w:bookmarkEnd w:id="61"/>
      <w:tr w:rsidR="007A7DF3" w:rsidRPr="00CE4E08" w14:paraId="0248EE2E" w14:textId="77777777" w:rsidTr="003F05FF">
        <w:trPr>
          <w:cantSplit/>
          <w:jc w:val="center"/>
        </w:trPr>
        <w:tc>
          <w:tcPr>
            <w:tcW w:w="14474" w:type="dxa"/>
            <w:gridSpan w:val="5"/>
          </w:tcPr>
          <w:p w14:paraId="37C100D0" w14:textId="2C25F1EB" w:rsidR="007A7DF3" w:rsidRPr="000A60D5" w:rsidRDefault="007A7DF3" w:rsidP="004A2293">
            <w:pPr>
              <w:pStyle w:val="Tabletext"/>
              <w:tabs>
                <w:tab w:val="clear" w:pos="284"/>
                <w:tab w:val="left" w:pos="594"/>
              </w:tabs>
              <w:jc w:val="both"/>
              <w:rPr>
                <w:lang w:val="es-ES_tradnl"/>
              </w:rPr>
            </w:pPr>
            <w:r w:rsidRPr="000A60D5">
              <w:rPr>
                <w:lang w:val="es-ES_tradnl"/>
              </w:rPr>
              <w:t>2.8</w:t>
            </w:r>
            <w:r w:rsidRPr="000A60D5">
              <w:rPr>
                <w:lang w:val="es-ES_tradnl"/>
              </w:rPr>
              <w:tab/>
              <w:t>estudiar las cuestiones técnicas y operativas, y las disposiciones reglamentarias, para los enlaces espacio-espacio en las bandas de frecuencias [1 525-1 544 MHz], [1 545-1 559 MHz], [1 610</w:t>
            </w:r>
            <w:r w:rsidRPr="000A60D5">
              <w:rPr>
                <w:lang w:val="es-ES_tradnl"/>
              </w:rPr>
              <w:noBreakHyphen/>
              <w:t>1 645,5 MHz], [1 646,5</w:t>
            </w:r>
            <w:r w:rsidRPr="000A60D5">
              <w:rPr>
                <w:lang w:val="es-ES_tradnl"/>
              </w:rPr>
              <w:noBreakHyphen/>
              <w:t xml:space="preserve">1 660,5 MHz], y [2 483,5-2 500 MHz] entre los satélites geoestacionarios y no geoestacionarios del servicio móvil por satélite, de conformidad con la Resolución </w:t>
            </w:r>
            <w:r w:rsidRPr="000A60D5">
              <w:rPr>
                <w:b/>
                <w:bCs/>
                <w:lang w:val="es-ES_tradnl"/>
              </w:rPr>
              <w:t>249</w:t>
            </w:r>
            <w:r w:rsidRPr="000A60D5">
              <w:rPr>
                <w:b/>
                <w:lang w:val="es-ES_tradnl"/>
              </w:rPr>
              <w:t xml:space="preserve"> (CMR-19)</w:t>
            </w:r>
            <w:r w:rsidRPr="000A60D5">
              <w:rPr>
                <w:lang w:val="es-ES_tradnl"/>
              </w:rPr>
              <w:t>;</w:t>
            </w:r>
          </w:p>
        </w:tc>
      </w:tr>
      <w:tr w:rsidR="007A7DF3" w:rsidRPr="001F3073" w14:paraId="1E86DA11" w14:textId="77777777" w:rsidTr="003F05FF">
        <w:trPr>
          <w:jc w:val="center"/>
        </w:trPr>
        <w:tc>
          <w:tcPr>
            <w:tcW w:w="3198" w:type="dxa"/>
            <w:gridSpan w:val="2"/>
          </w:tcPr>
          <w:p w14:paraId="42E5FA2E" w14:textId="77777777" w:rsidR="007A7DF3" w:rsidRPr="00537CF6" w:rsidRDefault="007A7DF3" w:rsidP="00537CF6">
            <w:pPr>
              <w:pStyle w:val="Tabletext"/>
              <w:tabs>
                <w:tab w:val="clear" w:pos="284"/>
                <w:tab w:val="left" w:pos="463"/>
              </w:tabs>
              <w:rPr>
                <w:lang w:val="es-ES" w:eastAsia="nl-NL"/>
              </w:rPr>
            </w:pPr>
            <w:bookmarkStart w:id="62" w:name="_Hlk26795033"/>
            <w:r w:rsidRPr="00537CF6">
              <w:rPr>
                <w:lang w:val="es-ES" w:eastAsia="nl-NL"/>
              </w:rPr>
              <w:t>Resolución </w:t>
            </w:r>
            <w:r w:rsidRPr="00537CF6">
              <w:rPr>
                <w:b/>
                <w:bCs/>
                <w:lang w:val="es-ES" w:eastAsia="nl-NL"/>
              </w:rPr>
              <w:t>249 (CMR</w:t>
            </w:r>
            <w:r w:rsidRPr="00537CF6">
              <w:rPr>
                <w:b/>
                <w:bCs/>
                <w:lang w:val="es-ES" w:eastAsia="nl-NL"/>
              </w:rPr>
              <w:noBreakHyphen/>
              <w:t>19)</w:t>
            </w:r>
          </w:p>
          <w:p w14:paraId="374EC6C2" w14:textId="393647DD" w:rsidR="007A7DF3" w:rsidRPr="000A60D5" w:rsidRDefault="007A7DF3" w:rsidP="00100121">
            <w:pPr>
              <w:pStyle w:val="Tabletext"/>
              <w:rPr>
                <w:lang w:val="es-ES_tradnl"/>
              </w:rPr>
            </w:pPr>
            <w:r w:rsidRPr="000A60D5">
              <w:rPr>
                <w:bCs/>
                <w:lang w:val="es-ES_tradnl"/>
              </w:rPr>
              <w:t>Estudio de las cuestiones técnicas y operativas y las disposiciones reglamentarias de las transmisiones espacio-espacio, en las bandas de frecuencias [</w:t>
            </w:r>
            <w:r w:rsidRPr="000A60D5">
              <w:rPr>
                <w:lang w:val="es-ES_tradnl"/>
              </w:rPr>
              <w:t xml:space="preserve">1 610-1 645,5 y 1 646,5-1 660,5 MHz] </w:t>
            </w:r>
            <w:r w:rsidRPr="000A60D5">
              <w:rPr>
                <w:bCs/>
                <w:lang w:val="es-ES_tradnl"/>
              </w:rPr>
              <w:t>para el sentido Tierra-espacio y en las bandas de frecuencias [</w:t>
            </w:r>
            <w:r w:rsidRPr="000A60D5">
              <w:rPr>
                <w:lang w:val="es-ES_tradnl"/>
              </w:rPr>
              <w:t>1</w:t>
            </w:r>
            <w:r w:rsidR="00537CF6">
              <w:rPr>
                <w:lang w:val="es-ES_tradnl"/>
              </w:rPr>
              <w:t> </w:t>
            </w:r>
            <w:r w:rsidRPr="000A60D5">
              <w:rPr>
                <w:lang w:val="es-ES_tradnl"/>
              </w:rPr>
              <w:t>525</w:t>
            </w:r>
            <w:r w:rsidR="00537CF6">
              <w:rPr>
                <w:lang w:val="es-ES_tradnl"/>
              </w:rPr>
              <w:noBreakHyphen/>
            </w:r>
            <w:r w:rsidRPr="000A60D5">
              <w:rPr>
                <w:lang w:val="es-ES_tradnl"/>
              </w:rPr>
              <w:t>1</w:t>
            </w:r>
            <w:r w:rsidR="00537CF6">
              <w:rPr>
                <w:lang w:val="es-ES_tradnl"/>
              </w:rPr>
              <w:t> </w:t>
            </w:r>
            <w:r w:rsidRPr="000A60D5">
              <w:rPr>
                <w:lang w:val="es-ES_tradnl"/>
              </w:rPr>
              <w:t>544</w:t>
            </w:r>
            <w:r w:rsidR="00537CF6">
              <w:rPr>
                <w:lang w:val="es-ES_tradnl"/>
              </w:rPr>
              <w:t> </w:t>
            </w:r>
            <w:r w:rsidRPr="000A60D5">
              <w:rPr>
                <w:lang w:val="es-ES_tradnl"/>
              </w:rPr>
              <w:t>MHz], [1</w:t>
            </w:r>
            <w:r w:rsidR="00537CF6">
              <w:rPr>
                <w:lang w:val="es-ES_tradnl"/>
              </w:rPr>
              <w:t> </w:t>
            </w:r>
            <w:r w:rsidRPr="000A60D5">
              <w:rPr>
                <w:lang w:val="es-ES_tradnl"/>
              </w:rPr>
              <w:t>545</w:t>
            </w:r>
            <w:r w:rsidR="00537CF6">
              <w:rPr>
                <w:lang w:val="es-ES_tradnl"/>
              </w:rPr>
              <w:noBreakHyphen/>
            </w:r>
            <w:r w:rsidRPr="000A60D5">
              <w:rPr>
                <w:lang w:val="es-ES_tradnl"/>
              </w:rPr>
              <w:t>1</w:t>
            </w:r>
            <w:r w:rsidR="00537CF6">
              <w:rPr>
                <w:lang w:val="es-ES_tradnl"/>
              </w:rPr>
              <w:t> </w:t>
            </w:r>
            <w:r w:rsidRPr="000A60D5">
              <w:rPr>
                <w:lang w:val="es-ES_tradnl"/>
              </w:rPr>
              <w:t>559</w:t>
            </w:r>
            <w:r w:rsidR="00537CF6">
              <w:rPr>
                <w:lang w:val="es-ES_tradnl"/>
              </w:rPr>
              <w:t> </w:t>
            </w:r>
            <w:r w:rsidRPr="000A60D5">
              <w:rPr>
                <w:lang w:val="es-ES_tradnl"/>
              </w:rPr>
              <w:t>MHz], [1 613,8</w:t>
            </w:r>
            <w:r w:rsidR="00537CF6">
              <w:rPr>
                <w:lang w:val="es-ES_tradnl"/>
              </w:rPr>
              <w:noBreakHyphen/>
            </w:r>
            <w:r w:rsidRPr="000A60D5">
              <w:rPr>
                <w:lang w:val="es-ES_tradnl"/>
              </w:rPr>
              <w:t>1</w:t>
            </w:r>
            <w:r w:rsidR="00537CF6">
              <w:rPr>
                <w:lang w:val="es-ES_tradnl"/>
              </w:rPr>
              <w:t> </w:t>
            </w:r>
            <w:r w:rsidRPr="000A60D5">
              <w:rPr>
                <w:lang w:val="es-ES_tradnl"/>
              </w:rPr>
              <w:t>626,5</w:t>
            </w:r>
            <w:r w:rsidR="00537CF6">
              <w:rPr>
                <w:lang w:val="es-ES_tradnl"/>
              </w:rPr>
              <w:t> </w:t>
            </w:r>
            <w:r w:rsidRPr="000A60D5">
              <w:rPr>
                <w:lang w:val="es-ES_tradnl"/>
              </w:rPr>
              <w:t>MHz] y [2 483,5</w:t>
            </w:r>
            <w:r w:rsidR="00537CF6">
              <w:rPr>
                <w:lang w:val="es-ES_tradnl"/>
              </w:rPr>
              <w:noBreakHyphen/>
            </w:r>
            <w:r w:rsidRPr="000A60D5">
              <w:rPr>
                <w:lang w:val="es-ES_tradnl"/>
              </w:rPr>
              <w:t xml:space="preserve">2 500 MHz] para </w:t>
            </w:r>
            <w:r w:rsidRPr="000A60D5">
              <w:rPr>
                <w:bCs/>
                <w:lang w:val="es-ES_tradnl"/>
              </w:rPr>
              <w:t xml:space="preserve">el sentido </w:t>
            </w:r>
            <w:r w:rsidRPr="000A60D5">
              <w:rPr>
                <w:bCs/>
                <w:lang w:val="es-ES_tradnl"/>
              </w:rPr>
              <w:lastRenderedPageBreak/>
              <w:t xml:space="preserve">espacio-Tierra, </w:t>
            </w:r>
            <w:r w:rsidRPr="000A60D5">
              <w:rPr>
                <w:lang w:val="es-ES_tradnl"/>
              </w:rPr>
              <w:t>entre satélites no geoestacionarios y geoestacionarios del servicio móvil por satélite</w:t>
            </w:r>
            <w:bookmarkEnd w:id="62"/>
          </w:p>
        </w:tc>
        <w:tc>
          <w:tcPr>
            <w:tcW w:w="2707" w:type="dxa"/>
          </w:tcPr>
          <w:p w14:paraId="642BD4B2" w14:textId="05C0F33D" w:rsidR="007A7DF3" w:rsidRPr="001F3073" w:rsidRDefault="007A7DF3" w:rsidP="00100121">
            <w:pPr>
              <w:pStyle w:val="Tabletext"/>
              <w:jc w:val="center"/>
              <w:rPr>
                <w:b/>
                <w:bCs/>
                <w:lang w:val="es-ES_tradnl"/>
              </w:rPr>
            </w:pPr>
            <w:r>
              <w:rPr>
                <w:b/>
                <w:bCs/>
                <w:lang w:val="es-ES_tradnl"/>
              </w:rPr>
              <w:lastRenderedPageBreak/>
              <w:t>CE</w:t>
            </w:r>
            <w:r w:rsidR="000A4F64">
              <w:rPr>
                <w:b/>
                <w:bCs/>
                <w:lang w:val="es-ES_tradnl"/>
              </w:rPr>
              <w:t> </w:t>
            </w:r>
            <w:r w:rsidRPr="001F3073">
              <w:rPr>
                <w:b/>
                <w:bCs/>
                <w:lang w:val="es-ES_tradnl"/>
              </w:rPr>
              <w:t>4</w:t>
            </w:r>
          </w:p>
        </w:tc>
        <w:tc>
          <w:tcPr>
            <w:tcW w:w="7177" w:type="dxa"/>
          </w:tcPr>
          <w:p w14:paraId="008B90CD" w14:textId="77777777" w:rsidR="007A7DF3" w:rsidRPr="00A665BE" w:rsidRDefault="007A7DF3" w:rsidP="004A2293">
            <w:pPr>
              <w:pStyle w:val="Tabletext"/>
              <w:tabs>
                <w:tab w:val="clear" w:pos="284"/>
                <w:tab w:val="left" w:pos="463"/>
              </w:tabs>
              <w:ind w:left="454"/>
              <w:jc w:val="both"/>
              <w:rPr>
                <w:rFonts w:eastAsia="???"/>
                <w:i/>
                <w:iCs/>
                <w:lang w:val="es-ES" w:eastAsia="nl-NL"/>
              </w:rPr>
            </w:pPr>
            <w:bookmarkStart w:id="63" w:name="_Hlk26795025"/>
            <w:r w:rsidRPr="00A665BE">
              <w:rPr>
                <w:rFonts w:eastAsia="???"/>
                <w:i/>
                <w:iCs/>
                <w:lang w:val="es-ES" w:eastAsia="nl-NL"/>
              </w:rPr>
              <w:t>resuelve invitar al UIT-R</w:t>
            </w:r>
          </w:p>
          <w:p w14:paraId="053EBDAD"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a estudiar las características técnicas y operativas de diferentes tipos de estaciones espaciales no OCE del SMS que utilizan o prevén utilizar enlaces espacio-espacio con redes del SMS OCE en las bandas de frecuencias siguientes:</w:t>
            </w:r>
          </w:p>
          <w:p w14:paraId="52FF47FA" w14:textId="77777777" w:rsidR="007A7DF3" w:rsidRPr="000A60D5" w:rsidRDefault="007A7DF3" w:rsidP="004A2293">
            <w:pPr>
              <w:pStyle w:val="Tabletext"/>
              <w:tabs>
                <w:tab w:val="clear" w:pos="284"/>
                <w:tab w:val="left" w:pos="463"/>
              </w:tabs>
              <w:ind w:left="463" w:hanging="463"/>
              <w:jc w:val="both"/>
              <w:rPr>
                <w:lang w:val="es-ES_tradnl"/>
              </w:rPr>
            </w:pPr>
            <w:r w:rsidRPr="000A4F64">
              <w:rPr>
                <w:i/>
                <w:iCs/>
                <w:lang w:val="es-ES_tradnl"/>
              </w:rPr>
              <w:t>a)</w:t>
            </w:r>
            <w:r w:rsidRPr="000A60D5">
              <w:rPr>
                <w:lang w:val="es-ES_tradnl"/>
              </w:rPr>
              <w:tab/>
              <w:t>Tierra-espacio en las bandas de frecuencias [1 626,5-1 645,5 MHz y 1 646,5</w:t>
            </w:r>
            <w:r w:rsidRPr="000A60D5">
              <w:rPr>
                <w:lang w:val="es-ES_tradnl"/>
              </w:rPr>
              <w:noBreakHyphen/>
              <w:t>1 660,5 MHz]; y</w:t>
            </w:r>
          </w:p>
          <w:p w14:paraId="267914A7" w14:textId="524436C7" w:rsidR="007A7DF3" w:rsidRPr="000A60D5" w:rsidRDefault="007A7DF3" w:rsidP="004A2293">
            <w:pPr>
              <w:pStyle w:val="Tabletext"/>
              <w:tabs>
                <w:tab w:val="clear" w:pos="284"/>
                <w:tab w:val="left" w:pos="463"/>
              </w:tabs>
              <w:ind w:left="463" w:hanging="463"/>
              <w:jc w:val="both"/>
              <w:rPr>
                <w:lang w:val="es-ES_tradnl"/>
              </w:rPr>
            </w:pPr>
            <w:r w:rsidRPr="000A4F64">
              <w:rPr>
                <w:i/>
                <w:iCs/>
                <w:lang w:val="es-ES_tradnl"/>
              </w:rPr>
              <w:t>b)</w:t>
            </w:r>
            <w:r w:rsidRPr="000A60D5">
              <w:rPr>
                <w:lang w:val="es-ES_tradnl"/>
              </w:rPr>
              <w:tab/>
              <w:t>espacio-Tierra en las bandas de frecuencias [1 525-1 544 MHz y 1 545</w:t>
            </w:r>
            <w:r w:rsidR="00537CF6">
              <w:rPr>
                <w:lang w:val="es-ES_tradnl"/>
              </w:rPr>
              <w:noBreakHyphen/>
            </w:r>
            <w:r w:rsidRPr="000A60D5">
              <w:rPr>
                <w:lang w:val="es-ES_tradnl"/>
              </w:rPr>
              <w:t>1 559 MHz];</w:t>
            </w:r>
          </w:p>
          <w:p w14:paraId="0E1A0231"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t>a estudiar las características técnicas y operativas de diferentes tipos de estaciones espaciales no OCE del SMS que explotan o prevén explotar enlaces espacio-espacio con redes del SMS OCE y no OCE en las bandas de frecuencias siguientes:</w:t>
            </w:r>
          </w:p>
          <w:p w14:paraId="16D2DC22" w14:textId="77777777" w:rsidR="007A7DF3" w:rsidRPr="000A60D5" w:rsidRDefault="007A7DF3" w:rsidP="004A2293">
            <w:pPr>
              <w:pStyle w:val="Tabletext"/>
              <w:tabs>
                <w:tab w:val="clear" w:pos="284"/>
                <w:tab w:val="left" w:pos="463"/>
              </w:tabs>
              <w:jc w:val="both"/>
              <w:rPr>
                <w:lang w:val="es-ES_tradnl"/>
              </w:rPr>
            </w:pPr>
            <w:r w:rsidRPr="000A4F64">
              <w:rPr>
                <w:i/>
                <w:iCs/>
                <w:lang w:val="es-ES_tradnl"/>
              </w:rPr>
              <w:t>a)</w:t>
            </w:r>
            <w:r w:rsidRPr="000A60D5">
              <w:rPr>
                <w:lang w:val="es-ES_tradnl"/>
              </w:rPr>
              <w:tab/>
              <w:t>Tierra-espacio en la banda de frecuencias </w:t>
            </w:r>
            <w:bookmarkStart w:id="64" w:name="_Hlk19523583"/>
            <w:r w:rsidRPr="000A60D5">
              <w:rPr>
                <w:lang w:val="es-ES_tradnl"/>
              </w:rPr>
              <w:t>[1 610-1</w:t>
            </w:r>
            <w:bookmarkEnd w:id="64"/>
            <w:r w:rsidRPr="000A60D5">
              <w:rPr>
                <w:lang w:val="es-ES_tradnl"/>
              </w:rPr>
              <w:t> 626,5 MHz]; y</w:t>
            </w:r>
          </w:p>
          <w:p w14:paraId="3253BF06" w14:textId="77777777" w:rsidR="007A7DF3" w:rsidRPr="000A60D5" w:rsidRDefault="007A7DF3" w:rsidP="004A2293">
            <w:pPr>
              <w:pStyle w:val="Tabletext"/>
              <w:tabs>
                <w:tab w:val="clear" w:pos="284"/>
                <w:tab w:val="left" w:pos="463"/>
              </w:tabs>
              <w:ind w:left="463" w:hanging="463"/>
              <w:jc w:val="both"/>
              <w:rPr>
                <w:lang w:val="es-ES_tradnl"/>
              </w:rPr>
            </w:pPr>
            <w:r w:rsidRPr="000A4F64">
              <w:rPr>
                <w:i/>
                <w:iCs/>
                <w:lang w:val="es-ES_tradnl"/>
              </w:rPr>
              <w:lastRenderedPageBreak/>
              <w:t>b)</w:t>
            </w:r>
            <w:r w:rsidRPr="000A60D5">
              <w:rPr>
                <w:lang w:val="es-ES_tradnl"/>
              </w:rPr>
              <w:tab/>
              <w:t xml:space="preserve">espacio-Tierra en las bandas de frecuencias [1 613,8-1 626,5 MHz </w:t>
            </w:r>
            <w:bookmarkStart w:id="65" w:name="_Hlk19523635"/>
            <w:r w:rsidRPr="000A60D5">
              <w:rPr>
                <w:lang w:val="es-ES_tradnl"/>
              </w:rPr>
              <w:t>y 2 483,5</w:t>
            </w:r>
            <w:r w:rsidRPr="000A60D5">
              <w:rPr>
                <w:lang w:val="es-ES_tradnl"/>
              </w:rPr>
              <w:noBreakHyphen/>
              <w:t>2 500 MHz</w:t>
            </w:r>
            <w:bookmarkEnd w:id="65"/>
            <w:r w:rsidRPr="000A60D5">
              <w:rPr>
                <w:lang w:val="es-ES_tradnl"/>
              </w:rPr>
              <w:t>];</w:t>
            </w:r>
          </w:p>
          <w:p w14:paraId="51D40545" w14:textId="77777777" w:rsidR="007A7DF3" w:rsidRPr="000A60D5" w:rsidRDefault="007A7DF3" w:rsidP="004A2293">
            <w:pPr>
              <w:pStyle w:val="Tabletext"/>
              <w:tabs>
                <w:tab w:val="clear" w:pos="284"/>
                <w:tab w:val="left" w:pos="463"/>
              </w:tabs>
              <w:jc w:val="both"/>
              <w:rPr>
                <w:lang w:val="es-ES_tradnl"/>
              </w:rPr>
            </w:pPr>
            <w:r w:rsidRPr="000A60D5">
              <w:rPr>
                <w:lang w:val="es-ES_tradnl"/>
              </w:rPr>
              <w:t>3</w:t>
            </w:r>
            <w:r w:rsidRPr="000A60D5">
              <w:rPr>
                <w:lang w:val="es-ES_tradnl"/>
              </w:rPr>
              <w:tab/>
              <w:t xml:space="preserve">a estudiar la compartición y la compatibilidad entre los enlaces espacio-espacio en los casos descritos en los </w:t>
            </w:r>
            <w:r w:rsidRPr="000A60D5">
              <w:rPr>
                <w:i/>
                <w:iCs/>
                <w:lang w:val="es-ES_tradnl"/>
              </w:rPr>
              <w:t xml:space="preserve">resuelve </w:t>
            </w:r>
            <w:r w:rsidRPr="000A60D5">
              <w:rPr>
                <w:lang w:val="es-ES_tradnl"/>
              </w:rPr>
              <w:t>1 y 2, y</w:t>
            </w:r>
          </w:p>
          <w:p w14:paraId="4DDB1BD5" w14:textId="77777777" w:rsidR="007A7DF3" w:rsidRPr="000A60D5" w:rsidRDefault="007A7DF3" w:rsidP="004A2293">
            <w:pPr>
              <w:pStyle w:val="Tabletext"/>
              <w:tabs>
                <w:tab w:val="clear" w:pos="284"/>
                <w:tab w:val="left" w:pos="463"/>
              </w:tabs>
              <w:jc w:val="both"/>
              <w:rPr>
                <w:lang w:val="es-ES_tradnl"/>
              </w:rPr>
            </w:pPr>
            <w:r w:rsidRPr="000A60D5">
              <w:rPr>
                <w:lang w:val="es-ES_tradnl"/>
              </w:rPr>
              <w:t>–</w:t>
            </w:r>
            <w:r w:rsidRPr="000A60D5">
              <w:rPr>
                <w:lang w:val="es-ES_tradnl"/>
              </w:rPr>
              <w:tab/>
              <w:t>las estaciones, tanto actuales como planificadas, del SMS;</w:t>
            </w:r>
          </w:p>
          <w:p w14:paraId="69C78634" w14:textId="77777777" w:rsidR="007A7DF3" w:rsidRPr="000A60D5" w:rsidRDefault="007A7DF3" w:rsidP="004A2293">
            <w:pPr>
              <w:pStyle w:val="Tabletext"/>
              <w:tabs>
                <w:tab w:val="clear" w:pos="284"/>
                <w:tab w:val="left" w:pos="463"/>
              </w:tabs>
              <w:ind w:left="463" w:hanging="463"/>
              <w:jc w:val="both"/>
              <w:rPr>
                <w:lang w:val="es-ES_tradnl"/>
              </w:rPr>
            </w:pPr>
            <w:r w:rsidRPr="000A60D5">
              <w:rPr>
                <w:lang w:val="es-ES_tradnl"/>
              </w:rPr>
              <w:t>–</w:t>
            </w:r>
            <w:r w:rsidRPr="000A60D5">
              <w:rPr>
                <w:lang w:val="es-ES_tradnl"/>
              </w:rPr>
              <w:tab/>
              <w:t>otros servicios existentes a los que están atribuidas las mismas bandas de frecuencias; y</w:t>
            </w:r>
          </w:p>
          <w:p w14:paraId="26747234" w14:textId="77777777" w:rsidR="007A7DF3" w:rsidRPr="000A60D5" w:rsidRDefault="007A7DF3" w:rsidP="004A2293">
            <w:pPr>
              <w:pStyle w:val="Tabletext"/>
              <w:tabs>
                <w:tab w:val="clear" w:pos="284"/>
                <w:tab w:val="left" w:pos="463"/>
              </w:tabs>
              <w:ind w:left="463" w:hanging="463"/>
              <w:jc w:val="both"/>
              <w:rPr>
                <w:lang w:val="es-ES_tradnl"/>
              </w:rPr>
            </w:pPr>
            <w:r w:rsidRPr="000A60D5">
              <w:rPr>
                <w:lang w:val="es-ES_tradnl"/>
              </w:rPr>
              <w:t>–</w:t>
            </w:r>
            <w:r w:rsidRPr="000A60D5">
              <w:rPr>
                <w:lang w:val="es-ES_tradnl"/>
              </w:rPr>
              <w:tab/>
              <w:t>otros servicios existentes a los que están atribuidas bandas de frecuencias adyacentes;</w:t>
            </w:r>
          </w:p>
          <w:p w14:paraId="5C4DEB4A" w14:textId="77777777" w:rsidR="007A7DF3" w:rsidRPr="000A60D5" w:rsidRDefault="007A7DF3" w:rsidP="004A2293">
            <w:pPr>
              <w:pStyle w:val="Tabletext"/>
              <w:tabs>
                <w:tab w:val="clear" w:pos="284"/>
                <w:tab w:val="left" w:pos="463"/>
              </w:tabs>
              <w:jc w:val="both"/>
              <w:rPr>
                <w:lang w:val="es-ES_tradnl"/>
              </w:rPr>
            </w:pPr>
            <w:r w:rsidRPr="000A60D5">
              <w:rPr>
                <w:lang w:val="es-ES_tradnl"/>
              </w:rPr>
              <w:t xml:space="preserve">para proteger otras operaciones del SMS y otros servicios a los que están atribuidas esas bandas de frecuencias y otras bandas de frecuencias adyacentes, sin imponer restricciones indebidas, y teniendo en cuenta los </w:t>
            </w:r>
            <w:r w:rsidRPr="000A60D5">
              <w:rPr>
                <w:i/>
                <w:iCs/>
                <w:lang w:val="es-ES_tradnl"/>
              </w:rPr>
              <w:t xml:space="preserve">reconociendo además </w:t>
            </w:r>
            <w:r w:rsidRPr="000A60D5">
              <w:rPr>
                <w:i/>
                <w:lang w:val="es-ES_tradnl"/>
              </w:rPr>
              <w:t>a)</w:t>
            </w:r>
            <w:r w:rsidRPr="000A60D5">
              <w:rPr>
                <w:lang w:val="es-ES_tradnl"/>
              </w:rPr>
              <w:t xml:space="preserve"> a </w:t>
            </w:r>
            <w:r w:rsidRPr="000A60D5">
              <w:rPr>
                <w:i/>
                <w:iCs/>
                <w:lang w:val="es-ES_tradnl"/>
              </w:rPr>
              <w:t>c</w:t>
            </w:r>
            <w:r w:rsidRPr="000A60D5">
              <w:rPr>
                <w:i/>
                <w:lang w:val="es-ES_tradnl"/>
              </w:rPr>
              <w:t>)</w:t>
            </w:r>
            <w:r w:rsidRPr="000A60D5">
              <w:rPr>
                <w:lang w:val="es-ES_tradnl"/>
              </w:rPr>
              <w:t>;</w:t>
            </w:r>
          </w:p>
          <w:p w14:paraId="34484AC7" w14:textId="77777777" w:rsidR="007A7DF3" w:rsidRPr="000A60D5" w:rsidRDefault="007A7DF3" w:rsidP="004A2293">
            <w:pPr>
              <w:pStyle w:val="Tabletext"/>
              <w:tabs>
                <w:tab w:val="clear" w:pos="284"/>
                <w:tab w:val="left" w:pos="463"/>
              </w:tabs>
              <w:jc w:val="both"/>
              <w:rPr>
                <w:bCs/>
                <w:lang w:val="es-ES_tradnl"/>
              </w:rPr>
            </w:pPr>
            <w:r w:rsidRPr="000A60D5">
              <w:rPr>
                <w:bCs/>
                <w:lang w:val="es-ES_tradnl"/>
              </w:rPr>
              <w:t>4</w:t>
            </w:r>
            <w:r w:rsidRPr="000A60D5">
              <w:rPr>
                <w:bCs/>
                <w:lang w:val="es-ES_tradnl"/>
              </w:rPr>
              <w:tab/>
              <w:t xml:space="preserve">a </w:t>
            </w:r>
            <w:r w:rsidRPr="00537CF6">
              <w:rPr>
                <w:lang w:val="es-ES_tradnl"/>
              </w:rPr>
              <w:t>elaborar</w:t>
            </w:r>
            <w:r w:rsidRPr="000A60D5">
              <w:rPr>
                <w:bCs/>
                <w:lang w:val="es-ES_tradnl"/>
              </w:rPr>
              <w:t xml:space="preserve"> condiciones técnicas y disposiciones reglamentarias para el funcionamiento de los enlaces espacio-espacio en estas bandas, incluidas las atribuciones nuevas o revisadas al SMS </w:t>
            </w:r>
            <w:r w:rsidRPr="000A60D5">
              <w:rPr>
                <w:lang w:val="es-ES_tradnl"/>
              </w:rPr>
              <w:t xml:space="preserve">o la adición de las atribuciones al SES, a título secundario, garantizando al mismo tiempo la protección de otras operaciones del SMS y demás servicios a los que están atribuidas esas bandas de frecuencias o bandas adyacentes, sin imponer restricciones indebidas, y teniendo en cuenta los resultados de los estudios solicitados en los </w:t>
            </w:r>
            <w:r w:rsidRPr="000A60D5">
              <w:rPr>
                <w:i/>
                <w:iCs/>
                <w:lang w:val="es-ES_tradnl"/>
              </w:rPr>
              <w:t xml:space="preserve">resuelve invitar al UIT-R </w:t>
            </w:r>
            <w:r w:rsidRPr="000A60D5">
              <w:rPr>
                <w:lang w:val="es-ES_tradnl"/>
              </w:rPr>
              <w:t xml:space="preserve">1, 2 y 3 </w:t>
            </w:r>
            <w:r w:rsidRPr="000A60D5">
              <w:rPr>
                <w:i/>
                <w:iCs/>
                <w:lang w:val="es-ES_tradnl"/>
              </w:rPr>
              <w:t>supra</w:t>
            </w:r>
            <w:r w:rsidRPr="000A60D5">
              <w:rPr>
                <w:lang w:val="es-ES_tradnl"/>
              </w:rPr>
              <w:t>;</w:t>
            </w:r>
          </w:p>
          <w:p w14:paraId="5469866A" w14:textId="77777777" w:rsidR="007A7DF3" w:rsidRPr="000A60D5" w:rsidRDefault="007A7DF3" w:rsidP="004A2293">
            <w:pPr>
              <w:pStyle w:val="Tabletext"/>
              <w:tabs>
                <w:tab w:val="clear" w:pos="284"/>
                <w:tab w:val="left" w:pos="463"/>
              </w:tabs>
              <w:jc w:val="both"/>
              <w:rPr>
                <w:lang w:val="es-ES_tradnl"/>
              </w:rPr>
            </w:pPr>
            <w:r w:rsidRPr="000A60D5">
              <w:rPr>
                <w:lang w:val="es-ES_tradnl"/>
              </w:rPr>
              <w:t>5</w:t>
            </w:r>
            <w:r w:rsidRPr="000A60D5">
              <w:rPr>
                <w:lang w:val="es-ES_tradnl"/>
              </w:rPr>
              <w:tab/>
              <w:t>a completar estos estudios antes de la Conferencia Mundial de Radiocomunicaciones de 2027,</w:t>
            </w:r>
          </w:p>
          <w:p w14:paraId="6F566D57"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61ADA4D4" w14:textId="77777777" w:rsidR="007A7DF3" w:rsidRPr="000A60D5" w:rsidRDefault="007A7DF3" w:rsidP="004A2293">
            <w:pPr>
              <w:pStyle w:val="Tabletext"/>
              <w:tabs>
                <w:tab w:val="clear" w:pos="284"/>
                <w:tab w:val="left" w:pos="463"/>
              </w:tabs>
              <w:jc w:val="both"/>
              <w:rPr>
                <w:lang w:val="es-ES_tradnl"/>
              </w:rPr>
            </w:pPr>
            <w:r w:rsidRPr="000A60D5">
              <w:rPr>
                <w:lang w:val="es-ES_tradnl"/>
              </w:rPr>
              <w:t>a participar en los estudios presentando contribuciones al respecto al UIT-R,</w:t>
            </w:r>
          </w:p>
          <w:p w14:paraId="5D994D87"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 Conferencia Mundial de Radiocomunicaciones de 2027</w:t>
            </w:r>
          </w:p>
          <w:p w14:paraId="5D401F30" w14:textId="77777777" w:rsidR="007A7DF3" w:rsidRPr="000A60D5" w:rsidRDefault="007A7DF3" w:rsidP="004A2293">
            <w:pPr>
              <w:pStyle w:val="Tabletext"/>
              <w:tabs>
                <w:tab w:val="clear" w:pos="284"/>
                <w:tab w:val="left" w:pos="463"/>
              </w:tabs>
              <w:jc w:val="both"/>
              <w:rPr>
                <w:lang w:val="es-ES_tradnl"/>
              </w:rPr>
            </w:pPr>
            <w:r w:rsidRPr="000A60D5">
              <w:rPr>
                <w:lang w:val="es-ES_tradnl"/>
              </w:rPr>
              <w:t>a considerar los resultados de los estudios antes mencionados y tomar las medidas reglamentarias correspondientes, según proceda.</w:t>
            </w:r>
            <w:bookmarkEnd w:id="63"/>
          </w:p>
        </w:tc>
        <w:tc>
          <w:tcPr>
            <w:tcW w:w="1392" w:type="dxa"/>
          </w:tcPr>
          <w:p w14:paraId="7FF96AE5" w14:textId="6AFAC9B9" w:rsidR="007A7DF3" w:rsidRPr="007A7DF3" w:rsidRDefault="007A7DF3" w:rsidP="00100121">
            <w:pPr>
              <w:pStyle w:val="Tabletext"/>
              <w:jc w:val="center"/>
              <w:rPr>
                <w:b/>
                <w:bCs/>
              </w:rPr>
            </w:pPr>
            <w:r w:rsidRPr="007A7DF3">
              <w:rPr>
                <w:b/>
                <w:bCs/>
              </w:rPr>
              <w:lastRenderedPageBreak/>
              <w:t>GT</w:t>
            </w:r>
            <w:r w:rsidR="000A4F64">
              <w:rPr>
                <w:b/>
                <w:bCs/>
              </w:rPr>
              <w:t> </w:t>
            </w:r>
            <w:r w:rsidRPr="007A7DF3">
              <w:rPr>
                <w:b/>
                <w:bCs/>
              </w:rPr>
              <w:t xml:space="preserve">3M, </w:t>
            </w:r>
            <w:r w:rsidR="000A4F64">
              <w:rPr>
                <w:b/>
                <w:bCs/>
              </w:rPr>
              <w:br/>
            </w:r>
            <w:r w:rsidRPr="007A7DF3">
              <w:rPr>
                <w:b/>
                <w:bCs/>
              </w:rPr>
              <w:t>GT</w:t>
            </w:r>
            <w:r w:rsidR="000A4F64">
              <w:rPr>
                <w:b/>
                <w:bCs/>
              </w:rPr>
              <w:t> </w:t>
            </w:r>
            <w:r w:rsidRPr="007A7DF3">
              <w:rPr>
                <w:b/>
                <w:bCs/>
              </w:rPr>
              <w:t xml:space="preserve">4C, </w:t>
            </w:r>
            <w:r w:rsidR="000A4F64">
              <w:rPr>
                <w:b/>
                <w:bCs/>
              </w:rPr>
              <w:br/>
            </w:r>
            <w:r w:rsidRPr="007A7DF3">
              <w:rPr>
                <w:b/>
                <w:bCs/>
              </w:rPr>
              <w:t>GT</w:t>
            </w:r>
            <w:r w:rsidR="000A4F64">
              <w:rPr>
                <w:b/>
                <w:bCs/>
              </w:rPr>
              <w:t> </w:t>
            </w:r>
            <w:r w:rsidRPr="007A7DF3">
              <w:rPr>
                <w:b/>
                <w:bCs/>
              </w:rPr>
              <w:t xml:space="preserve">5A, </w:t>
            </w:r>
            <w:r w:rsidR="000A4F64">
              <w:rPr>
                <w:b/>
                <w:bCs/>
              </w:rPr>
              <w:br/>
            </w:r>
            <w:r w:rsidRPr="007A7DF3">
              <w:rPr>
                <w:b/>
                <w:bCs/>
              </w:rPr>
              <w:t>GT</w:t>
            </w:r>
            <w:r w:rsidR="000A4F64">
              <w:rPr>
                <w:b/>
                <w:bCs/>
              </w:rPr>
              <w:t> </w:t>
            </w:r>
            <w:r w:rsidRPr="007A7DF3">
              <w:rPr>
                <w:b/>
                <w:bCs/>
              </w:rPr>
              <w:t xml:space="preserve">5C, </w:t>
            </w:r>
            <w:r w:rsidR="000A4F64">
              <w:rPr>
                <w:b/>
                <w:bCs/>
              </w:rPr>
              <w:br/>
            </w:r>
            <w:r w:rsidRPr="007A7DF3">
              <w:rPr>
                <w:b/>
                <w:bCs/>
              </w:rPr>
              <w:t>GT</w:t>
            </w:r>
            <w:r w:rsidR="000A4F64">
              <w:rPr>
                <w:b/>
                <w:bCs/>
              </w:rPr>
              <w:t> </w:t>
            </w:r>
            <w:r w:rsidRPr="007A7DF3">
              <w:rPr>
                <w:b/>
                <w:bCs/>
              </w:rPr>
              <w:t>7D</w:t>
            </w:r>
          </w:p>
        </w:tc>
      </w:tr>
      <w:tr w:rsidR="007A7DF3" w:rsidRPr="00CE4E08" w14:paraId="5F97E871" w14:textId="77777777" w:rsidTr="003F05FF">
        <w:trPr>
          <w:cantSplit/>
          <w:jc w:val="center"/>
        </w:trPr>
        <w:tc>
          <w:tcPr>
            <w:tcW w:w="14474" w:type="dxa"/>
            <w:gridSpan w:val="5"/>
          </w:tcPr>
          <w:p w14:paraId="36686FDB" w14:textId="3900DF41" w:rsidR="007A7DF3" w:rsidRPr="00207DE5" w:rsidRDefault="007A7DF3" w:rsidP="003F05FF">
            <w:pPr>
              <w:pStyle w:val="Tabletext"/>
              <w:keepNext/>
              <w:keepLines/>
              <w:tabs>
                <w:tab w:val="clear" w:pos="284"/>
                <w:tab w:val="left" w:pos="594"/>
              </w:tabs>
              <w:jc w:val="both"/>
              <w:rPr>
                <w:lang w:val="es-ES_tradnl"/>
              </w:rPr>
            </w:pPr>
            <w:r w:rsidRPr="00207DE5">
              <w:rPr>
                <w:lang w:val="es-ES_tradnl"/>
              </w:rPr>
              <w:lastRenderedPageBreak/>
              <w:t>2.9</w:t>
            </w:r>
            <w:r w:rsidRPr="00207DE5">
              <w:rPr>
                <w:lang w:val="es-ES_tradnl"/>
              </w:rPr>
              <w:tab/>
              <w:t>examinar posibles atribuciones adicionales de espectro al servicio móvil en la banda de frecuencias 1 300</w:t>
            </w:r>
            <w:r w:rsidRPr="00207DE5">
              <w:rPr>
                <w:lang w:val="es-ES_tradnl"/>
              </w:rPr>
              <w:noBreakHyphen/>
              <w:t xml:space="preserve">1 350 MHz para facilitar el desarrollo futuro de aplicaciones móviles de banda ancha, de conformidad con la Resolución </w:t>
            </w:r>
            <w:r w:rsidRPr="00207DE5">
              <w:rPr>
                <w:b/>
                <w:bCs/>
                <w:lang w:val="es-ES_tradnl"/>
              </w:rPr>
              <w:t>250 (CMR-19)</w:t>
            </w:r>
            <w:r w:rsidRPr="00CA21E0">
              <w:rPr>
                <w:lang w:val="es-ES_tradnl"/>
              </w:rPr>
              <w:t>;</w:t>
            </w:r>
          </w:p>
        </w:tc>
      </w:tr>
      <w:tr w:rsidR="007A7DF3" w:rsidRPr="001F3073" w14:paraId="208799EE" w14:textId="77777777" w:rsidTr="003F05FF">
        <w:trPr>
          <w:cantSplit/>
          <w:jc w:val="center"/>
        </w:trPr>
        <w:tc>
          <w:tcPr>
            <w:tcW w:w="3198" w:type="dxa"/>
            <w:gridSpan w:val="2"/>
          </w:tcPr>
          <w:p w14:paraId="61BD269E"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250 (CMR</w:t>
            </w:r>
            <w:r w:rsidRPr="00537CF6">
              <w:rPr>
                <w:b/>
                <w:bCs/>
                <w:lang w:val="es-ES" w:eastAsia="nl-NL"/>
              </w:rPr>
              <w:noBreakHyphen/>
              <w:t>19)</w:t>
            </w:r>
          </w:p>
          <w:p w14:paraId="229F182F" w14:textId="061412AC" w:rsidR="007A7DF3" w:rsidRPr="000A60D5" w:rsidRDefault="007A7DF3" w:rsidP="00100121">
            <w:pPr>
              <w:pStyle w:val="Tabletext"/>
              <w:rPr>
                <w:lang w:val="es-ES_tradnl"/>
              </w:rPr>
            </w:pPr>
            <w:r w:rsidRPr="000A60D5">
              <w:rPr>
                <w:lang w:val="es-ES_tradnl"/>
              </w:rPr>
              <w:t>Estudios relativos a posibles atribuciones al servicio móvil (excluidas las IMT) en la banda de frecuencias 1 300</w:t>
            </w:r>
            <w:r w:rsidRPr="000A60D5">
              <w:rPr>
                <w:lang w:val="es-ES_tradnl"/>
              </w:rPr>
              <w:noBreakHyphen/>
              <w:t>1 350 MHz para su uso por las administraciones en relación con el futuro desarrollo</w:t>
            </w:r>
            <w:r w:rsidR="007115A4">
              <w:rPr>
                <w:lang w:val="es-ES_tradnl"/>
              </w:rPr>
              <w:t xml:space="preserve"> </w:t>
            </w:r>
            <w:r w:rsidRPr="000A60D5">
              <w:rPr>
                <w:lang w:val="es-ES_tradnl"/>
              </w:rPr>
              <w:t>de aplicaciones del servicio móvil terrestre</w:t>
            </w:r>
          </w:p>
        </w:tc>
        <w:tc>
          <w:tcPr>
            <w:tcW w:w="2707" w:type="dxa"/>
          </w:tcPr>
          <w:p w14:paraId="4C6F8ADB" w14:textId="1F51A36A" w:rsidR="007A7DF3" w:rsidRPr="001F3073" w:rsidRDefault="007A7DF3" w:rsidP="00100121">
            <w:pPr>
              <w:pStyle w:val="Tabletext"/>
              <w:jc w:val="center"/>
              <w:rPr>
                <w:b/>
                <w:bCs/>
                <w:lang w:val="es-ES_tradnl"/>
              </w:rPr>
            </w:pPr>
            <w:r>
              <w:rPr>
                <w:b/>
                <w:bCs/>
                <w:lang w:val="es-ES_tradnl"/>
              </w:rPr>
              <w:t>CE</w:t>
            </w:r>
            <w:r w:rsidR="000A4F64">
              <w:rPr>
                <w:b/>
                <w:bCs/>
                <w:lang w:val="es-ES_tradnl"/>
              </w:rPr>
              <w:t> </w:t>
            </w:r>
            <w:r w:rsidRPr="001F3073">
              <w:rPr>
                <w:b/>
                <w:bCs/>
                <w:lang w:val="es-ES_tradnl"/>
              </w:rPr>
              <w:t>5</w:t>
            </w:r>
          </w:p>
        </w:tc>
        <w:tc>
          <w:tcPr>
            <w:tcW w:w="7177" w:type="dxa"/>
          </w:tcPr>
          <w:p w14:paraId="6E2ECDD8"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al Sector de Radiocomunicaciones de la UIT</w:t>
            </w:r>
          </w:p>
          <w:p w14:paraId="149BD2F4" w14:textId="77777777" w:rsidR="007A7DF3" w:rsidRPr="000A60D5" w:rsidRDefault="007A7DF3" w:rsidP="004A2293">
            <w:pPr>
              <w:pStyle w:val="Tabletext"/>
              <w:tabs>
                <w:tab w:val="clear" w:pos="284"/>
                <w:tab w:val="left" w:pos="463"/>
              </w:tabs>
              <w:jc w:val="both"/>
              <w:rPr>
                <w:lang w:val="es-ES_tradnl"/>
              </w:rPr>
            </w:pPr>
            <w:r w:rsidRPr="000A60D5">
              <w:rPr>
                <w:lang w:val="es-ES_tradnl"/>
              </w:rPr>
              <w:t>1</w:t>
            </w:r>
            <w:r w:rsidRPr="000A60D5">
              <w:rPr>
                <w:lang w:val="es-ES_tradnl"/>
              </w:rPr>
              <w:tab/>
              <w:t>a definir características técnicas y de funcionamiento de los sistemas del servicio móvil terrestre en la banda de frecuencias 1 300</w:t>
            </w:r>
            <w:r w:rsidRPr="000A60D5">
              <w:rPr>
                <w:lang w:val="es-ES_tradnl"/>
              </w:rPr>
              <w:noBreakHyphen/>
              <w:t>1 350 MHz;</w:t>
            </w:r>
          </w:p>
          <w:p w14:paraId="38F89B4E" w14:textId="77777777" w:rsidR="007A7DF3" w:rsidRPr="000A60D5" w:rsidRDefault="007A7DF3" w:rsidP="004A2293">
            <w:pPr>
              <w:pStyle w:val="Tabletext"/>
              <w:tabs>
                <w:tab w:val="clear" w:pos="284"/>
                <w:tab w:val="left" w:pos="463"/>
              </w:tabs>
              <w:jc w:val="both"/>
              <w:rPr>
                <w:lang w:val="es-ES_tradnl"/>
              </w:rPr>
            </w:pPr>
            <w:r w:rsidRPr="000A60D5">
              <w:rPr>
                <w:lang w:val="es-ES_tradnl"/>
              </w:rPr>
              <w:t>2</w:t>
            </w:r>
            <w:r w:rsidRPr="000A60D5">
              <w:rPr>
                <w:lang w:val="es-ES_tradnl"/>
              </w:rPr>
              <w:tab/>
              <w:t xml:space="preserve">a llevar a cabo estudios de compartición y compatibilidad para garantizar la protección de esos servicios a los cuales está atribuida la banda de frecuencias a título primario, y bandas adyacentes según proceda, teniendo en cuenta el </w:t>
            </w:r>
            <w:r w:rsidRPr="000A60D5">
              <w:rPr>
                <w:i/>
                <w:iCs/>
                <w:lang w:val="es-ES_tradnl"/>
              </w:rPr>
              <w:t>considerando</w:t>
            </w:r>
            <w:r w:rsidRPr="000A60D5">
              <w:rPr>
                <w:i/>
                <w:lang w:val="es-ES_tradnl"/>
              </w:rPr>
              <w:t xml:space="preserve"> f)</w:t>
            </w:r>
            <w:r w:rsidRPr="000A60D5">
              <w:rPr>
                <w:lang w:val="es-ES_tradnl"/>
              </w:rPr>
              <w:t>, para la banda de frecuencias 1 300</w:t>
            </w:r>
            <w:r w:rsidRPr="000A60D5">
              <w:rPr>
                <w:lang w:val="es-ES_tradnl"/>
              </w:rPr>
              <w:noBreakHyphen/>
              <w:t>1 350 MHz;</w:t>
            </w:r>
          </w:p>
          <w:p w14:paraId="346ACFCF" w14:textId="3C136090" w:rsidR="007A7DF3" w:rsidRPr="000A60D5" w:rsidRDefault="007A7DF3" w:rsidP="004A2293">
            <w:pPr>
              <w:pStyle w:val="Tabletext"/>
              <w:tabs>
                <w:tab w:val="clear" w:pos="284"/>
                <w:tab w:val="left" w:pos="463"/>
              </w:tabs>
              <w:jc w:val="both"/>
              <w:rPr>
                <w:lang w:val="es-ES_tradnl"/>
              </w:rPr>
            </w:pPr>
            <w:r w:rsidRPr="000A60D5">
              <w:rPr>
                <w:lang w:val="es-ES_tradnl"/>
              </w:rPr>
              <w:t>3</w:t>
            </w:r>
            <w:r w:rsidRPr="000A60D5">
              <w:rPr>
                <w:lang w:val="es-ES_tradnl"/>
              </w:rPr>
              <w:tab/>
              <w:t>a completar estos estudios antes de la Conferencia Mundial de Radiocomunicaciones de 2027</w:t>
            </w:r>
            <w:r w:rsidR="00CA21E0">
              <w:rPr>
                <w:lang w:val="es-ES_tradnl"/>
              </w:rPr>
              <w:t>,</w:t>
            </w:r>
          </w:p>
          <w:p w14:paraId="00B31530"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 la Conferencia Mundial de Radiocomunicaciones de 2027</w:t>
            </w:r>
          </w:p>
          <w:p w14:paraId="714095DF" w14:textId="2C882B6A" w:rsidR="007A7DF3" w:rsidRPr="000A60D5" w:rsidRDefault="007A7DF3" w:rsidP="004A2293">
            <w:pPr>
              <w:pStyle w:val="Tabletext"/>
              <w:tabs>
                <w:tab w:val="clear" w:pos="284"/>
                <w:tab w:val="left" w:pos="463"/>
              </w:tabs>
              <w:jc w:val="both"/>
              <w:rPr>
                <w:lang w:val="es-ES_tradnl"/>
              </w:rPr>
            </w:pPr>
            <w:r w:rsidRPr="000A60D5">
              <w:rPr>
                <w:lang w:val="es-ES_tradnl"/>
              </w:rPr>
              <w:t xml:space="preserve">a considerar, sobre la base de los estudios realizados conforme a los </w:t>
            </w:r>
            <w:r w:rsidRPr="000A60D5">
              <w:rPr>
                <w:i/>
                <w:iCs/>
                <w:lang w:val="es-ES_tradnl"/>
              </w:rPr>
              <w:t>resuelve invitar al UIT</w:t>
            </w:r>
            <w:r w:rsidRPr="000A60D5">
              <w:rPr>
                <w:i/>
                <w:iCs/>
                <w:lang w:val="es-ES_tradnl"/>
              </w:rPr>
              <w:noBreakHyphen/>
              <w:t xml:space="preserve">R </w:t>
            </w:r>
            <w:r w:rsidRPr="000A60D5">
              <w:rPr>
                <w:lang w:val="es-ES_tradnl"/>
              </w:rPr>
              <w:t>antes mencionados,</w:t>
            </w:r>
            <w:r w:rsidRPr="000A60D5">
              <w:rPr>
                <w:i/>
                <w:lang w:val="es-ES_tradnl"/>
              </w:rPr>
              <w:t xml:space="preserve"> </w:t>
            </w:r>
            <w:r w:rsidRPr="000A60D5">
              <w:rPr>
                <w:iCs/>
                <w:lang w:val="es-ES_tradnl"/>
              </w:rPr>
              <w:t>posibles atribuciones al servicio móvil terrestre.</w:t>
            </w:r>
          </w:p>
        </w:tc>
        <w:tc>
          <w:tcPr>
            <w:tcW w:w="1392" w:type="dxa"/>
          </w:tcPr>
          <w:p w14:paraId="55C27822" w14:textId="2D1E72E9" w:rsidR="007A7DF3" w:rsidRPr="007A7DF3" w:rsidRDefault="007A7DF3" w:rsidP="00100121">
            <w:pPr>
              <w:pStyle w:val="Tabletext"/>
              <w:jc w:val="center"/>
              <w:rPr>
                <w:b/>
                <w:bCs/>
              </w:rPr>
            </w:pPr>
            <w:r w:rsidRPr="007A7DF3">
              <w:rPr>
                <w:b/>
                <w:bCs/>
              </w:rPr>
              <w:t>GT</w:t>
            </w:r>
            <w:r w:rsidR="000A4F64">
              <w:rPr>
                <w:b/>
                <w:bCs/>
              </w:rPr>
              <w:t> </w:t>
            </w:r>
            <w:r w:rsidRPr="007A7DF3">
              <w:rPr>
                <w:b/>
                <w:bCs/>
              </w:rPr>
              <w:t xml:space="preserve">3K, </w:t>
            </w:r>
            <w:r w:rsidR="000A4F64">
              <w:rPr>
                <w:b/>
                <w:bCs/>
              </w:rPr>
              <w:br/>
            </w:r>
            <w:r w:rsidRPr="007A7DF3">
              <w:rPr>
                <w:b/>
                <w:bCs/>
              </w:rPr>
              <w:t>GT</w:t>
            </w:r>
            <w:r w:rsidR="000A4F64">
              <w:rPr>
                <w:b/>
                <w:bCs/>
              </w:rPr>
              <w:t> </w:t>
            </w:r>
            <w:r w:rsidRPr="007A7DF3">
              <w:rPr>
                <w:b/>
                <w:bCs/>
              </w:rPr>
              <w:t xml:space="preserve">3M, </w:t>
            </w:r>
            <w:r w:rsidR="000A4F64">
              <w:rPr>
                <w:b/>
                <w:bCs/>
              </w:rPr>
              <w:br/>
            </w:r>
            <w:r w:rsidRPr="007A7DF3">
              <w:rPr>
                <w:b/>
                <w:bCs/>
              </w:rPr>
              <w:t>GT</w:t>
            </w:r>
            <w:r w:rsidR="000A4F64">
              <w:rPr>
                <w:b/>
                <w:bCs/>
              </w:rPr>
              <w:t> </w:t>
            </w:r>
            <w:r w:rsidRPr="007A7DF3">
              <w:rPr>
                <w:b/>
                <w:bCs/>
              </w:rPr>
              <w:t xml:space="preserve">4C, </w:t>
            </w:r>
            <w:r w:rsidR="000A4F64">
              <w:rPr>
                <w:b/>
                <w:bCs/>
              </w:rPr>
              <w:br/>
            </w:r>
            <w:r w:rsidRPr="007A7DF3">
              <w:rPr>
                <w:b/>
                <w:bCs/>
              </w:rPr>
              <w:t>GT</w:t>
            </w:r>
            <w:r w:rsidR="000A4F64">
              <w:rPr>
                <w:b/>
                <w:bCs/>
              </w:rPr>
              <w:t> </w:t>
            </w:r>
            <w:r w:rsidRPr="007A7DF3">
              <w:rPr>
                <w:b/>
                <w:bCs/>
              </w:rPr>
              <w:t xml:space="preserve">5A, </w:t>
            </w:r>
            <w:r w:rsidR="000A4F64">
              <w:rPr>
                <w:b/>
                <w:bCs/>
              </w:rPr>
              <w:br/>
            </w:r>
            <w:r w:rsidRPr="007A7DF3">
              <w:rPr>
                <w:b/>
                <w:bCs/>
              </w:rPr>
              <w:t>GT</w:t>
            </w:r>
            <w:r w:rsidR="00CA21E0">
              <w:rPr>
                <w:b/>
                <w:bCs/>
              </w:rPr>
              <w:t> </w:t>
            </w:r>
            <w:r w:rsidRPr="007A7DF3">
              <w:rPr>
                <w:b/>
                <w:bCs/>
              </w:rPr>
              <w:t>5B</w:t>
            </w:r>
          </w:p>
        </w:tc>
      </w:tr>
      <w:tr w:rsidR="007A7DF3" w:rsidRPr="00CE4E08" w14:paraId="43C60123" w14:textId="77777777" w:rsidTr="003F05FF">
        <w:trPr>
          <w:cantSplit/>
          <w:jc w:val="center"/>
        </w:trPr>
        <w:tc>
          <w:tcPr>
            <w:tcW w:w="14474" w:type="dxa"/>
            <w:gridSpan w:val="5"/>
          </w:tcPr>
          <w:p w14:paraId="76981762" w14:textId="332F7590" w:rsidR="007A7DF3" w:rsidRPr="000A60D5" w:rsidRDefault="007A7DF3" w:rsidP="004A2293">
            <w:pPr>
              <w:pStyle w:val="Tabletext"/>
              <w:keepNext/>
              <w:keepLines/>
              <w:tabs>
                <w:tab w:val="clear" w:pos="284"/>
                <w:tab w:val="left" w:pos="594"/>
              </w:tabs>
              <w:jc w:val="both"/>
              <w:rPr>
                <w:lang w:val="es-ES_tradnl"/>
              </w:rPr>
            </w:pPr>
            <w:r w:rsidRPr="000A60D5">
              <w:rPr>
                <w:lang w:val="es-ES_tradnl"/>
              </w:rPr>
              <w:t>2.10</w:t>
            </w:r>
            <w:r w:rsidRPr="000A60D5">
              <w:rPr>
                <w:lang w:val="es-ES_tradnl"/>
              </w:rPr>
              <w:tab/>
              <w:t>considerar la posibilidad de mejorar la utilización de las frecuencias marítimas en ondas métricas del Apéndice </w:t>
            </w:r>
            <w:r w:rsidRPr="000A60D5">
              <w:rPr>
                <w:b/>
                <w:bCs/>
                <w:lang w:val="es-ES_tradnl"/>
              </w:rPr>
              <w:t>18</w:t>
            </w:r>
            <w:r w:rsidRPr="000A60D5">
              <w:rPr>
                <w:lang w:val="es-ES_tradnl"/>
              </w:rPr>
              <w:t xml:space="preserve">, de conformidad con la Resolución </w:t>
            </w:r>
            <w:r w:rsidRPr="000A60D5">
              <w:rPr>
                <w:b/>
                <w:bCs/>
                <w:lang w:val="es-ES_tradnl"/>
              </w:rPr>
              <w:t>363</w:t>
            </w:r>
            <w:r w:rsidRPr="000A60D5">
              <w:rPr>
                <w:lang w:val="es-ES_tradnl"/>
              </w:rPr>
              <w:t xml:space="preserve"> </w:t>
            </w:r>
            <w:r w:rsidRPr="000A60D5">
              <w:rPr>
                <w:b/>
                <w:bCs/>
                <w:lang w:val="es-ES_tradnl"/>
              </w:rPr>
              <w:t>(CMR</w:t>
            </w:r>
            <w:r w:rsidRPr="000A60D5">
              <w:rPr>
                <w:b/>
                <w:bCs/>
                <w:lang w:val="es-ES_tradnl"/>
              </w:rPr>
              <w:noBreakHyphen/>
              <w:t>19)</w:t>
            </w:r>
            <w:r w:rsidRPr="000A60D5">
              <w:rPr>
                <w:lang w:val="es-ES_tradnl"/>
              </w:rPr>
              <w:t>.</w:t>
            </w:r>
          </w:p>
        </w:tc>
      </w:tr>
      <w:tr w:rsidR="007A7DF3" w:rsidRPr="001F3073" w14:paraId="0D56DFD1" w14:textId="77777777" w:rsidTr="003F05FF">
        <w:trPr>
          <w:cantSplit/>
          <w:jc w:val="center"/>
        </w:trPr>
        <w:tc>
          <w:tcPr>
            <w:tcW w:w="3198" w:type="dxa"/>
            <w:gridSpan w:val="2"/>
          </w:tcPr>
          <w:p w14:paraId="1E268358"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363 (CMR</w:t>
            </w:r>
            <w:r w:rsidRPr="00537CF6">
              <w:rPr>
                <w:b/>
                <w:bCs/>
                <w:lang w:val="es-ES" w:eastAsia="nl-NL"/>
              </w:rPr>
              <w:noBreakHyphen/>
              <w:t>19)</w:t>
            </w:r>
          </w:p>
          <w:p w14:paraId="245ECB40" w14:textId="742E3A06" w:rsidR="007A7DF3" w:rsidRPr="00537CF6" w:rsidRDefault="007A7DF3" w:rsidP="00100121">
            <w:pPr>
              <w:pStyle w:val="Tabletext"/>
              <w:rPr>
                <w:rFonts w:asciiTheme="minorHAnsi" w:hAnsiTheme="minorHAnsi" w:cstheme="minorHAnsi"/>
                <w:lang w:val="es-ES_tradnl"/>
              </w:rPr>
            </w:pPr>
            <w:r w:rsidRPr="00537CF6">
              <w:rPr>
                <w:rFonts w:asciiTheme="minorHAnsi" w:hAnsiTheme="minorHAnsi" w:cstheme="minorHAnsi"/>
                <w:lang w:val="es-ES_tradnl"/>
              </w:rPr>
              <w:t>Consideraciones para mejorar la utilización de las frecuencias</w:t>
            </w:r>
            <w:r w:rsidR="00537CF6">
              <w:rPr>
                <w:rFonts w:asciiTheme="minorHAnsi" w:hAnsiTheme="minorHAnsi" w:cstheme="minorHAnsi"/>
                <w:lang w:val="es-ES_tradnl"/>
              </w:rPr>
              <w:t xml:space="preserve"> </w:t>
            </w:r>
            <w:r w:rsidRPr="00537CF6">
              <w:rPr>
                <w:rFonts w:asciiTheme="minorHAnsi" w:hAnsiTheme="minorHAnsi" w:cstheme="minorHAnsi"/>
                <w:lang w:val="es-ES_tradnl"/>
              </w:rPr>
              <w:t xml:space="preserve">marítimas en ondas métricas en el Apéndice </w:t>
            </w:r>
            <w:r w:rsidRPr="007115A4">
              <w:rPr>
                <w:rFonts w:asciiTheme="minorHAnsi" w:hAnsiTheme="minorHAnsi" w:cstheme="minorHAnsi"/>
                <w:lang w:val="es-ES_tradnl"/>
              </w:rPr>
              <w:t>18</w:t>
            </w:r>
          </w:p>
        </w:tc>
        <w:tc>
          <w:tcPr>
            <w:tcW w:w="2707" w:type="dxa"/>
          </w:tcPr>
          <w:p w14:paraId="63A81CAE" w14:textId="77777777" w:rsidR="007A7DF3" w:rsidRPr="001F3073" w:rsidRDefault="007A7DF3" w:rsidP="00100121">
            <w:pPr>
              <w:pStyle w:val="Tabletext"/>
              <w:jc w:val="center"/>
              <w:rPr>
                <w:b/>
                <w:bCs/>
                <w:lang w:val="es-ES_tradnl"/>
              </w:rPr>
            </w:pPr>
            <w:r>
              <w:rPr>
                <w:b/>
                <w:bCs/>
                <w:lang w:val="es-ES_tradnl"/>
              </w:rPr>
              <w:t xml:space="preserve">CE </w:t>
            </w:r>
            <w:r w:rsidRPr="001F3073">
              <w:rPr>
                <w:b/>
                <w:bCs/>
                <w:lang w:val="es-ES_tradnl"/>
              </w:rPr>
              <w:t>5</w:t>
            </w:r>
          </w:p>
        </w:tc>
        <w:tc>
          <w:tcPr>
            <w:tcW w:w="7177" w:type="dxa"/>
          </w:tcPr>
          <w:p w14:paraId="43613586"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 la Conferencia Mundial de Radiocomunicaciones de 2027</w:t>
            </w:r>
          </w:p>
          <w:p w14:paraId="034F2841" w14:textId="77777777" w:rsidR="007A7DF3" w:rsidRPr="00B71365" w:rsidRDefault="007A7DF3" w:rsidP="004A2293">
            <w:pPr>
              <w:pStyle w:val="Tabletext"/>
              <w:tabs>
                <w:tab w:val="clear" w:pos="284"/>
                <w:tab w:val="left" w:pos="463"/>
              </w:tabs>
              <w:jc w:val="both"/>
              <w:rPr>
                <w:lang w:val="es-ES_tradnl"/>
              </w:rPr>
            </w:pPr>
            <w:r w:rsidRPr="00B71365">
              <w:rPr>
                <w:lang w:val="es-ES_tradnl"/>
              </w:rPr>
              <w:t>1</w:t>
            </w:r>
            <w:r w:rsidRPr="00B71365">
              <w:rPr>
                <w:lang w:val="es-ES_tradnl"/>
              </w:rPr>
              <w:tab/>
              <w:t>a considerar la posibilidad de modificar el Apéndice </w:t>
            </w:r>
            <w:r w:rsidRPr="00B71365">
              <w:rPr>
                <w:b/>
                <w:lang w:val="es-ES_tradnl"/>
              </w:rPr>
              <w:t>18</w:t>
            </w:r>
            <w:r w:rsidRPr="00B71365">
              <w:rPr>
                <w:bCs/>
                <w:lang w:val="es-ES_tradnl"/>
              </w:rPr>
              <w:t>,</w:t>
            </w:r>
            <w:r w:rsidRPr="00B71365">
              <w:rPr>
                <w:lang w:val="es-ES_tradnl"/>
              </w:rPr>
              <w:t xml:space="preserve"> a fin de permitir la utilización del servicio móvil marítimo con miras a la futura implementación de nuevas tecnologías destinadas a mejorar la utilización eficaz de las bandas de frecuencias marítimas;</w:t>
            </w:r>
          </w:p>
          <w:p w14:paraId="0EC7FF89" w14:textId="77777777" w:rsidR="007A7DF3" w:rsidRPr="00B71365" w:rsidRDefault="007A7DF3" w:rsidP="004A2293">
            <w:pPr>
              <w:pStyle w:val="Tabletext"/>
              <w:tabs>
                <w:tab w:val="clear" w:pos="284"/>
                <w:tab w:val="left" w:pos="463"/>
              </w:tabs>
              <w:jc w:val="both"/>
              <w:rPr>
                <w:lang w:val="es-ES_tradnl"/>
              </w:rPr>
            </w:pPr>
            <w:r w:rsidRPr="00B71365">
              <w:rPr>
                <w:lang w:val="es-ES_tradnl"/>
              </w:rPr>
              <w:t>2</w:t>
            </w:r>
            <w:r w:rsidRPr="00B71365">
              <w:rPr>
                <w:lang w:val="es-ES_tradnl"/>
              </w:rPr>
              <w:tab/>
              <w:t>a considerar la posibilidad de modificar el Reglamento de Radiocomunicaciones para implementar el Modo R como nuevo servicio de radionavegación marítima,</w:t>
            </w:r>
          </w:p>
          <w:p w14:paraId="29A2EDE9"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organizaciones internacionales pertinentes</w:t>
            </w:r>
          </w:p>
          <w:p w14:paraId="6A8DC488" w14:textId="77777777" w:rsidR="007A7DF3" w:rsidRPr="00B71365" w:rsidRDefault="007A7DF3" w:rsidP="004A2293">
            <w:pPr>
              <w:pStyle w:val="Tabletext"/>
              <w:tabs>
                <w:tab w:val="clear" w:pos="284"/>
                <w:tab w:val="left" w:pos="463"/>
              </w:tabs>
              <w:jc w:val="both"/>
              <w:rPr>
                <w:lang w:val="es-ES_tradnl"/>
              </w:rPr>
            </w:pPr>
            <w:r w:rsidRPr="00B71365">
              <w:rPr>
                <w:lang w:val="es-ES_tradnl"/>
              </w:rPr>
              <w:t>a participar activamente en los estudios proporcionando requisitos e información que deban tenerse en cuenta en los estudios del UIT</w:t>
            </w:r>
            <w:r w:rsidRPr="00B71365">
              <w:rPr>
                <w:lang w:val="es-ES_tradnl"/>
              </w:rPr>
              <w:noBreakHyphen/>
              <w:t>R,</w:t>
            </w:r>
          </w:p>
          <w:p w14:paraId="5BB97AC8"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al Sector de Radiocomunicaciones de la UIT</w:t>
            </w:r>
          </w:p>
          <w:p w14:paraId="75A841A4" w14:textId="77777777" w:rsidR="007A7DF3" w:rsidRPr="00B71365" w:rsidRDefault="007A7DF3" w:rsidP="004A2293">
            <w:pPr>
              <w:pStyle w:val="Tabletext"/>
              <w:tabs>
                <w:tab w:val="clear" w:pos="284"/>
                <w:tab w:val="left" w:pos="463"/>
              </w:tabs>
              <w:jc w:val="both"/>
              <w:rPr>
                <w:lang w:val="es-ES_tradnl"/>
              </w:rPr>
            </w:pPr>
            <w:r w:rsidRPr="00B71365">
              <w:rPr>
                <w:lang w:val="es-ES_tradnl"/>
              </w:rPr>
              <w:t xml:space="preserve">a realizar estudios para determinar las disposiciones reglamentarias necesarias y los requisitos de espectro con arreglo al </w:t>
            </w:r>
            <w:r w:rsidRPr="00B71365">
              <w:rPr>
                <w:i/>
                <w:iCs/>
                <w:lang w:val="es-ES_tradnl"/>
              </w:rPr>
              <w:t>resuelve invitar a la CMR-27</w:t>
            </w:r>
            <w:r w:rsidRPr="00B71365">
              <w:rPr>
                <w:lang w:val="es-ES_tradnl"/>
              </w:rPr>
              <w:t>,</w:t>
            </w:r>
          </w:p>
          <w:p w14:paraId="52EB1B80"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encarga al Secretario General</w:t>
            </w:r>
          </w:p>
          <w:p w14:paraId="208ADF22" w14:textId="77777777" w:rsidR="007A7DF3" w:rsidRPr="00B71365" w:rsidRDefault="007A7DF3" w:rsidP="004A2293">
            <w:pPr>
              <w:pStyle w:val="Tabletext"/>
              <w:tabs>
                <w:tab w:val="clear" w:pos="284"/>
                <w:tab w:val="left" w:pos="463"/>
              </w:tabs>
              <w:jc w:val="both"/>
              <w:rPr>
                <w:lang w:val="es-ES_tradnl"/>
              </w:rPr>
            </w:pPr>
            <w:r w:rsidRPr="00B71365">
              <w:rPr>
                <w:lang w:val="es-ES_tradnl"/>
              </w:rPr>
              <w:t>que señale la presente Resolución a la atención de la OMI y de otras organizaciones internacionales y regionales interesadas.</w:t>
            </w:r>
          </w:p>
        </w:tc>
        <w:tc>
          <w:tcPr>
            <w:tcW w:w="1392" w:type="dxa"/>
          </w:tcPr>
          <w:p w14:paraId="0A9EE8D5" w14:textId="0BEB6C6F" w:rsidR="007A7DF3" w:rsidRPr="001F3073" w:rsidRDefault="007A7DF3" w:rsidP="00100121">
            <w:pPr>
              <w:pStyle w:val="Tabletext"/>
              <w:jc w:val="center"/>
              <w:rPr>
                <w:b/>
                <w:bCs/>
                <w:lang w:val="es-ES_tradnl"/>
              </w:rPr>
            </w:pPr>
            <w:r w:rsidRPr="001F3073">
              <w:rPr>
                <w:b/>
                <w:bCs/>
                <w:lang w:val="es-ES_tradnl"/>
              </w:rPr>
              <w:t>GT</w:t>
            </w:r>
            <w:r w:rsidR="000A4F64">
              <w:rPr>
                <w:b/>
                <w:bCs/>
                <w:lang w:val="es-ES_tradnl"/>
              </w:rPr>
              <w:t> </w:t>
            </w:r>
            <w:r w:rsidRPr="001F3073">
              <w:rPr>
                <w:b/>
                <w:bCs/>
                <w:lang w:val="es-ES_tradnl"/>
              </w:rPr>
              <w:t xml:space="preserve">5A, </w:t>
            </w:r>
            <w:r w:rsidR="000A4F64">
              <w:rPr>
                <w:b/>
                <w:bCs/>
                <w:lang w:val="es-ES_tradnl"/>
              </w:rPr>
              <w:br/>
            </w:r>
            <w:r w:rsidRPr="001F3073">
              <w:rPr>
                <w:b/>
                <w:bCs/>
                <w:lang w:val="es-ES_tradnl"/>
              </w:rPr>
              <w:t>GT</w:t>
            </w:r>
            <w:r w:rsidR="000A4F64">
              <w:rPr>
                <w:b/>
                <w:bCs/>
                <w:lang w:val="es-ES_tradnl"/>
              </w:rPr>
              <w:t> </w:t>
            </w:r>
            <w:r w:rsidRPr="001F3073">
              <w:rPr>
                <w:b/>
                <w:bCs/>
                <w:lang w:val="es-ES_tradnl"/>
              </w:rPr>
              <w:t xml:space="preserve">5B, </w:t>
            </w:r>
            <w:r w:rsidR="000A4F64">
              <w:rPr>
                <w:b/>
                <w:bCs/>
                <w:lang w:val="es-ES_tradnl"/>
              </w:rPr>
              <w:br/>
            </w:r>
            <w:r w:rsidRPr="001F3073">
              <w:rPr>
                <w:b/>
                <w:bCs/>
                <w:lang w:val="es-ES_tradnl"/>
              </w:rPr>
              <w:t>GT</w:t>
            </w:r>
            <w:r w:rsidR="000A4F64">
              <w:rPr>
                <w:b/>
                <w:bCs/>
                <w:lang w:val="es-ES_tradnl"/>
              </w:rPr>
              <w:t> </w:t>
            </w:r>
            <w:r w:rsidRPr="001F3073">
              <w:rPr>
                <w:b/>
                <w:bCs/>
                <w:lang w:val="es-ES_tradnl"/>
              </w:rPr>
              <w:t>5C</w:t>
            </w:r>
          </w:p>
        </w:tc>
      </w:tr>
      <w:tr w:rsidR="007A7DF3" w:rsidRPr="00CE4E08" w14:paraId="7E099C19" w14:textId="77777777" w:rsidTr="003F05FF">
        <w:trPr>
          <w:jc w:val="center"/>
        </w:trPr>
        <w:tc>
          <w:tcPr>
            <w:tcW w:w="14474" w:type="dxa"/>
            <w:gridSpan w:val="5"/>
          </w:tcPr>
          <w:p w14:paraId="58D4FD63" w14:textId="226B2F15" w:rsidR="007A7DF3" w:rsidRPr="00B71365" w:rsidRDefault="007A7DF3" w:rsidP="004A2293">
            <w:pPr>
              <w:pStyle w:val="Tabletext"/>
              <w:keepNext/>
              <w:tabs>
                <w:tab w:val="clear" w:pos="284"/>
                <w:tab w:val="left" w:pos="594"/>
              </w:tabs>
              <w:jc w:val="both"/>
              <w:rPr>
                <w:lang w:val="es-ES_tradnl" w:eastAsia="nl-NL"/>
              </w:rPr>
            </w:pPr>
            <w:r w:rsidRPr="00B71365">
              <w:rPr>
                <w:lang w:val="es-ES_tradnl" w:eastAsia="nl-NL"/>
              </w:rPr>
              <w:lastRenderedPageBreak/>
              <w:t>2.11</w:t>
            </w:r>
            <w:r w:rsidRPr="00B71365">
              <w:rPr>
                <w:lang w:val="es-ES_tradnl" w:eastAsia="nl-NL"/>
              </w:rPr>
              <w:tab/>
              <w:t>considerar la posibilidad de efectuar una nueva atribución al servicio de explotación de la Tierra por satélite (Tierra-espacio) en la banda de frecuencias 22,55</w:t>
            </w:r>
            <w:r w:rsidRPr="00B71365">
              <w:rPr>
                <w:lang w:val="es-ES_tradnl" w:eastAsia="nl-NL"/>
              </w:rPr>
              <w:noBreakHyphen/>
              <w:t>23,15</w:t>
            </w:r>
            <w:r w:rsidR="00207DE5">
              <w:rPr>
                <w:lang w:val="es-ES_tradnl" w:eastAsia="nl-NL"/>
              </w:rPr>
              <w:t> </w:t>
            </w:r>
            <w:r w:rsidRPr="00B71365">
              <w:rPr>
                <w:lang w:val="es-ES_tradnl" w:eastAsia="nl-NL"/>
              </w:rPr>
              <w:t xml:space="preserve">GHz, de conformidad con la Resolución </w:t>
            </w:r>
            <w:r w:rsidRPr="00B71365">
              <w:rPr>
                <w:b/>
                <w:bCs/>
                <w:lang w:val="es-ES_tradnl" w:eastAsia="nl-NL"/>
              </w:rPr>
              <w:t>664 (CMR-19)</w:t>
            </w:r>
            <w:r w:rsidRPr="00B71365">
              <w:rPr>
                <w:lang w:val="es-ES_tradnl" w:eastAsia="nl-NL"/>
              </w:rPr>
              <w:t>;</w:t>
            </w:r>
          </w:p>
        </w:tc>
      </w:tr>
      <w:tr w:rsidR="007A7DF3" w:rsidRPr="001F3073" w14:paraId="71AFCFA9" w14:textId="77777777" w:rsidTr="003F05FF">
        <w:trPr>
          <w:jc w:val="center"/>
        </w:trPr>
        <w:tc>
          <w:tcPr>
            <w:tcW w:w="3198" w:type="dxa"/>
            <w:gridSpan w:val="2"/>
          </w:tcPr>
          <w:p w14:paraId="51B662D1"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664 (CMR</w:t>
            </w:r>
            <w:r w:rsidRPr="00537CF6">
              <w:rPr>
                <w:b/>
                <w:bCs/>
                <w:lang w:val="es-ES" w:eastAsia="nl-NL"/>
              </w:rPr>
              <w:noBreakHyphen/>
              <w:t>19)</w:t>
            </w:r>
          </w:p>
          <w:p w14:paraId="76ABB049" w14:textId="31CFCF0E" w:rsidR="007A7DF3" w:rsidRPr="00537CF6" w:rsidRDefault="007A7DF3" w:rsidP="00100121">
            <w:pPr>
              <w:pStyle w:val="Tabletext"/>
              <w:rPr>
                <w:rFonts w:asciiTheme="minorHAnsi" w:hAnsiTheme="minorHAnsi" w:cstheme="minorHAnsi"/>
                <w:lang w:val="es-ES_tradnl"/>
              </w:rPr>
            </w:pPr>
            <w:bookmarkStart w:id="66" w:name="_Toc319401877"/>
            <w:bookmarkStart w:id="67" w:name="_Toc327364531"/>
            <w:bookmarkStart w:id="68" w:name="_Toc337471347"/>
            <w:r w:rsidRPr="00537CF6">
              <w:rPr>
                <w:rFonts w:asciiTheme="minorHAnsi" w:hAnsiTheme="minorHAnsi" w:cstheme="minorHAnsi"/>
                <w:lang w:val="es-ES_tradnl"/>
              </w:rPr>
              <w:t>Uso de la banda de frecuencias 22,55-23,15 GHz por el servicio de exploración de la Tierra por satélite (Tierra-espacio)</w:t>
            </w:r>
            <w:bookmarkEnd w:id="66"/>
            <w:bookmarkEnd w:id="67"/>
            <w:bookmarkEnd w:id="68"/>
          </w:p>
        </w:tc>
        <w:tc>
          <w:tcPr>
            <w:tcW w:w="2707" w:type="dxa"/>
          </w:tcPr>
          <w:p w14:paraId="3396C8E5" w14:textId="0F8665D1" w:rsidR="007A7DF3" w:rsidRPr="001F3073" w:rsidRDefault="007A7DF3" w:rsidP="00100121">
            <w:pPr>
              <w:pStyle w:val="Tabletext"/>
              <w:jc w:val="center"/>
              <w:rPr>
                <w:b/>
                <w:bCs/>
                <w:lang w:val="es-ES_tradnl"/>
              </w:rPr>
            </w:pPr>
            <w:r>
              <w:rPr>
                <w:b/>
                <w:bCs/>
                <w:lang w:val="es-ES_tradnl"/>
              </w:rPr>
              <w:t>CE</w:t>
            </w:r>
            <w:r w:rsidR="000A4F64">
              <w:rPr>
                <w:b/>
                <w:bCs/>
                <w:lang w:val="es-ES_tradnl"/>
              </w:rPr>
              <w:t> </w:t>
            </w:r>
            <w:r w:rsidRPr="001F3073">
              <w:rPr>
                <w:b/>
                <w:lang w:val="es-ES_tradnl"/>
              </w:rPr>
              <w:t>7</w:t>
            </w:r>
          </w:p>
        </w:tc>
        <w:tc>
          <w:tcPr>
            <w:tcW w:w="7177" w:type="dxa"/>
          </w:tcPr>
          <w:p w14:paraId="3AA5D414"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resuelve invitar al Sector de Radiocomunicaciones de la UIT</w:t>
            </w:r>
          </w:p>
          <w:p w14:paraId="06C5E9C5" w14:textId="77777777" w:rsidR="007A7DF3" w:rsidRPr="00B71365" w:rsidRDefault="007A7DF3" w:rsidP="004A2293">
            <w:pPr>
              <w:pStyle w:val="Tabletext"/>
              <w:tabs>
                <w:tab w:val="clear" w:pos="284"/>
                <w:tab w:val="left" w:pos="463"/>
              </w:tabs>
              <w:jc w:val="both"/>
              <w:rPr>
                <w:lang w:val="es-ES_tradnl"/>
              </w:rPr>
            </w:pPr>
            <w:r w:rsidRPr="00B71365">
              <w:rPr>
                <w:lang w:val="es-ES_tradnl"/>
              </w:rPr>
              <w:t>1</w:t>
            </w:r>
            <w:r w:rsidRPr="00B71365">
              <w:rPr>
                <w:lang w:val="es-ES_tradnl"/>
              </w:rPr>
              <w:tab/>
              <w:t xml:space="preserve">a llevar a cabo estudios de compartición y compatibilidad entre los sistemas del SETS (Tierra-espacio) y los servicios existentes mencionados en los </w:t>
            </w:r>
            <w:r w:rsidRPr="00B71365">
              <w:rPr>
                <w:i/>
                <w:lang w:val="es-ES_tradnl"/>
              </w:rPr>
              <w:t>reconociendo</w:t>
            </w:r>
            <w:r w:rsidRPr="00B71365">
              <w:rPr>
                <w:lang w:val="es-ES_tradnl"/>
              </w:rPr>
              <w:t xml:space="preserve"> </w:t>
            </w:r>
            <w:r w:rsidRPr="00B71365">
              <w:rPr>
                <w:i/>
                <w:lang w:val="es-ES_tradnl"/>
              </w:rPr>
              <w:t>a)</w:t>
            </w:r>
            <w:r w:rsidRPr="00B71365">
              <w:rPr>
                <w:lang w:val="es-ES_tradnl"/>
              </w:rPr>
              <w:t xml:space="preserve"> y </w:t>
            </w:r>
            <w:r w:rsidRPr="00B71365">
              <w:rPr>
                <w:i/>
                <w:lang w:val="es-ES_tradnl"/>
              </w:rPr>
              <w:t>b</w:t>
            </w:r>
            <w:r w:rsidRPr="00B71365">
              <w:rPr>
                <w:i/>
                <w:iCs/>
                <w:lang w:val="es-ES_tradnl"/>
              </w:rPr>
              <w:t>)</w:t>
            </w:r>
            <w:r w:rsidRPr="00B71365">
              <w:rPr>
                <w:lang w:val="es-ES_tradnl"/>
              </w:rPr>
              <w:t>, garantizando al mismo tiempo la protección de todos los servicios y los futuros desarrollos de los servicios existentes, sin imponerles restricciones indebidas, en la banda de frecuencias 22,55</w:t>
            </w:r>
            <w:r w:rsidRPr="00B71365">
              <w:rPr>
                <w:lang w:val="es-ES_tradnl"/>
              </w:rPr>
              <w:noBreakHyphen/>
              <w:t>23,15 GHz;</w:t>
            </w:r>
          </w:p>
          <w:p w14:paraId="71A5F09F" w14:textId="77777777" w:rsidR="007A7DF3" w:rsidRPr="00B71365" w:rsidRDefault="007A7DF3" w:rsidP="004A2293">
            <w:pPr>
              <w:pStyle w:val="Tabletext"/>
              <w:tabs>
                <w:tab w:val="clear" w:pos="284"/>
                <w:tab w:val="left" w:pos="463"/>
              </w:tabs>
              <w:jc w:val="both"/>
              <w:rPr>
                <w:lang w:val="es-ES_tradnl"/>
              </w:rPr>
            </w:pPr>
            <w:r w:rsidRPr="00B71365">
              <w:rPr>
                <w:lang w:val="es-ES_tradnl"/>
              </w:rPr>
              <w:t>2</w:t>
            </w:r>
            <w:r w:rsidRPr="00B71365">
              <w:rPr>
                <w:lang w:val="es-ES_tradnl"/>
              </w:rPr>
              <w:tab/>
              <w:t>a completar los estudios, teniendo en cuenta el uso actual de la banda de frecuencias atribuida, con objeto de presentar, en su debido momento, las bases técnicas para los trabajos de la CMR</w:t>
            </w:r>
            <w:r w:rsidRPr="00B71365">
              <w:rPr>
                <w:lang w:val="es-ES_tradnl"/>
              </w:rPr>
              <w:noBreakHyphen/>
              <w:t>27,</w:t>
            </w:r>
          </w:p>
          <w:p w14:paraId="060CFD99"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 Conferencia Mundial de Radiocomunicaciones de 2027</w:t>
            </w:r>
          </w:p>
          <w:p w14:paraId="3B69978C" w14:textId="77777777" w:rsidR="007A7DF3" w:rsidRPr="00B71365" w:rsidRDefault="007A7DF3" w:rsidP="004A2293">
            <w:pPr>
              <w:pStyle w:val="Tabletext"/>
              <w:tabs>
                <w:tab w:val="clear" w:pos="284"/>
                <w:tab w:val="left" w:pos="463"/>
              </w:tabs>
              <w:jc w:val="both"/>
              <w:rPr>
                <w:lang w:val="es-ES_tradnl"/>
              </w:rPr>
            </w:pPr>
            <w:r w:rsidRPr="00B71365">
              <w:rPr>
                <w:lang w:val="es-ES_tradnl"/>
              </w:rPr>
              <w:t>a analizar los resultados de esos estudios a fin de proporcionar una atribución en todo el mundo a título primario al SETS (Tierra-espacio) en la banda de frecuencias 22,55</w:t>
            </w:r>
            <w:r w:rsidRPr="00B71365">
              <w:rPr>
                <w:lang w:val="es-ES_tradnl"/>
              </w:rPr>
              <w:noBreakHyphen/>
              <w:t>23,15 GHz,</w:t>
            </w:r>
          </w:p>
          <w:p w14:paraId="5CE79BD7"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 las administraciones</w:t>
            </w:r>
          </w:p>
          <w:p w14:paraId="3C5279F9" w14:textId="77777777" w:rsidR="007A7DF3" w:rsidRPr="00B71365" w:rsidRDefault="007A7DF3" w:rsidP="004A2293">
            <w:pPr>
              <w:pStyle w:val="Tabletext"/>
              <w:tabs>
                <w:tab w:val="clear" w:pos="284"/>
                <w:tab w:val="left" w:pos="463"/>
              </w:tabs>
              <w:jc w:val="both"/>
              <w:rPr>
                <w:lang w:val="es-ES_tradnl"/>
              </w:rPr>
            </w:pPr>
            <w:r w:rsidRPr="00B71365">
              <w:rPr>
                <w:lang w:val="es-ES_tradnl"/>
              </w:rPr>
              <w:t>a participar activamente en los estudios mediante la presentación de contribuciones al UIT</w:t>
            </w:r>
            <w:r w:rsidRPr="00B71365">
              <w:rPr>
                <w:lang w:val="es-ES_tradnl"/>
              </w:rPr>
              <w:noBreakHyphen/>
              <w:t>R,</w:t>
            </w:r>
          </w:p>
          <w:p w14:paraId="431E0A64" w14:textId="77777777" w:rsidR="007A7DF3" w:rsidRPr="00A665BE" w:rsidRDefault="007A7DF3" w:rsidP="004A2293">
            <w:pPr>
              <w:pStyle w:val="Tabletext"/>
              <w:tabs>
                <w:tab w:val="clear" w:pos="284"/>
                <w:tab w:val="left" w:pos="463"/>
              </w:tabs>
              <w:ind w:left="454"/>
              <w:jc w:val="both"/>
              <w:rPr>
                <w:rFonts w:eastAsia="???"/>
                <w:i/>
                <w:iCs/>
                <w:lang w:val="es-ES" w:eastAsia="nl-NL"/>
              </w:rPr>
            </w:pPr>
            <w:r w:rsidRPr="00A665BE">
              <w:rPr>
                <w:rFonts w:eastAsia="???"/>
                <w:i/>
                <w:iCs/>
                <w:lang w:val="es-ES" w:eastAsia="nl-NL"/>
              </w:rPr>
              <w:t>invita al Secretario General</w:t>
            </w:r>
          </w:p>
          <w:p w14:paraId="72817C5C" w14:textId="77777777" w:rsidR="007A7DF3" w:rsidRPr="00B71365" w:rsidRDefault="007A7DF3" w:rsidP="004A2293">
            <w:pPr>
              <w:pStyle w:val="Tabletext"/>
              <w:tabs>
                <w:tab w:val="clear" w:pos="284"/>
                <w:tab w:val="left" w:pos="463"/>
              </w:tabs>
              <w:jc w:val="both"/>
              <w:rPr>
                <w:lang w:val="es-ES_tradnl"/>
              </w:rPr>
            </w:pPr>
            <w:r w:rsidRPr="00B71365">
              <w:rPr>
                <w:lang w:val="es-ES_tradnl"/>
              </w:rPr>
              <w:t>que señale la presente Resolución a la atención de las organizaciones internacionales y regionales pertinentes.</w:t>
            </w:r>
          </w:p>
        </w:tc>
        <w:tc>
          <w:tcPr>
            <w:tcW w:w="1392" w:type="dxa"/>
          </w:tcPr>
          <w:p w14:paraId="6C8CD40C" w14:textId="4512457A" w:rsidR="007A7DF3" w:rsidRPr="001F3073" w:rsidRDefault="007A7DF3" w:rsidP="00100121">
            <w:pPr>
              <w:pStyle w:val="Tabletext"/>
              <w:jc w:val="center"/>
              <w:rPr>
                <w:b/>
                <w:bCs/>
                <w:lang w:val="es-ES_tradnl"/>
              </w:rPr>
            </w:pPr>
            <w:r w:rsidRPr="001F3073">
              <w:rPr>
                <w:b/>
                <w:bCs/>
                <w:lang w:val="es-ES_tradnl"/>
              </w:rPr>
              <w:t>GT</w:t>
            </w:r>
            <w:r w:rsidR="000A4F64">
              <w:rPr>
                <w:b/>
                <w:bCs/>
                <w:lang w:val="es-ES_tradnl"/>
              </w:rPr>
              <w:t> </w:t>
            </w:r>
            <w:r w:rsidRPr="001F3073">
              <w:rPr>
                <w:b/>
                <w:bCs/>
                <w:lang w:val="es-ES_tradnl"/>
              </w:rPr>
              <w:t xml:space="preserve">3M, </w:t>
            </w:r>
            <w:r w:rsidR="000A4F64">
              <w:rPr>
                <w:b/>
                <w:bCs/>
                <w:lang w:val="es-ES_tradnl"/>
              </w:rPr>
              <w:br/>
            </w:r>
            <w:r w:rsidRPr="001F3073">
              <w:rPr>
                <w:b/>
                <w:bCs/>
                <w:lang w:val="es-ES_tradnl"/>
              </w:rPr>
              <w:t>GT</w:t>
            </w:r>
            <w:r w:rsidR="000A4F64">
              <w:rPr>
                <w:b/>
                <w:bCs/>
                <w:lang w:val="es-ES_tradnl"/>
              </w:rPr>
              <w:t> </w:t>
            </w:r>
            <w:r w:rsidRPr="001F3073">
              <w:rPr>
                <w:b/>
                <w:bCs/>
                <w:lang w:val="es-ES_tradnl"/>
              </w:rPr>
              <w:t xml:space="preserve">4C, </w:t>
            </w:r>
            <w:r w:rsidR="000A4F64">
              <w:rPr>
                <w:b/>
                <w:bCs/>
                <w:lang w:val="es-ES_tradnl"/>
              </w:rPr>
              <w:br/>
            </w:r>
            <w:r w:rsidRPr="001F3073">
              <w:rPr>
                <w:b/>
                <w:bCs/>
                <w:lang w:val="es-ES_tradnl"/>
              </w:rPr>
              <w:t>GT</w:t>
            </w:r>
            <w:r w:rsidR="000A4F64">
              <w:rPr>
                <w:b/>
                <w:bCs/>
                <w:lang w:val="es-ES_tradnl"/>
              </w:rPr>
              <w:t> </w:t>
            </w:r>
            <w:r w:rsidRPr="001F3073">
              <w:rPr>
                <w:b/>
                <w:bCs/>
                <w:lang w:val="es-ES_tradnl"/>
              </w:rPr>
              <w:t>7B</w:t>
            </w:r>
          </w:p>
        </w:tc>
      </w:tr>
      <w:tr w:rsidR="007A7DF3" w:rsidRPr="00CE4E08" w14:paraId="25FF8732" w14:textId="77777777" w:rsidTr="003F05FF">
        <w:trPr>
          <w:cantSplit/>
          <w:jc w:val="center"/>
        </w:trPr>
        <w:tc>
          <w:tcPr>
            <w:tcW w:w="14474" w:type="dxa"/>
            <w:gridSpan w:val="5"/>
          </w:tcPr>
          <w:p w14:paraId="00BE779E" w14:textId="77777777" w:rsidR="007A7DF3" w:rsidRPr="00B71365" w:rsidRDefault="007A7DF3" w:rsidP="00266E2D">
            <w:pPr>
              <w:pStyle w:val="Tabletext"/>
              <w:keepNext/>
              <w:tabs>
                <w:tab w:val="clear" w:pos="284"/>
                <w:tab w:val="left" w:pos="594"/>
              </w:tabs>
              <w:rPr>
                <w:lang w:val="es-ES_tradnl"/>
              </w:rPr>
            </w:pPr>
            <w:r w:rsidRPr="00B71365">
              <w:rPr>
                <w:lang w:val="es-ES_tradnl"/>
              </w:rPr>
              <w:lastRenderedPageBreak/>
              <w:t>2.12</w:t>
            </w:r>
            <w:r w:rsidRPr="00B71365">
              <w:rPr>
                <w:lang w:val="es-ES_tradnl"/>
              </w:rPr>
              <w:tab/>
              <w:t xml:space="preserve">considerar la utilización de las identificaciones existentes para las IMT en la gama de frecuencias 694-960 MHz, teniendo en cuenta la posible supresión de la limitación relativa al servicio móvil aeronáutico en las IMT, para la utilización de equipos de usuario de las IMT por las aplicaciones no relacionadas con la seguridad, según proceda, de conformidad con la Resolución </w:t>
            </w:r>
            <w:r w:rsidRPr="00B71365">
              <w:rPr>
                <w:b/>
                <w:bCs/>
                <w:lang w:val="es-ES_tradnl"/>
              </w:rPr>
              <w:t>251 (CMR-19)</w:t>
            </w:r>
            <w:r w:rsidRPr="00B71365">
              <w:rPr>
                <w:lang w:val="es-ES_tradnl"/>
              </w:rPr>
              <w:t>;</w:t>
            </w:r>
          </w:p>
        </w:tc>
      </w:tr>
      <w:tr w:rsidR="007A7DF3" w:rsidRPr="001F3073" w14:paraId="20B1BECF" w14:textId="77777777" w:rsidTr="003F05FF">
        <w:trPr>
          <w:cantSplit/>
          <w:jc w:val="center"/>
        </w:trPr>
        <w:tc>
          <w:tcPr>
            <w:tcW w:w="3198" w:type="dxa"/>
            <w:gridSpan w:val="2"/>
          </w:tcPr>
          <w:p w14:paraId="56F255BE"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251 (CMR</w:t>
            </w:r>
            <w:r w:rsidRPr="00537CF6">
              <w:rPr>
                <w:b/>
                <w:bCs/>
                <w:lang w:val="es-ES" w:eastAsia="nl-NL"/>
              </w:rPr>
              <w:noBreakHyphen/>
              <w:t>19)</w:t>
            </w:r>
          </w:p>
          <w:p w14:paraId="33050B33" w14:textId="319B671F" w:rsidR="007A7DF3" w:rsidRPr="00537CF6" w:rsidRDefault="007A7DF3" w:rsidP="007115A4">
            <w:pPr>
              <w:pStyle w:val="Tabletext"/>
              <w:rPr>
                <w:lang w:val="es-ES_tradnl"/>
              </w:rPr>
            </w:pPr>
            <w:r w:rsidRPr="00537CF6">
              <w:rPr>
                <w:lang w:val="es-ES_tradnl"/>
              </w:rPr>
              <w:t xml:space="preserve">Supresión de la limitación relativa al servicio móvil aeronáutico en la gama de frecuencias 694-960 MHz para equipos de usuario de aplicaciones </w:t>
            </w:r>
            <w:r w:rsidRPr="00DA5CCB">
              <w:rPr>
                <w:lang w:val="es-ES"/>
              </w:rPr>
              <w:t>de</w:t>
            </w:r>
            <w:r w:rsidRPr="00537CF6">
              <w:rPr>
                <w:lang w:val="es-ES_tradnl"/>
              </w:rPr>
              <w:t xml:space="preserve"> las IMT no relacionadas con la seguridad</w:t>
            </w:r>
          </w:p>
        </w:tc>
        <w:tc>
          <w:tcPr>
            <w:tcW w:w="2707" w:type="dxa"/>
          </w:tcPr>
          <w:p w14:paraId="638B6CE1" w14:textId="4A805D7E" w:rsidR="007A7DF3" w:rsidRPr="00B71365" w:rsidRDefault="007A7DF3" w:rsidP="00100121">
            <w:pPr>
              <w:pStyle w:val="Tabletext"/>
              <w:jc w:val="center"/>
              <w:rPr>
                <w:b/>
                <w:bCs/>
                <w:lang w:val="es-ES_tradnl"/>
              </w:rPr>
            </w:pPr>
            <w:r w:rsidRPr="00B71365">
              <w:rPr>
                <w:b/>
                <w:bCs/>
                <w:lang w:val="es-ES_tradnl"/>
              </w:rPr>
              <w:t>CE</w:t>
            </w:r>
            <w:r w:rsidR="000A4F64">
              <w:rPr>
                <w:b/>
                <w:bCs/>
                <w:lang w:val="es-ES_tradnl"/>
              </w:rPr>
              <w:t> </w:t>
            </w:r>
            <w:r w:rsidRPr="00B71365">
              <w:rPr>
                <w:b/>
                <w:bCs/>
                <w:lang w:val="es-ES_tradnl"/>
              </w:rPr>
              <w:t>5</w:t>
            </w:r>
          </w:p>
        </w:tc>
        <w:tc>
          <w:tcPr>
            <w:tcW w:w="7177" w:type="dxa"/>
          </w:tcPr>
          <w:p w14:paraId="76DCED45" w14:textId="77777777" w:rsidR="007A7DF3" w:rsidRPr="00A665BE" w:rsidRDefault="007A7DF3" w:rsidP="00A665BE">
            <w:pPr>
              <w:pStyle w:val="Tabletext"/>
              <w:tabs>
                <w:tab w:val="clear" w:pos="284"/>
                <w:tab w:val="left" w:pos="463"/>
              </w:tabs>
              <w:ind w:left="454"/>
              <w:rPr>
                <w:rFonts w:eastAsia="???"/>
                <w:i/>
                <w:iCs/>
                <w:lang w:val="es-ES" w:eastAsia="nl-NL"/>
              </w:rPr>
            </w:pPr>
            <w:r w:rsidRPr="00A665BE">
              <w:rPr>
                <w:rFonts w:eastAsia="???"/>
                <w:i/>
                <w:iCs/>
                <w:lang w:val="es-ES" w:eastAsia="nl-NL"/>
              </w:rPr>
              <w:t>resuelve invitar al UIT-R</w:t>
            </w:r>
          </w:p>
          <w:p w14:paraId="148761BC" w14:textId="77777777" w:rsidR="007A7DF3" w:rsidRPr="00B71365" w:rsidRDefault="007A7DF3" w:rsidP="00537CF6">
            <w:pPr>
              <w:pStyle w:val="Tabletext"/>
              <w:tabs>
                <w:tab w:val="clear" w:pos="284"/>
                <w:tab w:val="left" w:pos="463"/>
              </w:tabs>
              <w:rPr>
                <w:lang w:val="es-ES_tradnl"/>
              </w:rPr>
            </w:pPr>
            <w:r w:rsidRPr="00B71365">
              <w:rPr>
                <w:lang w:val="es-ES_tradnl"/>
              </w:rPr>
              <w:t>1</w:t>
            </w:r>
            <w:r w:rsidRPr="00B71365">
              <w:rPr>
                <w:lang w:val="es-ES_tradnl"/>
              </w:rPr>
              <w:tab/>
              <w:t>a que analice los casos hipotéticos pertinentes relativos al servicio móvil aeronáutico sobre conectividad aire-tierra y tierra-aire de EU de abordo en redes IMT que han de examinarse en estudios de compatibilidad y compartición;</w:t>
            </w:r>
          </w:p>
          <w:p w14:paraId="28BD31E7" w14:textId="77777777" w:rsidR="007A7DF3" w:rsidRPr="00B71365" w:rsidRDefault="007A7DF3" w:rsidP="00537CF6">
            <w:pPr>
              <w:pStyle w:val="Tabletext"/>
              <w:tabs>
                <w:tab w:val="clear" w:pos="284"/>
                <w:tab w:val="left" w:pos="463"/>
              </w:tabs>
              <w:rPr>
                <w:lang w:val="es-ES_tradnl"/>
              </w:rPr>
            </w:pPr>
            <w:r w:rsidRPr="00B71365">
              <w:rPr>
                <w:lang w:val="es-ES_tradnl"/>
              </w:rPr>
              <w:t>2</w:t>
            </w:r>
            <w:r w:rsidRPr="00B71365">
              <w:rPr>
                <w:lang w:val="es-ES_tradnl"/>
              </w:rPr>
              <w:tab/>
              <w:t>a que identifique los parámetros técnicos pertinentes asociados a los sistemas móviles aeronáuticos;</w:t>
            </w:r>
          </w:p>
          <w:p w14:paraId="7D304521" w14:textId="77777777" w:rsidR="007A7DF3" w:rsidRPr="00B71365" w:rsidRDefault="007A7DF3" w:rsidP="00537CF6">
            <w:pPr>
              <w:pStyle w:val="Tabletext"/>
              <w:tabs>
                <w:tab w:val="clear" w:pos="284"/>
                <w:tab w:val="left" w:pos="463"/>
              </w:tabs>
              <w:rPr>
                <w:lang w:val="es-ES_tradnl"/>
              </w:rPr>
            </w:pPr>
            <w:r w:rsidRPr="00B71365">
              <w:rPr>
                <w:lang w:val="es-ES_tradnl"/>
              </w:rPr>
              <w:t>3</w:t>
            </w:r>
            <w:r w:rsidRPr="00B71365">
              <w:rPr>
                <w:lang w:val="es-ES_tradnl"/>
              </w:rPr>
              <w:tab/>
              <w:t>a que lleve a cabo estudios de compartición y compatibilidad con los servicios existentes, en particular en las bandas de frecuencias adyacentes;</w:t>
            </w:r>
          </w:p>
          <w:p w14:paraId="3FD8F781" w14:textId="77777777" w:rsidR="007A7DF3" w:rsidRPr="00B71365" w:rsidRDefault="007A7DF3" w:rsidP="00537CF6">
            <w:pPr>
              <w:pStyle w:val="Tabletext"/>
              <w:tabs>
                <w:tab w:val="clear" w:pos="284"/>
                <w:tab w:val="left" w:pos="463"/>
              </w:tabs>
              <w:rPr>
                <w:lang w:val="es-ES_tradnl"/>
              </w:rPr>
            </w:pPr>
            <w:r w:rsidRPr="00B71365">
              <w:rPr>
                <w:lang w:val="es-ES_tradnl"/>
              </w:rPr>
              <w:t>4</w:t>
            </w:r>
            <w:r w:rsidRPr="00B71365">
              <w:rPr>
                <w:lang w:val="es-ES_tradnl"/>
              </w:rPr>
              <w:tab/>
              <w:t>a que determine la posibilidad de suprimir la excepción del servicio móvil aeronáutico, u otras medidas reglamentarias adecuadas, en relación con las gamas de frecuencias 694-960 MHz en la Región 1 y 890-942 MHz en la Región 2, sobre la base de los resultados de esos estudios,</w:t>
            </w:r>
          </w:p>
          <w:p w14:paraId="019BD4BA" w14:textId="77777777" w:rsidR="007A7DF3" w:rsidRPr="00A665BE" w:rsidRDefault="007A7DF3" w:rsidP="00A665BE">
            <w:pPr>
              <w:pStyle w:val="Tabletext"/>
              <w:tabs>
                <w:tab w:val="clear" w:pos="284"/>
                <w:tab w:val="left" w:pos="463"/>
              </w:tabs>
              <w:ind w:left="454"/>
              <w:rPr>
                <w:rFonts w:eastAsia="???"/>
                <w:i/>
                <w:iCs/>
                <w:lang w:val="es-ES" w:eastAsia="nl-NL"/>
              </w:rPr>
            </w:pPr>
            <w:r w:rsidRPr="00A665BE">
              <w:rPr>
                <w:rFonts w:eastAsia="???"/>
                <w:i/>
                <w:iCs/>
                <w:lang w:val="es-ES" w:eastAsia="nl-NL"/>
              </w:rPr>
              <w:t>invita a la Conferencia Mundial de Radiocomunicaciones de 2027</w:t>
            </w:r>
          </w:p>
          <w:p w14:paraId="523C9446" w14:textId="77777777" w:rsidR="007A7DF3" w:rsidRPr="00B71365" w:rsidRDefault="007A7DF3" w:rsidP="00537CF6">
            <w:pPr>
              <w:pStyle w:val="Tabletext"/>
              <w:tabs>
                <w:tab w:val="clear" w:pos="284"/>
                <w:tab w:val="left" w:pos="463"/>
              </w:tabs>
              <w:rPr>
                <w:lang w:val="es-ES_tradnl"/>
              </w:rPr>
            </w:pPr>
            <w:r w:rsidRPr="00B71365">
              <w:rPr>
                <w:lang w:val="es-ES_tradnl"/>
              </w:rPr>
              <w:t>a que examine los resultados de los estudios anteriormente citados y adopte las medidas oportunas.</w:t>
            </w:r>
          </w:p>
        </w:tc>
        <w:tc>
          <w:tcPr>
            <w:tcW w:w="1392" w:type="dxa"/>
          </w:tcPr>
          <w:p w14:paraId="79111DD0" w14:textId="6C055180" w:rsidR="007A7DF3" w:rsidRPr="007A7DF3" w:rsidRDefault="007A7DF3" w:rsidP="00100121">
            <w:pPr>
              <w:pStyle w:val="Tabletext"/>
              <w:jc w:val="center"/>
              <w:rPr>
                <w:b/>
                <w:bCs/>
              </w:rPr>
            </w:pPr>
            <w:r w:rsidRPr="007A7DF3">
              <w:rPr>
                <w:b/>
                <w:bCs/>
              </w:rPr>
              <w:t>GT</w:t>
            </w:r>
            <w:r w:rsidR="000A4F64">
              <w:rPr>
                <w:b/>
                <w:bCs/>
              </w:rPr>
              <w:t> </w:t>
            </w:r>
            <w:r w:rsidRPr="007A7DF3">
              <w:rPr>
                <w:b/>
                <w:bCs/>
              </w:rPr>
              <w:t xml:space="preserve">3K, </w:t>
            </w:r>
            <w:r w:rsidR="000A4F64">
              <w:rPr>
                <w:b/>
                <w:bCs/>
              </w:rPr>
              <w:br/>
            </w:r>
            <w:r w:rsidRPr="007A7DF3">
              <w:rPr>
                <w:b/>
                <w:bCs/>
              </w:rPr>
              <w:t>GT</w:t>
            </w:r>
            <w:r w:rsidR="000A4F64">
              <w:rPr>
                <w:b/>
                <w:bCs/>
              </w:rPr>
              <w:t> </w:t>
            </w:r>
            <w:r w:rsidRPr="007A7DF3">
              <w:rPr>
                <w:b/>
                <w:bCs/>
              </w:rPr>
              <w:t xml:space="preserve">3M, </w:t>
            </w:r>
            <w:r w:rsidR="000A4F64">
              <w:rPr>
                <w:b/>
                <w:bCs/>
              </w:rPr>
              <w:br/>
            </w:r>
            <w:r w:rsidRPr="007A7DF3">
              <w:rPr>
                <w:b/>
                <w:bCs/>
              </w:rPr>
              <w:t>GT</w:t>
            </w:r>
            <w:r w:rsidR="000A4F64">
              <w:rPr>
                <w:b/>
                <w:bCs/>
              </w:rPr>
              <w:t> </w:t>
            </w:r>
            <w:r w:rsidRPr="007A7DF3">
              <w:rPr>
                <w:b/>
                <w:bCs/>
              </w:rPr>
              <w:t xml:space="preserve">4A, </w:t>
            </w:r>
            <w:r w:rsidR="000A4F64">
              <w:rPr>
                <w:b/>
                <w:bCs/>
              </w:rPr>
              <w:br/>
            </w:r>
            <w:r w:rsidRPr="007A7DF3">
              <w:rPr>
                <w:b/>
                <w:bCs/>
              </w:rPr>
              <w:t>GT</w:t>
            </w:r>
            <w:r w:rsidR="000A4F64">
              <w:rPr>
                <w:b/>
                <w:bCs/>
              </w:rPr>
              <w:t> </w:t>
            </w:r>
            <w:r w:rsidRPr="007A7DF3">
              <w:rPr>
                <w:b/>
                <w:bCs/>
              </w:rPr>
              <w:t xml:space="preserve">4C, </w:t>
            </w:r>
            <w:r w:rsidR="000A4F64">
              <w:rPr>
                <w:b/>
                <w:bCs/>
              </w:rPr>
              <w:br/>
            </w:r>
            <w:r w:rsidRPr="007A7DF3">
              <w:rPr>
                <w:b/>
                <w:bCs/>
              </w:rPr>
              <w:t>GT</w:t>
            </w:r>
            <w:r w:rsidR="000A4F64">
              <w:rPr>
                <w:b/>
                <w:bCs/>
              </w:rPr>
              <w:t> </w:t>
            </w:r>
            <w:r w:rsidRPr="007A7DF3">
              <w:rPr>
                <w:b/>
                <w:bCs/>
              </w:rPr>
              <w:t xml:space="preserve">5A, </w:t>
            </w:r>
            <w:r w:rsidR="000A4F64">
              <w:rPr>
                <w:b/>
                <w:bCs/>
              </w:rPr>
              <w:br/>
            </w:r>
            <w:r w:rsidRPr="007A7DF3">
              <w:rPr>
                <w:b/>
                <w:bCs/>
              </w:rPr>
              <w:t>GT</w:t>
            </w:r>
            <w:r w:rsidR="000A4F64">
              <w:rPr>
                <w:b/>
                <w:bCs/>
              </w:rPr>
              <w:t> </w:t>
            </w:r>
            <w:r w:rsidRPr="007A7DF3">
              <w:rPr>
                <w:b/>
                <w:bCs/>
              </w:rPr>
              <w:t xml:space="preserve">5B, </w:t>
            </w:r>
            <w:r w:rsidR="000A4F64">
              <w:rPr>
                <w:b/>
                <w:bCs/>
              </w:rPr>
              <w:br/>
            </w:r>
            <w:r w:rsidRPr="007A7DF3">
              <w:rPr>
                <w:b/>
                <w:bCs/>
              </w:rPr>
              <w:t>GT</w:t>
            </w:r>
            <w:r w:rsidR="000A4F64">
              <w:rPr>
                <w:b/>
                <w:bCs/>
              </w:rPr>
              <w:t> </w:t>
            </w:r>
            <w:r w:rsidRPr="007A7DF3">
              <w:rPr>
                <w:b/>
                <w:bCs/>
              </w:rPr>
              <w:t xml:space="preserve">5C, </w:t>
            </w:r>
            <w:r w:rsidR="000A4F64">
              <w:rPr>
                <w:b/>
                <w:bCs/>
              </w:rPr>
              <w:br/>
            </w:r>
            <w:r w:rsidRPr="007A7DF3">
              <w:rPr>
                <w:b/>
                <w:bCs/>
              </w:rPr>
              <w:t>GT</w:t>
            </w:r>
            <w:r w:rsidR="000A4F64">
              <w:rPr>
                <w:b/>
                <w:bCs/>
              </w:rPr>
              <w:t> </w:t>
            </w:r>
            <w:r w:rsidRPr="007A7DF3">
              <w:rPr>
                <w:b/>
                <w:bCs/>
              </w:rPr>
              <w:t xml:space="preserve">5D, </w:t>
            </w:r>
            <w:r w:rsidR="000A4F64">
              <w:rPr>
                <w:b/>
                <w:bCs/>
              </w:rPr>
              <w:br/>
            </w:r>
            <w:r w:rsidRPr="007A7DF3">
              <w:rPr>
                <w:b/>
                <w:bCs/>
              </w:rPr>
              <w:t>GT</w:t>
            </w:r>
            <w:r w:rsidR="000A4F64">
              <w:rPr>
                <w:b/>
                <w:bCs/>
              </w:rPr>
              <w:t> </w:t>
            </w:r>
            <w:r w:rsidRPr="007A7DF3">
              <w:rPr>
                <w:b/>
                <w:bCs/>
              </w:rPr>
              <w:t>6A</w:t>
            </w:r>
          </w:p>
        </w:tc>
      </w:tr>
      <w:tr w:rsidR="007A7DF3" w:rsidRPr="00CE4E08" w14:paraId="24A3487E" w14:textId="77777777" w:rsidTr="003F05FF">
        <w:trPr>
          <w:cantSplit/>
          <w:jc w:val="center"/>
        </w:trPr>
        <w:tc>
          <w:tcPr>
            <w:tcW w:w="14469" w:type="dxa"/>
            <w:gridSpan w:val="5"/>
          </w:tcPr>
          <w:p w14:paraId="1EEA7BFD" w14:textId="23CC02A2" w:rsidR="007A7DF3" w:rsidRPr="00207DE5" w:rsidRDefault="007A7DF3" w:rsidP="00207DE5">
            <w:pPr>
              <w:pStyle w:val="Tabletext"/>
              <w:tabs>
                <w:tab w:val="clear" w:pos="284"/>
                <w:tab w:val="left" w:pos="594"/>
              </w:tabs>
              <w:rPr>
                <w:lang w:val="es-ES_tradnl" w:eastAsia="nl-NL"/>
              </w:rPr>
            </w:pPr>
            <w:r w:rsidRPr="001F3073">
              <w:rPr>
                <w:lang w:val="es-ES_tradnl" w:eastAsia="nl-NL"/>
              </w:rPr>
              <w:t>2.13</w:t>
            </w:r>
            <w:r w:rsidRPr="001F3073">
              <w:rPr>
                <w:lang w:val="es-ES_tradnl" w:eastAsia="nl-NL"/>
              </w:rPr>
              <w:tab/>
            </w:r>
            <w:r w:rsidRPr="00207DE5">
              <w:rPr>
                <w:lang w:val="es-ES_tradnl" w:eastAsia="nl-NL"/>
              </w:rPr>
              <w:t xml:space="preserve">considerar la posibilidad de efectuar una atribución mundial al servicio móvil por satélite para el desarrollo futuro de los sistemas móviles por satélite de banda estrecha en la gama 1,5-5 GHz, de conformidad con la Resolución </w:t>
            </w:r>
            <w:r w:rsidRPr="00207DE5">
              <w:rPr>
                <w:b/>
                <w:bCs/>
                <w:lang w:val="es-ES_tradnl" w:eastAsia="nl-NL"/>
              </w:rPr>
              <w:t>248 (CMR-19),</w:t>
            </w:r>
          </w:p>
        </w:tc>
      </w:tr>
      <w:tr w:rsidR="007A7DF3" w:rsidRPr="001F3073" w14:paraId="58D01228" w14:textId="77777777" w:rsidTr="003F05FF">
        <w:trPr>
          <w:jc w:val="center"/>
        </w:trPr>
        <w:tc>
          <w:tcPr>
            <w:tcW w:w="3196" w:type="dxa"/>
            <w:gridSpan w:val="2"/>
          </w:tcPr>
          <w:p w14:paraId="2720CA5D" w14:textId="77777777" w:rsidR="007A7DF3" w:rsidRPr="00537CF6" w:rsidRDefault="007A7DF3" w:rsidP="00537CF6">
            <w:pPr>
              <w:pStyle w:val="Tabletext"/>
              <w:tabs>
                <w:tab w:val="clear" w:pos="284"/>
                <w:tab w:val="left" w:pos="463"/>
              </w:tabs>
              <w:rPr>
                <w:lang w:val="es-ES" w:eastAsia="nl-NL"/>
              </w:rPr>
            </w:pPr>
            <w:r w:rsidRPr="00537CF6">
              <w:rPr>
                <w:lang w:val="es-ES" w:eastAsia="nl-NL"/>
              </w:rPr>
              <w:t>Resolución </w:t>
            </w:r>
            <w:r w:rsidRPr="00537CF6">
              <w:rPr>
                <w:b/>
                <w:bCs/>
                <w:lang w:val="es-ES" w:eastAsia="nl-NL"/>
              </w:rPr>
              <w:t>248 (CMR</w:t>
            </w:r>
            <w:r w:rsidRPr="00537CF6">
              <w:rPr>
                <w:b/>
                <w:bCs/>
                <w:lang w:val="es-ES" w:eastAsia="nl-NL"/>
              </w:rPr>
              <w:noBreakHyphen/>
              <w:t>19)</w:t>
            </w:r>
          </w:p>
          <w:p w14:paraId="0F23C6FE" w14:textId="36E62564" w:rsidR="00B71365" w:rsidRPr="00537CF6" w:rsidRDefault="007A7DF3" w:rsidP="007115A4">
            <w:pPr>
              <w:pStyle w:val="Tabletext"/>
              <w:rPr>
                <w:lang w:val="es-ES_tradnl"/>
              </w:rPr>
            </w:pPr>
            <w:r w:rsidRPr="00537CF6">
              <w:rPr>
                <w:lang w:val="es-ES_tradnl"/>
              </w:rPr>
              <w:t>Estudios sobre las necesidades de espectro y posibles nuevas atribuciones al servicio móvil por satélite en las bandas de frecuencias 1 695</w:t>
            </w:r>
            <w:r w:rsidRPr="00537CF6">
              <w:rPr>
                <w:lang w:val="es-ES_tradnl"/>
              </w:rPr>
              <w:noBreakHyphen/>
              <w:t>1 710 MHz, 2 010</w:t>
            </w:r>
            <w:r w:rsidRPr="00537CF6">
              <w:rPr>
                <w:lang w:val="es-ES_tradnl"/>
              </w:rPr>
              <w:noBreakHyphen/>
              <w:t>2 025 MHz, 3 300</w:t>
            </w:r>
            <w:r w:rsidRPr="00537CF6">
              <w:rPr>
                <w:lang w:val="es-ES_tradnl"/>
              </w:rPr>
              <w:noBreakHyphen/>
              <w:t>3 315 MHz y 3 385</w:t>
            </w:r>
            <w:r w:rsidRPr="00537CF6">
              <w:rPr>
                <w:lang w:val="es-ES_tradnl"/>
              </w:rPr>
              <w:noBreakHyphen/>
              <w:t>3 400 MHz para el desarrollo futuro de sistemas móviles por satélite de banda estrecha</w:t>
            </w:r>
          </w:p>
        </w:tc>
        <w:tc>
          <w:tcPr>
            <w:tcW w:w="2706" w:type="dxa"/>
          </w:tcPr>
          <w:p w14:paraId="6A95C155" w14:textId="7F78829F" w:rsidR="007A7DF3" w:rsidRPr="001F3073" w:rsidRDefault="007A7DF3" w:rsidP="00100121">
            <w:pPr>
              <w:pStyle w:val="Tabletext"/>
              <w:jc w:val="center"/>
              <w:rPr>
                <w:b/>
                <w:bCs/>
                <w:lang w:val="es-ES_tradnl"/>
              </w:rPr>
            </w:pPr>
            <w:r>
              <w:rPr>
                <w:b/>
                <w:bCs/>
                <w:lang w:val="es-ES_tradnl"/>
              </w:rPr>
              <w:t>CE</w:t>
            </w:r>
            <w:r w:rsidR="00D173FC">
              <w:rPr>
                <w:b/>
                <w:bCs/>
                <w:lang w:val="es-ES_tradnl"/>
              </w:rPr>
              <w:t> </w:t>
            </w:r>
            <w:r w:rsidRPr="001F3073">
              <w:rPr>
                <w:b/>
                <w:bCs/>
                <w:lang w:val="es-ES_tradnl"/>
              </w:rPr>
              <w:t>4</w:t>
            </w:r>
          </w:p>
        </w:tc>
        <w:tc>
          <w:tcPr>
            <w:tcW w:w="7175" w:type="dxa"/>
          </w:tcPr>
          <w:p w14:paraId="0E26C987" w14:textId="77777777" w:rsidR="007A7DF3" w:rsidRPr="00A665BE" w:rsidRDefault="007A7DF3" w:rsidP="00A665BE">
            <w:pPr>
              <w:pStyle w:val="Tabletext"/>
              <w:tabs>
                <w:tab w:val="clear" w:pos="284"/>
                <w:tab w:val="left" w:pos="463"/>
              </w:tabs>
              <w:ind w:left="454"/>
              <w:rPr>
                <w:rFonts w:eastAsia="???"/>
                <w:i/>
                <w:iCs/>
                <w:lang w:val="es-ES" w:eastAsia="nl-NL"/>
              </w:rPr>
            </w:pPr>
            <w:r w:rsidRPr="00A665BE">
              <w:rPr>
                <w:rFonts w:eastAsia="???"/>
                <w:i/>
                <w:iCs/>
                <w:lang w:val="es-ES" w:eastAsia="nl-NL"/>
              </w:rPr>
              <w:t>resuelve invitar al Sector de Radiocomunicaciones de la UIT</w:t>
            </w:r>
          </w:p>
          <w:p w14:paraId="010DE5E3" w14:textId="77777777" w:rsidR="007A7DF3" w:rsidRPr="00B71365" w:rsidRDefault="007A7DF3" w:rsidP="00537CF6">
            <w:pPr>
              <w:pStyle w:val="Tabletext"/>
              <w:tabs>
                <w:tab w:val="clear" w:pos="284"/>
                <w:tab w:val="left" w:pos="463"/>
              </w:tabs>
              <w:rPr>
                <w:i/>
                <w:lang w:val="es-ES_tradnl"/>
              </w:rPr>
            </w:pPr>
            <w:r w:rsidRPr="00B71365">
              <w:rPr>
                <w:lang w:val="es-ES_tradnl"/>
              </w:rPr>
              <w:t>1</w:t>
            </w:r>
            <w:r w:rsidRPr="00B71365">
              <w:rPr>
                <w:lang w:val="es-ES_tradnl"/>
              </w:rPr>
              <w:tab/>
              <w:t xml:space="preserve">a realizar estudios sobre las necesidades de espectro, los requisitos operativos y las características de sistema de los sistemas de baja velocidad de datos para la recopilación de datos y la gestión de dispositivos terrenales en el SMS, según se indica en el </w:t>
            </w:r>
            <w:r w:rsidRPr="00B71365">
              <w:rPr>
                <w:i/>
                <w:iCs/>
                <w:lang w:val="es-ES_tradnl"/>
              </w:rPr>
              <w:t xml:space="preserve">considerando a) </w:t>
            </w:r>
            <w:r w:rsidRPr="00B71365">
              <w:rPr>
                <w:lang w:val="es-ES_tradnl"/>
              </w:rPr>
              <w:t xml:space="preserve">y limitándose a las características básicas indicadas en el </w:t>
            </w:r>
            <w:r w:rsidRPr="00B71365">
              <w:rPr>
                <w:i/>
                <w:iCs/>
                <w:lang w:val="es-ES_tradnl"/>
              </w:rPr>
              <w:t>reconociendo</w:t>
            </w:r>
            <w:r w:rsidRPr="00B71365">
              <w:rPr>
                <w:i/>
                <w:lang w:val="es-ES_tradnl"/>
              </w:rPr>
              <w:t xml:space="preserve"> c)</w:t>
            </w:r>
            <w:r w:rsidRPr="00B71365">
              <w:rPr>
                <w:iCs/>
                <w:lang w:val="es-ES_tradnl"/>
              </w:rPr>
              <w:t>;</w:t>
            </w:r>
          </w:p>
          <w:p w14:paraId="0D38DE87" w14:textId="77777777" w:rsidR="007A7DF3" w:rsidRPr="00B71365" w:rsidRDefault="007A7DF3" w:rsidP="00537CF6">
            <w:pPr>
              <w:pStyle w:val="Tabletext"/>
              <w:tabs>
                <w:tab w:val="clear" w:pos="284"/>
                <w:tab w:val="left" w:pos="463"/>
              </w:tabs>
              <w:rPr>
                <w:lang w:val="es-ES_tradnl"/>
              </w:rPr>
            </w:pPr>
            <w:bookmarkStart w:id="69" w:name="_Hlk23501848"/>
            <w:r w:rsidRPr="00B71365">
              <w:rPr>
                <w:lang w:val="es-ES_tradnl"/>
              </w:rPr>
              <w:t>2</w:t>
            </w:r>
            <w:r w:rsidRPr="00B71365">
              <w:rPr>
                <w:lang w:val="es-ES_tradnl"/>
              </w:rPr>
              <w:tab/>
              <w:t>a realizar estudios de compartición y compatibilidad con los servicios a título primario existentes para determinar la adecuación de las nuevas atribuciones al SMS, a fin de proteger los servicios a título primario, en las bandas de frecuencias siguientes y en las bandas adyacentes:</w:t>
            </w:r>
          </w:p>
          <w:p w14:paraId="5C10EBCB" w14:textId="6F350354" w:rsidR="007A7DF3" w:rsidRPr="00B71365" w:rsidRDefault="007A7DF3" w:rsidP="00537CF6">
            <w:pPr>
              <w:pStyle w:val="Tabletext"/>
              <w:tabs>
                <w:tab w:val="clear" w:pos="284"/>
                <w:tab w:val="left" w:pos="463"/>
              </w:tabs>
              <w:rPr>
                <w:lang w:val="es-ES_tradnl"/>
              </w:rPr>
            </w:pPr>
            <w:r w:rsidRPr="00B71365">
              <w:rPr>
                <w:lang w:val="es-ES_tradnl"/>
              </w:rPr>
              <w:tab/>
              <w:t>1 695-1 710 MHz en la Región 2</w:t>
            </w:r>
            <w:r w:rsidR="00A96272">
              <w:rPr>
                <w:lang w:val="es-ES_tradnl"/>
              </w:rPr>
              <w:t>;</w:t>
            </w:r>
          </w:p>
          <w:p w14:paraId="1032C03D" w14:textId="6ED9513F" w:rsidR="007A7DF3" w:rsidRPr="00B71365" w:rsidRDefault="007A7DF3" w:rsidP="00537CF6">
            <w:pPr>
              <w:pStyle w:val="Tabletext"/>
              <w:tabs>
                <w:tab w:val="clear" w:pos="284"/>
                <w:tab w:val="left" w:pos="463"/>
              </w:tabs>
              <w:rPr>
                <w:lang w:val="es-ES_tradnl"/>
              </w:rPr>
            </w:pPr>
            <w:r w:rsidRPr="00B71365">
              <w:rPr>
                <w:lang w:val="es-ES_tradnl"/>
              </w:rPr>
              <w:lastRenderedPageBreak/>
              <w:tab/>
              <w:t>2 010-2 025 MHz en la Región 1</w:t>
            </w:r>
            <w:r w:rsidR="00A96272">
              <w:rPr>
                <w:lang w:val="es-ES_tradnl"/>
              </w:rPr>
              <w:t>;</w:t>
            </w:r>
          </w:p>
          <w:p w14:paraId="06059072" w14:textId="77777777" w:rsidR="007A7DF3" w:rsidRPr="00B71365" w:rsidRDefault="007A7DF3" w:rsidP="00537CF6">
            <w:pPr>
              <w:pStyle w:val="Tabletext"/>
              <w:tabs>
                <w:tab w:val="clear" w:pos="284"/>
                <w:tab w:val="left" w:pos="463"/>
              </w:tabs>
              <w:rPr>
                <w:lang w:val="es-ES_tradnl"/>
              </w:rPr>
            </w:pPr>
            <w:r w:rsidRPr="00B71365">
              <w:rPr>
                <w:lang w:val="es-ES_tradnl"/>
              </w:rPr>
              <w:tab/>
              <w:t>3 300-3 315 MHz, 3 385-3 400 MHz en la Región 2</w:t>
            </w:r>
            <w:bookmarkEnd w:id="69"/>
            <w:r w:rsidRPr="00B71365">
              <w:rPr>
                <w:lang w:val="es-ES_tradnl"/>
              </w:rPr>
              <w:t>;</w:t>
            </w:r>
          </w:p>
          <w:p w14:paraId="1E83264E" w14:textId="77777777" w:rsidR="007A7DF3" w:rsidRPr="00B71365" w:rsidRDefault="007A7DF3" w:rsidP="00537CF6">
            <w:pPr>
              <w:pStyle w:val="Tabletext"/>
              <w:tabs>
                <w:tab w:val="clear" w:pos="284"/>
                <w:tab w:val="left" w:pos="463"/>
              </w:tabs>
              <w:rPr>
                <w:lang w:val="es-ES_tradnl"/>
              </w:rPr>
            </w:pPr>
            <w:r w:rsidRPr="00B71365">
              <w:rPr>
                <w:lang w:val="es-ES_tradnl"/>
              </w:rPr>
              <w:t>3</w:t>
            </w:r>
            <w:r w:rsidRPr="00B71365">
              <w:rPr>
                <w:lang w:val="es-ES_tradnl"/>
              </w:rPr>
              <w:tab/>
              <w:t xml:space="preserve">a considerar la posibilidad de efectuar nuevas atribuciones a título primario o secundario, con las correspondientes limitaciones técnicas, teniendo en cuenta las características descritas en el </w:t>
            </w:r>
            <w:r w:rsidRPr="00B71365">
              <w:rPr>
                <w:i/>
                <w:lang w:val="es-ES_tradnl"/>
              </w:rPr>
              <w:t>reconociendo c)</w:t>
            </w:r>
            <w:r w:rsidRPr="00B71365">
              <w:rPr>
                <w:iCs/>
                <w:lang w:val="es-ES_tradnl"/>
              </w:rPr>
              <w:t>,</w:t>
            </w:r>
            <w:r w:rsidRPr="00B71365">
              <w:rPr>
                <w:lang w:val="es-ES_tradnl"/>
              </w:rPr>
              <w:t xml:space="preserve"> al SMS para satélites no OCE que funcionan en sistemas de baja velocidad de datos para la recopilación de datos de dispositivos terrenales, y su gestión, a partir de los resultados de los estudios de compartición y compatibilidad, garantizando al mismo tiempo la protección de los servicios primarios existentes en esas bandas de frecuencias, y en las bandas adyacentes, sin imponer restricciones indebidas a su ulterior desarrollo,</w:t>
            </w:r>
          </w:p>
          <w:p w14:paraId="28613D5A" w14:textId="77777777" w:rsidR="007A7DF3" w:rsidRPr="00A665BE" w:rsidRDefault="007A7DF3" w:rsidP="00A665BE">
            <w:pPr>
              <w:pStyle w:val="Tabletext"/>
              <w:tabs>
                <w:tab w:val="clear" w:pos="284"/>
                <w:tab w:val="left" w:pos="463"/>
              </w:tabs>
              <w:ind w:left="454"/>
              <w:rPr>
                <w:rFonts w:eastAsia="???"/>
                <w:i/>
                <w:iCs/>
                <w:lang w:val="es-ES" w:eastAsia="nl-NL"/>
              </w:rPr>
            </w:pPr>
            <w:r w:rsidRPr="00A665BE">
              <w:rPr>
                <w:rFonts w:eastAsia="???"/>
                <w:i/>
                <w:iCs/>
                <w:lang w:val="es-ES" w:eastAsia="nl-NL"/>
              </w:rPr>
              <w:t>resuelve invitar a la Conferencia Mundial de Radiocomunicaciones de 2023</w:t>
            </w:r>
          </w:p>
          <w:p w14:paraId="357B7652" w14:textId="77777777" w:rsidR="007A7DF3" w:rsidRPr="00B71365" w:rsidRDefault="007A7DF3" w:rsidP="00537CF6">
            <w:pPr>
              <w:pStyle w:val="Tabletext"/>
              <w:tabs>
                <w:tab w:val="clear" w:pos="284"/>
                <w:tab w:val="left" w:pos="463"/>
              </w:tabs>
              <w:rPr>
                <w:i/>
                <w:lang w:val="es-ES_tradnl"/>
              </w:rPr>
            </w:pPr>
            <w:r w:rsidRPr="00B71365">
              <w:rPr>
                <w:lang w:val="es-ES_tradnl"/>
              </w:rPr>
              <w:t xml:space="preserve">a determinar, basándose en los estudios realizados en el marco del </w:t>
            </w:r>
            <w:r w:rsidRPr="00B71365">
              <w:rPr>
                <w:i/>
                <w:iCs/>
                <w:lang w:val="es-ES_tradnl"/>
              </w:rPr>
              <w:t xml:space="preserve">resuelve invitar al </w:t>
            </w:r>
            <w:r w:rsidRPr="00537CF6">
              <w:rPr>
                <w:lang w:val="es-ES_tradnl"/>
              </w:rPr>
              <w:t>Sector</w:t>
            </w:r>
            <w:r w:rsidRPr="00B71365">
              <w:rPr>
                <w:i/>
                <w:iCs/>
                <w:lang w:val="es-ES_tradnl"/>
              </w:rPr>
              <w:t xml:space="preserve"> de Radiocomunicaciones de la UIT </w:t>
            </w:r>
            <w:r w:rsidRPr="00B71365">
              <w:rPr>
                <w:i/>
                <w:lang w:val="es-ES_tradnl"/>
              </w:rPr>
              <w:t>supra</w:t>
            </w:r>
            <w:r w:rsidRPr="00B71365">
              <w:rPr>
                <w:iCs/>
                <w:lang w:val="es-ES_tradnl"/>
              </w:rPr>
              <w:t>, las medidas reglamentarias adecuadas,</w:t>
            </w:r>
          </w:p>
          <w:p w14:paraId="5C76EC59" w14:textId="77777777" w:rsidR="007A7DF3" w:rsidRPr="00A665BE" w:rsidRDefault="007A7DF3" w:rsidP="00A665BE">
            <w:pPr>
              <w:pStyle w:val="Tabletext"/>
              <w:tabs>
                <w:tab w:val="clear" w:pos="284"/>
                <w:tab w:val="left" w:pos="463"/>
              </w:tabs>
              <w:ind w:left="454"/>
              <w:rPr>
                <w:rFonts w:eastAsia="???"/>
                <w:i/>
                <w:iCs/>
                <w:lang w:val="es-ES" w:eastAsia="nl-NL"/>
              </w:rPr>
            </w:pPr>
            <w:r w:rsidRPr="00A665BE">
              <w:rPr>
                <w:rFonts w:eastAsia="???"/>
                <w:i/>
                <w:iCs/>
                <w:lang w:val="es-ES" w:eastAsia="nl-NL"/>
              </w:rPr>
              <w:t>invita a las administraciones</w:t>
            </w:r>
          </w:p>
          <w:p w14:paraId="5955F3E3" w14:textId="77777777" w:rsidR="007A7DF3" w:rsidRPr="00B71365" w:rsidRDefault="007A7DF3" w:rsidP="00537CF6">
            <w:pPr>
              <w:pStyle w:val="Tabletext"/>
              <w:tabs>
                <w:tab w:val="clear" w:pos="284"/>
                <w:tab w:val="left" w:pos="463"/>
              </w:tabs>
              <w:rPr>
                <w:lang w:val="es-ES_tradnl"/>
              </w:rPr>
            </w:pPr>
            <w:r w:rsidRPr="00B71365">
              <w:rPr>
                <w:lang w:val="es-ES_tradnl"/>
              </w:rPr>
              <w:t>a participar en los estudios presentando contribuciones al UIT-R.</w:t>
            </w:r>
          </w:p>
        </w:tc>
        <w:tc>
          <w:tcPr>
            <w:tcW w:w="1392" w:type="dxa"/>
          </w:tcPr>
          <w:p w14:paraId="517A3856" w14:textId="7B5424D9" w:rsidR="007A7DF3" w:rsidRPr="001F3073" w:rsidRDefault="007A7DF3" w:rsidP="00100121">
            <w:pPr>
              <w:pStyle w:val="Tabletext"/>
              <w:jc w:val="center"/>
              <w:rPr>
                <w:b/>
                <w:bCs/>
                <w:lang w:val="es-ES_tradnl"/>
              </w:rPr>
            </w:pPr>
            <w:r w:rsidRPr="001F3073">
              <w:rPr>
                <w:b/>
                <w:bCs/>
                <w:lang w:val="es-ES_tradnl"/>
              </w:rPr>
              <w:lastRenderedPageBreak/>
              <w:t>GT</w:t>
            </w:r>
            <w:r w:rsidR="00D173FC">
              <w:rPr>
                <w:b/>
                <w:bCs/>
                <w:lang w:val="es-ES_tradnl"/>
              </w:rPr>
              <w:t> </w:t>
            </w:r>
            <w:r w:rsidRPr="001F3073">
              <w:rPr>
                <w:b/>
                <w:bCs/>
                <w:lang w:val="es-ES_tradnl"/>
              </w:rPr>
              <w:t>3M</w:t>
            </w:r>
          </w:p>
        </w:tc>
      </w:tr>
    </w:tbl>
    <w:p w14:paraId="41557D58" w14:textId="77777777" w:rsidR="007A7DF3" w:rsidRPr="001F3073" w:rsidRDefault="007A7DF3" w:rsidP="00100121">
      <w:pPr>
        <w:rPr>
          <w:lang w:val="es-ES_tradnl"/>
        </w:rPr>
      </w:pPr>
    </w:p>
    <w:p w14:paraId="07B679A1" w14:textId="77777777" w:rsidR="007A7DF3" w:rsidRPr="001F3073" w:rsidRDefault="007A7DF3" w:rsidP="00100121">
      <w:pPr>
        <w:rPr>
          <w:lang w:val="es-ES_tradnl"/>
        </w:rPr>
        <w:sectPr w:rsidR="007A7DF3" w:rsidRPr="001F3073" w:rsidSect="00100121">
          <w:headerReference w:type="default" r:id="rId32"/>
          <w:footerReference w:type="default" r:id="rId33"/>
          <w:pgSz w:w="16834" w:h="11907" w:orient="landscape" w:code="9"/>
          <w:pgMar w:top="1134" w:right="1418" w:bottom="1134" w:left="1418" w:header="567" w:footer="567" w:gutter="0"/>
          <w:cols w:space="720"/>
          <w:docGrid w:linePitch="326"/>
        </w:sectPr>
      </w:pPr>
    </w:p>
    <w:bookmarkEnd w:id="51"/>
    <w:p w14:paraId="7E64D519" w14:textId="77777777" w:rsidR="007A7DF3" w:rsidRPr="001F3073" w:rsidRDefault="007A7DF3" w:rsidP="00D173FC">
      <w:pPr>
        <w:pStyle w:val="AnnexNo"/>
        <w:rPr>
          <w:highlight w:val="yellow"/>
        </w:rPr>
      </w:pPr>
      <w:r w:rsidRPr="001F3073">
        <w:lastRenderedPageBreak/>
        <w:t>ANEXO 9</w:t>
      </w:r>
    </w:p>
    <w:p w14:paraId="7D502873" w14:textId="258847AB" w:rsidR="007A7DF3" w:rsidRPr="00D173FC" w:rsidRDefault="007A7DF3" w:rsidP="00D173FC">
      <w:pPr>
        <w:pStyle w:val="Annextitle0"/>
        <w:rPr>
          <w:lang w:val="es-ES"/>
        </w:rPr>
      </w:pPr>
      <w:r w:rsidRPr="00D173FC">
        <w:rPr>
          <w:lang w:val="es-ES"/>
        </w:rPr>
        <w:t xml:space="preserve">Decisión de la RPC23-1 sobre el establecimiento y el mandato </w:t>
      </w:r>
      <w:r w:rsidR="00D173FC">
        <w:rPr>
          <w:lang w:val="es-ES"/>
        </w:rPr>
        <w:br/>
      </w:r>
      <w:r w:rsidRPr="00D173FC">
        <w:rPr>
          <w:lang w:val="es-ES"/>
        </w:rPr>
        <w:t xml:space="preserve">del Grupo de Tareas Especiales 6/1 (GTE 6/1) sobre el punto 1.5 </w:t>
      </w:r>
      <w:r w:rsidR="00D173FC">
        <w:rPr>
          <w:lang w:val="es-ES"/>
        </w:rPr>
        <w:br/>
      </w:r>
      <w:r w:rsidRPr="00D173FC">
        <w:rPr>
          <w:lang w:val="es-ES"/>
        </w:rPr>
        <w:t>del orden del día de la CMR</w:t>
      </w:r>
      <w:r w:rsidRPr="00D173FC">
        <w:rPr>
          <w:lang w:val="es-ES"/>
        </w:rPr>
        <w:noBreakHyphen/>
        <w:t>23</w:t>
      </w:r>
    </w:p>
    <w:p w14:paraId="072CB419" w14:textId="77777777" w:rsidR="007A7DF3" w:rsidRPr="007A7DF3" w:rsidRDefault="007A7DF3" w:rsidP="00B71365">
      <w:pPr>
        <w:pStyle w:val="Normalaftertitle"/>
        <w:rPr>
          <w:lang w:val="es-ES"/>
        </w:rPr>
      </w:pPr>
      <w:r w:rsidRPr="007A7DF3">
        <w:rPr>
          <w:lang w:val="es-ES"/>
        </w:rPr>
        <w:t>La primera sesión de la Reunión Preparatoria de la Conferencia para la CMR-23 (RPC23-1),</w:t>
      </w:r>
    </w:p>
    <w:p w14:paraId="5905E159" w14:textId="77777777" w:rsidR="007A7DF3" w:rsidRPr="00A665BE" w:rsidRDefault="007A7DF3" w:rsidP="00EA1F31">
      <w:pPr>
        <w:pStyle w:val="Call"/>
        <w:rPr>
          <w:lang w:val="es-ES"/>
        </w:rPr>
      </w:pPr>
      <w:r w:rsidRPr="00A665BE">
        <w:rPr>
          <w:lang w:val="es-ES"/>
        </w:rPr>
        <w:t>considerando</w:t>
      </w:r>
    </w:p>
    <w:p w14:paraId="51A2EAFF" w14:textId="17837493" w:rsidR="007A7DF3" w:rsidRPr="001F3073" w:rsidRDefault="00EA1F31" w:rsidP="00EA1F31">
      <w:pPr>
        <w:rPr>
          <w:lang w:val="es-ES_tradnl"/>
        </w:rPr>
      </w:pPr>
      <w:r w:rsidRPr="00EA1F31">
        <w:rPr>
          <w:i/>
          <w:iCs/>
          <w:lang w:val="es-ES_tradnl"/>
        </w:rPr>
        <w:t>a)</w:t>
      </w:r>
      <w:r>
        <w:rPr>
          <w:lang w:val="es-ES_tradnl"/>
        </w:rPr>
        <w:tab/>
      </w:r>
      <w:r w:rsidR="007A7DF3" w:rsidRPr="001F3073">
        <w:rPr>
          <w:lang w:val="es-ES_tradnl"/>
        </w:rPr>
        <w:t>que la CMR</w:t>
      </w:r>
      <w:r w:rsidR="007A7DF3" w:rsidRPr="001F3073">
        <w:rPr>
          <w:lang w:val="es-ES_tradnl"/>
        </w:rPr>
        <w:noBreakHyphen/>
        <w:t xml:space="preserve">15 en su </w:t>
      </w:r>
      <w:r w:rsidR="007A7DF3" w:rsidRPr="00AC0ECF">
        <w:rPr>
          <w:rFonts w:asciiTheme="minorHAnsi" w:hAnsiTheme="minorHAnsi" w:cstheme="minorHAnsi"/>
          <w:lang w:val="es-ES_tradnl"/>
        </w:rPr>
        <w:t xml:space="preserve">Resolución </w:t>
      </w:r>
      <w:r w:rsidR="007A7DF3" w:rsidRPr="00AC0ECF">
        <w:rPr>
          <w:rFonts w:asciiTheme="minorHAnsi" w:eastAsia="MS Mincho" w:hAnsiTheme="minorHAnsi" w:cstheme="minorHAnsi"/>
          <w:b/>
          <w:bCs/>
          <w:lang w:val="es-ES_tradnl"/>
        </w:rPr>
        <w:t>811</w:t>
      </w:r>
      <w:r w:rsidR="007A7DF3" w:rsidRPr="00AC0ECF">
        <w:rPr>
          <w:rFonts w:asciiTheme="minorHAnsi" w:hAnsiTheme="minorHAnsi" w:cstheme="minorHAnsi"/>
          <w:b/>
          <w:bCs/>
          <w:lang w:val="es-ES_tradnl"/>
        </w:rPr>
        <w:t xml:space="preserve"> (CMR-19)</w:t>
      </w:r>
      <w:r w:rsidR="007A7DF3" w:rsidRPr="00AC0ECF">
        <w:rPr>
          <w:rFonts w:asciiTheme="minorHAnsi" w:hAnsiTheme="minorHAnsi" w:cstheme="minorHAnsi"/>
          <w:lang w:val="es-ES_tradnl"/>
        </w:rPr>
        <w:t xml:space="preserve"> recomendó al Consejo que incluyera en el orden del día de la CMR</w:t>
      </w:r>
      <w:r w:rsidR="007A7DF3" w:rsidRPr="00AC0ECF">
        <w:rPr>
          <w:rFonts w:asciiTheme="minorHAnsi" w:hAnsiTheme="minorHAnsi" w:cstheme="minorHAnsi"/>
          <w:lang w:val="es-ES_tradnl"/>
        </w:rPr>
        <w:noBreakHyphen/>
        <w:t>23 (punto 1.5 del orden del día) «</w:t>
      </w:r>
      <w:r w:rsidR="007A7DF3" w:rsidRPr="00AC0ECF">
        <w:rPr>
          <w:rFonts w:asciiTheme="minorHAnsi" w:hAnsiTheme="minorHAnsi" w:cstheme="minorHAnsi"/>
          <w:i/>
          <w:iCs/>
          <w:lang w:val="es-ES_tradnl"/>
        </w:rPr>
        <w:t>examinar la utilización del espectro y las necesidades de espectro de los servicios existentes en la banda de frecuencias 470-960</w:t>
      </w:r>
      <w:r w:rsidR="00C04CEA" w:rsidRPr="00AC0ECF">
        <w:rPr>
          <w:rFonts w:asciiTheme="minorHAnsi" w:hAnsiTheme="minorHAnsi" w:cstheme="minorHAnsi"/>
          <w:i/>
          <w:iCs/>
          <w:lang w:val="es-ES_tradnl"/>
        </w:rPr>
        <w:t> </w:t>
      </w:r>
      <w:r w:rsidR="007A7DF3" w:rsidRPr="00AC0ECF">
        <w:rPr>
          <w:rFonts w:asciiTheme="minorHAnsi" w:hAnsiTheme="minorHAnsi" w:cstheme="minorHAnsi"/>
          <w:i/>
          <w:iCs/>
          <w:lang w:val="es-ES_tradnl"/>
        </w:rPr>
        <w:t xml:space="preserve">MHz en la Región 1 y considerar posibles medidas reglamentarias para la banda de frecuencias 470-694 MHz en la Región 1 a partir del examen previsto en la Resolución </w:t>
      </w:r>
      <w:r w:rsidR="007A7DF3" w:rsidRPr="00AC0ECF">
        <w:rPr>
          <w:rFonts w:asciiTheme="minorHAnsi" w:hAnsiTheme="minorHAnsi" w:cstheme="minorHAnsi"/>
          <w:b/>
          <w:bCs/>
          <w:i/>
          <w:iCs/>
          <w:lang w:val="es-ES_tradnl"/>
        </w:rPr>
        <w:t>235 (CMR-15)</w:t>
      </w:r>
      <w:r w:rsidR="007A7DF3" w:rsidRPr="00AC0ECF">
        <w:rPr>
          <w:rFonts w:asciiTheme="minorHAnsi" w:hAnsiTheme="minorHAnsi" w:cstheme="minorHAnsi"/>
          <w:lang w:val="es-ES_tradnl"/>
        </w:rPr>
        <w:t>»</w:t>
      </w:r>
      <w:r w:rsidR="00A96272" w:rsidRPr="00AC0ECF">
        <w:rPr>
          <w:rFonts w:asciiTheme="minorHAnsi" w:hAnsiTheme="minorHAnsi" w:cstheme="minorHAnsi"/>
          <w:lang w:val="es-ES_tradnl"/>
        </w:rPr>
        <w:t>;</w:t>
      </w:r>
    </w:p>
    <w:p w14:paraId="721E2667" w14:textId="77777777" w:rsidR="007A7DF3" w:rsidRPr="001F3073" w:rsidRDefault="007A7DF3" w:rsidP="00EA1F31">
      <w:pPr>
        <w:rPr>
          <w:rFonts w:eastAsia="MS Mincho"/>
          <w:lang w:val="es-ES_tradnl"/>
        </w:rPr>
      </w:pPr>
      <w:r w:rsidRPr="001F3073">
        <w:rPr>
          <w:rFonts w:eastAsia="MS Mincho"/>
          <w:i/>
          <w:iCs/>
          <w:lang w:val="es-ES_tradnl"/>
        </w:rPr>
        <w:t>b)</w:t>
      </w:r>
      <w:r w:rsidRPr="001F3073">
        <w:rPr>
          <w:rFonts w:eastAsia="MS Mincho"/>
          <w:lang w:val="es-ES_tradnl"/>
        </w:rPr>
        <w:tab/>
        <w:t>que los trabajos preparatorios del punto 1.5 del orden del día de la CMR-23 deben llevarse a cabo con un planteamiento equilibrado entre las Comisiones de Estudio 5 y 6 del UIT-R,</w:t>
      </w:r>
    </w:p>
    <w:p w14:paraId="09B44198" w14:textId="7C0DD4A8" w:rsidR="007A7DF3" w:rsidRPr="00A665BE" w:rsidRDefault="007A7DF3" w:rsidP="00EA1F31">
      <w:pPr>
        <w:pStyle w:val="Call"/>
        <w:rPr>
          <w:lang w:val="es-ES"/>
        </w:rPr>
      </w:pPr>
      <w:r w:rsidRPr="00A665BE">
        <w:rPr>
          <w:lang w:val="es-ES"/>
        </w:rPr>
        <w:t>reconociendo</w:t>
      </w:r>
    </w:p>
    <w:p w14:paraId="63452794" w14:textId="415973C9" w:rsidR="007A7DF3" w:rsidRPr="00564FF1" w:rsidRDefault="007A7DF3" w:rsidP="00EA1F31">
      <w:pPr>
        <w:rPr>
          <w:rFonts w:eastAsia="MS Mincho"/>
          <w:lang w:val="es-ES_tradnl"/>
        </w:rPr>
      </w:pPr>
      <w:r w:rsidRPr="001F3073">
        <w:rPr>
          <w:lang w:val="es-ES_tradnl"/>
        </w:rPr>
        <w:t>que la CRR-06 estableció un Acuerdo y un Plan conexo en la banda de frecuencias de 470-862 MHz para la Región 1, excepto Mongolia y la República Islámica del Irán</w:t>
      </w:r>
      <w:r w:rsidR="00C04CEA">
        <w:rPr>
          <w:lang w:val="es-ES_tradnl"/>
        </w:rPr>
        <w:t>,</w:t>
      </w:r>
    </w:p>
    <w:p w14:paraId="6F0C3DEB" w14:textId="77777777" w:rsidR="007A7DF3" w:rsidRPr="00A665BE" w:rsidRDefault="007A7DF3" w:rsidP="00EA1F31">
      <w:pPr>
        <w:pStyle w:val="Call"/>
        <w:rPr>
          <w:lang w:val="es-ES"/>
        </w:rPr>
      </w:pPr>
      <w:r w:rsidRPr="00A665BE">
        <w:rPr>
          <w:lang w:val="es-ES"/>
        </w:rPr>
        <w:t>decide</w:t>
      </w:r>
    </w:p>
    <w:p w14:paraId="43B04274" w14:textId="5E987BAB" w:rsidR="007A7DF3" w:rsidRPr="00C04CEA" w:rsidRDefault="007A7DF3" w:rsidP="00EA1F31">
      <w:pPr>
        <w:rPr>
          <w:lang w:val="es-ES_tradnl"/>
        </w:rPr>
      </w:pPr>
      <w:r w:rsidRPr="00C04CEA">
        <w:rPr>
          <w:lang w:val="es-ES_tradnl"/>
        </w:rPr>
        <w:t>1</w:t>
      </w:r>
      <w:r w:rsidRPr="00C04CEA">
        <w:rPr>
          <w:lang w:val="es-ES_tradnl"/>
        </w:rPr>
        <w:tab/>
        <w:t xml:space="preserve">invitar a la Comisión de Estudio </w:t>
      </w:r>
      <w:r w:rsidR="00C04CEA" w:rsidRPr="00C04CEA">
        <w:rPr>
          <w:lang w:val="es-ES_tradnl"/>
        </w:rPr>
        <w:t>6</w:t>
      </w:r>
      <w:r w:rsidRPr="00C04CEA">
        <w:rPr>
          <w:lang w:val="es-ES_tradnl"/>
        </w:rPr>
        <w:t xml:space="preserve"> a crear un Grupo de Tareas Especiales (GTE 6/1), en el que se invite a participar activamente a todas las partes interesadas en las bandas de frecuencias y servicios mencionados en la Resolución</w:t>
      </w:r>
      <w:r w:rsidR="00C04CEA" w:rsidRPr="00C04CEA">
        <w:rPr>
          <w:lang w:val="es-ES_tradnl"/>
        </w:rPr>
        <w:t xml:space="preserve"> </w:t>
      </w:r>
      <w:r w:rsidRPr="00564FF1">
        <w:rPr>
          <w:rFonts w:eastAsia="MS Mincho" w:cs="Times New Roman"/>
          <w:b/>
          <w:bCs/>
          <w:szCs w:val="24"/>
          <w:lang w:val="es-ES_tradnl"/>
        </w:rPr>
        <w:t>235</w:t>
      </w:r>
      <w:r w:rsidRPr="00C04CEA">
        <w:rPr>
          <w:b/>
          <w:bCs/>
          <w:lang w:val="es-ES_tradnl"/>
        </w:rPr>
        <w:t> (</w:t>
      </w:r>
      <w:r w:rsidRPr="00C04CEA">
        <w:rPr>
          <w:b/>
          <w:bCs/>
          <w:iCs/>
          <w:lang w:val="es-ES_tradnl"/>
        </w:rPr>
        <w:t>CMR</w:t>
      </w:r>
      <w:r w:rsidRPr="00C04CEA">
        <w:rPr>
          <w:b/>
          <w:bCs/>
          <w:lang w:val="es-ES_tradnl"/>
        </w:rPr>
        <w:t>-15)</w:t>
      </w:r>
      <w:r w:rsidRPr="00C04CEA">
        <w:rPr>
          <w:lang w:val="es-ES_tradnl"/>
        </w:rPr>
        <w:t>, y que será el grupo encargado del punto 1.5 del orden del día de la CMR-23 con el mandato que se estipula a continuación;</w:t>
      </w:r>
    </w:p>
    <w:p w14:paraId="5BF22D23" w14:textId="77777777" w:rsidR="007A7DF3" w:rsidRPr="00C04CEA" w:rsidRDefault="007A7DF3" w:rsidP="00EA1F31">
      <w:pPr>
        <w:rPr>
          <w:lang w:val="es-ES_tradnl"/>
        </w:rPr>
      </w:pPr>
      <w:r w:rsidRPr="00C04CEA">
        <w:rPr>
          <w:lang w:val="es-ES_tradnl"/>
        </w:rPr>
        <w:t>2</w:t>
      </w:r>
      <w:r w:rsidRPr="00C04CEA">
        <w:rPr>
          <w:lang w:val="es-ES_tradnl"/>
        </w:rPr>
        <w:tab/>
        <w:t xml:space="preserve">que el Grupo de Trabajo 6A realice y finalice los estudios para examinar la utilización del espectro y estudiar las necesidades de espectro del servicio de radiodifusión, teniendo en cuenta la utilización y las necesidades de los países que son parte en el Acuerdo GE06, en la banda de frecuencias 470-960 MHz en la Región 1, de conformidad con el </w:t>
      </w:r>
      <w:r w:rsidRPr="00C04CEA">
        <w:rPr>
          <w:i/>
          <w:iCs/>
          <w:lang w:val="es-ES_tradnl"/>
        </w:rPr>
        <w:t>resuelve invitar al UIT-R</w:t>
      </w:r>
      <w:r w:rsidRPr="00C04CEA">
        <w:rPr>
          <w:lang w:val="es-ES_tradnl"/>
        </w:rPr>
        <w:t xml:space="preserve"> 1 de la Resolución </w:t>
      </w:r>
      <w:r w:rsidRPr="00C04CEA">
        <w:rPr>
          <w:b/>
          <w:bCs/>
          <w:lang w:val="es-ES_tradnl"/>
        </w:rPr>
        <w:t>235 (CMR-15)</w:t>
      </w:r>
      <w:r w:rsidRPr="00C04CEA">
        <w:rPr>
          <w:lang w:val="es-ES_tradnl"/>
        </w:rPr>
        <w:t xml:space="preserve"> e informe de los resultados de estos estudios al Grupo de Trabajo 6/1, a más tardar el 15 de mayo de 2021;</w:t>
      </w:r>
    </w:p>
    <w:p w14:paraId="74BA7F1D" w14:textId="77777777" w:rsidR="007A7DF3" w:rsidRPr="00C04CEA" w:rsidRDefault="007A7DF3" w:rsidP="00EA1F31">
      <w:pPr>
        <w:rPr>
          <w:rFonts w:eastAsia="MS Mincho" w:cs="Times New Roman"/>
          <w:szCs w:val="24"/>
          <w:lang w:val="es-ES_tradnl"/>
        </w:rPr>
      </w:pPr>
      <w:r w:rsidRPr="00C04CEA">
        <w:rPr>
          <w:lang w:val="es-ES_tradnl"/>
        </w:rPr>
        <w:t>3</w:t>
      </w:r>
      <w:r w:rsidRPr="00C04CEA">
        <w:rPr>
          <w:lang w:val="es-ES_tradnl"/>
        </w:rPr>
        <w:tab/>
        <w:t xml:space="preserve">que los Grupos de Trabajo pertinentes de la Comisión de Estudio 5 realicen y finalicen los estudios para examinar la utilización del espectro y estudiar las necesidades de espectro del servicio móvil (salvo móvil aeronáutico) en la banda de frecuencias 470-960 MHz en la Región 1, de conformidad con el </w:t>
      </w:r>
      <w:r w:rsidRPr="00C04CEA">
        <w:rPr>
          <w:i/>
          <w:iCs/>
          <w:lang w:val="es-ES_tradnl"/>
        </w:rPr>
        <w:t>resuelve invitar al UIT-R 1</w:t>
      </w:r>
      <w:r w:rsidRPr="00C04CEA">
        <w:rPr>
          <w:lang w:val="es-ES_tradnl"/>
        </w:rPr>
        <w:t xml:space="preserve"> de la Resolución </w:t>
      </w:r>
      <w:r w:rsidRPr="00C04CEA">
        <w:rPr>
          <w:b/>
          <w:bCs/>
          <w:lang w:val="es-ES_tradnl"/>
        </w:rPr>
        <w:t>235 (CMR-15)</w:t>
      </w:r>
      <w:r w:rsidRPr="00C04CEA">
        <w:rPr>
          <w:lang w:val="es-ES_tradnl"/>
        </w:rPr>
        <w:t xml:space="preserve"> e informen de los resultados de estos estudios al Grupo de Trabajo 6/1, a más tardar el 15 de mayo de </w:t>
      </w:r>
      <w:r w:rsidRPr="00C04CEA">
        <w:rPr>
          <w:rFonts w:eastAsia="MS Mincho" w:cs="Times New Roman"/>
          <w:szCs w:val="24"/>
          <w:lang w:val="es-ES_tradnl"/>
        </w:rPr>
        <w:t>2021;</w:t>
      </w:r>
    </w:p>
    <w:p w14:paraId="31AB6EDA" w14:textId="77777777" w:rsidR="007A7DF3" w:rsidRPr="00C04CEA" w:rsidRDefault="007A7DF3" w:rsidP="00EA1F31">
      <w:pPr>
        <w:rPr>
          <w:rFonts w:cstheme="majorBidi"/>
          <w:lang w:val="es-ES_tradnl"/>
        </w:rPr>
      </w:pPr>
      <w:r w:rsidRPr="00C04CEA">
        <w:rPr>
          <w:rFonts w:eastAsia="MS Mincho"/>
          <w:lang w:val="es-ES_tradnl"/>
        </w:rPr>
        <w:t>4</w:t>
      </w:r>
      <w:r w:rsidRPr="00C04CEA">
        <w:rPr>
          <w:rFonts w:eastAsia="MS Mincho"/>
          <w:lang w:val="es-ES_tradnl"/>
        </w:rPr>
        <w:tab/>
        <w:t>que los Grupos de Trabajo contribuyentes del GTE 6/1 deben indicar las hipótesis en las que se basan los estudios (incluidos los parámetros del sistema y los modelos de propagación) y las características técnicas, en particular los criterios de protección del servicio de radiodifusión, del servicio móvil (salvo móvil aeronáutico) y otros servicios a los que está atribuida la banda de frecuencias de 470 694 MHz, a más tardar el 15 de mayo de 2021</w:t>
      </w:r>
      <w:r w:rsidRPr="00C04CEA">
        <w:rPr>
          <w:rFonts w:cstheme="majorBidi"/>
          <w:lang w:val="es-ES_tradnl"/>
        </w:rPr>
        <w:t>;</w:t>
      </w:r>
    </w:p>
    <w:p w14:paraId="5B89F7F2" w14:textId="1ACD43B6" w:rsidR="007A7DF3" w:rsidRPr="00C04CEA" w:rsidRDefault="007A7DF3" w:rsidP="00EA1F31">
      <w:pPr>
        <w:rPr>
          <w:lang w:val="es-ES_tradnl"/>
        </w:rPr>
      </w:pPr>
      <w:r w:rsidRPr="00C04CEA">
        <w:rPr>
          <w:lang w:val="es-ES_tradnl"/>
        </w:rPr>
        <w:t>5</w:t>
      </w:r>
      <w:r w:rsidRPr="00C04CEA">
        <w:rPr>
          <w:lang w:val="es-ES_tradnl"/>
        </w:rPr>
        <w:tab/>
        <w:t>que para llevar a cabo sus actividades, el GTE 6/1 se coordine, cuando sea preciso, con las Comisiones de Estudio y Grupos de Trabajo del UIT-R para recabar la información necesaria;</w:t>
      </w:r>
    </w:p>
    <w:p w14:paraId="56F9D54E" w14:textId="7715A2BF" w:rsidR="007A7DF3" w:rsidRPr="00C04CEA" w:rsidRDefault="007A7DF3" w:rsidP="00C04CEA">
      <w:pPr>
        <w:rPr>
          <w:lang w:val="es-ES_tradnl"/>
        </w:rPr>
      </w:pPr>
      <w:r w:rsidRPr="00C04CEA">
        <w:rPr>
          <w:lang w:val="es-ES_tradnl"/>
        </w:rPr>
        <w:lastRenderedPageBreak/>
        <w:t>6</w:t>
      </w:r>
      <w:r w:rsidRPr="00C04CEA">
        <w:rPr>
          <w:lang w:val="es-ES_tradnl"/>
        </w:rPr>
        <w:tab/>
        <w:t xml:space="preserve">que el GTE 6/1 es responsable de realizar los estudios de compartición y compatibilidad, de conformidad con los </w:t>
      </w:r>
      <w:r w:rsidRPr="00C04CEA">
        <w:rPr>
          <w:i/>
          <w:iCs/>
          <w:lang w:val="es-ES_tradnl"/>
        </w:rPr>
        <w:t xml:space="preserve">resuelve invitar al UIT-R </w:t>
      </w:r>
      <w:r w:rsidRPr="00C04CEA">
        <w:rPr>
          <w:rFonts w:eastAsia="MS Mincho"/>
          <w:lang w:val="es-ES_tradnl"/>
        </w:rPr>
        <w:t xml:space="preserve">2 y 3 de </w:t>
      </w:r>
      <w:r w:rsidRPr="00C04CEA">
        <w:rPr>
          <w:lang w:val="es-ES_tradnl"/>
        </w:rPr>
        <w:t xml:space="preserve">la Resolución </w:t>
      </w:r>
      <w:r w:rsidRPr="00C04CEA">
        <w:rPr>
          <w:rFonts w:eastAsia="MS Mincho"/>
          <w:b/>
          <w:bCs/>
          <w:lang w:val="es-ES_tradnl"/>
        </w:rPr>
        <w:t>235</w:t>
      </w:r>
      <w:r w:rsidRPr="00C04CEA">
        <w:rPr>
          <w:b/>
          <w:bCs/>
          <w:lang w:val="es-ES_tradnl"/>
        </w:rPr>
        <w:t xml:space="preserve"> (CMR</w:t>
      </w:r>
      <w:r w:rsidRPr="00C04CEA">
        <w:rPr>
          <w:b/>
          <w:bCs/>
          <w:lang w:val="es-ES_tradnl"/>
        </w:rPr>
        <w:noBreakHyphen/>
        <w:t>15)</w:t>
      </w:r>
      <w:r w:rsidRPr="00C04CEA">
        <w:rPr>
          <w:lang w:val="es-ES_tradnl"/>
        </w:rPr>
        <w:t xml:space="preserve">, de conformidad con los </w:t>
      </w:r>
      <w:r w:rsidRPr="00C04CEA">
        <w:rPr>
          <w:i/>
          <w:iCs/>
          <w:lang w:val="es-ES_tradnl"/>
        </w:rPr>
        <w:t>decide</w:t>
      </w:r>
      <w:r w:rsidRPr="00C04CEA">
        <w:rPr>
          <w:lang w:val="es-ES_tradnl"/>
        </w:rPr>
        <w:t xml:space="preserve"> 2 a</w:t>
      </w:r>
      <w:r w:rsidRPr="00C04CEA">
        <w:rPr>
          <w:rFonts w:eastAsia="MS Mincho" w:cs="Times New Roman"/>
          <w:lang w:val="es-ES_tradnl"/>
        </w:rPr>
        <w:t xml:space="preserve"> 5</w:t>
      </w:r>
      <w:r w:rsidRPr="00C04CEA">
        <w:rPr>
          <w:lang w:val="es-ES_tradnl"/>
        </w:rPr>
        <w:t xml:space="preserve"> anteriores, y de elaborar el proyecto de texto de la RPC relativo al punto 1.5 del orden del día de la CMR-23, y que presente dicho texto directamente a la RPC-23, de conformidad con el § A.1.3.1.5</w:t>
      </w:r>
      <w:r w:rsidRPr="00C04CEA">
        <w:rPr>
          <w:i/>
          <w:iCs/>
          <w:lang w:val="es-ES_tradnl"/>
        </w:rPr>
        <w:t>bis</w:t>
      </w:r>
      <w:r w:rsidRPr="00C04CEA">
        <w:rPr>
          <w:lang w:val="es-ES_tradnl"/>
        </w:rPr>
        <w:t xml:space="preserve"> de la Resolución UIT-R 1-8 y la Resolución UIT-R 2-8</w:t>
      </w:r>
      <w:r w:rsidR="00654E78">
        <w:rPr>
          <w:lang w:val="es-ES_tradnl"/>
        </w:rPr>
        <w:t>;</w:t>
      </w:r>
    </w:p>
    <w:p w14:paraId="4978FBBC" w14:textId="77777777" w:rsidR="007A7DF3" w:rsidRPr="001F3073" w:rsidRDefault="007A7DF3" w:rsidP="00EA1F31">
      <w:pPr>
        <w:rPr>
          <w:rFonts w:eastAsia="MS Mincho"/>
          <w:lang w:val="es-ES_tradnl"/>
        </w:rPr>
      </w:pPr>
      <w:r w:rsidRPr="001F3073">
        <w:rPr>
          <w:rFonts w:eastAsia="MS Mincho"/>
          <w:lang w:val="es-ES_tradnl"/>
        </w:rPr>
        <w:t>7</w:t>
      </w:r>
      <w:r w:rsidRPr="001F3073">
        <w:rPr>
          <w:rFonts w:eastAsia="MS Mincho"/>
          <w:lang w:val="es-ES_tradnl"/>
        </w:rPr>
        <w:tab/>
        <w:t>invitar a la Comisión de Estudio 6 a nombrar un Presidente y a la Comisión de Estudio 5 a nombrar un Vicepresidente; se invita al Vicepresidente a coordinar la elaboración del proyecto de texto de la RPC relativo al punto 1.5 del orden del día;</w:t>
      </w:r>
    </w:p>
    <w:p w14:paraId="415E3270" w14:textId="5B67A48E" w:rsidR="007A7DF3" w:rsidRPr="00A665BE" w:rsidRDefault="007A7DF3" w:rsidP="00EA1F31">
      <w:pPr>
        <w:rPr>
          <w:lang w:val="es-ES"/>
        </w:rPr>
      </w:pPr>
      <w:r w:rsidRPr="00B71365">
        <w:rPr>
          <w:lang w:val="es-ES_tradnl"/>
        </w:rPr>
        <w:t>8</w:t>
      </w:r>
      <w:r w:rsidRPr="00B71365">
        <w:rPr>
          <w:lang w:val="es-ES_tradnl"/>
        </w:rPr>
        <w:tab/>
        <w:t>que las reuniones del GTE 6</w:t>
      </w:r>
      <w:r w:rsidR="00C04CEA">
        <w:rPr>
          <w:lang w:val="es-ES_tradnl"/>
        </w:rPr>
        <w:t>/1</w:t>
      </w:r>
      <w:r w:rsidRPr="00B71365">
        <w:rPr>
          <w:lang w:val="es-ES_tradnl"/>
        </w:rPr>
        <w:t xml:space="preserve"> se programen, en la medida de lo posible, sin que coincidan con las reuniones ordinarias de los Grupos de Trabajo de las Comisiones de Estudio 5 y 6, pero en fechas adyacentes y en el mismo lugar que estos Grupos de Trabajo </w:t>
      </w:r>
      <w:r w:rsidR="003F05FF">
        <w:rPr>
          <w:lang w:val="es-ES_tradnl"/>
        </w:rPr>
        <w:t xml:space="preserve">de la Comisión de Estudio 6 </w:t>
      </w:r>
      <w:r w:rsidRPr="00B71365">
        <w:rPr>
          <w:lang w:val="es-ES_tradnl"/>
        </w:rPr>
        <w:t>para facilitar al máximo la participación de las delegaciones;</w:t>
      </w:r>
    </w:p>
    <w:p w14:paraId="55C1D60B" w14:textId="699052F3" w:rsidR="007A7DF3" w:rsidRPr="001F3073" w:rsidRDefault="007A7DF3" w:rsidP="00EA1F31">
      <w:pPr>
        <w:rPr>
          <w:lang w:val="es-ES_tradnl"/>
        </w:rPr>
      </w:pPr>
      <w:r w:rsidRPr="001F3073">
        <w:rPr>
          <w:lang w:val="es-ES_tradnl"/>
        </w:rPr>
        <w:t>9</w:t>
      </w:r>
      <w:r w:rsidRPr="001F3073">
        <w:rPr>
          <w:lang w:val="es-ES_tradnl"/>
        </w:rPr>
        <w:tab/>
        <w:t>que el GTE 6/1 celebre de 5 a 6 reuniones, según sea necesario para completar los trabajos, antes de que venza el plazo para la presentación del proyecto de texto de la RPC.</w:t>
      </w:r>
    </w:p>
    <w:p w14:paraId="2FA555FC" w14:textId="77777777" w:rsidR="007A7DF3" w:rsidRPr="001F3073" w:rsidRDefault="007A7DF3" w:rsidP="00EA1F31">
      <w:pPr>
        <w:rPr>
          <w:lang w:val="es-ES_tradnl"/>
        </w:rPr>
      </w:pPr>
      <w:r w:rsidRPr="001F3073">
        <w:rPr>
          <w:lang w:val="es-ES_tradnl"/>
        </w:rPr>
        <w:br w:type="page"/>
      </w:r>
    </w:p>
    <w:p w14:paraId="74E07BFC" w14:textId="77777777" w:rsidR="007A7DF3" w:rsidRPr="004A5136" w:rsidRDefault="007A7DF3" w:rsidP="00C04CEA">
      <w:pPr>
        <w:pStyle w:val="AnnexNo"/>
        <w:rPr>
          <w:lang w:val="es-ES"/>
        </w:rPr>
      </w:pPr>
      <w:r w:rsidRPr="004A5136">
        <w:rPr>
          <w:lang w:val="es-ES"/>
        </w:rPr>
        <w:lastRenderedPageBreak/>
        <w:t>ANEXO 10</w:t>
      </w:r>
    </w:p>
    <w:p w14:paraId="630171C6" w14:textId="37A28B36" w:rsidR="007A7DF3" w:rsidRPr="004A5136" w:rsidRDefault="007A7DF3" w:rsidP="00C04CEA">
      <w:pPr>
        <w:pStyle w:val="Annextitle0"/>
        <w:rPr>
          <w:lang w:val="es-ES"/>
        </w:rPr>
      </w:pPr>
      <w:r w:rsidRPr="004A5136">
        <w:rPr>
          <w:lang w:val="es-ES"/>
        </w:rPr>
        <w:t>Esquema del proyecto de Informe de la RPC a la CMR-23</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5087"/>
        <w:gridCol w:w="1559"/>
        <w:gridCol w:w="1489"/>
      </w:tblGrid>
      <w:tr w:rsidR="007A7DF3" w:rsidRPr="00CE4E08" w14:paraId="721BEE0E" w14:textId="77777777" w:rsidTr="00EA7324">
        <w:trPr>
          <w:tblHeader/>
        </w:trPr>
        <w:tc>
          <w:tcPr>
            <w:tcW w:w="1271" w:type="dxa"/>
            <w:vMerge w:val="restart"/>
            <w:vAlign w:val="center"/>
          </w:tcPr>
          <w:p w14:paraId="6761C4C9" w14:textId="77777777" w:rsidR="007A7DF3" w:rsidRPr="00B71365" w:rsidRDefault="007A7DF3" w:rsidP="00100121">
            <w:pPr>
              <w:pStyle w:val="Tablehead"/>
              <w:rPr>
                <w:lang w:val="es-ES_tradnl"/>
              </w:rPr>
            </w:pPr>
            <w:bookmarkStart w:id="70" w:name="_Hlk27042270"/>
            <w:r w:rsidRPr="00B71365">
              <w:rPr>
                <w:lang w:val="es-ES_tradnl"/>
              </w:rPr>
              <w:t>Puntos del orden del día de la CMR-23</w:t>
            </w:r>
          </w:p>
        </w:tc>
        <w:tc>
          <w:tcPr>
            <w:tcW w:w="9002" w:type="dxa"/>
            <w:gridSpan w:val="4"/>
            <w:vAlign w:val="center"/>
          </w:tcPr>
          <w:p w14:paraId="2CC73A7F" w14:textId="77777777" w:rsidR="007A7DF3" w:rsidRPr="00B71365" w:rsidRDefault="007A7DF3" w:rsidP="00100121">
            <w:pPr>
              <w:pStyle w:val="Tablehead"/>
              <w:rPr>
                <w:lang w:val="es-ES_tradnl"/>
              </w:rPr>
            </w:pPr>
            <w:r w:rsidRPr="00B71365">
              <w:rPr>
                <w:lang w:val="es-ES_tradnl"/>
              </w:rPr>
              <w:t>Proyecto de Informe de la RPC a la CMR-23</w:t>
            </w:r>
          </w:p>
        </w:tc>
      </w:tr>
      <w:tr w:rsidR="007A7DF3" w:rsidRPr="001F3073" w14:paraId="793FAC6E" w14:textId="77777777" w:rsidTr="00EA7324">
        <w:trPr>
          <w:tblHeader/>
        </w:trPr>
        <w:tc>
          <w:tcPr>
            <w:tcW w:w="1271" w:type="dxa"/>
            <w:vMerge/>
            <w:vAlign w:val="center"/>
          </w:tcPr>
          <w:p w14:paraId="348879B6" w14:textId="77777777" w:rsidR="007A7DF3" w:rsidRPr="00B71365" w:rsidRDefault="007A7DF3" w:rsidP="00100121">
            <w:pPr>
              <w:pStyle w:val="Tablehead"/>
              <w:rPr>
                <w:lang w:val="es-ES_tradnl"/>
              </w:rPr>
            </w:pPr>
          </w:p>
        </w:tc>
        <w:tc>
          <w:tcPr>
            <w:tcW w:w="867" w:type="dxa"/>
            <w:vAlign w:val="center"/>
          </w:tcPr>
          <w:p w14:paraId="31D86F56" w14:textId="1BFD8DA5" w:rsidR="007A7DF3" w:rsidRPr="00B71365" w:rsidRDefault="007A7DF3" w:rsidP="00100121">
            <w:pPr>
              <w:pStyle w:val="Tablehead"/>
              <w:rPr>
                <w:lang w:val="es-ES_tradnl"/>
              </w:rPr>
            </w:pPr>
            <w:r w:rsidRPr="00B71365">
              <w:rPr>
                <w:lang w:val="es-ES_tradnl"/>
              </w:rPr>
              <w:t>Sección</w:t>
            </w:r>
          </w:p>
        </w:tc>
        <w:tc>
          <w:tcPr>
            <w:tcW w:w="5087" w:type="dxa"/>
            <w:vAlign w:val="center"/>
          </w:tcPr>
          <w:p w14:paraId="0217D5CA" w14:textId="77777777" w:rsidR="007A7DF3" w:rsidRPr="00B71365" w:rsidRDefault="007A7DF3" w:rsidP="00100121">
            <w:pPr>
              <w:pStyle w:val="Tablehead"/>
              <w:rPr>
                <w:lang w:val="es-ES_tradnl"/>
              </w:rPr>
            </w:pPr>
            <w:r w:rsidRPr="00C04CEA">
              <w:rPr>
                <w:lang w:val="es-ES_tradnl"/>
              </w:rPr>
              <w:t>Punto del orden del día/</w:t>
            </w:r>
            <w:r w:rsidRPr="00654E78">
              <w:rPr>
                <w:lang w:val="es-ES_tradnl"/>
              </w:rPr>
              <w:t>Tema</w:t>
            </w:r>
          </w:p>
        </w:tc>
        <w:tc>
          <w:tcPr>
            <w:tcW w:w="1559" w:type="dxa"/>
            <w:vAlign w:val="center"/>
          </w:tcPr>
          <w:p w14:paraId="02ADDD4F" w14:textId="01F2F006" w:rsidR="007A7DF3" w:rsidRPr="00B71365" w:rsidRDefault="00B71365" w:rsidP="00100121">
            <w:pPr>
              <w:pStyle w:val="Tablehead"/>
              <w:rPr>
                <w:lang w:val="es-ES_tradnl"/>
              </w:rPr>
            </w:pPr>
            <w:r w:rsidRPr="00B71365">
              <w:rPr>
                <w:lang w:val="es-ES_tradnl"/>
              </w:rPr>
              <w:t>Referencia</w:t>
            </w:r>
          </w:p>
        </w:tc>
        <w:tc>
          <w:tcPr>
            <w:tcW w:w="1489" w:type="dxa"/>
            <w:vAlign w:val="center"/>
          </w:tcPr>
          <w:p w14:paraId="6E597739" w14:textId="77777777" w:rsidR="007A7DF3" w:rsidRPr="00B71365" w:rsidRDefault="007A7DF3" w:rsidP="00100121">
            <w:pPr>
              <w:pStyle w:val="Tablehead"/>
              <w:rPr>
                <w:lang w:val="es-ES_tradnl"/>
              </w:rPr>
            </w:pPr>
            <w:r w:rsidRPr="00B71365">
              <w:rPr>
                <w:lang w:val="es-ES_tradnl"/>
              </w:rPr>
              <w:t>Grupo responsable</w:t>
            </w:r>
          </w:p>
        </w:tc>
      </w:tr>
      <w:tr w:rsidR="00266E2D" w:rsidRPr="00CE4E08" w14:paraId="739A518D" w14:textId="77777777" w:rsidTr="00EA7324">
        <w:tc>
          <w:tcPr>
            <w:tcW w:w="10273" w:type="dxa"/>
            <w:gridSpan w:val="5"/>
            <w:vAlign w:val="center"/>
          </w:tcPr>
          <w:p w14:paraId="1AC6F95D" w14:textId="16B76B89" w:rsidR="00266E2D" w:rsidRPr="00B71365" w:rsidRDefault="00266E2D" w:rsidP="00B71365">
            <w:pPr>
              <w:pStyle w:val="Tablehead"/>
              <w:rPr>
                <w:lang w:val="es-ES_tradnl"/>
              </w:rPr>
            </w:pPr>
            <w:r w:rsidRPr="00B71365">
              <w:rPr>
                <w:lang w:val="es-ES_tradnl"/>
              </w:rPr>
              <w:t>Capítulo 1 – Temas relativos a los servicio fijo, móvil y de radiodifusión</w:t>
            </w:r>
          </w:p>
        </w:tc>
      </w:tr>
      <w:tr w:rsidR="007A7DF3" w:rsidRPr="00CE4E08" w14:paraId="20575CC2" w14:textId="77777777" w:rsidTr="00EA7324">
        <w:tc>
          <w:tcPr>
            <w:tcW w:w="1271" w:type="dxa"/>
          </w:tcPr>
          <w:p w14:paraId="02379519" w14:textId="77777777" w:rsidR="007A7DF3" w:rsidRPr="001F3073" w:rsidRDefault="007A7DF3" w:rsidP="00100121">
            <w:pPr>
              <w:pStyle w:val="Tabletext"/>
              <w:jc w:val="center"/>
              <w:rPr>
                <w:lang w:val="es-ES_tradnl"/>
              </w:rPr>
            </w:pPr>
            <w:r w:rsidRPr="001F3073">
              <w:rPr>
                <w:lang w:val="es-ES_tradnl"/>
              </w:rPr>
              <w:t>1.1</w:t>
            </w:r>
          </w:p>
        </w:tc>
        <w:tc>
          <w:tcPr>
            <w:tcW w:w="867" w:type="dxa"/>
          </w:tcPr>
          <w:p w14:paraId="295F91C3" w14:textId="77777777" w:rsidR="007A7DF3" w:rsidRPr="001F3073" w:rsidRDefault="007A7DF3" w:rsidP="00100121">
            <w:pPr>
              <w:pStyle w:val="Tabletext"/>
              <w:jc w:val="center"/>
              <w:rPr>
                <w:lang w:val="es-ES_tradnl"/>
              </w:rPr>
            </w:pPr>
            <w:r w:rsidRPr="001F3073">
              <w:rPr>
                <w:lang w:val="es-ES_tradnl"/>
              </w:rPr>
              <w:t>1/1.1</w:t>
            </w:r>
          </w:p>
        </w:tc>
        <w:tc>
          <w:tcPr>
            <w:tcW w:w="5087" w:type="dxa"/>
          </w:tcPr>
          <w:p w14:paraId="5267A9BA" w14:textId="77777777" w:rsidR="007A7DF3" w:rsidRPr="00B71365" w:rsidRDefault="007A7DF3" w:rsidP="00AC0ECF">
            <w:pPr>
              <w:pStyle w:val="Tabletext"/>
              <w:jc w:val="both"/>
              <w:rPr>
                <w:rFonts w:asciiTheme="minorHAnsi" w:hAnsiTheme="minorHAnsi"/>
                <w:lang w:val="es-ES_tradnl"/>
              </w:rPr>
            </w:pPr>
            <w:r w:rsidRPr="00B71365">
              <w:rPr>
                <w:rFonts w:eastAsia="MS Mincho"/>
                <w:bCs/>
                <w:lang w:val="es-ES_tradnl"/>
              </w:rPr>
              <w:t xml:space="preserve">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dfp del número </w:t>
            </w:r>
            <w:r w:rsidRPr="00C04CEA">
              <w:rPr>
                <w:rFonts w:eastAsia="MS Mincho"/>
                <w:b/>
                <w:lang w:val="es-ES_tradnl"/>
              </w:rPr>
              <w:t>5.441B</w:t>
            </w:r>
            <w:r w:rsidRPr="00B71365">
              <w:rPr>
                <w:rFonts w:eastAsia="MS Mincho"/>
                <w:bCs/>
                <w:lang w:val="es-ES_tradnl"/>
              </w:rPr>
              <w:t xml:space="preserve">, de conformidad con la Resolución </w:t>
            </w:r>
            <w:r w:rsidRPr="00B71365">
              <w:rPr>
                <w:rFonts w:eastAsia="MS Mincho"/>
                <w:b/>
                <w:lang w:val="es-ES_tradnl"/>
              </w:rPr>
              <w:t>223 (Rev.CMR-19)</w:t>
            </w:r>
            <w:r w:rsidRPr="00B71365">
              <w:rPr>
                <w:rFonts w:eastAsia="MS Mincho"/>
                <w:bCs/>
                <w:lang w:val="es-ES_tradnl"/>
              </w:rPr>
              <w:t>;</w:t>
            </w:r>
          </w:p>
        </w:tc>
        <w:tc>
          <w:tcPr>
            <w:tcW w:w="1559" w:type="dxa"/>
          </w:tcPr>
          <w:p w14:paraId="6DE724C7" w14:textId="25983EAF" w:rsidR="007A7DF3" w:rsidRPr="001F3073" w:rsidRDefault="00266E2D" w:rsidP="00100121">
            <w:pPr>
              <w:pStyle w:val="Tabletext"/>
              <w:jc w:val="center"/>
              <w:rPr>
                <w:lang w:val="es-ES_tradnl"/>
              </w:rPr>
            </w:pPr>
            <w:r w:rsidRPr="001F3073">
              <w:rPr>
                <w:lang w:val="es-ES_tradnl"/>
              </w:rPr>
              <w:t>Resolución</w:t>
            </w:r>
            <w:r w:rsidR="007A7DF3" w:rsidRPr="001F3073">
              <w:rPr>
                <w:lang w:val="es-ES_tradnl"/>
              </w:rPr>
              <w:t xml:space="preserve"> </w:t>
            </w:r>
            <w:r w:rsidR="007A7DF3" w:rsidRPr="001F3073">
              <w:rPr>
                <w:b/>
                <w:lang w:val="es-ES_tradnl"/>
              </w:rPr>
              <w:t>223 (Rev.</w:t>
            </w:r>
            <w:r w:rsidR="007A7DF3">
              <w:rPr>
                <w:b/>
                <w:lang w:val="es-ES_tradnl"/>
              </w:rPr>
              <w:t>CMR</w:t>
            </w:r>
            <w:r w:rsidR="007A7DF3" w:rsidRPr="001F3073">
              <w:rPr>
                <w:b/>
                <w:lang w:val="es-ES_tradnl"/>
              </w:rPr>
              <w:noBreakHyphen/>
              <w:t>19)</w:t>
            </w:r>
          </w:p>
        </w:tc>
        <w:tc>
          <w:tcPr>
            <w:tcW w:w="1489" w:type="dxa"/>
          </w:tcPr>
          <w:p w14:paraId="577AC8D3" w14:textId="68426E04" w:rsidR="007A7DF3" w:rsidRPr="001F3073" w:rsidRDefault="007A7DF3" w:rsidP="00100121">
            <w:pPr>
              <w:pStyle w:val="Tabletext"/>
              <w:jc w:val="center"/>
              <w:rPr>
                <w:lang w:val="es-ES_tradnl"/>
              </w:rPr>
            </w:pPr>
            <w:r w:rsidRPr="001F3073">
              <w:rPr>
                <w:b/>
                <w:lang w:val="es-ES_tradnl"/>
              </w:rPr>
              <w:t>GT</w:t>
            </w:r>
            <w:r w:rsidR="00C04CEA">
              <w:rPr>
                <w:b/>
                <w:lang w:val="es-ES_tradnl"/>
              </w:rPr>
              <w:t> </w:t>
            </w:r>
            <w:r w:rsidRPr="001F3073">
              <w:rPr>
                <w:b/>
                <w:lang w:val="es-ES_tradnl"/>
              </w:rPr>
              <w:t>5B</w:t>
            </w:r>
            <w:r w:rsidRPr="001F3073">
              <w:rPr>
                <w:lang w:val="es-ES_tradnl"/>
              </w:rPr>
              <w:t xml:space="preserve"> y </w:t>
            </w:r>
            <w:r w:rsidRPr="001F3073">
              <w:rPr>
                <w:b/>
                <w:lang w:val="es-ES_tradnl"/>
              </w:rPr>
              <w:t>GT</w:t>
            </w:r>
            <w:r w:rsidR="00C04CEA">
              <w:rPr>
                <w:b/>
                <w:lang w:val="es-ES_tradnl"/>
              </w:rPr>
              <w:t> </w:t>
            </w:r>
            <w:r w:rsidRPr="001F3073">
              <w:rPr>
                <w:b/>
                <w:lang w:val="es-ES_tradnl"/>
              </w:rPr>
              <w:t>5D</w:t>
            </w:r>
          </w:p>
          <w:p w14:paraId="1C771B19" w14:textId="03EC224A" w:rsidR="007A7DF3" w:rsidRPr="001F3073" w:rsidRDefault="007A7DF3" w:rsidP="00100121">
            <w:pPr>
              <w:pStyle w:val="Tabletext"/>
              <w:jc w:val="center"/>
              <w:rPr>
                <w:lang w:val="es-ES_tradnl"/>
              </w:rPr>
            </w:pPr>
            <w:r w:rsidRPr="001F3073">
              <w:rPr>
                <w:lang w:val="es-ES_tradnl"/>
              </w:rPr>
              <w:t xml:space="preserve">Nota: </w:t>
            </w:r>
            <w:r w:rsidR="00654E78" w:rsidRPr="001F3073">
              <w:rPr>
                <w:lang w:val="es-ES_tradnl"/>
              </w:rPr>
              <w:t xml:space="preserve">El </w:t>
            </w:r>
            <w:r w:rsidRPr="001F3073">
              <w:rPr>
                <w:lang w:val="es-ES_tradnl"/>
              </w:rPr>
              <w:t>GT</w:t>
            </w:r>
            <w:r w:rsidR="00654E78">
              <w:rPr>
                <w:lang w:val="es-ES_tradnl"/>
              </w:rPr>
              <w:t> </w:t>
            </w:r>
            <w:r w:rsidRPr="001F3073">
              <w:rPr>
                <w:lang w:val="es-ES_tradnl"/>
              </w:rPr>
              <w:t xml:space="preserve">5B y el GT 5D colaboran como se indica </w:t>
            </w:r>
            <w:r w:rsidRPr="001F3073">
              <w:rPr>
                <w:i/>
                <w:iCs/>
                <w:lang w:val="es-ES_tradnl"/>
              </w:rPr>
              <w:t>infra</w:t>
            </w:r>
            <w:r w:rsidR="00654E78" w:rsidRPr="003E2213">
              <w:rPr>
                <w:lang w:val="es-ES_tradnl"/>
              </w:rPr>
              <w:t>.</w:t>
            </w:r>
            <w:r w:rsidR="00654E78">
              <w:rPr>
                <w:rStyle w:val="FootnoteReference"/>
                <w:lang w:val="es-ES_tradnl"/>
              </w:rPr>
              <w:footnoteReference w:customMarkFollows="1" w:id="16"/>
              <w:t>1</w:t>
            </w:r>
          </w:p>
        </w:tc>
      </w:tr>
      <w:tr w:rsidR="007A7DF3" w:rsidRPr="001F3073" w14:paraId="43541747" w14:textId="77777777" w:rsidTr="00EA7324">
        <w:tc>
          <w:tcPr>
            <w:tcW w:w="1271" w:type="dxa"/>
          </w:tcPr>
          <w:p w14:paraId="528E4DAD" w14:textId="77777777" w:rsidR="007A7DF3" w:rsidRPr="001F3073" w:rsidRDefault="007A7DF3" w:rsidP="00100121">
            <w:pPr>
              <w:pStyle w:val="Tabletext"/>
              <w:jc w:val="center"/>
              <w:rPr>
                <w:lang w:val="es-ES_tradnl"/>
              </w:rPr>
            </w:pPr>
            <w:r w:rsidRPr="001F3073">
              <w:rPr>
                <w:lang w:val="es-ES_tradnl"/>
              </w:rPr>
              <w:t>1.2</w:t>
            </w:r>
          </w:p>
        </w:tc>
        <w:tc>
          <w:tcPr>
            <w:tcW w:w="867" w:type="dxa"/>
          </w:tcPr>
          <w:p w14:paraId="3846BF76" w14:textId="77777777" w:rsidR="007A7DF3" w:rsidRPr="001F3073" w:rsidRDefault="007A7DF3" w:rsidP="00100121">
            <w:pPr>
              <w:pStyle w:val="Tabletext"/>
              <w:jc w:val="center"/>
              <w:rPr>
                <w:lang w:val="es-ES_tradnl"/>
              </w:rPr>
            </w:pPr>
            <w:r w:rsidRPr="001F3073">
              <w:rPr>
                <w:lang w:val="es-ES_tradnl"/>
              </w:rPr>
              <w:t>1/1.2</w:t>
            </w:r>
          </w:p>
        </w:tc>
        <w:tc>
          <w:tcPr>
            <w:tcW w:w="5087" w:type="dxa"/>
          </w:tcPr>
          <w:p w14:paraId="0D2BF500" w14:textId="77777777" w:rsidR="007A7DF3" w:rsidRPr="00B71365" w:rsidRDefault="007A7DF3" w:rsidP="00AC0ECF">
            <w:pPr>
              <w:pStyle w:val="Tabletext"/>
              <w:jc w:val="both"/>
              <w:rPr>
                <w:rFonts w:eastAsia="MS Mincho"/>
                <w:lang w:val="es-ES_tradnl"/>
              </w:rPr>
            </w:pPr>
            <w:r w:rsidRPr="00B71365">
              <w:rPr>
                <w:rFonts w:eastAsia="MS Mincho"/>
                <w:bCs/>
                <w:lang w:val="es-ES_tradnl"/>
              </w:rPr>
              <w:t>considerar la identificación de las bandas de frecuencias 3 300-3 400 MHz, 3 600</w:t>
            </w:r>
            <w:r w:rsidRPr="00B71365">
              <w:rPr>
                <w:rFonts w:eastAsia="MS Mincho"/>
                <w:bCs/>
                <w:lang w:val="es-ES_tradnl"/>
              </w:rPr>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B71365">
              <w:rPr>
                <w:rFonts w:eastAsia="MS Mincho"/>
                <w:b/>
                <w:bCs/>
                <w:lang w:val="es-ES_tradnl"/>
              </w:rPr>
              <w:t>245 (CMR-19)</w:t>
            </w:r>
            <w:r w:rsidRPr="00B71365">
              <w:rPr>
                <w:rFonts w:eastAsia="MS Mincho"/>
                <w:bCs/>
                <w:lang w:val="es-ES_tradnl"/>
              </w:rPr>
              <w:t>;</w:t>
            </w:r>
          </w:p>
        </w:tc>
        <w:tc>
          <w:tcPr>
            <w:tcW w:w="1559" w:type="dxa"/>
          </w:tcPr>
          <w:p w14:paraId="6A62C063" w14:textId="77777777" w:rsidR="007A7DF3" w:rsidRPr="001F3073" w:rsidRDefault="007A7DF3" w:rsidP="00100121">
            <w:pPr>
              <w:pStyle w:val="Tabletext"/>
              <w:jc w:val="center"/>
              <w:rPr>
                <w:lang w:val="es-ES_tradnl"/>
              </w:rPr>
            </w:pPr>
            <w:r>
              <w:rPr>
                <w:lang w:val="es-ES_tradnl"/>
              </w:rPr>
              <w:t>Resolución</w:t>
            </w:r>
            <w:r w:rsidRPr="001F3073">
              <w:rPr>
                <w:lang w:val="es-ES_tradnl"/>
              </w:rPr>
              <w:t xml:space="preserve"> </w:t>
            </w:r>
            <w:r w:rsidRPr="001F3073">
              <w:rPr>
                <w:b/>
                <w:lang w:val="es-ES_tradnl"/>
              </w:rPr>
              <w:t>245 (</w:t>
            </w:r>
            <w:r>
              <w:rPr>
                <w:b/>
                <w:lang w:val="es-ES_tradnl"/>
              </w:rPr>
              <w:t>CMR</w:t>
            </w:r>
            <w:r w:rsidRPr="001F3073">
              <w:rPr>
                <w:b/>
                <w:lang w:val="es-ES_tradnl"/>
              </w:rPr>
              <w:noBreakHyphen/>
              <w:t>19)</w:t>
            </w:r>
          </w:p>
        </w:tc>
        <w:tc>
          <w:tcPr>
            <w:tcW w:w="1489" w:type="dxa"/>
          </w:tcPr>
          <w:p w14:paraId="697B896D" w14:textId="0D9C78B4"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5D</w:t>
            </w:r>
          </w:p>
        </w:tc>
      </w:tr>
      <w:tr w:rsidR="007A7DF3" w:rsidRPr="001F3073" w14:paraId="4481EF01" w14:textId="77777777" w:rsidTr="00EA7324">
        <w:tc>
          <w:tcPr>
            <w:tcW w:w="1271" w:type="dxa"/>
          </w:tcPr>
          <w:p w14:paraId="0C0DE23A" w14:textId="77777777" w:rsidR="007A7DF3" w:rsidRPr="001F3073" w:rsidRDefault="007A7DF3" w:rsidP="00100121">
            <w:pPr>
              <w:pStyle w:val="Tabletext"/>
              <w:jc w:val="center"/>
              <w:rPr>
                <w:lang w:val="es-ES_tradnl"/>
              </w:rPr>
            </w:pPr>
            <w:r w:rsidRPr="001F3073">
              <w:rPr>
                <w:lang w:val="es-ES_tradnl"/>
              </w:rPr>
              <w:t>1.3</w:t>
            </w:r>
          </w:p>
        </w:tc>
        <w:tc>
          <w:tcPr>
            <w:tcW w:w="867" w:type="dxa"/>
          </w:tcPr>
          <w:p w14:paraId="0BAC7FF9" w14:textId="77777777" w:rsidR="007A7DF3" w:rsidRPr="001F3073" w:rsidRDefault="007A7DF3" w:rsidP="00100121">
            <w:pPr>
              <w:pStyle w:val="Tabletext"/>
              <w:jc w:val="center"/>
              <w:rPr>
                <w:lang w:val="es-ES_tradnl"/>
              </w:rPr>
            </w:pPr>
            <w:r w:rsidRPr="001F3073">
              <w:rPr>
                <w:lang w:val="es-ES_tradnl"/>
              </w:rPr>
              <w:t>1/1.3</w:t>
            </w:r>
          </w:p>
        </w:tc>
        <w:tc>
          <w:tcPr>
            <w:tcW w:w="5087" w:type="dxa"/>
          </w:tcPr>
          <w:p w14:paraId="73B63012" w14:textId="77777777" w:rsidR="007A7DF3" w:rsidRPr="00B71365" w:rsidRDefault="007A7DF3" w:rsidP="00AC0ECF">
            <w:pPr>
              <w:pStyle w:val="Tabletext"/>
              <w:jc w:val="both"/>
              <w:rPr>
                <w:rFonts w:eastAsia="MS Mincho"/>
                <w:lang w:val="es-ES_tradnl"/>
              </w:rPr>
            </w:pPr>
            <w:r w:rsidRPr="00B71365">
              <w:rPr>
                <w:rFonts w:eastAsia="MS Mincho"/>
                <w:bCs/>
                <w:lang w:val="es-ES_tradnl"/>
              </w:rPr>
              <w:t xml:space="preserve">considerar la atribución a título primario de la banda de frecuencias 3 600-3 800 MHz al servicio móvil en la Región 1 y la adopción de las medidas reglamentarias convenientes, de conformidad con la Resolución </w:t>
            </w:r>
            <w:r w:rsidRPr="00B71365">
              <w:rPr>
                <w:rFonts w:eastAsia="MS Mincho"/>
                <w:b/>
                <w:lang w:val="es-ES_tradnl"/>
              </w:rPr>
              <w:t>246 (CMR-19)</w:t>
            </w:r>
            <w:r w:rsidRPr="00B71365">
              <w:rPr>
                <w:rFonts w:eastAsia="MS Mincho"/>
                <w:bCs/>
                <w:lang w:val="es-ES_tradnl"/>
              </w:rPr>
              <w:t>;</w:t>
            </w:r>
          </w:p>
        </w:tc>
        <w:tc>
          <w:tcPr>
            <w:tcW w:w="1559" w:type="dxa"/>
          </w:tcPr>
          <w:p w14:paraId="2F5F20B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246 (</w:t>
            </w:r>
            <w:r>
              <w:rPr>
                <w:b/>
                <w:lang w:val="es-ES_tradnl"/>
              </w:rPr>
              <w:t>CMR</w:t>
            </w:r>
            <w:r w:rsidRPr="001F3073">
              <w:rPr>
                <w:b/>
                <w:lang w:val="es-ES_tradnl"/>
              </w:rPr>
              <w:noBreakHyphen/>
              <w:t>19)</w:t>
            </w:r>
          </w:p>
        </w:tc>
        <w:tc>
          <w:tcPr>
            <w:tcW w:w="1489" w:type="dxa"/>
          </w:tcPr>
          <w:p w14:paraId="6F77082F" w14:textId="16E14BF4"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5A</w:t>
            </w:r>
          </w:p>
        </w:tc>
      </w:tr>
      <w:tr w:rsidR="007A7DF3" w:rsidRPr="001F3073" w14:paraId="133E3731" w14:textId="77777777" w:rsidTr="00EA7324">
        <w:tc>
          <w:tcPr>
            <w:tcW w:w="1271" w:type="dxa"/>
          </w:tcPr>
          <w:p w14:paraId="47BAE3FC" w14:textId="77777777" w:rsidR="007A7DF3" w:rsidRPr="001F3073" w:rsidRDefault="007A7DF3" w:rsidP="00100121">
            <w:pPr>
              <w:pStyle w:val="Tabletext"/>
              <w:jc w:val="center"/>
              <w:rPr>
                <w:lang w:val="es-ES_tradnl"/>
              </w:rPr>
            </w:pPr>
            <w:r w:rsidRPr="001F3073">
              <w:rPr>
                <w:lang w:val="es-ES_tradnl"/>
              </w:rPr>
              <w:t>1.4</w:t>
            </w:r>
          </w:p>
        </w:tc>
        <w:tc>
          <w:tcPr>
            <w:tcW w:w="867" w:type="dxa"/>
          </w:tcPr>
          <w:p w14:paraId="67C92697" w14:textId="77777777" w:rsidR="007A7DF3" w:rsidRPr="001F3073" w:rsidRDefault="007A7DF3" w:rsidP="00100121">
            <w:pPr>
              <w:pStyle w:val="Tabletext"/>
              <w:jc w:val="center"/>
              <w:rPr>
                <w:lang w:val="es-ES_tradnl"/>
              </w:rPr>
            </w:pPr>
            <w:r w:rsidRPr="001F3073">
              <w:rPr>
                <w:lang w:val="es-ES_tradnl"/>
              </w:rPr>
              <w:t>1/1.4</w:t>
            </w:r>
          </w:p>
        </w:tc>
        <w:tc>
          <w:tcPr>
            <w:tcW w:w="5087" w:type="dxa"/>
          </w:tcPr>
          <w:p w14:paraId="2ADA6C36" w14:textId="77777777" w:rsidR="007A7DF3" w:rsidRPr="00B71365" w:rsidRDefault="007A7DF3" w:rsidP="00AC0ECF">
            <w:pPr>
              <w:pStyle w:val="Tabletext"/>
              <w:jc w:val="both"/>
              <w:rPr>
                <w:lang w:val="es-ES_tradnl"/>
              </w:rPr>
            </w:pPr>
            <w:r w:rsidRPr="00B71365">
              <w:rPr>
                <w:lang w:val="es-ES_tradnl"/>
              </w:rPr>
              <w:t xml:space="preserve">considerar, de conformidad con la Resolución </w:t>
            </w:r>
            <w:r w:rsidRPr="00B71365">
              <w:rPr>
                <w:b/>
                <w:bCs/>
                <w:lang w:val="es-ES_tradnl"/>
              </w:rPr>
              <w:t xml:space="preserve">247 </w:t>
            </w:r>
            <w:r w:rsidRPr="00B71365">
              <w:rPr>
                <w:b/>
                <w:lang w:val="es-ES_tradnl"/>
              </w:rPr>
              <w:t>(CMR-19)</w:t>
            </w:r>
            <w:r w:rsidRPr="00B71365">
              <w:rPr>
                <w:lang w:val="es-ES_tradnl"/>
              </w:rPr>
              <w:t xml:space="preserve">, la utilización de estaciones en plataformas a gran altitud como estaciones base IMT (HIBS) del servicio móvil en ciertas bandas </w:t>
            </w:r>
            <w:r w:rsidRPr="00B71365">
              <w:rPr>
                <w:bCs/>
                <w:lang w:val="es-ES_tradnl"/>
              </w:rPr>
              <w:t xml:space="preserve">de frecuencias </w:t>
            </w:r>
            <w:r w:rsidRPr="00B71365">
              <w:rPr>
                <w:lang w:val="es-ES_tradnl"/>
              </w:rPr>
              <w:t>por debajo de 2,7 GHz ya identificadas para las IMT, a nivel mundial o regional;</w:t>
            </w:r>
          </w:p>
        </w:tc>
        <w:tc>
          <w:tcPr>
            <w:tcW w:w="1559" w:type="dxa"/>
          </w:tcPr>
          <w:p w14:paraId="1876290A"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247 (</w:t>
            </w:r>
            <w:r>
              <w:rPr>
                <w:b/>
                <w:lang w:val="es-ES_tradnl"/>
              </w:rPr>
              <w:t>CMR</w:t>
            </w:r>
            <w:r w:rsidRPr="001F3073">
              <w:rPr>
                <w:b/>
                <w:lang w:val="es-ES_tradnl"/>
              </w:rPr>
              <w:noBreakHyphen/>
              <w:t>19)</w:t>
            </w:r>
          </w:p>
        </w:tc>
        <w:tc>
          <w:tcPr>
            <w:tcW w:w="1489" w:type="dxa"/>
          </w:tcPr>
          <w:p w14:paraId="08111ACF" w14:textId="6C02DF05"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5D</w:t>
            </w:r>
          </w:p>
        </w:tc>
      </w:tr>
      <w:tr w:rsidR="007A7DF3" w:rsidRPr="00CE4E08" w14:paraId="308832B4" w14:textId="77777777" w:rsidTr="00EA7324">
        <w:tc>
          <w:tcPr>
            <w:tcW w:w="1271" w:type="dxa"/>
          </w:tcPr>
          <w:p w14:paraId="54D80AEC" w14:textId="77777777" w:rsidR="007A7DF3" w:rsidRPr="001F3073" w:rsidRDefault="007A7DF3" w:rsidP="00100121">
            <w:pPr>
              <w:pStyle w:val="Tabletext"/>
              <w:jc w:val="center"/>
              <w:rPr>
                <w:lang w:val="es-ES_tradnl"/>
              </w:rPr>
            </w:pPr>
            <w:r w:rsidRPr="001F3073">
              <w:rPr>
                <w:lang w:val="es-ES_tradnl"/>
              </w:rPr>
              <w:t>1.5</w:t>
            </w:r>
          </w:p>
        </w:tc>
        <w:tc>
          <w:tcPr>
            <w:tcW w:w="867" w:type="dxa"/>
          </w:tcPr>
          <w:p w14:paraId="7F27DB71" w14:textId="77777777" w:rsidR="007A7DF3" w:rsidRPr="001F3073" w:rsidRDefault="007A7DF3" w:rsidP="00100121">
            <w:pPr>
              <w:pStyle w:val="Tabletext"/>
              <w:jc w:val="center"/>
              <w:rPr>
                <w:lang w:val="es-ES_tradnl"/>
              </w:rPr>
            </w:pPr>
            <w:r w:rsidRPr="001F3073">
              <w:rPr>
                <w:lang w:val="es-ES_tradnl"/>
              </w:rPr>
              <w:t>1/1.5</w:t>
            </w:r>
          </w:p>
        </w:tc>
        <w:tc>
          <w:tcPr>
            <w:tcW w:w="5087" w:type="dxa"/>
          </w:tcPr>
          <w:p w14:paraId="104D3FA3" w14:textId="4532C50B" w:rsidR="007A7DF3" w:rsidRPr="00B71365" w:rsidRDefault="007A7DF3" w:rsidP="00AC0ECF">
            <w:pPr>
              <w:pStyle w:val="Tabletext"/>
              <w:keepLines/>
              <w:jc w:val="both"/>
              <w:rPr>
                <w:lang w:val="es-ES_tradnl"/>
              </w:rPr>
            </w:pPr>
            <w:r w:rsidRPr="00B71365">
              <w:rPr>
                <w:lang w:val="es-ES_tradnl"/>
              </w:rPr>
              <w:t>examinar la utilización del espectro y las necesidades de espectro de los servicios existentes en la banda de frecuencias 470-960 MHz en la Región 1 y considerar posibles medidas reglamentarias para la banda de frecuencias 470</w:t>
            </w:r>
            <w:r w:rsidRPr="00B71365">
              <w:rPr>
                <w:lang w:val="es-ES_tradnl"/>
              </w:rPr>
              <w:noBreakHyphen/>
              <w:t>694 MHz en la Región 1 a partir del examen previsto en la Resolución </w:t>
            </w:r>
            <w:r w:rsidRPr="00B71365">
              <w:rPr>
                <w:b/>
                <w:bCs/>
                <w:lang w:val="es-ES_tradnl"/>
              </w:rPr>
              <w:t>235</w:t>
            </w:r>
            <w:r w:rsidRPr="00B71365">
              <w:rPr>
                <w:lang w:val="es-ES_tradnl"/>
              </w:rPr>
              <w:t xml:space="preserve"> </w:t>
            </w:r>
            <w:r w:rsidRPr="00B71365">
              <w:rPr>
                <w:b/>
                <w:bCs/>
                <w:lang w:val="es-ES_tradnl"/>
              </w:rPr>
              <w:t>(CMR</w:t>
            </w:r>
            <w:r w:rsidRPr="00B71365">
              <w:rPr>
                <w:b/>
                <w:bCs/>
                <w:lang w:val="es-ES_tradnl"/>
              </w:rPr>
              <w:noBreakHyphen/>
              <w:t>15)</w:t>
            </w:r>
            <w:r w:rsidRPr="00B71365">
              <w:rPr>
                <w:lang w:val="es-ES_tradnl"/>
              </w:rPr>
              <w:t>;</w:t>
            </w:r>
          </w:p>
        </w:tc>
        <w:tc>
          <w:tcPr>
            <w:tcW w:w="1559" w:type="dxa"/>
          </w:tcPr>
          <w:p w14:paraId="7E8F086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235 (</w:t>
            </w:r>
            <w:r>
              <w:rPr>
                <w:b/>
                <w:lang w:val="es-ES_tradnl"/>
              </w:rPr>
              <w:t>CMR</w:t>
            </w:r>
            <w:r w:rsidRPr="001F3073">
              <w:rPr>
                <w:b/>
                <w:lang w:val="es-ES_tradnl"/>
              </w:rPr>
              <w:noBreakHyphen/>
              <w:t>15)</w:t>
            </w:r>
          </w:p>
        </w:tc>
        <w:tc>
          <w:tcPr>
            <w:tcW w:w="1489" w:type="dxa"/>
          </w:tcPr>
          <w:p w14:paraId="504286D3" w14:textId="5FD84796" w:rsidR="007A7DF3" w:rsidRPr="001F3073" w:rsidRDefault="007A7DF3" w:rsidP="00100121">
            <w:pPr>
              <w:pStyle w:val="Tabletext"/>
              <w:jc w:val="center"/>
              <w:rPr>
                <w:b/>
                <w:lang w:val="es-ES_tradnl"/>
              </w:rPr>
            </w:pPr>
            <w:r w:rsidRPr="001F3073">
              <w:rPr>
                <w:b/>
                <w:lang w:val="es-ES_tradnl"/>
              </w:rPr>
              <w:t>GTE</w:t>
            </w:r>
            <w:r w:rsidR="00C04CEA">
              <w:rPr>
                <w:b/>
                <w:lang w:val="es-ES_tradnl"/>
              </w:rPr>
              <w:t> </w:t>
            </w:r>
            <w:r w:rsidRPr="001F3073">
              <w:rPr>
                <w:b/>
                <w:lang w:val="es-ES_tradnl"/>
              </w:rPr>
              <w:t>6/1</w:t>
            </w:r>
          </w:p>
          <w:p w14:paraId="233B2F09" w14:textId="79A7F343" w:rsidR="007A7DF3" w:rsidRPr="001F3073" w:rsidRDefault="007A7DF3" w:rsidP="00100121">
            <w:pPr>
              <w:pStyle w:val="Tabletext"/>
              <w:jc w:val="center"/>
              <w:rPr>
                <w:lang w:val="es-ES_tradnl"/>
              </w:rPr>
            </w:pPr>
            <w:r w:rsidRPr="001F3073">
              <w:rPr>
                <w:lang w:val="es-ES_tradnl"/>
              </w:rPr>
              <w:t xml:space="preserve">Nota: </w:t>
            </w:r>
            <w:r w:rsidR="00654E78" w:rsidRPr="001F3073">
              <w:rPr>
                <w:lang w:val="es-ES_tradnl"/>
              </w:rPr>
              <w:t xml:space="preserve">Véase </w:t>
            </w:r>
            <w:r w:rsidRPr="001F3073">
              <w:rPr>
                <w:lang w:val="es-ES_tradnl"/>
              </w:rPr>
              <w:t>el Anexo 9 a la presente Circular Administrativa</w:t>
            </w:r>
            <w:r w:rsidR="003E2213">
              <w:rPr>
                <w:lang w:val="es-ES_tradnl"/>
              </w:rPr>
              <w:t>.</w:t>
            </w:r>
          </w:p>
        </w:tc>
      </w:tr>
    </w:tbl>
    <w:p w14:paraId="2E92F289" w14:textId="7B557488" w:rsidR="00EA7324" w:rsidRPr="00237061" w:rsidRDefault="00EA7324">
      <w:pPr>
        <w:rPr>
          <w:b/>
          <w:lang w:val="es-ES"/>
        </w:rPr>
      </w:pPr>
      <w:r w:rsidRPr="00237061">
        <w:rPr>
          <w:b/>
          <w:lang w:val="es-ES"/>
        </w:rP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5087"/>
        <w:gridCol w:w="1559"/>
        <w:gridCol w:w="1489"/>
      </w:tblGrid>
      <w:tr w:rsidR="00EA7324" w:rsidRPr="00CE4E08" w14:paraId="2411B3C6" w14:textId="77777777" w:rsidTr="00A14A9B">
        <w:trPr>
          <w:tblHeader/>
        </w:trPr>
        <w:tc>
          <w:tcPr>
            <w:tcW w:w="1271" w:type="dxa"/>
            <w:vMerge w:val="restart"/>
            <w:vAlign w:val="center"/>
          </w:tcPr>
          <w:p w14:paraId="36669A2A"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lastRenderedPageBreak/>
              <w:t>Puntos del orden del día de la CMR-23</w:t>
            </w:r>
          </w:p>
        </w:tc>
        <w:tc>
          <w:tcPr>
            <w:tcW w:w="9002" w:type="dxa"/>
            <w:gridSpan w:val="4"/>
            <w:vAlign w:val="center"/>
          </w:tcPr>
          <w:p w14:paraId="19351274"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t>Proyecto de Informe de la RPC a la CMR-23</w:t>
            </w:r>
          </w:p>
        </w:tc>
      </w:tr>
      <w:tr w:rsidR="00EA7324" w:rsidRPr="00EA7324" w14:paraId="2D1FE83A" w14:textId="77777777" w:rsidTr="00A14A9B">
        <w:trPr>
          <w:tblHeader/>
        </w:trPr>
        <w:tc>
          <w:tcPr>
            <w:tcW w:w="1271" w:type="dxa"/>
            <w:vMerge/>
            <w:vAlign w:val="center"/>
          </w:tcPr>
          <w:p w14:paraId="562A7F48"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p>
        </w:tc>
        <w:tc>
          <w:tcPr>
            <w:tcW w:w="867" w:type="dxa"/>
            <w:vAlign w:val="center"/>
          </w:tcPr>
          <w:p w14:paraId="3761CA85"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t>Sección</w:t>
            </w:r>
          </w:p>
        </w:tc>
        <w:tc>
          <w:tcPr>
            <w:tcW w:w="5087" w:type="dxa"/>
            <w:vAlign w:val="center"/>
          </w:tcPr>
          <w:p w14:paraId="3DA3103B"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t>Punto del orden del día/Tema</w:t>
            </w:r>
          </w:p>
        </w:tc>
        <w:tc>
          <w:tcPr>
            <w:tcW w:w="1559" w:type="dxa"/>
            <w:vAlign w:val="center"/>
          </w:tcPr>
          <w:p w14:paraId="33B27EF3"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t>Referencia</w:t>
            </w:r>
          </w:p>
        </w:tc>
        <w:tc>
          <w:tcPr>
            <w:tcW w:w="1489" w:type="dxa"/>
            <w:vAlign w:val="center"/>
          </w:tcPr>
          <w:p w14:paraId="61BD101C" w14:textId="77777777" w:rsidR="00EA7324" w:rsidRPr="00EA7324" w:rsidRDefault="00EA7324" w:rsidP="00EA73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s-ES_tradnl"/>
              </w:rPr>
            </w:pPr>
            <w:r w:rsidRPr="00EA7324">
              <w:rPr>
                <w:b/>
                <w:sz w:val="20"/>
                <w:lang w:val="es-ES_tradnl"/>
              </w:rPr>
              <w:t>Grupo responsable</w:t>
            </w:r>
          </w:p>
        </w:tc>
      </w:tr>
      <w:tr w:rsidR="007A7DF3" w:rsidRPr="00CE4E08" w14:paraId="563D232D" w14:textId="77777777" w:rsidTr="00266E2D">
        <w:tc>
          <w:tcPr>
            <w:tcW w:w="10273" w:type="dxa"/>
            <w:gridSpan w:val="5"/>
          </w:tcPr>
          <w:p w14:paraId="740DF356" w14:textId="08F15D3F" w:rsidR="007A7DF3" w:rsidRPr="00B71365" w:rsidRDefault="007A7DF3" w:rsidP="00B71365">
            <w:pPr>
              <w:pStyle w:val="Tablehead"/>
              <w:rPr>
                <w:lang w:val="es-ES_tradnl"/>
              </w:rPr>
            </w:pPr>
            <w:r w:rsidRPr="00B71365">
              <w:rPr>
                <w:lang w:val="es-ES_tradnl"/>
              </w:rPr>
              <w:br w:type="page"/>
              <w:t>Capítulo 2 – Temas relativos a los servicios aeronáuticos y marítimos</w:t>
            </w:r>
          </w:p>
        </w:tc>
      </w:tr>
      <w:tr w:rsidR="007A7DF3" w:rsidRPr="00CE4E08" w14:paraId="41CAFFC6" w14:textId="77777777" w:rsidTr="00CE56D9">
        <w:tc>
          <w:tcPr>
            <w:tcW w:w="1271" w:type="dxa"/>
          </w:tcPr>
          <w:p w14:paraId="027B55C9" w14:textId="77777777" w:rsidR="007A7DF3" w:rsidRPr="001F3073" w:rsidRDefault="007A7DF3" w:rsidP="00100121">
            <w:pPr>
              <w:pStyle w:val="Tabletext"/>
              <w:jc w:val="center"/>
              <w:rPr>
                <w:lang w:val="es-ES_tradnl"/>
              </w:rPr>
            </w:pPr>
            <w:r w:rsidRPr="001F3073">
              <w:rPr>
                <w:lang w:val="es-ES_tradnl"/>
              </w:rPr>
              <w:t>1.6</w:t>
            </w:r>
          </w:p>
        </w:tc>
        <w:tc>
          <w:tcPr>
            <w:tcW w:w="867" w:type="dxa"/>
          </w:tcPr>
          <w:p w14:paraId="5096AABA" w14:textId="77777777" w:rsidR="007A7DF3" w:rsidRPr="001F3073" w:rsidRDefault="007A7DF3" w:rsidP="00100121">
            <w:pPr>
              <w:pStyle w:val="Tabletext"/>
              <w:jc w:val="center"/>
              <w:rPr>
                <w:lang w:val="es-ES_tradnl"/>
              </w:rPr>
            </w:pPr>
            <w:r w:rsidRPr="001F3073">
              <w:rPr>
                <w:lang w:val="es-ES_tradnl"/>
              </w:rPr>
              <w:t>2/1.6</w:t>
            </w:r>
          </w:p>
        </w:tc>
        <w:tc>
          <w:tcPr>
            <w:tcW w:w="5087" w:type="dxa"/>
          </w:tcPr>
          <w:p w14:paraId="3F208FF1" w14:textId="77777777" w:rsidR="007A7DF3" w:rsidRPr="00B71365" w:rsidRDefault="007A7DF3" w:rsidP="00AC0ECF">
            <w:pPr>
              <w:pStyle w:val="Tabletext"/>
              <w:jc w:val="both"/>
              <w:rPr>
                <w:lang w:val="es-ES_tradnl"/>
              </w:rPr>
            </w:pPr>
            <w:r w:rsidRPr="00B71365">
              <w:rPr>
                <w:lang w:val="es-ES_tradnl"/>
              </w:rPr>
              <w:t xml:space="preserve">considerar, de conformidad con la Resolución </w:t>
            </w:r>
            <w:r w:rsidRPr="00B71365">
              <w:rPr>
                <w:b/>
                <w:bCs/>
                <w:lang w:val="es-ES_tradnl"/>
              </w:rPr>
              <w:t>772 (CMR</w:t>
            </w:r>
            <w:r w:rsidRPr="00B71365">
              <w:rPr>
                <w:b/>
                <w:bCs/>
                <w:lang w:val="es-ES_tradnl"/>
              </w:rPr>
              <w:noBreakHyphen/>
              <w:t>19)</w:t>
            </w:r>
            <w:r w:rsidRPr="00B71365">
              <w:rPr>
                <w:lang w:val="es-ES_tradnl"/>
              </w:rPr>
              <w:t>, disposiciones reglamentarias para facilitar las radiocomunicaciones para vehículos suborbitales;</w:t>
            </w:r>
          </w:p>
        </w:tc>
        <w:tc>
          <w:tcPr>
            <w:tcW w:w="1559" w:type="dxa"/>
          </w:tcPr>
          <w:p w14:paraId="5F3EF062" w14:textId="77777777" w:rsidR="007A7DF3" w:rsidRPr="001F3073" w:rsidRDefault="007A7DF3" w:rsidP="00100121">
            <w:pPr>
              <w:pStyle w:val="Tabletext"/>
              <w:jc w:val="center"/>
              <w:rPr>
                <w:lang w:val="es-ES_tradnl"/>
              </w:rPr>
            </w:pPr>
            <w:r w:rsidRPr="001F3073">
              <w:rPr>
                <w:lang w:val="es-ES_tradnl"/>
              </w:rPr>
              <w:t>Resolución </w:t>
            </w:r>
            <w:r w:rsidRPr="001F3073">
              <w:rPr>
                <w:b/>
                <w:lang w:val="es-ES_tradnl"/>
              </w:rPr>
              <w:t>772 (C</w:t>
            </w:r>
            <w:r>
              <w:rPr>
                <w:b/>
                <w:lang w:val="es-ES_tradnl"/>
              </w:rPr>
              <w:t>MR</w:t>
            </w:r>
            <w:r w:rsidRPr="001F3073">
              <w:rPr>
                <w:b/>
                <w:lang w:val="es-ES_tradnl"/>
              </w:rPr>
              <w:noBreakHyphen/>
              <w:t>19)</w:t>
            </w:r>
          </w:p>
        </w:tc>
        <w:tc>
          <w:tcPr>
            <w:tcW w:w="1489" w:type="dxa"/>
            <w:vMerge w:val="restart"/>
          </w:tcPr>
          <w:p w14:paraId="0C98C5A8" w14:textId="1FEBE027" w:rsidR="007A7DF3" w:rsidRPr="001F3073" w:rsidRDefault="007A7DF3" w:rsidP="00100121">
            <w:pPr>
              <w:pStyle w:val="Tabletext"/>
              <w:keepNext/>
              <w:jc w:val="center"/>
              <w:rPr>
                <w:b/>
                <w:lang w:val="es-ES_tradnl"/>
              </w:rPr>
            </w:pPr>
            <w:r w:rsidRPr="001F3073">
              <w:rPr>
                <w:b/>
                <w:lang w:val="es-ES_tradnl"/>
              </w:rPr>
              <w:t>GT</w:t>
            </w:r>
            <w:r w:rsidR="00C04CEA">
              <w:rPr>
                <w:b/>
                <w:lang w:val="es-ES_tradnl"/>
              </w:rPr>
              <w:t> </w:t>
            </w:r>
            <w:r w:rsidRPr="001F3073">
              <w:rPr>
                <w:b/>
                <w:lang w:val="es-ES_tradnl"/>
              </w:rPr>
              <w:t>5B</w:t>
            </w:r>
          </w:p>
          <w:p w14:paraId="5BE380A4" w14:textId="77777777" w:rsidR="007A7DF3" w:rsidRPr="001F3073" w:rsidRDefault="007A7DF3" w:rsidP="00100121">
            <w:pPr>
              <w:pStyle w:val="Tabletext"/>
              <w:jc w:val="center"/>
              <w:rPr>
                <w:lang w:val="es-ES_tradnl"/>
              </w:rPr>
            </w:pPr>
            <w:r w:rsidRPr="001F3073">
              <w:rPr>
                <w:rFonts w:asciiTheme="minorHAnsi" w:hAnsiTheme="minorHAnsi" w:cstheme="minorHAnsi"/>
                <w:lang w:val="es-ES_tradnl"/>
              </w:rPr>
              <w:t xml:space="preserve">Nota: </w:t>
            </w:r>
            <w:r w:rsidRPr="001F3073">
              <w:rPr>
                <w:rFonts w:asciiTheme="minorHAnsi" w:hAnsiTheme="minorHAnsi" w:cstheme="minorHAnsi"/>
                <w:szCs w:val="20"/>
                <w:lang w:val="es-ES_tradnl"/>
              </w:rPr>
              <w:t>Véase el texto pertinente en el informe de la reunión RPC23-1 (Anex</w:t>
            </w:r>
            <w:r>
              <w:rPr>
                <w:rFonts w:asciiTheme="minorHAnsi" w:hAnsiTheme="minorHAnsi" w:cstheme="minorHAnsi"/>
                <w:szCs w:val="20"/>
                <w:lang w:val="es-ES_tradnl"/>
              </w:rPr>
              <w:t>o</w:t>
            </w:r>
            <w:r w:rsidRPr="001F3073">
              <w:rPr>
                <w:rFonts w:asciiTheme="minorHAnsi" w:hAnsiTheme="minorHAnsi" w:cstheme="minorHAnsi"/>
                <w:szCs w:val="20"/>
                <w:lang w:val="es-ES_tradnl"/>
              </w:rPr>
              <w:t xml:space="preserve"> 4</w:t>
            </w:r>
            <w:r w:rsidRPr="001F3073">
              <w:rPr>
                <w:rFonts w:asciiTheme="minorHAnsi" w:hAnsiTheme="minorHAnsi" w:cstheme="minorHAnsi"/>
                <w:lang w:val="es-ES_tradnl"/>
              </w:rPr>
              <w:t xml:space="preserve"> </w:t>
            </w:r>
            <w:r w:rsidRPr="001F3073">
              <w:rPr>
                <w:lang w:val="es-ES_tradnl"/>
              </w:rPr>
              <w:t>a la presente Circular Administrativa</w:t>
            </w:r>
            <w:r w:rsidRPr="001F3073">
              <w:rPr>
                <w:rFonts w:asciiTheme="minorHAnsi" w:hAnsiTheme="minorHAnsi" w:cstheme="minorHAnsi"/>
                <w:szCs w:val="20"/>
                <w:lang w:val="es-ES_tradnl"/>
              </w:rPr>
              <w:t xml:space="preserve">) </w:t>
            </w:r>
            <w:r>
              <w:rPr>
                <w:rFonts w:asciiTheme="minorHAnsi" w:hAnsiTheme="minorHAnsi" w:cstheme="minorHAnsi"/>
                <w:szCs w:val="20"/>
                <w:lang w:val="es-ES_tradnl"/>
              </w:rPr>
              <w:t>sobre cómo facilitar los trabajos relativos a satélites</w:t>
            </w:r>
            <w:r w:rsidRPr="001F3073">
              <w:rPr>
                <w:rFonts w:asciiTheme="minorHAnsi" w:hAnsiTheme="minorHAnsi" w:cstheme="minorHAnsi"/>
                <w:szCs w:val="20"/>
                <w:lang w:val="es-ES_tradnl"/>
              </w:rPr>
              <w:t>.</w:t>
            </w:r>
          </w:p>
        </w:tc>
      </w:tr>
      <w:tr w:rsidR="007A7DF3" w:rsidRPr="001F3073" w14:paraId="60FE0D89" w14:textId="77777777" w:rsidTr="00CE56D9">
        <w:tc>
          <w:tcPr>
            <w:tcW w:w="1271" w:type="dxa"/>
          </w:tcPr>
          <w:p w14:paraId="23C333DC" w14:textId="77777777" w:rsidR="007A7DF3" w:rsidRPr="001F3073" w:rsidRDefault="007A7DF3" w:rsidP="00100121">
            <w:pPr>
              <w:pStyle w:val="Tabletext"/>
              <w:jc w:val="center"/>
              <w:rPr>
                <w:lang w:val="es-ES_tradnl"/>
              </w:rPr>
            </w:pPr>
            <w:r w:rsidRPr="001F3073">
              <w:rPr>
                <w:lang w:val="es-ES_tradnl"/>
              </w:rPr>
              <w:t>1.7</w:t>
            </w:r>
          </w:p>
        </w:tc>
        <w:tc>
          <w:tcPr>
            <w:tcW w:w="867" w:type="dxa"/>
          </w:tcPr>
          <w:p w14:paraId="12A94C1A" w14:textId="77777777" w:rsidR="007A7DF3" w:rsidRPr="001F3073" w:rsidRDefault="007A7DF3" w:rsidP="00100121">
            <w:pPr>
              <w:pStyle w:val="Tabletext"/>
              <w:jc w:val="center"/>
              <w:rPr>
                <w:lang w:val="es-ES_tradnl"/>
              </w:rPr>
            </w:pPr>
            <w:r w:rsidRPr="001F3073">
              <w:rPr>
                <w:lang w:val="es-ES_tradnl"/>
              </w:rPr>
              <w:t>2/1.7</w:t>
            </w:r>
          </w:p>
        </w:tc>
        <w:tc>
          <w:tcPr>
            <w:tcW w:w="5087" w:type="dxa"/>
          </w:tcPr>
          <w:p w14:paraId="03D9385F" w14:textId="05D1EDB9" w:rsidR="007A7DF3" w:rsidRPr="00B71365" w:rsidRDefault="007A7DF3" w:rsidP="00AC0ECF">
            <w:pPr>
              <w:pStyle w:val="Tabletext"/>
              <w:jc w:val="both"/>
              <w:rPr>
                <w:lang w:val="es-ES_tradnl"/>
              </w:rPr>
            </w:pPr>
            <w:r w:rsidRPr="00B71365">
              <w:rPr>
                <w:lang w:val="es-ES_tradnl"/>
              </w:rPr>
              <w:t>considerar la posibilidad de efectuar una nueva atribución al servicio móvil aeronáutico (R) por satélite (SMA(R)S) de conformidad con la Resolución</w:t>
            </w:r>
            <w:r w:rsidR="00C04CEA">
              <w:rPr>
                <w:lang w:val="es-ES_tradnl"/>
              </w:rPr>
              <w:t> </w:t>
            </w:r>
            <w:r w:rsidRPr="00B71365">
              <w:rPr>
                <w:b/>
                <w:bCs/>
                <w:lang w:val="es-ES_tradnl"/>
              </w:rPr>
              <w:t>428 (CMR-19)</w:t>
            </w:r>
            <w:r w:rsidRPr="00B71365">
              <w:rPr>
                <w:lang w:val="es-ES_tradnl"/>
              </w:rPr>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tc>
        <w:tc>
          <w:tcPr>
            <w:tcW w:w="1559" w:type="dxa"/>
          </w:tcPr>
          <w:p w14:paraId="3F544D75"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428 (</w:t>
            </w:r>
            <w:r>
              <w:rPr>
                <w:b/>
                <w:lang w:val="es-ES_tradnl"/>
              </w:rPr>
              <w:t>CMR</w:t>
            </w:r>
            <w:r w:rsidRPr="001F3073">
              <w:rPr>
                <w:b/>
                <w:lang w:val="es-ES_tradnl"/>
              </w:rPr>
              <w:noBreakHyphen/>
              <w:t>19)</w:t>
            </w:r>
          </w:p>
        </w:tc>
        <w:tc>
          <w:tcPr>
            <w:tcW w:w="1489" w:type="dxa"/>
            <w:vMerge/>
          </w:tcPr>
          <w:p w14:paraId="202C5D25" w14:textId="77777777" w:rsidR="007A7DF3" w:rsidRPr="001F3073" w:rsidRDefault="007A7DF3" w:rsidP="00100121">
            <w:pPr>
              <w:pStyle w:val="Tabletext"/>
              <w:jc w:val="center"/>
              <w:rPr>
                <w:lang w:val="es-ES_tradnl"/>
              </w:rPr>
            </w:pPr>
          </w:p>
        </w:tc>
      </w:tr>
      <w:tr w:rsidR="007A7DF3" w:rsidRPr="001F3073" w14:paraId="7B3C09DA" w14:textId="77777777" w:rsidTr="00CE56D9">
        <w:tc>
          <w:tcPr>
            <w:tcW w:w="1271" w:type="dxa"/>
          </w:tcPr>
          <w:p w14:paraId="0D5A2A59" w14:textId="77777777" w:rsidR="007A7DF3" w:rsidRPr="001F3073" w:rsidRDefault="007A7DF3" w:rsidP="00100121">
            <w:pPr>
              <w:pStyle w:val="Tabletext"/>
              <w:jc w:val="center"/>
              <w:rPr>
                <w:lang w:val="es-ES_tradnl"/>
              </w:rPr>
            </w:pPr>
            <w:r w:rsidRPr="001F3073">
              <w:rPr>
                <w:lang w:val="es-ES_tradnl"/>
              </w:rPr>
              <w:t>1.8</w:t>
            </w:r>
          </w:p>
        </w:tc>
        <w:tc>
          <w:tcPr>
            <w:tcW w:w="867" w:type="dxa"/>
          </w:tcPr>
          <w:p w14:paraId="5717492F" w14:textId="77777777" w:rsidR="007A7DF3" w:rsidRPr="001F3073" w:rsidRDefault="007A7DF3" w:rsidP="00100121">
            <w:pPr>
              <w:pStyle w:val="Tabletext"/>
              <w:jc w:val="center"/>
              <w:rPr>
                <w:lang w:val="es-ES_tradnl"/>
              </w:rPr>
            </w:pPr>
            <w:r w:rsidRPr="001F3073">
              <w:rPr>
                <w:lang w:val="es-ES_tradnl"/>
              </w:rPr>
              <w:t>2/1.8</w:t>
            </w:r>
          </w:p>
        </w:tc>
        <w:tc>
          <w:tcPr>
            <w:tcW w:w="5087" w:type="dxa"/>
          </w:tcPr>
          <w:p w14:paraId="335F7A66" w14:textId="572C38F5" w:rsidR="007A7DF3" w:rsidRPr="00B71365" w:rsidRDefault="007A7DF3" w:rsidP="00AC0ECF">
            <w:pPr>
              <w:pStyle w:val="Tabletext"/>
              <w:jc w:val="both"/>
              <w:rPr>
                <w:lang w:val="es-ES_tradnl"/>
              </w:rPr>
            </w:pPr>
            <w:r w:rsidRPr="00B71365">
              <w:rPr>
                <w:lang w:val="es-ES_tradnl"/>
              </w:rPr>
              <w:t>considerar, basándose en los estudios del UIT-R previstos en la Resolución </w:t>
            </w:r>
            <w:r w:rsidRPr="00B71365">
              <w:rPr>
                <w:b/>
                <w:bCs/>
                <w:lang w:val="es-ES_tradnl"/>
              </w:rPr>
              <w:t>171</w:t>
            </w:r>
            <w:r w:rsidRPr="00B71365">
              <w:rPr>
                <w:b/>
                <w:lang w:val="es-ES_tradnl"/>
              </w:rPr>
              <w:t xml:space="preserve"> (CMR-19)</w:t>
            </w:r>
            <w:r w:rsidRPr="00B71365">
              <w:rPr>
                <w:lang w:val="es-ES_tradnl"/>
              </w:rPr>
              <w:t xml:space="preserve">, medidas regulatorias adecuadas, para examinar y, de ser necesario, enmendar la Resolución </w:t>
            </w:r>
            <w:r w:rsidRPr="00B71365">
              <w:rPr>
                <w:b/>
                <w:lang w:val="es-ES_tradnl"/>
              </w:rPr>
              <w:t>155 (Rev.CMR</w:t>
            </w:r>
            <w:r w:rsidR="00C04CEA">
              <w:rPr>
                <w:b/>
                <w:lang w:val="es-ES_tradnl"/>
              </w:rPr>
              <w:noBreakHyphen/>
            </w:r>
            <w:r w:rsidRPr="00B71365">
              <w:rPr>
                <w:b/>
                <w:lang w:val="es-ES_tradnl"/>
              </w:rPr>
              <w:t>19)</w:t>
            </w:r>
            <w:r w:rsidRPr="00B71365">
              <w:rPr>
                <w:lang w:val="es-ES_tradnl"/>
              </w:rPr>
              <w:t xml:space="preserve"> y el número </w:t>
            </w:r>
            <w:r w:rsidRPr="00B71365">
              <w:rPr>
                <w:b/>
                <w:lang w:val="es-ES_tradnl"/>
              </w:rPr>
              <w:t>5.484B</w:t>
            </w:r>
            <w:r w:rsidRPr="00B71365">
              <w:rPr>
                <w:lang w:val="es-ES_tradnl"/>
              </w:rPr>
              <w:t xml:space="preserve"> del RR con objeto de permitir la utilización de redes de satélites del servicio fijo (SFS) para el control y las comunicaciones sin carga útil de sistemas de aeronaves no tripuladas;</w:t>
            </w:r>
          </w:p>
        </w:tc>
        <w:tc>
          <w:tcPr>
            <w:tcW w:w="1559" w:type="dxa"/>
          </w:tcPr>
          <w:p w14:paraId="70E76B3A"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171 (</w:t>
            </w:r>
            <w:r>
              <w:rPr>
                <w:b/>
                <w:lang w:val="es-ES_tradnl"/>
              </w:rPr>
              <w:t>CMR</w:t>
            </w:r>
            <w:r w:rsidRPr="001F3073">
              <w:rPr>
                <w:b/>
                <w:lang w:val="es-ES_tradnl"/>
              </w:rPr>
              <w:noBreakHyphen/>
              <w:t>19)</w:t>
            </w:r>
          </w:p>
        </w:tc>
        <w:tc>
          <w:tcPr>
            <w:tcW w:w="1489" w:type="dxa"/>
            <w:vMerge/>
          </w:tcPr>
          <w:p w14:paraId="7909778B" w14:textId="77777777" w:rsidR="007A7DF3" w:rsidRPr="001F3073" w:rsidRDefault="007A7DF3" w:rsidP="00100121">
            <w:pPr>
              <w:pStyle w:val="Tabletext"/>
              <w:jc w:val="center"/>
              <w:rPr>
                <w:lang w:val="es-ES_tradnl"/>
              </w:rPr>
            </w:pPr>
          </w:p>
        </w:tc>
      </w:tr>
      <w:tr w:rsidR="007A7DF3" w:rsidRPr="001F3073" w14:paraId="1C286EE7" w14:textId="77777777" w:rsidTr="00CE56D9">
        <w:tc>
          <w:tcPr>
            <w:tcW w:w="1271" w:type="dxa"/>
          </w:tcPr>
          <w:p w14:paraId="4952E1DC" w14:textId="77777777" w:rsidR="007A7DF3" w:rsidRPr="001F3073" w:rsidRDefault="007A7DF3" w:rsidP="00100121">
            <w:pPr>
              <w:pStyle w:val="Tabletext"/>
              <w:jc w:val="center"/>
              <w:rPr>
                <w:lang w:val="es-ES_tradnl"/>
              </w:rPr>
            </w:pPr>
            <w:r w:rsidRPr="001F3073">
              <w:rPr>
                <w:lang w:val="es-ES_tradnl"/>
              </w:rPr>
              <w:t>1.9</w:t>
            </w:r>
          </w:p>
        </w:tc>
        <w:tc>
          <w:tcPr>
            <w:tcW w:w="867" w:type="dxa"/>
          </w:tcPr>
          <w:p w14:paraId="0BAFA3E5" w14:textId="77777777" w:rsidR="007A7DF3" w:rsidRPr="001F3073" w:rsidRDefault="007A7DF3" w:rsidP="00100121">
            <w:pPr>
              <w:pStyle w:val="Tabletext"/>
              <w:jc w:val="center"/>
              <w:rPr>
                <w:lang w:val="es-ES_tradnl"/>
              </w:rPr>
            </w:pPr>
            <w:r w:rsidRPr="001F3073">
              <w:rPr>
                <w:lang w:val="es-ES_tradnl"/>
              </w:rPr>
              <w:t>2/1.9</w:t>
            </w:r>
          </w:p>
        </w:tc>
        <w:tc>
          <w:tcPr>
            <w:tcW w:w="5087" w:type="dxa"/>
          </w:tcPr>
          <w:p w14:paraId="6C2F3C0A" w14:textId="2DF5E396" w:rsidR="007A7DF3" w:rsidRPr="00B71365" w:rsidRDefault="007A7DF3" w:rsidP="00AC0ECF">
            <w:pPr>
              <w:pStyle w:val="Tabletext"/>
              <w:jc w:val="both"/>
              <w:rPr>
                <w:spacing w:val="-4"/>
                <w:lang w:val="es-ES_tradnl"/>
              </w:rPr>
            </w:pPr>
            <w:r w:rsidRPr="003E2213">
              <w:rPr>
                <w:lang w:val="es-ES_tradnl"/>
              </w:rPr>
              <w:t xml:space="preserve">revisar el Apéndice </w:t>
            </w:r>
            <w:r w:rsidRPr="003E2213">
              <w:rPr>
                <w:b/>
                <w:bCs/>
                <w:lang w:val="es-ES_tradnl"/>
              </w:rPr>
              <w:t>27</w:t>
            </w:r>
            <w:r w:rsidRPr="003E2213">
              <w:rPr>
                <w:lang w:val="es-ES_tradnl"/>
              </w:rP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modernizados, de conformidad con la Resolución</w:t>
            </w:r>
            <w:r w:rsidR="00B71365" w:rsidRPr="003E2213">
              <w:rPr>
                <w:lang w:val="es-ES_tradnl"/>
              </w:rPr>
              <w:t> </w:t>
            </w:r>
            <w:r w:rsidRPr="003E2213">
              <w:rPr>
                <w:b/>
                <w:bCs/>
                <w:lang w:val="es-ES_tradnl"/>
              </w:rPr>
              <w:t>429(CMR</w:t>
            </w:r>
            <w:r w:rsidRPr="003E2213">
              <w:rPr>
                <w:b/>
                <w:bCs/>
                <w:lang w:val="es-ES_tradnl"/>
              </w:rPr>
              <w:noBreakHyphen/>
              <w:t>19)</w:t>
            </w:r>
            <w:r w:rsidRPr="003E2213">
              <w:rPr>
                <w:lang w:val="es-ES_tradnl"/>
              </w:rPr>
              <w:t>;</w:t>
            </w:r>
          </w:p>
        </w:tc>
        <w:tc>
          <w:tcPr>
            <w:tcW w:w="1559" w:type="dxa"/>
          </w:tcPr>
          <w:p w14:paraId="6B1F4025"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429 (</w:t>
            </w:r>
            <w:r>
              <w:rPr>
                <w:b/>
                <w:lang w:val="es-ES_tradnl"/>
              </w:rPr>
              <w:t>CMR</w:t>
            </w:r>
            <w:r w:rsidRPr="001F3073">
              <w:rPr>
                <w:b/>
                <w:lang w:val="es-ES_tradnl"/>
              </w:rPr>
              <w:noBreakHyphen/>
              <w:t>19)</w:t>
            </w:r>
          </w:p>
        </w:tc>
        <w:tc>
          <w:tcPr>
            <w:tcW w:w="1489" w:type="dxa"/>
          </w:tcPr>
          <w:p w14:paraId="28ECB6AA" w14:textId="35AD0301"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5B</w:t>
            </w:r>
          </w:p>
        </w:tc>
      </w:tr>
      <w:tr w:rsidR="007A7DF3" w:rsidRPr="001F3073" w14:paraId="69A46AA0" w14:textId="77777777" w:rsidTr="00CE56D9">
        <w:tc>
          <w:tcPr>
            <w:tcW w:w="1271" w:type="dxa"/>
          </w:tcPr>
          <w:p w14:paraId="563350E9" w14:textId="77777777" w:rsidR="007A7DF3" w:rsidRPr="001F3073" w:rsidRDefault="007A7DF3" w:rsidP="00100121">
            <w:pPr>
              <w:pStyle w:val="Tabletext"/>
              <w:jc w:val="center"/>
              <w:rPr>
                <w:lang w:val="es-ES_tradnl"/>
              </w:rPr>
            </w:pPr>
            <w:r w:rsidRPr="001F3073">
              <w:rPr>
                <w:lang w:val="es-ES_tradnl"/>
              </w:rPr>
              <w:t>1.10</w:t>
            </w:r>
          </w:p>
        </w:tc>
        <w:tc>
          <w:tcPr>
            <w:tcW w:w="867" w:type="dxa"/>
          </w:tcPr>
          <w:p w14:paraId="09B3CEF1" w14:textId="77777777" w:rsidR="007A7DF3" w:rsidRPr="001F3073" w:rsidRDefault="007A7DF3" w:rsidP="00100121">
            <w:pPr>
              <w:pStyle w:val="Tabletext"/>
              <w:jc w:val="center"/>
              <w:rPr>
                <w:lang w:val="es-ES_tradnl"/>
              </w:rPr>
            </w:pPr>
            <w:r w:rsidRPr="001F3073">
              <w:rPr>
                <w:lang w:val="es-ES_tradnl"/>
              </w:rPr>
              <w:t>2/1.10</w:t>
            </w:r>
          </w:p>
        </w:tc>
        <w:tc>
          <w:tcPr>
            <w:tcW w:w="5087" w:type="dxa"/>
          </w:tcPr>
          <w:p w14:paraId="5216B44A" w14:textId="77777777" w:rsidR="007A7DF3" w:rsidRPr="003E2213" w:rsidRDefault="007A7DF3" w:rsidP="00AC0ECF">
            <w:pPr>
              <w:pStyle w:val="Tabletext"/>
              <w:jc w:val="both"/>
              <w:rPr>
                <w:lang w:val="es-ES_tradnl"/>
              </w:rPr>
            </w:pPr>
            <w:r w:rsidRPr="003E2213">
              <w:rPr>
                <w:lang w:val="es-ES_tradnl"/>
              </w:rPr>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3E2213">
              <w:rPr>
                <w:b/>
                <w:bCs/>
                <w:lang w:val="es-ES_tradnl"/>
              </w:rPr>
              <w:t>430 (CMR-19)</w:t>
            </w:r>
            <w:r w:rsidRPr="003E2213">
              <w:rPr>
                <w:lang w:val="es-ES_tradnl"/>
              </w:rPr>
              <w:t>;</w:t>
            </w:r>
          </w:p>
        </w:tc>
        <w:tc>
          <w:tcPr>
            <w:tcW w:w="1559" w:type="dxa"/>
          </w:tcPr>
          <w:p w14:paraId="4C0F5253"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430 (</w:t>
            </w:r>
            <w:r>
              <w:rPr>
                <w:b/>
                <w:lang w:val="es-ES_tradnl"/>
              </w:rPr>
              <w:t>CMR</w:t>
            </w:r>
            <w:r w:rsidRPr="001F3073">
              <w:rPr>
                <w:b/>
                <w:lang w:val="es-ES_tradnl"/>
              </w:rPr>
              <w:noBreakHyphen/>
              <w:t>19)</w:t>
            </w:r>
          </w:p>
        </w:tc>
        <w:tc>
          <w:tcPr>
            <w:tcW w:w="1489" w:type="dxa"/>
          </w:tcPr>
          <w:p w14:paraId="02D61305" w14:textId="79ED36C9"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5B</w:t>
            </w:r>
          </w:p>
        </w:tc>
      </w:tr>
      <w:tr w:rsidR="007A7DF3" w:rsidRPr="00CE4E08" w14:paraId="22C43813" w14:textId="77777777" w:rsidTr="00CE56D9">
        <w:tc>
          <w:tcPr>
            <w:tcW w:w="1271" w:type="dxa"/>
          </w:tcPr>
          <w:p w14:paraId="639B64BA" w14:textId="77777777" w:rsidR="007A7DF3" w:rsidRPr="001F3073" w:rsidRDefault="007A7DF3" w:rsidP="00100121">
            <w:pPr>
              <w:pStyle w:val="Tabletext"/>
              <w:jc w:val="center"/>
              <w:rPr>
                <w:lang w:val="es-ES_tradnl"/>
              </w:rPr>
            </w:pPr>
            <w:r w:rsidRPr="001F3073">
              <w:rPr>
                <w:lang w:val="es-ES_tradnl"/>
              </w:rPr>
              <w:t>1.11</w:t>
            </w:r>
          </w:p>
        </w:tc>
        <w:tc>
          <w:tcPr>
            <w:tcW w:w="867" w:type="dxa"/>
          </w:tcPr>
          <w:p w14:paraId="5B7413ED" w14:textId="77777777" w:rsidR="007A7DF3" w:rsidRPr="001F3073" w:rsidRDefault="007A7DF3" w:rsidP="00100121">
            <w:pPr>
              <w:pStyle w:val="Tabletext"/>
              <w:jc w:val="center"/>
              <w:rPr>
                <w:lang w:val="es-ES_tradnl"/>
              </w:rPr>
            </w:pPr>
            <w:r w:rsidRPr="001F3073">
              <w:rPr>
                <w:lang w:val="es-ES_tradnl"/>
              </w:rPr>
              <w:t>2/1.11</w:t>
            </w:r>
          </w:p>
        </w:tc>
        <w:tc>
          <w:tcPr>
            <w:tcW w:w="5087" w:type="dxa"/>
          </w:tcPr>
          <w:p w14:paraId="0F2D5B91" w14:textId="77777777" w:rsidR="007A7DF3" w:rsidRPr="003E2213" w:rsidRDefault="007A7DF3" w:rsidP="00AC0ECF">
            <w:pPr>
              <w:pStyle w:val="Tabletext"/>
              <w:jc w:val="both"/>
              <w:rPr>
                <w:lang w:val="es-ES_tradnl"/>
              </w:rPr>
            </w:pPr>
            <w:r w:rsidRPr="003E2213">
              <w:rPr>
                <w:lang w:val="es-ES_tradnl"/>
              </w:rPr>
              <w:t>considerar las posibles medidas reglamentarias para facilitar la modernización del Sistema Mundial de Socorro y Seguridad Marítimos y la aplicación de la navegación electrónica, de conformidad con la Resolución </w:t>
            </w:r>
            <w:r w:rsidRPr="003E2213">
              <w:rPr>
                <w:b/>
                <w:bCs/>
                <w:lang w:val="es-ES_tradnl"/>
              </w:rPr>
              <w:t>361 (Rev.CMR-19)</w:t>
            </w:r>
            <w:r w:rsidRPr="003E2213">
              <w:rPr>
                <w:lang w:val="es-ES_tradnl"/>
              </w:rPr>
              <w:t>;</w:t>
            </w:r>
          </w:p>
        </w:tc>
        <w:tc>
          <w:tcPr>
            <w:tcW w:w="1559" w:type="dxa"/>
          </w:tcPr>
          <w:p w14:paraId="5A1E95CD"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361 (Rev.</w:t>
            </w:r>
            <w:r>
              <w:rPr>
                <w:b/>
                <w:lang w:val="es-ES_tradnl"/>
              </w:rPr>
              <w:t>CMR</w:t>
            </w:r>
            <w:r w:rsidRPr="001F3073">
              <w:rPr>
                <w:b/>
                <w:lang w:val="es-ES_tradnl"/>
              </w:rPr>
              <w:noBreakHyphen/>
              <w:t>19)</w:t>
            </w:r>
          </w:p>
        </w:tc>
        <w:tc>
          <w:tcPr>
            <w:tcW w:w="1489" w:type="dxa"/>
          </w:tcPr>
          <w:p w14:paraId="6265C84A" w14:textId="02B130E9"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5B</w:t>
            </w:r>
          </w:p>
          <w:p w14:paraId="75C1B185" w14:textId="735EBA0F" w:rsidR="007A7DF3" w:rsidRPr="001F3073" w:rsidRDefault="007A7DF3" w:rsidP="00100121">
            <w:pPr>
              <w:pStyle w:val="Tabletext"/>
              <w:jc w:val="center"/>
              <w:rPr>
                <w:lang w:val="es-ES_tradnl"/>
              </w:rPr>
            </w:pPr>
            <w:r w:rsidRPr="001F3073">
              <w:rPr>
                <w:lang w:val="es-ES_tradnl"/>
              </w:rPr>
              <w:t>Not</w:t>
            </w:r>
            <w:r>
              <w:rPr>
                <w:lang w:val="es-ES_tradnl"/>
              </w:rPr>
              <w:t>a</w:t>
            </w:r>
            <w:r w:rsidRPr="001F3073">
              <w:rPr>
                <w:lang w:val="es-ES_tradnl"/>
              </w:rPr>
              <w:t xml:space="preserve">: </w:t>
            </w:r>
            <w:r w:rsidR="003E2213">
              <w:rPr>
                <w:lang w:val="es-ES_tradnl"/>
              </w:rPr>
              <w:t xml:space="preserve">Véase </w:t>
            </w:r>
            <w:r>
              <w:rPr>
                <w:lang w:val="es-ES_tradnl"/>
              </w:rPr>
              <w:t>el texto pertinente del informe de la reunión RPC</w:t>
            </w:r>
            <w:r w:rsidRPr="001F3073">
              <w:rPr>
                <w:lang w:val="es-ES_tradnl"/>
              </w:rPr>
              <w:t>23</w:t>
            </w:r>
            <w:r w:rsidR="00C04CEA">
              <w:rPr>
                <w:lang w:val="es-ES_tradnl"/>
              </w:rPr>
              <w:noBreakHyphen/>
            </w:r>
            <w:r w:rsidRPr="001F3073">
              <w:rPr>
                <w:lang w:val="es-ES_tradnl"/>
              </w:rPr>
              <w:t>1</w:t>
            </w:r>
            <w:r>
              <w:rPr>
                <w:lang w:val="es-ES_tradnl"/>
              </w:rPr>
              <w:t xml:space="preserve"> </w:t>
            </w:r>
            <w:r w:rsidRPr="001F3073">
              <w:rPr>
                <w:lang w:val="es-ES_tradnl"/>
              </w:rPr>
              <w:t>(</w:t>
            </w:r>
            <w:r w:rsidRPr="001F3073">
              <w:rPr>
                <w:rFonts w:asciiTheme="minorHAnsi" w:hAnsiTheme="minorHAnsi" w:cstheme="minorHAnsi"/>
                <w:szCs w:val="20"/>
                <w:lang w:val="es-ES_tradnl"/>
              </w:rPr>
              <w:t>Anex</w:t>
            </w:r>
            <w:r>
              <w:rPr>
                <w:rFonts w:asciiTheme="minorHAnsi" w:hAnsiTheme="minorHAnsi" w:cstheme="minorHAnsi"/>
                <w:szCs w:val="20"/>
                <w:lang w:val="es-ES_tradnl"/>
              </w:rPr>
              <w:t>o</w:t>
            </w:r>
            <w:r w:rsidRPr="001F3073">
              <w:rPr>
                <w:rFonts w:asciiTheme="minorHAnsi" w:hAnsiTheme="minorHAnsi" w:cstheme="minorHAnsi"/>
                <w:szCs w:val="20"/>
                <w:lang w:val="es-ES_tradnl"/>
              </w:rPr>
              <w:t xml:space="preserve"> 4</w:t>
            </w:r>
            <w:r w:rsidRPr="001F3073">
              <w:rPr>
                <w:rFonts w:asciiTheme="minorHAnsi" w:hAnsiTheme="minorHAnsi" w:cstheme="minorHAnsi"/>
                <w:lang w:val="es-ES_tradnl"/>
              </w:rPr>
              <w:t xml:space="preserve"> </w:t>
            </w:r>
            <w:r w:rsidRPr="001F3073">
              <w:rPr>
                <w:lang w:val="es-ES_tradnl"/>
              </w:rPr>
              <w:t>a la presente Circular Administrativa)</w:t>
            </w:r>
            <w:r w:rsidR="003E2213">
              <w:rPr>
                <w:lang w:val="es-ES_tradnl"/>
              </w:rPr>
              <w:t>.</w:t>
            </w:r>
          </w:p>
        </w:tc>
      </w:tr>
      <w:tr w:rsidR="007A7DF3" w:rsidRPr="00CE4E08" w14:paraId="326F5233" w14:textId="77777777" w:rsidTr="00266E2D">
        <w:tc>
          <w:tcPr>
            <w:tcW w:w="10273" w:type="dxa"/>
            <w:gridSpan w:val="5"/>
          </w:tcPr>
          <w:p w14:paraId="5CA7F503" w14:textId="77777777" w:rsidR="007A7DF3" w:rsidRPr="001F3073" w:rsidRDefault="007A7DF3" w:rsidP="00100121">
            <w:pPr>
              <w:pStyle w:val="Tablehead"/>
              <w:rPr>
                <w:lang w:val="es-ES_tradnl"/>
              </w:rPr>
            </w:pPr>
            <w:r>
              <w:rPr>
                <w:lang w:val="es-ES_tradnl"/>
              </w:rPr>
              <w:lastRenderedPageBreak/>
              <w:t>Capítulo</w:t>
            </w:r>
            <w:r w:rsidRPr="001F3073">
              <w:rPr>
                <w:lang w:val="es-ES_tradnl"/>
              </w:rPr>
              <w:t xml:space="preserve"> 3 –</w:t>
            </w:r>
            <w:r>
              <w:rPr>
                <w:lang w:val="es-ES_tradnl"/>
              </w:rPr>
              <w:t xml:space="preserve"> Temas relativos a los servicios científicos</w:t>
            </w:r>
          </w:p>
        </w:tc>
      </w:tr>
      <w:tr w:rsidR="007A7DF3" w:rsidRPr="001F3073" w14:paraId="0926D797" w14:textId="77777777" w:rsidTr="00CE56D9">
        <w:tc>
          <w:tcPr>
            <w:tcW w:w="1271" w:type="dxa"/>
          </w:tcPr>
          <w:p w14:paraId="73B14DC2" w14:textId="77777777" w:rsidR="007A7DF3" w:rsidRPr="001F3073" w:rsidRDefault="007A7DF3" w:rsidP="00100121">
            <w:pPr>
              <w:pStyle w:val="Tabletext"/>
              <w:jc w:val="center"/>
              <w:rPr>
                <w:lang w:val="es-ES_tradnl"/>
              </w:rPr>
            </w:pPr>
            <w:r w:rsidRPr="001F3073">
              <w:rPr>
                <w:lang w:val="es-ES_tradnl"/>
              </w:rPr>
              <w:t>1.12</w:t>
            </w:r>
          </w:p>
        </w:tc>
        <w:tc>
          <w:tcPr>
            <w:tcW w:w="867" w:type="dxa"/>
          </w:tcPr>
          <w:p w14:paraId="74010682" w14:textId="77777777" w:rsidR="007A7DF3" w:rsidRPr="001F3073" w:rsidRDefault="007A7DF3" w:rsidP="00100121">
            <w:pPr>
              <w:pStyle w:val="Tabletext"/>
              <w:jc w:val="center"/>
              <w:rPr>
                <w:lang w:val="es-ES_tradnl"/>
              </w:rPr>
            </w:pPr>
            <w:r w:rsidRPr="001F3073">
              <w:rPr>
                <w:lang w:val="es-ES_tradnl"/>
              </w:rPr>
              <w:t>3/1.12</w:t>
            </w:r>
          </w:p>
        </w:tc>
        <w:tc>
          <w:tcPr>
            <w:tcW w:w="5087" w:type="dxa"/>
          </w:tcPr>
          <w:p w14:paraId="66638CF4" w14:textId="77777777" w:rsidR="007A7DF3" w:rsidRPr="00B71365" w:rsidRDefault="007A7DF3" w:rsidP="00CE56D9">
            <w:pPr>
              <w:pStyle w:val="Tabletext"/>
              <w:jc w:val="both"/>
              <w:rPr>
                <w:rFonts w:eastAsia="Calibri"/>
                <w:lang w:val="es-ES_tradnl"/>
              </w:rPr>
            </w:pPr>
            <w:r w:rsidRPr="00B71365">
              <w:rPr>
                <w:rFonts w:eastAsia="Calibri"/>
                <w:lang w:val="es-ES_tradnl"/>
              </w:rPr>
              <w:t>realizar y completar, a tiempo para la CMR</w:t>
            </w:r>
            <w:r w:rsidRPr="00B71365">
              <w:rPr>
                <w:rFonts w:eastAsia="Calibri"/>
                <w:lang w:val="es-ES_tradnl"/>
              </w:rPr>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B71365">
              <w:rPr>
                <w:rFonts w:eastAsia="Calibri"/>
                <w:bCs/>
                <w:lang w:val="es-ES_tradnl"/>
              </w:rPr>
              <w:t xml:space="preserve">de frecuencias </w:t>
            </w:r>
            <w:r w:rsidRPr="00B71365">
              <w:rPr>
                <w:rFonts w:eastAsia="Calibri"/>
                <w:lang w:val="es-ES_tradnl"/>
              </w:rPr>
              <w:t>adyacentes, de conformidad con la Resolución </w:t>
            </w:r>
            <w:r w:rsidRPr="00B71365">
              <w:rPr>
                <w:rFonts w:eastAsia="Calibri"/>
                <w:b/>
                <w:bCs/>
                <w:lang w:val="es-ES_tradnl"/>
              </w:rPr>
              <w:t>656 (Rev.CMR-19)</w:t>
            </w:r>
            <w:r w:rsidRPr="00B71365">
              <w:rPr>
                <w:rFonts w:eastAsia="Calibri"/>
                <w:lang w:val="es-ES_tradnl"/>
              </w:rPr>
              <w:t>;</w:t>
            </w:r>
          </w:p>
        </w:tc>
        <w:tc>
          <w:tcPr>
            <w:tcW w:w="1559" w:type="dxa"/>
          </w:tcPr>
          <w:p w14:paraId="142363DB"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656 (Rev.</w:t>
            </w:r>
            <w:r>
              <w:rPr>
                <w:b/>
                <w:lang w:val="es-ES_tradnl"/>
              </w:rPr>
              <w:t>CMR</w:t>
            </w:r>
            <w:r w:rsidRPr="001F3073">
              <w:rPr>
                <w:b/>
                <w:lang w:val="es-ES_tradnl"/>
              </w:rPr>
              <w:noBreakHyphen/>
              <w:t>19)</w:t>
            </w:r>
          </w:p>
        </w:tc>
        <w:tc>
          <w:tcPr>
            <w:tcW w:w="1489" w:type="dxa"/>
          </w:tcPr>
          <w:p w14:paraId="2CBA7BA9" w14:textId="1F3A3469"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7C</w:t>
            </w:r>
          </w:p>
        </w:tc>
      </w:tr>
      <w:tr w:rsidR="007A7DF3" w:rsidRPr="001F3073" w14:paraId="6C41944F" w14:textId="77777777" w:rsidTr="00CE56D9">
        <w:tc>
          <w:tcPr>
            <w:tcW w:w="1271" w:type="dxa"/>
          </w:tcPr>
          <w:p w14:paraId="3229837D" w14:textId="77777777" w:rsidR="007A7DF3" w:rsidRPr="001F3073" w:rsidRDefault="007A7DF3" w:rsidP="00100121">
            <w:pPr>
              <w:pStyle w:val="Tabletext"/>
              <w:jc w:val="center"/>
              <w:rPr>
                <w:lang w:val="es-ES_tradnl"/>
              </w:rPr>
            </w:pPr>
            <w:r w:rsidRPr="001F3073">
              <w:rPr>
                <w:lang w:val="es-ES_tradnl"/>
              </w:rPr>
              <w:t>1.13</w:t>
            </w:r>
          </w:p>
        </w:tc>
        <w:tc>
          <w:tcPr>
            <w:tcW w:w="867" w:type="dxa"/>
          </w:tcPr>
          <w:p w14:paraId="7DA61EC2" w14:textId="77777777" w:rsidR="007A7DF3" w:rsidRPr="001F3073" w:rsidRDefault="007A7DF3" w:rsidP="00100121">
            <w:pPr>
              <w:pStyle w:val="Tabletext"/>
              <w:jc w:val="center"/>
              <w:rPr>
                <w:lang w:val="es-ES_tradnl"/>
              </w:rPr>
            </w:pPr>
            <w:r w:rsidRPr="001F3073">
              <w:rPr>
                <w:lang w:val="es-ES_tradnl"/>
              </w:rPr>
              <w:t>3/1.13</w:t>
            </w:r>
          </w:p>
        </w:tc>
        <w:tc>
          <w:tcPr>
            <w:tcW w:w="5087" w:type="dxa"/>
          </w:tcPr>
          <w:p w14:paraId="68F6FC33" w14:textId="77777777" w:rsidR="007A7DF3" w:rsidRPr="00B71365" w:rsidRDefault="007A7DF3" w:rsidP="00CE56D9">
            <w:pPr>
              <w:pStyle w:val="Tabletext"/>
              <w:jc w:val="both"/>
              <w:rPr>
                <w:lang w:val="es-ES_tradnl"/>
              </w:rPr>
            </w:pPr>
            <w:r w:rsidRPr="00B71365">
              <w:rPr>
                <w:lang w:val="es-ES_tradnl"/>
              </w:rPr>
              <w:t xml:space="preserve">considerar la posible elevación de la categoría de la atribución al servicio de investigación espacial en la banda </w:t>
            </w:r>
            <w:r w:rsidRPr="00B71365">
              <w:rPr>
                <w:bCs/>
                <w:lang w:val="es-ES_tradnl"/>
              </w:rPr>
              <w:t xml:space="preserve">de frecuencias </w:t>
            </w:r>
            <w:r w:rsidRPr="00B71365">
              <w:rPr>
                <w:lang w:val="es-ES_tradnl"/>
              </w:rPr>
              <w:t xml:space="preserve">14,8-15,35 GHz, de conformidad con la Resolución </w:t>
            </w:r>
            <w:r w:rsidRPr="00B71365">
              <w:rPr>
                <w:b/>
                <w:bCs/>
                <w:lang w:val="es-ES_tradnl"/>
              </w:rPr>
              <w:t>661 (CMR-19)</w:t>
            </w:r>
            <w:r w:rsidRPr="00B71365">
              <w:rPr>
                <w:lang w:val="es-ES_tradnl"/>
              </w:rPr>
              <w:t>;</w:t>
            </w:r>
          </w:p>
        </w:tc>
        <w:tc>
          <w:tcPr>
            <w:tcW w:w="1559" w:type="dxa"/>
          </w:tcPr>
          <w:p w14:paraId="663616F4"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661 (</w:t>
            </w:r>
            <w:r>
              <w:rPr>
                <w:b/>
                <w:lang w:val="es-ES_tradnl"/>
              </w:rPr>
              <w:t>CMR</w:t>
            </w:r>
            <w:r w:rsidRPr="001F3073">
              <w:rPr>
                <w:b/>
                <w:lang w:val="es-ES_tradnl"/>
              </w:rPr>
              <w:noBreakHyphen/>
              <w:t>19)</w:t>
            </w:r>
          </w:p>
        </w:tc>
        <w:tc>
          <w:tcPr>
            <w:tcW w:w="1489" w:type="dxa"/>
          </w:tcPr>
          <w:p w14:paraId="441B7418" w14:textId="76126C0B"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7B</w:t>
            </w:r>
          </w:p>
        </w:tc>
      </w:tr>
      <w:tr w:rsidR="007A7DF3" w:rsidRPr="001F3073" w14:paraId="24F83B5C" w14:textId="77777777" w:rsidTr="00CE56D9">
        <w:tc>
          <w:tcPr>
            <w:tcW w:w="1271" w:type="dxa"/>
          </w:tcPr>
          <w:p w14:paraId="2AE38181" w14:textId="77777777" w:rsidR="007A7DF3" w:rsidRPr="001F3073" w:rsidRDefault="007A7DF3" w:rsidP="00100121">
            <w:pPr>
              <w:pStyle w:val="Tabletext"/>
              <w:jc w:val="center"/>
              <w:rPr>
                <w:lang w:val="es-ES_tradnl"/>
              </w:rPr>
            </w:pPr>
            <w:r w:rsidRPr="001F3073">
              <w:rPr>
                <w:lang w:val="es-ES_tradnl"/>
              </w:rPr>
              <w:t>1.14</w:t>
            </w:r>
          </w:p>
        </w:tc>
        <w:tc>
          <w:tcPr>
            <w:tcW w:w="867" w:type="dxa"/>
          </w:tcPr>
          <w:p w14:paraId="74EBED6E" w14:textId="77777777" w:rsidR="007A7DF3" w:rsidRPr="001F3073" w:rsidRDefault="007A7DF3" w:rsidP="00100121">
            <w:pPr>
              <w:pStyle w:val="Tabletext"/>
              <w:jc w:val="center"/>
              <w:rPr>
                <w:lang w:val="es-ES_tradnl"/>
              </w:rPr>
            </w:pPr>
            <w:r w:rsidRPr="001F3073">
              <w:rPr>
                <w:lang w:val="es-ES_tradnl"/>
              </w:rPr>
              <w:t>3/1.14</w:t>
            </w:r>
          </w:p>
        </w:tc>
        <w:tc>
          <w:tcPr>
            <w:tcW w:w="5087" w:type="dxa"/>
          </w:tcPr>
          <w:p w14:paraId="1A007E50" w14:textId="77777777" w:rsidR="007A7DF3" w:rsidRPr="00B71365" w:rsidRDefault="007A7DF3" w:rsidP="00CE56D9">
            <w:pPr>
              <w:pStyle w:val="Tabletext"/>
              <w:jc w:val="both"/>
              <w:rPr>
                <w:lang w:val="es-ES_tradnl"/>
              </w:rPr>
            </w:pPr>
            <w:r w:rsidRPr="00B71365">
              <w:rPr>
                <w:lang w:val="es-ES_tradnl"/>
              </w:rPr>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B71365">
              <w:rPr>
                <w:b/>
                <w:bCs/>
                <w:lang w:val="es-ES_tradnl"/>
              </w:rPr>
              <w:t>662 (CMR-19)</w:t>
            </w:r>
            <w:r w:rsidRPr="00B71365">
              <w:rPr>
                <w:lang w:val="es-ES_tradnl"/>
              </w:rPr>
              <w:t>;</w:t>
            </w:r>
          </w:p>
        </w:tc>
        <w:tc>
          <w:tcPr>
            <w:tcW w:w="1559" w:type="dxa"/>
          </w:tcPr>
          <w:p w14:paraId="1FFA8587"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662 (</w:t>
            </w:r>
            <w:r>
              <w:rPr>
                <w:b/>
                <w:lang w:val="es-ES_tradnl"/>
              </w:rPr>
              <w:t>CMR</w:t>
            </w:r>
            <w:r w:rsidRPr="001F3073">
              <w:rPr>
                <w:b/>
                <w:lang w:val="es-ES_tradnl"/>
              </w:rPr>
              <w:noBreakHyphen/>
              <w:t>19)</w:t>
            </w:r>
          </w:p>
        </w:tc>
        <w:tc>
          <w:tcPr>
            <w:tcW w:w="1489" w:type="dxa"/>
          </w:tcPr>
          <w:p w14:paraId="68E143F0" w14:textId="7C520650"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7C</w:t>
            </w:r>
          </w:p>
        </w:tc>
      </w:tr>
      <w:tr w:rsidR="007A7DF3" w:rsidRPr="00CE4E08" w14:paraId="3568DD29" w14:textId="77777777" w:rsidTr="00266E2D">
        <w:tc>
          <w:tcPr>
            <w:tcW w:w="10273" w:type="dxa"/>
            <w:gridSpan w:val="5"/>
          </w:tcPr>
          <w:p w14:paraId="620A04D9" w14:textId="77777777" w:rsidR="007A7DF3" w:rsidRPr="00B71365" w:rsidRDefault="007A7DF3" w:rsidP="00B71365">
            <w:pPr>
              <w:pStyle w:val="Tablehead"/>
              <w:rPr>
                <w:lang w:val="es-ES_tradnl"/>
              </w:rPr>
            </w:pPr>
            <w:r w:rsidRPr="00B71365">
              <w:rPr>
                <w:lang w:val="es-ES_tradnl"/>
              </w:rPr>
              <w:t>Capítulo 4 – Temas relativos a satélites</w:t>
            </w:r>
          </w:p>
        </w:tc>
      </w:tr>
      <w:tr w:rsidR="007A7DF3" w:rsidRPr="001F3073" w14:paraId="62A83CE1" w14:textId="77777777" w:rsidTr="00CE56D9">
        <w:tc>
          <w:tcPr>
            <w:tcW w:w="1271" w:type="dxa"/>
          </w:tcPr>
          <w:p w14:paraId="12F9500E" w14:textId="77777777" w:rsidR="007A7DF3" w:rsidRPr="001F3073" w:rsidRDefault="007A7DF3" w:rsidP="00100121">
            <w:pPr>
              <w:pStyle w:val="Tabletext"/>
              <w:jc w:val="center"/>
              <w:rPr>
                <w:lang w:val="es-ES_tradnl"/>
              </w:rPr>
            </w:pPr>
            <w:r w:rsidRPr="001F3073">
              <w:rPr>
                <w:lang w:val="es-ES_tradnl"/>
              </w:rPr>
              <w:t>1.15</w:t>
            </w:r>
          </w:p>
        </w:tc>
        <w:tc>
          <w:tcPr>
            <w:tcW w:w="867" w:type="dxa"/>
          </w:tcPr>
          <w:p w14:paraId="0180DA9E" w14:textId="77777777" w:rsidR="007A7DF3" w:rsidRPr="001F3073" w:rsidRDefault="007A7DF3" w:rsidP="00100121">
            <w:pPr>
              <w:pStyle w:val="Tabletext"/>
              <w:jc w:val="center"/>
              <w:rPr>
                <w:lang w:val="es-ES_tradnl"/>
              </w:rPr>
            </w:pPr>
            <w:r w:rsidRPr="001F3073">
              <w:rPr>
                <w:lang w:val="es-ES_tradnl"/>
              </w:rPr>
              <w:t>4/1.15</w:t>
            </w:r>
          </w:p>
        </w:tc>
        <w:tc>
          <w:tcPr>
            <w:tcW w:w="5087" w:type="dxa"/>
          </w:tcPr>
          <w:p w14:paraId="474F9559" w14:textId="77777777" w:rsidR="007A7DF3" w:rsidRPr="00B71365" w:rsidRDefault="007A7DF3" w:rsidP="00CE56D9">
            <w:pPr>
              <w:pStyle w:val="Tabletext"/>
              <w:jc w:val="both"/>
              <w:rPr>
                <w:lang w:val="es-ES_tradnl"/>
              </w:rPr>
            </w:pPr>
            <w:r w:rsidRPr="00B71365">
              <w:rPr>
                <w:lang w:val="es-ES_tradnl"/>
              </w:rPr>
              <w:t>armonizar a escala mundial la utilización de la banda de frecuencias 12,75</w:t>
            </w:r>
            <w:r w:rsidRPr="00B71365">
              <w:rPr>
                <w:lang w:val="es-ES_tradnl"/>
              </w:rPr>
              <w:noBreakHyphen/>
              <w:t xml:space="preserve">13,25 GHz (Tierra-espacio) por las estaciones terrenas a bordo de aeronaves y barcos que se comunican con estaciones espaciales geoestacionarias del servicio fijo por satélite, de conformidad con la Resolución </w:t>
            </w:r>
            <w:r w:rsidRPr="00B71365">
              <w:rPr>
                <w:b/>
                <w:bCs/>
                <w:lang w:val="es-ES_tradnl"/>
              </w:rPr>
              <w:t>172</w:t>
            </w:r>
            <w:r w:rsidRPr="00B71365">
              <w:rPr>
                <w:b/>
                <w:lang w:val="es-ES_tradnl"/>
              </w:rPr>
              <w:t xml:space="preserve"> (CMR-19)</w:t>
            </w:r>
            <w:r w:rsidRPr="00B71365">
              <w:rPr>
                <w:lang w:val="es-ES_tradnl"/>
              </w:rPr>
              <w:t>;</w:t>
            </w:r>
          </w:p>
        </w:tc>
        <w:tc>
          <w:tcPr>
            <w:tcW w:w="1559" w:type="dxa"/>
          </w:tcPr>
          <w:p w14:paraId="532148C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172 (</w:t>
            </w:r>
            <w:r>
              <w:rPr>
                <w:b/>
                <w:lang w:val="es-ES_tradnl"/>
              </w:rPr>
              <w:t>CMR</w:t>
            </w:r>
            <w:r w:rsidRPr="001F3073">
              <w:rPr>
                <w:b/>
                <w:lang w:val="es-ES_tradnl"/>
              </w:rPr>
              <w:noBreakHyphen/>
              <w:t>19)</w:t>
            </w:r>
          </w:p>
        </w:tc>
        <w:tc>
          <w:tcPr>
            <w:tcW w:w="1489" w:type="dxa"/>
          </w:tcPr>
          <w:p w14:paraId="3EF1F09B" w14:textId="49DBEC13" w:rsidR="007A7DF3" w:rsidRPr="001F3073" w:rsidRDefault="007A7DF3" w:rsidP="00100121">
            <w:pPr>
              <w:pStyle w:val="Tabletext"/>
              <w:jc w:val="center"/>
              <w:rPr>
                <w:rFonts w:eastAsia="MS Mincho"/>
                <w:b/>
                <w:lang w:val="es-ES_tradnl"/>
              </w:rPr>
            </w:pPr>
            <w:r w:rsidRPr="001F3073">
              <w:rPr>
                <w:b/>
                <w:lang w:val="es-ES_tradnl"/>
              </w:rPr>
              <w:t>GT</w:t>
            </w:r>
            <w:r w:rsidR="00C04CEA">
              <w:rPr>
                <w:b/>
                <w:lang w:val="es-ES_tradnl"/>
              </w:rPr>
              <w:t> </w:t>
            </w:r>
            <w:r w:rsidRPr="001F3073">
              <w:rPr>
                <w:b/>
                <w:lang w:val="es-ES_tradnl"/>
              </w:rPr>
              <w:t>4A</w:t>
            </w:r>
          </w:p>
        </w:tc>
      </w:tr>
      <w:tr w:rsidR="007A7DF3" w:rsidRPr="001F3073" w14:paraId="128780B8" w14:textId="77777777" w:rsidTr="00CE56D9">
        <w:tc>
          <w:tcPr>
            <w:tcW w:w="1271" w:type="dxa"/>
          </w:tcPr>
          <w:p w14:paraId="6B346405" w14:textId="77777777" w:rsidR="007A7DF3" w:rsidRPr="001F3073" w:rsidRDefault="007A7DF3" w:rsidP="00100121">
            <w:pPr>
              <w:pStyle w:val="Tabletext"/>
              <w:jc w:val="center"/>
              <w:rPr>
                <w:lang w:val="es-ES_tradnl"/>
              </w:rPr>
            </w:pPr>
            <w:r w:rsidRPr="001F3073">
              <w:rPr>
                <w:lang w:val="es-ES_tradnl"/>
              </w:rPr>
              <w:t>1.16</w:t>
            </w:r>
          </w:p>
        </w:tc>
        <w:tc>
          <w:tcPr>
            <w:tcW w:w="867" w:type="dxa"/>
          </w:tcPr>
          <w:p w14:paraId="53EDFD51" w14:textId="77777777" w:rsidR="007A7DF3" w:rsidRPr="001F3073" w:rsidRDefault="007A7DF3" w:rsidP="00100121">
            <w:pPr>
              <w:pStyle w:val="Tabletext"/>
              <w:jc w:val="center"/>
              <w:rPr>
                <w:lang w:val="es-ES_tradnl"/>
              </w:rPr>
            </w:pPr>
            <w:r w:rsidRPr="001F3073">
              <w:rPr>
                <w:lang w:val="es-ES_tradnl"/>
              </w:rPr>
              <w:t>4/1.16</w:t>
            </w:r>
          </w:p>
        </w:tc>
        <w:tc>
          <w:tcPr>
            <w:tcW w:w="5087" w:type="dxa"/>
          </w:tcPr>
          <w:p w14:paraId="6C1BDCAC" w14:textId="77777777" w:rsidR="007A7DF3" w:rsidRPr="00B71365" w:rsidRDefault="007A7DF3" w:rsidP="00CE56D9">
            <w:pPr>
              <w:pStyle w:val="Tabletext"/>
              <w:jc w:val="both"/>
              <w:rPr>
                <w:rFonts w:eastAsia="SimSun"/>
                <w:lang w:val="es-ES_tradnl"/>
              </w:rPr>
            </w:pPr>
            <w:r w:rsidRPr="00B71365">
              <w:rPr>
                <w:rFonts w:eastAsia="SimSun"/>
                <w:lang w:val="es-ES_tradnl"/>
              </w:rPr>
              <w:t>estudiar y desarrollar medidas técnicas, operativas y reglamentarias, según proceda, para facilitar la utilización de las bandas de frecuencias 17,7</w:t>
            </w:r>
            <w:r w:rsidRPr="00B71365">
              <w:rPr>
                <w:rFonts w:eastAsia="SimSun"/>
                <w:lang w:val="es-ES_tradnl"/>
              </w:rPr>
              <w:noBreakHyphen/>
              <w:t>18,6 GHz y 18,8</w:t>
            </w:r>
            <w:r w:rsidRPr="00B71365">
              <w:rPr>
                <w:rFonts w:eastAsia="SimSun"/>
                <w:lang w:val="es-ES_tradnl"/>
              </w:rPr>
              <w:noBreakHyphen/>
              <w:t>19,3 GHz y 19,7</w:t>
            </w:r>
            <w:r w:rsidRPr="00B71365">
              <w:rPr>
                <w:rFonts w:eastAsia="SimSun"/>
                <w:lang w:val="es-ES_tradnl"/>
              </w:rPr>
              <w:noBreakHyphen/>
              <w:t>20,2 GHz (espacio</w:t>
            </w:r>
            <w:r w:rsidRPr="00B71365">
              <w:rPr>
                <w:rFonts w:eastAsia="SimSun"/>
                <w:lang w:val="es-ES_tradnl"/>
              </w:rPr>
              <w:noBreakHyphen/>
              <w:t>Tierra) y 27,5</w:t>
            </w:r>
            <w:r w:rsidRPr="00B71365">
              <w:rPr>
                <w:rFonts w:eastAsia="SimSun"/>
                <w:lang w:val="es-ES_tradnl"/>
              </w:rPr>
              <w:noBreakHyphen/>
              <w:t>29,1 GHz y 29,5</w:t>
            </w:r>
            <w:r w:rsidRPr="00B71365">
              <w:rPr>
                <w:rFonts w:eastAsia="SimSun"/>
                <w:lang w:val="es-ES_tradnl"/>
              </w:rPr>
              <w:noBreakHyphen/>
              <w:t xml:space="preserve">30 GHz (Tierra-espacio) por las estaciones terrenas en movimiento del SFS no OSG, garantizando a su vez la debida protección de los servicios existentes en dichas bandas de frecuencias, de conformidad con la Resolución </w:t>
            </w:r>
            <w:r w:rsidRPr="00B71365">
              <w:rPr>
                <w:rFonts w:eastAsia="SimSun"/>
                <w:b/>
                <w:bCs/>
                <w:lang w:val="es-ES_tradnl"/>
              </w:rPr>
              <w:t>173 (CMR</w:t>
            </w:r>
            <w:r w:rsidRPr="00B71365">
              <w:rPr>
                <w:rFonts w:eastAsia="SimSun"/>
                <w:b/>
                <w:bCs/>
                <w:lang w:val="es-ES_tradnl"/>
              </w:rPr>
              <w:noBreakHyphen/>
              <w:t>19)</w:t>
            </w:r>
            <w:r w:rsidRPr="00B71365">
              <w:rPr>
                <w:rFonts w:eastAsia="SimSun"/>
                <w:lang w:val="es-ES_tradnl"/>
              </w:rPr>
              <w:t>;</w:t>
            </w:r>
          </w:p>
        </w:tc>
        <w:tc>
          <w:tcPr>
            <w:tcW w:w="1559" w:type="dxa"/>
          </w:tcPr>
          <w:p w14:paraId="03EDA0EF"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173 (</w:t>
            </w:r>
            <w:r>
              <w:rPr>
                <w:b/>
                <w:lang w:val="es-ES_tradnl"/>
              </w:rPr>
              <w:t>CMR</w:t>
            </w:r>
            <w:r w:rsidRPr="001F3073">
              <w:rPr>
                <w:b/>
                <w:lang w:val="es-ES_tradnl"/>
              </w:rPr>
              <w:noBreakHyphen/>
              <w:t>19)</w:t>
            </w:r>
          </w:p>
        </w:tc>
        <w:tc>
          <w:tcPr>
            <w:tcW w:w="1489" w:type="dxa"/>
          </w:tcPr>
          <w:p w14:paraId="4E439A69" w14:textId="3170D4DF" w:rsidR="007A7DF3" w:rsidRPr="001F3073" w:rsidRDefault="007A7DF3" w:rsidP="00100121">
            <w:pPr>
              <w:pStyle w:val="Tabletext"/>
              <w:jc w:val="center"/>
              <w:rPr>
                <w:rFonts w:eastAsia="MS Mincho"/>
                <w:b/>
                <w:lang w:val="es-ES_tradnl"/>
              </w:rPr>
            </w:pPr>
            <w:r w:rsidRPr="001F3073">
              <w:rPr>
                <w:b/>
                <w:lang w:val="es-ES_tradnl"/>
              </w:rPr>
              <w:t>GT</w:t>
            </w:r>
            <w:r w:rsidR="00C04CEA">
              <w:rPr>
                <w:b/>
                <w:lang w:val="es-ES_tradnl"/>
              </w:rPr>
              <w:t> </w:t>
            </w:r>
            <w:r w:rsidRPr="001F3073">
              <w:rPr>
                <w:b/>
                <w:lang w:val="es-ES_tradnl"/>
              </w:rPr>
              <w:t>4A</w:t>
            </w:r>
          </w:p>
        </w:tc>
      </w:tr>
      <w:tr w:rsidR="007A7DF3" w:rsidRPr="001F3073" w14:paraId="6C9B40DF" w14:textId="77777777" w:rsidTr="00CE56D9">
        <w:tc>
          <w:tcPr>
            <w:tcW w:w="1271" w:type="dxa"/>
          </w:tcPr>
          <w:p w14:paraId="7361CCC3" w14:textId="77777777" w:rsidR="007A7DF3" w:rsidRPr="001F3073" w:rsidRDefault="007A7DF3" w:rsidP="00100121">
            <w:pPr>
              <w:pStyle w:val="Tabletext"/>
              <w:jc w:val="center"/>
              <w:rPr>
                <w:lang w:val="es-ES_tradnl"/>
              </w:rPr>
            </w:pPr>
            <w:r w:rsidRPr="001F3073">
              <w:rPr>
                <w:lang w:val="es-ES_tradnl"/>
              </w:rPr>
              <w:t>1.17</w:t>
            </w:r>
          </w:p>
        </w:tc>
        <w:tc>
          <w:tcPr>
            <w:tcW w:w="867" w:type="dxa"/>
          </w:tcPr>
          <w:p w14:paraId="09F93E58" w14:textId="77777777" w:rsidR="007A7DF3" w:rsidRPr="001F3073" w:rsidRDefault="007A7DF3" w:rsidP="00100121">
            <w:pPr>
              <w:pStyle w:val="Tabletext"/>
              <w:jc w:val="center"/>
              <w:rPr>
                <w:lang w:val="es-ES_tradnl"/>
              </w:rPr>
            </w:pPr>
            <w:r w:rsidRPr="001F3073">
              <w:rPr>
                <w:lang w:val="es-ES_tradnl"/>
              </w:rPr>
              <w:t>4/1.17</w:t>
            </w:r>
          </w:p>
        </w:tc>
        <w:tc>
          <w:tcPr>
            <w:tcW w:w="5087" w:type="dxa"/>
          </w:tcPr>
          <w:p w14:paraId="39D95FDB" w14:textId="77777777" w:rsidR="007A7DF3" w:rsidRPr="00B71365" w:rsidRDefault="007A7DF3" w:rsidP="00CE56D9">
            <w:pPr>
              <w:pStyle w:val="Tabletext"/>
              <w:keepLines/>
              <w:jc w:val="both"/>
              <w:rPr>
                <w:lang w:val="es-ES_tradnl"/>
              </w:rPr>
            </w:pPr>
            <w:r w:rsidRPr="00B71365">
              <w:rPr>
                <w:lang w:val="es-ES_tradnl"/>
              </w:rPr>
              <w:t xml:space="preserve">determinar y tomar, basándose en los estudios del UIT-R previstos en la Resolución </w:t>
            </w:r>
            <w:r w:rsidRPr="00B71365">
              <w:rPr>
                <w:b/>
                <w:bCs/>
                <w:lang w:val="es-ES_tradnl"/>
              </w:rPr>
              <w:t>773</w:t>
            </w:r>
            <w:r w:rsidRPr="00B71365">
              <w:rPr>
                <w:b/>
                <w:lang w:val="es-ES_tradnl"/>
              </w:rPr>
              <w:t xml:space="preserve"> (CMR-19)</w:t>
            </w:r>
            <w:r w:rsidRPr="00B71365">
              <w:rPr>
                <w:lang w:val="es-ES_tradnl"/>
              </w:rPr>
              <w:t>,</w:t>
            </w:r>
            <w:r w:rsidRPr="00B71365">
              <w:rPr>
                <w:b/>
                <w:lang w:val="es-ES_tradnl"/>
              </w:rPr>
              <w:t xml:space="preserve"> </w:t>
            </w:r>
            <w:r w:rsidRPr="00B71365">
              <w:rPr>
                <w:lang w:val="es-ES_tradnl"/>
              </w:rPr>
              <w:t>las medidas reglamentarias apropiadas para el establecimiento de enlaces entre satélites en bandas de frecuencias específicas o tramos de las mismas, agregando una atribución a un servicio entre satélites donde corresponda;</w:t>
            </w:r>
          </w:p>
        </w:tc>
        <w:tc>
          <w:tcPr>
            <w:tcW w:w="1559" w:type="dxa"/>
          </w:tcPr>
          <w:p w14:paraId="633F1CA3"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773 (</w:t>
            </w:r>
            <w:r>
              <w:rPr>
                <w:b/>
                <w:lang w:val="es-ES_tradnl"/>
              </w:rPr>
              <w:t>CMR</w:t>
            </w:r>
            <w:r w:rsidRPr="001F3073">
              <w:rPr>
                <w:b/>
                <w:lang w:val="es-ES_tradnl"/>
              </w:rPr>
              <w:noBreakHyphen/>
              <w:t>19)</w:t>
            </w:r>
          </w:p>
        </w:tc>
        <w:tc>
          <w:tcPr>
            <w:tcW w:w="1489" w:type="dxa"/>
          </w:tcPr>
          <w:p w14:paraId="073A8F61" w14:textId="21B8F5AF" w:rsidR="007A7DF3" w:rsidRPr="001F3073" w:rsidRDefault="007A7DF3" w:rsidP="00100121">
            <w:pPr>
              <w:pStyle w:val="Tabletext"/>
              <w:jc w:val="center"/>
              <w:rPr>
                <w:rFonts w:eastAsia="MS Mincho"/>
                <w:b/>
                <w:lang w:val="es-ES_tradnl"/>
              </w:rPr>
            </w:pPr>
            <w:r w:rsidRPr="001F3073">
              <w:rPr>
                <w:b/>
                <w:lang w:val="es-ES_tradnl"/>
              </w:rPr>
              <w:t>GT</w:t>
            </w:r>
            <w:r w:rsidR="00C04CEA">
              <w:rPr>
                <w:b/>
                <w:lang w:val="es-ES_tradnl"/>
              </w:rPr>
              <w:t> </w:t>
            </w:r>
            <w:r w:rsidRPr="001F3073">
              <w:rPr>
                <w:b/>
                <w:lang w:val="es-ES_tradnl"/>
              </w:rPr>
              <w:t>4A</w:t>
            </w:r>
          </w:p>
        </w:tc>
      </w:tr>
      <w:tr w:rsidR="007A7DF3" w:rsidRPr="001F3073" w14:paraId="788FEFA2" w14:textId="77777777" w:rsidTr="00CE56D9">
        <w:tc>
          <w:tcPr>
            <w:tcW w:w="1271" w:type="dxa"/>
          </w:tcPr>
          <w:p w14:paraId="1B14938A" w14:textId="77777777" w:rsidR="007A7DF3" w:rsidRPr="001F3073" w:rsidRDefault="007A7DF3" w:rsidP="00100121">
            <w:pPr>
              <w:pStyle w:val="Tabletext"/>
              <w:jc w:val="center"/>
              <w:rPr>
                <w:lang w:val="es-ES_tradnl"/>
              </w:rPr>
            </w:pPr>
            <w:r w:rsidRPr="001F3073">
              <w:rPr>
                <w:lang w:val="es-ES_tradnl"/>
              </w:rPr>
              <w:t>1.18</w:t>
            </w:r>
          </w:p>
        </w:tc>
        <w:tc>
          <w:tcPr>
            <w:tcW w:w="867" w:type="dxa"/>
          </w:tcPr>
          <w:p w14:paraId="7F6CD797" w14:textId="77777777" w:rsidR="007A7DF3" w:rsidRPr="001F3073" w:rsidRDefault="007A7DF3" w:rsidP="00100121">
            <w:pPr>
              <w:pStyle w:val="Tabletext"/>
              <w:jc w:val="center"/>
              <w:rPr>
                <w:lang w:val="es-ES_tradnl"/>
              </w:rPr>
            </w:pPr>
            <w:r w:rsidRPr="001F3073">
              <w:rPr>
                <w:lang w:val="es-ES_tradnl"/>
              </w:rPr>
              <w:t>4/1.18</w:t>
            </w:r>
          </w:p>
        </w:tc>
        <w:tc>
          <w:tcPr>
            <w:tcW w:w="5087" w:type="dxa"/>
          </w:tcPr>
          <w:p w14:paraId="0D97C07B" w14:textId="77777777" w:rsidR="007A7DF3" w:rsidRPr="00B71365" w:rsidRDefault="007A7DF3" w:rsidP="00CE56D9">
            <w:pPr>
              <w:pStyle w:val="Tabletext"/>
              <w:keepLines/>
              <w:jc w:val="both"/>
              <w:rPr>
                <w:lang w:val="es-ES_tradnl"/>
              </w:rPr>
            </w:pPr>
            <w:r w:rsidRPr="00B71365">
              <w:rPr>
                <w:bCs/>
                <w:lang w:val="es-ES_tradnl"/>
              </w:rPr>
              <w:t xml:space="preserve">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B71365">
              <w:rPr>
                <w:b/>
                <w:bCs/>
                <w:lang w:val="es-ES_tradnl"/>
              </w:rPr>
              <w:t>248 (CMR-19)</w:t>
            </w:r>
            <w:r w:rsidRPr="00B71365">
              <w:rPr>
                <w:bCs/>
                <w:lang w:val="es-ES_tradnl"/>
              </w:rPr>
              <w:t>;</w:t>
            </w:r>
          </w:p>
        </w:tc>
        <w:tc>
          <w:tcPr>
            <w:tcW w:w="1559" w:type="dxa"/>
          </w:tcPr>
          <w:p w14:paraId="11BFF5A5"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248 (</w:t>
            </w:r>
            <w:r>
              <w:rPr>
                <w:b/>
                <w:lang w:val="es-ES_tradnl"/>
              </w:rPr>
              <w:t>CMR</w:t>
            </w:r>
            <w:r w:rsidRPr="001F3073">
              <w:rPr>
                <w:b/>
                <w:lang w:val="es-ES_tradnl"/>
              </w:rPr>
              <w:noBreakHyphen/>
              <w:t>19)</w:t>
            </w:r>
          </w:p>
        </w:tc>
        <w:tc>
          <w:tcPr>
            <w:tcW w:w="1489" w:type="dxa"/>
          </w:tcPr>
          <w:p w14:paraId="0C3F6EF2" w14:textId="11353D80"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4C</w:t>
            </w:r>
          </w:p>
        </w:tc>
      </w:tr>
      <w:tr w:rsidR="007A7DF3" w:rsidRPr="001F3073" w14:paraId="5424FBA5" w14:textId="77777777" w:rsidTr="00CE56D9">
        <w:tc>
          <w:tcPr>
            <w:tcW w:w="1271" w:type="dxa"/>
          </w:tcPr>
          <w:p w14:paraId="44E9231F" w14:textId="77777777" w:rsidR="007A7DF3" w:rsidRPr="001F3073" w:rsidRDefault="007A7DF3" w:rsidP="00100121">
            <w:pPr>
              <w:pStyle w:val="Tabletext"/>
              <w:jc w:val="center"/>
              <w:rPr>
                <w:lang w:val="es-ES_tradnl"/>
              </w:rPr>
            </w:pPr>
            <w:r w:rsidRPr="001F3073">
              <w:rPr>
                <w:lang w:val="es-ES_tradnl"/>
              </w:rPr>
              <w:t>1.19</w:t>
            </w:r>
          </w:p>
        </w:tc>
        <w:tc>
          <w:tcPr>
            <w:tcW w:w="867" w:type="dxa"/>
          </w:tcPr>
          <w:p w14:paraId="3EF52D1C" w14:textId="77777777" w:rsidR="007A7DF3" w:rsidRPr="001F3073" w:rsidRDefault="007A7DF3" w:rsidP="00100121">
            <w:pPr>
              <w:pStyle w:val="Tabletext"/>
              <w:jc w:val="center"/>
              <w:rPr>
                <w:lang w:val="es-ES_tradnl"/>
              </w:rPr>
            </w:pPr>
            <w:r w:rsidRPr="001F3073">
              <w:rPr>
                <w:lang w:val="es-ES_tradnl"/>
              </w:rPr>
              <w:t>4/1.19</w:t>
            </w:r>
          </w:p>
        </w:tc>
        <w:tc>
          <w:tcPr>
            <w:tcW w:w="5087" w:type="dxa"/>
          </w:tcPr>
          <w:p w14:paraId="5ED064A2" w14:textId="77777777" w:rsidR="007A7DF3" w:rsidRPr="00B71365" w:rsidRDefault="007A7DF3" w:rsidP="00CE56D9">
            <w:pPr>
              <w:pStyle w:val="Tabletext"/>
              <w:jc w:val="both"/>
              <w:rPr>
                <w:lang w:val="es-ES_tradnl"/>
              </w:rPr>
            </w:pPr>
            <w:r w:rsidRPr="00B71365">
              <w:rPr>
                <w:lang w:val="es-ES_tradnl"/>
              </w:rPr>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Pr="00B71365">
              <w:rPr>
                <w:b/>
                <w:bCs/>
                <w:lang w:val="es-ES_tradnl"/>
              </w:rPr>
              <w:t>174 (CMR-19)</w:t>
            </w:r>
            <w:r w:rsidRPr="00B71365">
              <w:rPr>
                <w:lang w:val="es-ES_tradnl"/>
              </w:rPr>
              <w:t>;</w:t>
            </w:r>
          </w:p>
        </w:tc>
        <w:tc>
          <w:tcPr>
            <w:tcW w:w="1559" w:type="dxa"/>
          </w:tcPr>
          <w:p w14:paraId="7BB1966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174 (</w:t>
            </w:r>
            <w:r>
              <w:rPr>
                <w:b/>
                <w:lang w:val="es-ES_tradnl"/>
              </w:rPr>
              <w:t>CMR</w:t>
            </w:r>
            <w:r w:rsidRPr="001F3073">
              <w:rPr>
                <w:b/>
                <w:lang w:val="es-ES_tradnl"/>
              </w:rPr>
              <w:noBreakHyphen/>
              <w:t>19)</w:t>
            </w:r>
          </w:p>
        </w:tc>
        <w:tc>
          <w:tcPr>
            <w:tcW w:w="1489" w:type="dxa"/>
          </w:tcPr>
          <w:p w14:paraId="66E401C6" w14:textId="084484FE"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4A</w:t>
            </w:r>
          </w:p>
        </w:tc>
      </w:tr>
      <w:tr w:rsidR="007A7DF3" w:rsidRPr="001F3073" w14:paraId="6ACB94C6" w14:textId="77777777" w:rsidTr="00CE56D9">
        <w:tc>
          <w:tcPr>
            <w:tcW w:w="1271" w:type="dxa"/>
          </w:tcPr>
          <w:p w14:paraId="29D6C64E" w14:textId="77777777" w:rsidR="007A7DF3" w:rsidRPr="001F3073" w:rsidRDefault="007A7DF3" w:rsidP="00100121">
            <w:pPr>
              <w:pStyle w:val="Tabletext"/>
              <w:jc w:val="center"/>
              <w:rPr>
                <w:lang w:val="es-ES_tradnl"/>
              </w:rPr>
            </w:pPr>
            <w:r w:rsidRPr="001F3073">
              <w:rPr>
                <w:lang w:val="es-ES_tradnl"/>
              </w:rPr>
              <w:lastRenderedPageBreak/>
              <w:t>7</w:t>
            </w:r>
          </w:p>
        </w:tc>
        <w:tc>
          <w:tcPr>
            <w:tcW w:w="867" w:type="dxa"/>
          </w:tcPr>
          <w:p w14:paraId="2F825E40" w14:textId="77777777" w:rsidR="007A7DF3" w:rsidRPr="001F3073" w:rsidRDefault="007A7DF3" w:rsidP="00100121">
            <w:pPr>
              <w:pStyle w:val="Tabletext"/>
              <w:jc w:val="center"/>
              <w:rPr>
                <w:lang w:val="es-ES_tradnl"/>
              </w:rPr>
            </w:pPr>
            <w:r w:rsidRPr="001F3073">
              <w:rPr>
                <w:lang w:val="es-ES_tradnl"/>
              </w:rPr>
              <w:t>4/7</w:t>
            </w:r>
          </w:p>
        </w:tc>
        <w:tc>
          <w:tcPr>
            <w:tcW w:w="5087" w:type="dxa"/>
          </w:tcPr>
          <w:p w14:paraId="75660309" w14:textId="07EE6C91" w:rsidR="007A7DF3" w:rsidRPr="00B71365" w:rsidRDefault="007A7DF3" w:rsidP="00CE56D9">
            <w:pPr>
              <w:pStyle w:val="Tabletext"/>
              <w:jc w:val="both"/>
              <w:rPr>
                <w:lang w:val="es-ES_tradnl"/>
              </w:rPr>
            </w:pPr>
            <w:r w:rsidRPr="00B71365">
              <w:rPr>
                <w:lang w:val="es-ES_tradnl"/>
              </w:rPr>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B71365">
              <w:rPr>
                <w:b/>
                <w:bCs/>
                <w:lang w:val="es-ES_tradnl"/>
              </w:rPr>
              <w:t>86 (Rev.CMR-07</w:t>
            </w:r>
            <w:r w:rsidRPr="00B71365">
              <w:rPr>
                <w:b/>
                <w:lang w:val="es-ES_tradnl"/>
              </w:rPr>
              <w:t>)</w:t>
            </w:r>
            <w:r w:rsidRPr="00B71365">
              <w:rPr>
                <w:bCs/>
                <w:lang w:val="es-ES_tradnl"/>
              </w:rPr>
              <w:t xml:space="preserve">, </w:t>
            </w:r>
            <w:r w:rsidRPr="00B71365">
              <w:rPr>
                <w:lang w:val="es-ES_tradnl"/>
              </w:rPr>
              <w:t>para facilitar el uso</w:t>
            </w:r>
            <w:r w:rsidRPr="00B71365">
              <w:rPr>
                <w:bCs/>
                <w:lang w:val="es-ES_tradnl"/>
              </w:rPr>
              <w:t xml:space="preserve"> </w:t>
            </w:r>
            <w:r w:rsidRPr="00B71365">
              <w:rPr>
                <w:lang w:val="es-ES_tradnl"/>
              </w:rPr>
              <w:t>racional, eficiente y económico de las radiofrecuencias y órbitas asociadas, incluida la órbita de los satélites geoestacionarios;</w:t>
            </w:r>
          </w:p>
        </w:tc>
        <w:tc>
          <w:tcPr>
            <w:tcW w:w="1559" w:type="dxa"/>
          </w:tcPr>
          <w:p w14:paraId="658F5652"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86 (Rev.</w:t>
            </w:r>
            <w:r>
              <w:rPr>
                <w:b/>
                <w:lang w:val="es-ES_tradnl"/>
              </w:rPr>
              <w:t>CMR</w:t>
            </w:r>
            <w:r w:rsidRPr="001F3073">
              <w:rPr>
                <w:b/>
                <w:lang w:val="es-ES_tradnl"/>
              </w:rPr>
              <w:noBreakHyphen/>
              <w:t>07)</w:t>
            </w:r>
          </w:p>
        </w:tc>
        <w:tc>
          <w:tcPr>
            <w:tcW w:w="1489" w:type="dxa"/>
          </w:tcPr>
          <w:p w14:paraId="46EF70EA" w14:textId="13DA9D4A" w:rsidR="007A7DF3" w:rsidRPr="001F3073" w:rsidRDefault="007A7DF3" w:rsidP="00100121">
            <w:pPr>
              <w:pStyle w:val="Tabletext"/>
              <w:jc w:val="center"/>
              <w:rPr>
                <w:b/>
                <w:lang w:val="es-ES_tradnl"/>
              </w:rPr>
            </w:pPr>
            <w:r w:rsidRPr="001F3073">
              <w:rPr>
                <w:b/>
                <w:lang w:val="es-ES_tradnl"/>
              </w:rPr>
              <w:t>GT</w:t>
            </w:r>
            <w:r w:rsidR="00C04CEA">
              <w:rPr>
                <w:b/>
                <w:lang w:val="es-ES_tradnl"/>
              </w:rPr>
              <w:t> </w:t>
            </w:r>
            <w:r w:rsidRPr="001F3073">
              <w:rPr>
                <w:b/>
                <w:lang w:val="es-ES_tradnl"/>
              </w:rPr>
              <w:t>4A</w:t>
            </w:r>
          </w:p>
        </w:tc>
      </w:tr>
      <w:tr w:rsidR="007A7DF3" w:rsidRPr="001F3073" w14:paraId="61A2D52F" w14:textId="77777777" w:rsidTr="00266E2D">
        <w:tc>
          <w:tcPr>
            <w:tcW w:w="10273" w:type="dxa"/>
            <w:gridSpan w:val="5"/>
          </w:tcPr>
          <w:p w14:paraId="1F1772FB" w14:textId="77777777" w:rsidR="007A7DF3" w:rsidRPr="00B71365" w:rsidRDefault="007A7DF3" w:rsidP="00B71365">
            <w:pPr>
              <w:pStyle w:val="Tablehead"/>
              <w:rPr>
                <w:lang w:val="es-ES_tradnl"/>
              </w:rPr>
            </w:pPr>
            <w:r w:rsidRPr="00B71365">
              <w:rPr>
                <w:lang w:val="es-ES_tradnl"/>
              </w:rPr>
              <w:t>Capítulo 5 – Temas generales</w:t>
            </w:r>
          </w:p>
        </w:tc>
      </w:tr>
      <w:tr w:rsidR="007A7DF3" w:rsidRPr="001F3073" w14:paraId="4510C30C" w14:textId="77777777" w:rsidTr="00CE56D9">
        <w:tc>
          <w:tcPr>
            <w:tcW w:w="1271" w:type="dxa"/>
          </w:tcPr>
          <w:p w14:paraId="3ED94949" w14:textId="77777777" w:rsidR="007A7DF3" w:rsidRPr="001F3073" w:rsidRDefault="007A7DF3" w:rsidP="00CE56D9">
            <w:pPr>
              <w:pStyle w:val="Tabletext"/>
              <w:jc w:val="center"/>
              <w:rPr>
                <w:lang w:val="es-ES_tradnl"/>
              </w:rPr>
            </w:pPr>
            <w:r w:rsidRPr="001F3073">
              <w:rPr>
                <w:lang w:val="es-ES_tradnl"/>
              </w:rPr>
              <w:t>2</w:t>
            </w:r>
          </w:p>
        </w:tc>
        <w:tc>
          <w:tcPr>
            <w:tcW w:w="867" w:type="dxa"/>
          </w:tcPr>
          <w:p w14:paraId="30DD4DDC" w14:textId="77777777" w:rsidR="007A7DF3" w:rsidRPr="001F3073" w:rsidRDefault="007A7DF3" w:rsidP="00CE56D9">
            <w:pPr>
              <w:pStyle w:val="Tabletext"/>
              <w:jc w:val="center"/>
              <w:rPr>
                <w:lang w:val="es-ES_tradnl"/>
              </w:rPr>
            </w:pPr>
            <w:r w:rsidRPr="001F3073">
              <w:rPr>
                <w:lang w:val="es-ES_tradnl"/>
              </w:rPr>
              <w:t>5/2</w:t>
            </w:r>
          </w:p>
        </w:tc>
        <w:tc>
          <w:tcPr>
            <w:tcW w:w="5087" w:type="dxa"/>
          </w:tcPr>
          <w:p w14:paraId="7B52824B" w14:textId="53372FA2" w:rsidR="007A7DF3" w:rsidRPr="00B71365" w:rsidRDefault="007A7DF3" w:rsidP="00CE56D9">
            <w:pPr>
              <w:pStyle w:val="Tabletext"/>
              <w:jc w:val="both"/>
              <w:rPr>
                <w:lang w:val="es-ES_tradnl"/>
              </w:rPr>
            </w:pPr>
            <w:r w:rsidRPr="00B71365">
              <w:rPr>
                <w:lang w:val="es-ES_tradnl"/>
              </w:rPr>
              <w:t>examinar las Recomendaciones UIT</w:t>
            </w:r>
            <w:r w:rsidRPr="00B71365">
              <w:rPr>
                <w:lang w:val="es-ES_tradnl"/>
              </w:rPr>
              <w:noBreakHyphen/>
              <w:t xml:space="preserve">R revisadas e incorporadas por referencia en el Reglamento de Radiocomunicaciones, comunicadas por la Asamblea de Radiocomunicaciones de acuerdo con el </w:t>
            </w:r>
            <w:r w:rsidRPr="00B71365">
              <w:rPr>
                <w:i/>
                <w:iCs/>
                <w:lang w:val="es-ES_tradnl"/>
              </w:rPr>
              <w:t>resuelve además</w:t>
            </w:r>
            <w:r w:rsidRPr="00B71365">
              <w:rPr>
                <w:lang w:val="es-ES_tradnl"/>
              </w:rPr>
              <w:t xml:space="preserve"> de la Resolución </w:t>
            </w:r>
            <w:r w:rsidRPr="00B71365">
              <w:rPr>
                <w:b/>
                <w:bCs/>
                <w:lang w:val="es-ES_tradnl"/>
              </w:rPr>
              <w:t>27 (Rev.CMR-19</w:t>
            </w:r>
            <w:r w:rsidRPr="00B71365">
              <w:rPr>
                <w:lang w:val="es-ES_tradnl"/>
              </w:rPr>
              <w:t xml:space="preserve">), y decidir si se actualizan o no las referencias correspondientes en el Reglamento de Radiocomunicaciones, con arreglo a los principios contenidos en el </w:t>
            </w:r>
            <w:r w:rsidRPr="00B71365">
              <w:rPr>
                <w:i/>
                <w:iCs/>
                <w:lang w:val="es-ES_tradnl"/>
              </w:rPr>
              <w:t>resuelve</w:t>
            </w:r>
            <w:r w:rsidRPr="00B71365">
              <w:rPr>
                <w:lang w:val="es-ES_tradnl"/>
              </w:rPr>
              <w:t xml:space="preserve"> de esa Resolución;</w:t>
            </w:r>
          </w:p>
        </w:tc>
        <w:tc>
          <w:tcPr>
            <w:tcW w:w="1559" w:type="dxa"/>
          </w:tcPr>
          <w:p w14:paraId="275D645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27 (Rev.</w:t>
            </w:r>
            <w:r>
              <w:rPr>
                <w:b/>
                <w:lang w:val="es-ES_tradnl"/>
              </w:rPr>
              <w:t>CMR</w:t>
            </w:r>
            <w:r w:rsidRPr="001F3073">
              <w:rPr>
                <w:b/>
                <w:lang w:val="es-ES_tradnl"/>
              </w:rPr>
              <w:noBreakHyphen/>
              <w:t>19)</w:t>
            </w:r>
          </w:p>
        </w:tc>
        <w:tc>
          <w:tcPr>
            <w:tcW w:w="1489" w:type="dxa"/>
          </w:tcPr>
          <w:p w14:paraId="44DF496D" w14:textId="418E7EB3" w:rsidR="007A7DF3" w:rsidRPr="001F3073" w:rsidRDefault="00A96272" w:rsidP="00100121">
            <w:pPr>
              <w:pStyle w:val="Tabletext"/>
              <w:jc w:val="center"/>
              <w:rPr>
                <w:rFonts w:eastAsia="MS Mincho"/>
                <w:b/>
                <w:lang w:val="es-ES_tradnl"/>
              </w:rPr>
            </w:pPr>
            <w:r>
              <w:rPr>
                <w:b/>
                <w:lang w:val="es-ES_tradnl"/>
              </w:rPr>
              <w:t>RPC</w:t>
            </w:r>
            <w:r w:rsidR="007A7DF3" w:rsidRPr="001F3073">
              <w:rPr>
                <w:b/>
                <w:lang w:val="es-ES_tradnl"/>
              </w:rPr>
              <w:t>23</w:t>
            </w:r>
            <w:r w:rsidR="007A7DF3" w:rsidRPr="001F3073">
              <w:rPr>
                <w:b/>
                <w:lang w:val="es-ES_tradnl"/>
              </w:rPr>
              <w:noBreakHyphen/>
              <w:t>2</w:t>
            </w:r>
          </w:p>
        </w:tc>
      </w:tr>
      <w:tr w:rsidR="007A7DF3" w:rsidRPr="001F3073" w14:paraId="00EE429A" w14:textId="77777777" w:rsidTr="00CE56D9">
        <w:tc>
          <w:tcPr>
            <w:tcW w:w="1271" w:type="dxa"/>
          </w:tcPr>
          <w:p w14:paraId="2F178524" w14:textId="77777777" w:rsidR="007A7DF3" w:rsidRPr="001F3073" w:rsidRDefault="007A7DF3" w:rsidP="00CE56D9">
            <w:pPr>
              <w:pStyle w:val="Tabletext"/>
              <w:jc w:val="center"/>
              <w:rPr>
                <w:lang w:val="es-ES_tradnl"/>
              </w:rPr>
            </w:pPr>
            <w:r w:rsidRPr="001F3073">
              <w:rPr>
                <w:lang w:val="es-ES_tradnl"/>
              </w:rPr>
              <w:t>4</w:t>
            </w:r>
          </w:p>
        </w:tc>
        <w:tc>
          <w:tcPr>
            <w:tcW w:w="867" w:type="dxa"/>
          </w:tcPr>
          <w:p w14:paraId="345B917E" w14:textId="77777777" w:rsidR="007A7DF3" w:rsidRPr="001F3073" w:rsidRDefault="007A7DF3" w:rsidP="00CE56D9">
            <w:pPr>
              <w:pStyle w:val="Tabletext"/>
              <w:jc w:val="center"/>
              <w:rPr>
                <w:lang w:val="es-ES_tradnl"/>
              </w:rPr>
            </w:pPr>
            <w:r w:rsidRPr="001F3073">
              <w:rPr>
                <w:lang w:val="es-ES_tradnl"/>
              </w:rPr>
              <w:t>5/4</w:t>
            </w:r>
          </w:p>
        </w:tc>
        <w:tc>
          <w:tcPr>
            <w:tcW w:w="5087" w:type="dxa"/>
          </w:tcPr>
          <w:p w14:paraId="0E14BB18" w14:textId="39A1274B" w:rsidR="007A7DF3" w:rsidRPr="00B71365" w:rsidRDefault="007A7DF3" w:rsidP="00CE56D9">
            <w:pPr>
              <w:pStyle w:val="Tabletext"/>
              <w:jc w:val="both"/>
              <w:rPr>
                <w:lang w:val="es-ES_tradnl"/>
              </w:rPr>
            </w:pPr>
            <w:r w:rsidRPr="00B71365">
              <w:rPr>
                <w:lang w:val="es-ES_tradnl"/>
              </w:rPr>
              <w:t>de conformidad con la Resolución </w:t>
            </w:r>
            <w:r w:rsidRPr="00B71365">
              <w:rPr>
                <w:b/>
                <w:bCs/>
                <w:lang w:val="es-ES_tradnl"/>
              </w:rPr>
              <w:t>95 (Rev.CMR-19)</w:t>
            </w:r>
            <w:r w:rsidRPr="00B71365">
              <w:rPr>
                <w:lang w:val="es-ES_tradnl"/>
              </w:rPr>
              <w:t>, considerar las Resoluciones y Recomendaciones de las conferencias anteriores para su posible revisión, sustitución o supresión;</w:t>
            </w:r>
          </w:p>
        </w:tc>
        <w:tc>
          <w:tcPr>
            <w:tcW w:w="1559" w:type="dxa"/>
          </w:tcPr>
          <w:p w14:paraId="4C5A3773"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95 (Rev.</w:t>
            </w:r>
            <w:r>
              <w:rPr>
                <w:b/>
                <w:lang w:val="es-ES_tradnl"/>
              </w:rPr>
              <w:t>CMR</w:t>
            </w:r>
            <w:r w:rsidRPr="001F3073">
              <w:rPr>
                <w:b/>
                <w:lang w:val="es-ES_tradnl"/>
              </w:rPr>
              <w:noBreakHyphen/>
              <w:t>19)</w:t>
            </w:r>
          </w:p>
        </w:tc>
        <w:tc>
          <w:tcPr>
            <w:tcW w:w="1489" w:type="dxa"/>
          </w:tcPr>
          <w:p w14:paraId="3C0E054E" w14:textId="3A4737BA" w:rsidR="007A7DF3" w:rsidRPr="001F3073" w:rsidRDefault="00A96272" w:rsidP="00100121">
            <w:pPr>
              <w:pStyle w:val="Tabletext"/>
              <w:jc w:val="center"/>
              <w:rPr>
                <w:rFonts w:eastAsia="MS Mincho"/>
                <w:b/>
                <w:lang w:val="es-ES_tradnl"/>
              </w:rPr>
            </w:pPr>
            <w:r>
              <w:rPr>
                <w:b/>
                <w:lang w:val="es-ES_tradnl"/>
              </w:rPr>
              <w:t>RPC</w:t>
            </w:r>
            <w:r w:rsidR="007A7DF3" w:rsidRPr="001F3073">
              <w:rPr>
                <w:b/>
                <w:lang w:val="es-ES_tradnl"/>
              </w:rPr>
              <w:t>23</w:t>
            </w:r>
            <w:r w:rsidR="007A7DF3" w:rsidRPr="001F3073">
              <w:rPr>
                <w:b/>
                <w:lang w:val="es-ES_tradnl"/>
              </w:rPr>
              <w:noBreakHyphen/>
              <w:t>2</w:t>
            </w:r>
          </w:p>
        </w:tc>
      </w:tr>
      <w:tr w:rsidR="007A7DF3" w:rsidRPr="001F3073" w14:paraId="112BBF3E" w14:textId="77777777" w:rsidTr="00CE56D9">
        <w:tc>
          <w:tcPr>
            <w:tcW w:w="1271" w:type="dxa"/>
          </w:tcPr>
          <w:p w14:paraId="4F7DC970" w14:textId="77777777" w:rsidR="007A7DF3" w:rsidRPr="001F3073" w:rsidRDefault="007A7DF3" w:rsidP="00100121">
            <w:pPr>
              <w:pStyle w:val="Tabletext"/>
              <w:jc w:val="center"/>
              <w:rPr>
                <w:lang w:val="es-ES_tradnl"/>
              </w:rPr>
            </w:pPr>
            <w:r w:rsidRPr="001F3073">
              <w:rPr>
                <w:lang w:val="es-ES_tradnl"/>
              </w:rPr>
              <w:t>9.1 a)</w:t>
            </w:r>
          </w:p>
        </w:tc>
        <w:tc>
          <w:tcPr>
            <w:tcW w:w="867" w:type="dxa"/>
          </w:tcPr>
          <w:p w14:paraId="27A5B012" w14:textId="77777777" w:rsidR="007A7DF3" w:rsidRPr="001F3073" w:rsidRDefault="007A7DF3" w:rsidP="00100121">
            <w:pPr>
              <w:pStyle w:val="Tabletext"/>
              <w:jc w:val="center"/>
              <w:rPr>
                <w:lang w:val="es-ES_tradnl"/>
              </w:rPr>
            </w:pPr>
            <w:r w:rsidRPr="001F3073">
              <w:rPr>
                <w:lang w:val="es-ES_tradnl"/>
              </w:rPr>
              <w:t>5/9.1-a</w:t>
            </w:r>
          </w:p>
        </w:tc>
        <w:tc>
          <w:tcPr>
            <w:tcW w:w="5087" w:type="dxa"/>
          </w:tcPr>
          <w:p w14:paraId="015FB49F" w14:textId="15382DD5" w:rsidR="007A7DF3" w:rsidRPr="00C04CEA" w:rsidRDefault="007A7DF3" w:rsidP="00CE56D9">
            <w:pPr>
              <w:pStyle w:val="Tabletext"/>
              <w:jc w:val="both"/>
              <w:rPr>
                <w:lang w:val="es-ES_tradnl"/>
              </w:rPr>
            </w:pPr>
            <w:r w:rsidRPr="00C04CEA">
              <w:rPr>
                <w:lang w:val="es-ES_tradnl"/>
              </w:rPr>
              <w:t xml:space="preserve">examinar, de conformidad con la Resolución </w:t>
            </w:r>
            <w:r w:rsidRPr="00C04CEA">
              <w:rPr>
                <w:b/>
                <w:bCs/>
                <w:lang w:val="es-ES_tradnl"/>
              </w:rPr>
              <w:t>657 (</w:t>
            </w:r>
            <w:r w:rsidR="00E2199B" w:rsidRPr="00C04CEA">
              <w:rPr>
                <w:b/>
                <w:bCs/>
                <w:lang w:val="es-ES_tradnl"/>
              </w:rPr>
              <w:t>Rev.</w:t>
            </w:r>
            <w:r w:rsidRPr="00C04CEA">
              <w:rPr>
                <w:b/>
                <w:bCs/>
                <w:lang w:val="es-ES_tradnl"/>
              </w:rPr>
              <w:t>CMR-19)</w:t>
            </w:r>
            <w:r w:rsidRPr="00C04CEA">
              <w:rPr>
                <w:lang w:val="es-ES_tradnl"/>
              </w:rPr>
              <w:t>, los resultados de los estudios relativos a las características técnicas y operativas, las necesidades de espectro y la pertenencia al servicio radioeléctrico pertinente de los sensores meteorológicos espaciales con el fin de proporcionar el reconocimiento y protección adecuados en el Reglamento de Radiocomunicaciones, sin imponer restricciones adicionales a los servicios existentes;</w:t>
            </w:r>
          </w:p>
        </w:tc>
        <w:tc>
          <w:tcPr>
            <w:tcW w:w="1559" w:type="dxa"/>
          </w:tcPr>
          <w:p w14:paraId="4FA0F9A0"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657 (Rev.</w:t>
            </w:r>
            <w:r>
              <w:rPr>
                <w:b/>
                <w:lang w:val="es-ES_tradnl"/>
              </w:rPr>
              <w:t>CMR</w:t>
            </w:r>
            <w:r w:rsidRPr="001F3073">
              <w:rPr>
                <w:b/>
                <w:lang w:val="es-ES_tradnl"/>
              </w:rPr>
              <w:noBreakHyphen/>
              <w:t>19)</w:t>
            </w:r>
          </w:p>
        </w:tc>
        <w:tc>
          <w:tcPr>
            <w:tcW w:w="1489" w:type="dxa"/>
          </w:tcPr>
          <w:p w14:paraId="6D953C00" w14:textId="394FCAD2" w:rsidR="007A7DF3" w:rsidRPr="001F3073" w:rsidRDefault="007A7DF3" w:rsidP="00100121">
            <w:pPr>
              <w:pStyle w:val="Tabletext"/>
              <w:jc w:val="center"/>
              <w:rPr>
                <w:rFonts w:eastAsia="MS Mincho"/>
                <w:b/>
                <w:lang w:val="es-ES_tradnl"/>
              </w:rPr>
            </w:pPr>
            <w:r w:rsidRPr="001F3073">
              <w:rPr>
                <w:b/>
                <w:lang w:val="es-ES_tradnl"/>
              </w:rPr>
              <w:t>GT</w:t>
            </w:r>
            <w:r w:rsidR="00C04CEA">
              <w:rPr>
                <w:b/>
                <w:lang w:val="es-ES_tradnl"/>
              </w:rPr>
              <w:t> </w:t>
            </w:r>
            <w:r w:rsidRPr="001F3073">
              <w:rPr>
                <w:b/>
                <w:lang w:val="es-ES_tradnl"/>
              </w:rPr>
              <w:t>7C</w:t>
            </w:r>
          </w:p>
        </w:tc>
      </w:tr>
      <w:tr w:rsidR="007A7DF3" w:rsidRPr="001F3073" w14:paraId="25ED094B" w14:textId="77777777" w:rsidTr="00CE56D9">
        <w:tc>
          <w:tcPr>
            <w:tcW w:w="1271" w:type="dxa"/>
          </w:tcPr>
          <w:p w14:paraId="56546F16" w14:textId="77777777" w:rsidR="007A7DF3" w:rsidRPr="001F3073" w:rsidRDefault="007A7DF3" w:rsidP="00100121">
            <w:pPr>
              <w:pStyle w:val="Tabletext"/>
              <w:jc w:val="center"/>
              <w:rPr>
                <w:lang w:val="es-ES_tradnl"/>
              </w:rPr>
            </w:pPr>
            <w:r w:rsidRPr="001F3073">
              <w:rPr>
                <w:lang w:val="es-ES_tradnl"/>
              </w:rPr>
              <w:t>9.1 b)</w:t>
            </w:r>
          </w:p>
        </w:tc>
        <w:tc>
          <w:tcPr>
            <w:tcW w:w="867" w:type="dxa"/>
          </w:tcPr>
          <w:p w14:paraId="0036765D" w14:textId="77777777" w:rsidR="007A7DF3" w:rsidRPr="001F3073" w:rsidRDefault="007A7DF3" w:rsidP="00100121">
            <w:pPr>
              <w:pStyle w:val="Tabletext"/>
              <w:jc w:val="center"/>
              <w:rPr>
                <w:lang w:val="es-ES_tradnl"/>
              </w:rPr>
            </w:pPr>
            <w:r w:rsidRPr="001F3073">
              <w:rPr>
                <w:lang w:val="es-ES_tradnl"/>
              </w:rPr>
              <w:t>5/9.1-b</w:t>
            </w:r>
          </w:p>
        </w:tc>
        <w:tc>
          <w:tcPr>
            <w:tcW w:w="5087" w:type="dxa"/>
          </w:tcPr>
          <w:p w14:paraId="50A606B9" w14:textId="22074BE7" w:rsidR="007A7DF3" w:rsidRPr="00C04CEA" w:rsidRDefault="007A7DF3" w:rsidP="00CE56D9">
            <w:pPr>
              <w:pStyle w:val="Tabletext"/>
              <w:jc w:val="both"/>
              <w:rPr>
                <w:bCs/>
                <w:lang w:val="es-ES_tradnl"/>
              </w:rPr>
            </w:pPr>
            <w:r w:rsidRPr="00C04CEA">
              <w:rPr>
                <w:lang w:val="es-ES_tradnl"/>
              </w:rPr>
              <w:t>revisar las atribuciones al servicio de aficionados y al servicio de aficionados por satélite en la banda de frecuencias 1 240</w:t>
            </w:r>
            <w:r w:rsidRPr="00C04CEA">
              <w:rPr>
                <w:lang w:val="es-ES_tradnl"/>
              </w:rPr>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Pr="00C04CEA">
              <w:rPr>
                <w:b/>
                <w:bCs/>
                <w:lang w:val="es-ES_tradnl"/>
              </w:rPr>
              <w:t>774</w:t>
            </w:r>
            <w:r w:rsidRPr="00C04CEA">
              <w:rPr>
                <w:b/>
                <w:lang w:val="es-ES_tradnl"/>
              </w:rPr>
              <w:t xml:space="preserve"> (CMR-19)</w:t>
            </w:r>
            <w:r w:rsidRPr="00C04CEA">
              <w:rPr>
                <w:bCs/>
                <w:lang w:val="es-ES_tradnl"/>
              </w:rPr>
              <w:t>;</w:t>
            </w:r>
          </w:p>
        </w:tc>
        <w:tc>
          <w:tcPr>
            <w:tcW w:w="1559" w:type="dxa"/>
          </w:tcPr>
          <w:p w14:paraId="0C5CB775"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774 (</w:t>
            </w:r>
            <w:r>
              <w:rPr>
                <w:b/>
                <w:lang w:val="es-ES_tradnl"/>
              </w:rPr>
              <w:t>CMR</w:t>
            </w:r>
            <w:r w:rsidRPr="001F3073">
              <w:rPr>
                <w:b/>
                <w:lang w:val="es-ES_tradnl"/>
              </w:rPr>
              <w:noBreakHyphen/>
              <w:t>19)</w:t>
            </w:r>
          </w:p>
        </w:tc>
        <w:tc>
          <w:tcPr>
            <w:tcW w:w="1489" w:type="dxa"/>
          </w:tcPr>
          <w:p w14:paraId="5BF6CB95" w14:textId="2A619BB5" w:rsidR="007A7DF3" w:rsidRPr="001F3073" w:rsidRDefault="007A7DF3" w:rsidP="00100121">
            <w:pPr>
              <w:pStyle w:val="Tabletext"/>
              <w:jc w:val="center"/>
              <w:rPr>
                <w:rFonts w:eastAsia="MS Mincho"/>
                <w:b/>
                <w:lang w:val="es-ES_tradnl"/>
              </w:rPr>
            </w:pPr>
            <w:r w:rsidRPr="001F3073">
              <w:rPr>
                <w:b/>
                <w:lang w:val="es-ES_tradnl"/>
              </w:rPr>
              <w:t>GT</w:t>
            </w:r>
            <w:r w:rsidR="00C04CEA">
              <w:rPr>
                <w:b/>
                <w:lang w:val="es-ES_tradnl"/>
              </w:rPr>
              <w:t> </w:t>
            </w:r>
            <w:r w:rsidRPr="001F3073">
              <w:rPr>
                <w:b/>
                <w:lang w:val="es-ES_tradnl"/>
              </w:rPr>
              <w:t>5A</w:t>
            </w:r>
          </w:p>
        </w:tc>
      </w:tr>
      <w:tr w:rsidR="007A7DF3" w:rsidRPr="00CE4E08" w14:paraId="1294EB67" w14:textId="77777777" w:rsidTr="00CE56D9">
        <w:tc>
          <w:tcPr>
            <w:tcW w:w="1271" w:type="dxa"/>
          </w:tcPr>
          <w:p w14:paraId="118A46E2" w14:textId="77777777" w:rsidR="007A7DF3" w:rsidRPr="001F3073" w:rsidRDefault="007A7DF3" w:rsidP="00100121">
            <w:pPr>
              <w:pStyle w:val="Tabletext"/>
              <w:jc w:val="center"/>
              <w:rPr>
                <w:lang w:val="es-ES_tradnl"/>
              </w:rPr>
            </w:pPr>
            <w:r w:rsidRPr="001F3073">
              <w:rPr>
                <w:lang w:val="es-ES_tradnl"/>
              </w:rPr>
              <w:t>9.1 c)</w:t>
            </w:r>
          </w:p>
        </w:tc>
        <w:tc>
          <w:tcPr>
            <w:tcW w:w="867" w:type="dxa"/>
          </w:tcPr>
          <w:p w14:paraId="00CE0E44" w14:textId="77777777" w:rsidR="007A7DF3" w:rsidRPr="001F3073" w:rsidRDefault="007A7DF3" w:rsidP="00100121">
            <w:pPr>
              <w:pStyle w:val="Tabletext"/>
              <w:jc w:val="center"/>
              <w:rPr>
                <w:lang w:val="es-ES_tradnl"/>
              </w:rPr>
            </w:pPr>
            <w:r w:rsidRPr="001F3073">
              <w:rPr>
                <w:lang w:val="es-ES_tradnl"/>
              </w:rPr>
              <w:t>5/9.1-c</w:t>
            </w:r>
          </w:p>
        </w:tc>
        <w:tc>
          <w:tcPr>
            <w:tcW w:w="5087" w:type="dxa"/>
          </w:tcPr>
          <w:p w14:paraId="0E978EA7" w14:textId="4F1385CB" w:rsidR="007A7DF3" w:rsidRPr="00415F52" w:rsidRDefault="007A7DF3" w:rsidP="00CE56D9">
            <w:pPr>
              <w:pStyle w:val="Tabletext"/>
              <w:jc w:val="both"/>
              <w:rPr>
                <w:lang w:val="es-ES_tradnl"/>
              </w:rPr>
            </w:pPr>
            <w:r w:rsidRPr="00415F52">
              <w:rPr>
                <w:lang w:val="es-ES_tradnl"/>
              </w:rPr>
              <w:t xml:space="preserve">estudiar la utilización de los sistemas de telecomunicaciones móviles internacionales para la banda ancha inalámbrica fija en las bandas de frecuencias atribuidas al servicio fijo a título primario, de conformidad con la Resolución </w:t>
            </w:r>
            <w:r w:rsidRPr="00415F52">
              <w:rPr>
                <w:b/>
                <w:lang w:val="es-ES_tradnl"/>
              </w:rPr>
              <w:t>175 (CMR-19)</w:t>
            </w:r>
            <w:r w:rsidRPr="00415F52">
              <w:rPr>
                <w:lang w:val="es-ES_tradnl"/>
              </w:rPr>
              <w:t>;</w:t>
            </w:r>
          </w:p>
        </w:tc>
        <w:tc>
          <w:tcPr>
            <w:tcW w:w="1559" w:type="dxa"/>
          </w:tcPr>
          <w:p w14:paraId="67484CD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175 (</w:t>
            </w:r>
            <w:r>
              <w:rPr>
                <w:b/>
                <w:lang w:val="es-ES_tradnl"/>
              </w:rPr>
              <w:t>CMR</w:t>
            </w:r>
            <w:r w:rsidRPr="001F3073">
              <w:rPr>
                <w:b/>
                <w:lang w:val="es-ES_tradnl"/>
              </w:rPr>
              <w:noBreakHyphen/>
              <w:t>19)</w:t>
            </w:r>
          </w:p>
        </w:tc>
        <w:tc>
          <w:tcPr>
            <w:tcW w:w="1489" w:type="dxa"/>
          </w:tcPr>
          <w:p w14:paraId="5BB8F2CD" w14:textId="77777777" w:rsidR="007A7DF3" w:rsidRPr="001F3073" w:rsidRDefault="007A7DF3" w:rsidP="00100121">
            <w:pPr>
              <w:pStyle w:val="Tabletext"/>
              <w:jc w:val="center"/>
              <w:rPr>
                <w:lang w:val="es-ES_tradnl"/>
              </w:rPr>
            </w:pPr>
            <w:r w:rsidRPr="001F3073">
              <w:rPr>
                <w:b/>
                <w:lang w:val="es-ES_tradnl"/>
              </w:rPr>
              <w:t>GT 5A</w:t>
            </w:r>
            <w:r w:rsidRPr="001F3073">
              <w:rPr>
                <w:lang w:val="es-ES_tradnl"/>
              </w:rPr>
              <w:t xml:space="preserve"> </w:t>
            </w:r>
            <w:r>
              <w:rPr>
                <w:lang w:val="es-ES_tradnl"/>
              </w:rPr>
              <w:t>y</w:t>
            </w:r>
            <w:r w:rsidRPr="001F3073">
              <w:rPr>
                <w:lang w:val="es-ES_tradnl"/>
              </w:rPr>
              <w:t xml:space="preserve"> </w:t>
            </w:r>
            <w:r w:rsidRPr="001F3073">
              <w:rPr>
                <w:b/>
                <w:lang w:val="es-ES_tradnl"/>
              </w:rPr>
              <w:t>GT 5C</w:t>
            </w:r>
          </w:p>
          <w:p w14:paraId="614797BC" w14:textId="4472758C" w:rsidR="007A7DF3" w:rsidRPr="001F3073" w:rsidRDefault="007A7DF3" w:rsidP="00100121">
            <w:pPr>
              <w:pStyle w:val="Tabletext"/>
              <w:jc w:val="center"/>
              <w:rPr>
                <w:rFonts w:eastAsia="MS Mincho"/>
                <w:lang w:val="es-ES_tradnl"/>
              </w:rPr>
            </w:pPr>
            <w:r w:rsidRPr="00C0070E">
              <w:rPr>
                <w:lang w:val="es-ES_tradnl"/>
              </w:rPr>
              <w:t>Nota: Se trata de una actividad conjunta y, si es necesario, se puede celebrar una reunión plenaria conjunta. El GT</w:t>
            </w:r>
            <w:r w:rsidR="00C04CEA">
              <w:rPr>
                <w:lang w:val="es-ES_tradnl"/>
              </w:rPr>
              <w:t> </w:t>
            </w:r>
            <w:r w:rsidRPr="00C0070E">
              <w:rPr>
                <w:lang w:val="es-ES_tradnl"/>
              </w:rPr>
              <w:t xml:space="preserve">5A proporcionará el proyecto de texto sobre los </w:t>
            </w:r>
            <w:r w:rsidRPr="00C0070E">
              <w:rPr>
                <w:lang w:val="es-ES_tradnl"/>
              </w:rPr>
              <w:lastRenderedPageBreak/>
              <w:t>resultados de los estudios a los co</w:t>
            </w:r>
            <w:r>
              <w:rPr>
                <w:lang w:val="es-ES_tradnl"/>
              </w:rPr>
              <w:t>rrelatores</w:t>
            </w:r>
            <w:r w:rsidRPr="00C0070E">
              <w:rPr>
                <w:lang w:val="es-ES_tradnl"/>
              </w:rPr>
              <w:t xml:space="preserve"> del capítulo de la</w:t>
            </w:r>
            <w:r w:rsidR="001261DF">
              <w:rPr>
                <w:lang w:val="es-ES_tradnl"/>
              </w:rPr>
              <w:t> </w:t>
            </w:r>
            <w:r w:rsidRPr="00C0070E">
              <w:rPr>
                <w:lang w:val="es-ES_tradnl"/>
              </w:rPr>
              <w:t>RPC</w:t>
            </w:r>
            <w:r w:rsidR="00C04CEA">
              <w:rPr>
                <w:lang w:val="es-ES_tradnl"/>
              </w:rPr>
              <w:t>.</w:t>
            </w:r>
          </w:p>
        </w:tc>
      </w:tr>
      <w:tr w:rsidR="007A7DF3" w:rsidRPr="001F3073" w14:paraId="36A14266" w14:textId="77777777" w:rsidTr="00CE56D9">
        <w:tc>
          <w:tcPr>
            <w:tcW w:w="1271" w:type="dxa"/>
          </w:tcPr>
          <w:p w14:paraId="76179BAB" w14:textId="77777777" w:rsidR="007A7DF3" w:rsidRPr="001F3073" w:rsidRDefault="007A7DF3" w:rsidP="00100121">
            <w:pPr>
              <w:pStyle w:val="Tabletext"/>
              <w:jc w:val="center"/>
              <w:rPr>
                <w:lang w:val="es-ES_tradnl"/>
              </w:rPr>
            </w:pPr>
            <w:r w:rsidRPr="001F3073">
              <w:rPr>
                <w:lang w:val="es-ES_tradnl"/>
              </w:rPr>
              <w:lastRenderedPageBreak/>
              <w:t>9.1 d)</w:t>
            </w:r>
          </w:p>
        </w:tc>
        <w:tc>
          <w:tcPr>
            <w:tcW w:w="867" w:type="dxa"/>
          </w:tcPr>
          <w:p w14:paraId="02BBD361" w14:textId="77777777" w:rsidR="007A7DF3" w:rsidRPr="001F3073" w:rsidRDefault="007A7DF3" w:rsidP="00100121">
            <w:pPr>
              <w:pStyle w:val="Tabletext"/>
              <w:jc w:val="center"/>
              <w:rPr>
                <w:lang w:val="es-ES_tradnl"/>
              </w:rPr>
            </w:pPr>
            <w:r w:rsidRPr="001F3073">
              <w:rPr>
                <w:lang w:val="es-ES_tradnl"/>
              </w:rPr>
              <w:t>5/9.1-d</w:t>
            </w:r>
          </w:p>
        </w:tc>
        <w:tc>
          <w:tcPr>
            <w:tcW w:w="5087" w:type="dxa"/>
          </w:tcPr>
          <w:p w14:paraId="7AA8E536" w14:textId="77777777" w:rsidR="007A7DF3" w:rsidRPr="001F3073" w:rsidRDefault="007A7DF3" w:rsidP="00CE56D9">
            <w:pPr>
              <w:pStyle w:val="Tabletext"/>
              <w:jc w:val="both"/>
              <w:rPr>
                <w:lang w:val="es-ES_tradnl"/>
              </w:rPr>
            </w:pPr>
            <w:r w:rsidRPr="001F3073">
              <w:rPr>
                <w:lang w:val="es-ES_tradnl"/>
              </w:rPr>
              <w:t xml:space="preserve">Protección del SETS (pasivo) en la banda 36-37 GHz </w:t>
            </w:r>
            <w:r>
              <w:rPr>
                <w:lang w:val="es-ES_tradnl"/>
              </w:rPr>
              <w:t>respecto de estaciones espaciales del SFS no OSG</w:t>
            </w:r>
            <w:r w:rsidRPr="001F3073">
              <w:rPr>
                <w:lang w:val="es-ES_tradnl"/>
              </w:rPr>
              <w:t>;</w:t>
            </w:r>
          </w:p>
        </w:tc>
        <w:tc>
          <w:tcPr>
            <w:tcW w:w="1559" w:type="dxa"/>
          </w:tcPr>
          <w:p w14:paraId="3C6E3292" w14:textId="49556897" w:rsidR="007A7DF3" w:rsidRPr="00B71365" w:rsidRDefault="00AC3B61" w:rsidP="00100121">
            <w:pPr>
              <w:pStyle w:val="Tabletext"/>
              <w:rPr>
                <w:lang w:val="es-ES_tradnl"/>
              </w:rPr>
            </w:pPr>
            <w:hyperlink r:id="rId34" w:history="1">
              <w:r w:rsidR="007A7DF3" w:rsidRPr="00564FF1">
                <w:rPr>
                  <w:rStyle w:val="Hyperlink"/>
                  <w:lang w:val="es-ES_tradnl"/>
                </w:rPr>
                <w:t>Documento 535</w:t>
              </w:r>
              <w:r w:rsidR="007A7DF3" w:rsidRPr="00564FF1">
                <w:rPr>
                  <w:rStyle w:val="Hyperlink"/>
                  <w:lang w:val="es-ES"/>
                </w:rPr>
                <w:t xml:space="preserve"> de la CMR-19</w:t>
              </w:r>
            </w:hyperlink>
            <w:r w:rsidR="007A7DF3" w:rsidRPr="00B71365">
              <w:rPr>
                <w:lang w:val="es-ES_tradnl"/>
              </w:rPr>
              <w:t>, Sección 2 del Anexo</w:t>
            </w:r>
          </w:p>
        </w:tc>
        <w:tc>
          <w:tcPr>
            <w:tcW w:w="1489" w:type="dxa"/>
          </w:tcPr>
          <w:p w14:paraId="6A96CF72" w14:textId="769E4595" w:rsidR="007A7DF3" w:rsidRPr="001F3073" w:rsidRDefault="007A7DF3" w:rsidP="00100121">
            <w:pPr>
              <w:pStyle w:val="Tabletext"/>
              <w:jc w:val="center"/>
              <w:rPr>
                <w:rFonts w:eastAsia="MS Mincho"/>
                <w:b/>
                <w:highlight w:val="yellow"/>
                <w:lang w:val="es-ES_tradnl"/>
              </w:rPr>
            </w:pPr>
            <w:r w:rsidRPr="001F3073">
              <w:rPr>
                <w:b/>
                <w:lang w:val="es-ES_tradnl"/>
              </w:rPr>
              <w:t>GT</w:t>
            </w:r>
            <w:r w:rsidR="00564FF1">
              <w:rPr>
                <w:b/>
                <w:lang w:val="es-ES_tradnl"/>
              </w:rPr>
              <w:t> </w:t>
            </w:r>
            <w:r w:rsidRPr="001F3073">
              <w:rPr>
                <w:b/>
                <w:lang w:val="es-ES_tradnl"/>
              </w:rPr>
              <w:t>7C</w:t>
            </w:r>
          </w:p>
        </w:tc>
      </w:tr>
      <w:tr w:rsidR="007A7DF3" w:rsidRPr="00CE4E08" w14:paraId="188B15DC" w14:textId="77777777" w:rsidTr="00100121">
        <w:tc>
          <w:tcPr>
            <w:tcW w:w="10273" w:type="dxa"/>
            <w:gridSpan w:val="5"/>
          </w:tcPr>
          <w:p w14:paraId="5020E201" w14:textId="77777777" w:rsidR="007A7DF3" w:rsidRPr="00B71365" w:rsidRDefault="007A7DF3" w:rsidP="00B71365">
            <w:pPr>
              <w:pStyle w:val="Tablehead"/>
              <w:rPr>
                <w:lang w:val="es-ES_tradnl"/>
              </w:rPr>
            </w:pPr>
            <w:bookmarkStart w:id="71" w:name="_Hlk26542020"/>
            <w:r w:rsidRPr="00B71365">
              <w:rPr>
                <w:lang w:val="es-ES_tradnl"/>
              </w:rPr>
              <w:t xml:space="preserve">Anexo 1 – Información sobre el punto 10 del orden del día de la CMR-23 </w:t>
            </w:r>
          </w:p>
        </w:tc>
      </w:tr>
      <w:tr w:rsidR="007A7DF3" w:rsidRPr="001F3073" w14:paraId="36E23222" w14:textId="77777777" w:rsidTr="00CE56D9">
        <w:tc>
          <w:tcPr>
            <w:tcW w:w="1271" w:type="dxa"/>
          </w:tcPr>
          <w:p w14:paraId="2AD25611" w14:textId="77777777" w:rsidR="007A7DF3" w:rsidRPr="001F3073" w:rsidRDefault="007A7DF3" w:rsidP="00100121">
            <w:pPr>
              <w:pStyle w:val="Tabletext"/>
              <w:jc w:val="center"/>
              <w:rPr>
                <w:lang w:val="es-ES_tradnl"/>
              </w:rPr>
            </w:pPr>
            <w:bookmarkStart w:id="72" w:name="_Hlk26542604"/>
            <w:r w:rsidRPr="001F3073">
              <w:rPr>
                <w:lang w:val="es-ES_tradnl"/>
              </w:rPr>
              <w:t>10</w:t>
            </w:r>
          </w:p>
        </w:tc>
        <w:tc>
          <w:tcPr>
            <w:tcW w:w="867" w:type="dxa"/>
          </w:tcPr>
          <w:p w14:paraId="623C860B" w14:textId="77777777" w:rsidR="007A7DF3" w:rsidRPr="001F3073" w:rsidRDefault="007A7DF3" w:rsidP="00100121">
            <w:pPr>
              <w:pStyle w:val="Tabletext"/>
              <w:jc w:val="center"/>
              <w:rPr>
                <w:lang w:val="es-ES_tradnl"/>
              </w:rPr>
            </w:pPr>
            <w:r w:rsidRPr="001F3073">
              <w:rPr>
                <w:lang w:val="es-ES_tradnl"/>
              </w:rPr>
              <w:t>A1/2.1</w:t>
            </w:r>
          </w:p>
        </w:tc>
        <w:tc>
          <w:tcPr>
            <w:tcW w:w="5087" w:type="dxa"/>
          </w:tcPr>
          <w:p w14:paraId="617ED3BF" w14:textId="0B14A023" w:rsidR="007A7DF3" w:rsidRPr="00B71365" w:rsidRDefault="007A7DF3" w:rsidP="00CE56D9">
            <w:pPr>
              <w:pStyle w:val="Tabletext"/>
              <w:jc w:val="both"/>
              <w:rPr>
                <w:b/>
                <w:lang w:val="es-ES_tradnl"/>
              </w:rPr>
            </w:pPr>
            <w:r w:rsidRPr="00B71365">
              <w:rPr>
                <w:lang w:val="es-ES_tradnl"/>
              </w:rPr>
              <w:t>considerar la posibilidad de efectuar atribuciones adicionales de espectro al servicio de radiolocalización a título coprimario en la banda de frecuencias 231,5</w:t>
            </w:r>
            <w:r w:rsidRPr="00B71365">
              <w:rPr>
                <w:lang w:val="es-ES_tradnl"/>
              </w:rPr>
              <w:noBreakHyphen/>
              <w:t>275 GHz y la identificación de espectro para aplicaciones de radiolocalización en las bandas de frecuencias en la gama 275</w:t>
            </w:r>
            <w:r w:rsidRPr="00B71365">
              <w:rPr>
                <w:lang w:val="es-ES_tradnl"/>
              </w:rPr>
              <w:noBreakHyphen/>
              <w:t>700 GHz para sistemas de imágenes en ondas milimétricas y submilimétricas, de conformidad con la Resolución</w:t>
            </w:r>
            <w:r w:rsidR="00564FF1">
              <w:rPr>
                <w:lang w:val="es-ES_tradnl"/>
              </w:rPr>
              <w:t> </w:t>
            </w:r>
            <w:r w:rsidRPr="00B71365">
              <w:rPr>
                <w:b/>
                <w:bCs/>
                <w:lang w:val="es-ES_tradnl"/>
              </w:rPr>
              <w:t>663</w:t>
            </w:r>
            <w:r w:rsidRPr="00B71365">
              <w:rPr>
                <w:b/>
                <w:lang w:val="es-ES_tradnl"/>
              </w:rPr>
              <w:t xml:space="preserve"> (CMR-19)</w:t>
            </w:r>
            <w:r w:rsidRPr="00B71365">
              <w:rPr>
                <w:lang w:val="es-ES_tradnl"/>
              </w:rPr>
              <w:t>;</w:t>
            </w:r>
          </w:p>
        </w:tc>
        <w:tc>
          <w:tcPr>
            <w:tcW w:w="1559" w:type="dxa"/>
          </w:tcPr>
          <w:p w14:paraId="598E3E92" w14:textId="77777777" w:rsidR="007A7DF3" w:rsidRPr="001F3073" w:rsidRDefault="007A7DF3" w:rsidP="00100121">
            <w:pPr>
              <w:pStyle w:val="Tabletext"/>
              <w:jc w:val="center"/>
              <w:rPr>
                <w:lang w:val="es-ES_tradnl"/>
              </w:rPr>
            </w:pPr>
            <w:r>
              <w:rPr>
                <w:lang w:val="es-ES_tradnl"/>
              </w:rPr>
              <w:t>Resolución</w:t>
            </w:r>
            <w:r w:rsidRPr="001F3073">
              <w:rPr>
                <w:lang w:val="es-ES_tradnl"/>
              </w:rPr>
              <w:t xml:space="preserve"> </w:t>
            </w:r>
            <w:r w:rsidRPr="001F3073">
              <w:rPr>
                <w:b/>
                <w:lang w:val="es-ES_tradnl"/>
              </w:rPr>
              <w:t>663 (</w:t>
            </w:r>
            <w:r>
              <w:rPr>
                <w:b/>
                <w:lang w:val="es-ES_tradnl"/>
              </w:rPr>
              <w:t>CMR</w:t>
            </w:r>
            <w:r w:rsidRPr="001F3073">
              <w:rPr>
                <w:b/>
                <w:lang w:val="es-ES_tradnl"/>
              </w:rPr>
              <w:noBreakHyphen/>
              <w:t>19)</w:t>
            </w:r>
          </w:p>
        </w:tc>
        <w:tc>
          <w:tcPr>
            <w:tcW w:w="1489" w:type="dxa"/>
          </w:tcPr>
          <w:p w14:paraId="41034E5E" w14:textId="2BA10B53"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1/</w:t>
            </w:r>
            <w:r>
              <w:rPr>
                <w:b/>
                <w:lang w:val="es-ES_tradnl"/>
              </w:rPr>
              <w:t>CE</w:t>
            </w:r>
            <w:r w:rsidR="00564FF1">
              <w:rPr>
                <w:b/>
                <w:lang w:val="es-ES_tradnl"/>
              </w:rPr>
              <w:t> </w:t>
            </w:r>
            <w:r w:rsidRPr="001F3073">
              <w:rPr>
                <w:b/>
                <w:lang w:val="es-ES_tradnl"/>
              </w:rPr>
              <w:t>5</w:t>
            </w:r>
          </w:p>
        </w:tc>
      </w:tr>
      <w:tr w:rsidR="007A7DF3" w:rsidRPr="001F3073" w14:paraId="5F05EEE9" w14:textId="77777777" w:rsidTr="00CE56D9">
        <w:tc>
          <w:tcPr>
            <w:tcW w:w="1271" w:type="dxa"/>
          </w:tcPr>
          <w:p w14:paraId="1EAA0EDB"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7D08AC7D" w14:textId="77777777" w:rsidR="007A7DF3" w:rsidRPr="001F3073" w:rsidRDefault="007A7DF3" w:rsidP="00100121">
            <w:pPr>
              <w:pStyle w:val="Tabletext"/>
              <w:jc w:val="center"/>
              <w:rPr>
                <w:lang w:val="es-ES_tradnl"/>
              </w:rPr>
            </w:pPr>
            <w:r w:rsidRPr="001F3073">
              <w:rPr>
                <w:lang w:val="es-ES_tradnl"/>
              </w:rPr>
              <w:t>A1/2.2</w:t>
            </w:r>
          </w:p>
        </w:tc>
        <w:tc>
          <w:tcPr>
            <w:tcW w:w="5087" w:type="dxa"/>
          </w:tcPr>
          <w:p w14:paraId="50CE3BCF" w14:textId="77777777" w:rsidR="007A7DF3" w:rsidRPr="00B71365" w:rsidRDefault="007A7DF3" w:rsidP="00CE56D9">
            <w:pPr>
              <w:pStyle w:val="Tabletext"/>
              <w:jc w:val="both"/>
              <w:rPr>
                <w:bCs/>
                <w:lang w:val="es-ES_tradnl"/>
              </w:rPr>
            </w:pPr>
            <w:r w:rsidRPr="00B71365">
              <w:rPr>
                <w:lang w:val="es-ES_tradnl"/>
              </w:rPr>
              <w:t>e</w:t>
            </w:r>
            <w:r w:rsidRPr="00B71365">
              <w:rPr>
                <w:iCs/>
                <w:lang w:val="es-ES_tradnl"/>
              </w:rPr>
              <w:t>studiar</w:t>
            </w:r>
            <w:r w:rsidRPr="00B71365">
              <w:rPr>
                <w:lang w:val="es-ES_tradnl"/>
              </w:rPr>
              <w:t xml:space="preserve">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Resolución </w:t>
            </w:r>
            <w:r w:rsidRPr="00B71365">
              <w:rPr>
                <w:b/>
                <w:bCs/>
                <w:lang w:val="es-ES_tradnl"/>
              </w:rPr>
              <w:t>176</w:t>
            </w:r>
            <w:r w:rsidRPr="00B71365">
              <w:rPr>
                <w:b/>
                <w:lang w:val="es-ES_tradnl"/>
              </w:rPr>
              <w:t xml:space="preserve"> (CMR-19)</w:t>
            </w:r>
            <w:r w:rsidRPr="00B71365">
              <w:rPr>
                <w:lang w:val="es-ES_tradnl"/>
              </w:rPr>
              <w:t>.</w:t>
            </w:r>
          </w:p>
        </w:tc>
        <w:tc>
          <w:tcPr>
            <w:tcW w:w="1559" w:type="dxa"/>
          </w:tcPr>
          <w:p w14:paraId="12D94C8B"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176 (</w:t>
            </w:r>
            <w:r>
              <w:rPr>
                <w:b/>
                <w:lang w:val="es-ES_tradnl"/>
              </w:rPr>
              <w:t>CMR</w:t>
            </w:r>
            <w:r w:rsidRPr="001F3073">
              <w:rPr>
                <w:b/>
                <w:lang w:val="es-ES_tradnl"/>
              </w:rPr>
              <w:noBreakHyphen/>
              <w:t>19)</w:t>
            </w:r>
          </w:p>
        </w:tc>
        <w:tc>
          <w:tcPr>
            <w:tcW w:w="1489" w:type="dxa"/>
          </w:tcPr>
          <w:p w14:paraId="355A29E4" w14:textId="67D3D39A"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p>
        </w:tc>
      </w:tr>
      <w:tr w:rsidR="007A7DF3" w:rsidRPr="001F3073" w14:paraId="51365144" w14:textId="77777777" w:rsidTr="00CE56D9">
        <w:tc>
          <w:tcPr>
            <w:tcW w:w="1271" w:type="dxa"/>
          </w:tcPr>
          <w:p w14:paraId="01AB4DBF"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23D2377C" w14:textId="77777777" w:rsidR="007A7DF3" w:rsidRPr="001F3073" w:rsidRDefault="007A7DF3" w:rsidP="00100121">
            <w:pPr>
              <w:pStyle w:val="Tabletext"/>
              <w:jc w:val="center"/>
              <w:rPr>
                <w:lang w:val="es-ES_tradnl"/>
              </w:rPr>
            </w:pPr>
            <w:r w:rsidRPr="001F3073">
              <w:rPr>
                <w:lang w:val="es-ES_tradnl"/>
              </w:rPr>
              <w:t>A1/2.3</w:t>
            </w:r>
          </w:p>
        </w:tc>
        <w:tc>
          <w:tcPr>
            <w:tcW w:w="5087" w:type="dxa"/>
          </w:tcPr>
          <w:p w14:paraId="52A75223" w14:textId="77777777" w:rsidR="007A7DF3" w:rsidRPr="00B71365" w:rsidRDefault="007A7DF3" w:rsidP="00CE56D9">
            <w:pPr>
              <w:pStyle w:val="Tabletext"/>
              <w:jc w:val="both"/>
              <w:rPr>
                <w:lang w:val="es-ES_tradnl"/>
              </w:rPr>
            </w:pPr>
            <w:r w:rsidRPr="00B71365">
              <w:rPr>
                <w:lang w:val="es-ES_tradnl"/>
              </w:rPr>
              <w:t>considerar la atribución de la totalidad o partes de la banda de frecuencias, [43,5</w:t>
            </w:r>
            <w:r w:rsidRPr="00B71365">
              <w:rPr>
                <w:lang w:val="es-ES_tradnl"/>
              </w:rPr>
              <w:noBreakHyphen/>
              <w:t xml:space="preserve">45,5 GHz] al servicio fijo por satélite de conformidad con la Resolución </w:t>
            </w:r>
            <w:r w:rsidRPr="00B71365">
              <w:rPr>
                <w:b/>
                <w:bCs/>
                <w:lang w:val="es-ES_tradnl"/>
              </w:rPr>
              <w:t>177 (CMR</w:t>
            </w:r>
            <w:r w:rsidRPr="00B71365">
              <w:rPr>
                <w:b/>
                <w:bCs/>
                <w:lang w:val="es-ES_tradnl"/>
              </w:rPr>
              <w:noBreakHyphen/>
              <w:t>19)</w:t>
            </w:r>
            <w:r w:rsidRPr="00B71365">
              <w:rPr>
                <w:lang w:val="es-ES_tradnl"/>
              </w:rPr>
              <w:t>;</w:t>
            </w:r>
          </w:p>
        </w:tc>
        <w:tc>
          <w:tcPr>
            <w:tcW w:w="1559" w:type="dxa"/>
          </w:tcPr>
          <w:p w14:paraId="7806DB22"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177 (</w:t>
            </w:r>
            <w:r>
              <w:rPr>
                <w:b/>
                <w:lang w:val="es-ES_tradnl"/>
              </w:rPr>
              <w:t>CMR</w:t>
            </w:r>
            <w:r w:rsidRPr="001F3073">
              <w:rPr>
                <w:b/>
                <w:lang w:val="es-ES_tradnl"/>
              </w:rPr>
              <w:noBreakHyphen/>
              <w:t>19)</w:t>
            </w:r>
          </w:p>
        </w:tc>
        <w:tc>
          <w:tcPr>
            <w:tcW w:w="1489" w:type="dxa"/>
          </w:tcPr>
          <w:p w14:paraId="3A11A010" w14:textId="220A8E5B"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p>
        </w:tc>
      </w:tr>
      <w:tr w:rsidR="007A7DF3" w:rsidRPr="001F3073" w14:paraId="3E0CF1E6" w14:textId="77777777" w:rsidTr="00CE56D9">
        <w:tc>
          <w:tcPr>
            <w:tcW w:w="1271" w:type="dxa"/>
          </w:tcPr>
          <w:p w14:paraId="2BD8742C"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29ED86FD" w14:textId="77777777" w:rsidR="007A7DF3" w:rsidRPr="001F3073" w:rsidRDefault="007A7DF3" w:rsidP="00100121">
            <w:pPr>
              <w:pStyle w:val="Tabletext"/>
              <w:jc w:val="center"/>
              <w:rPr>
                <w:lang w:val="es-ES_tradnl"/>
              </w:rPr>
            </w:pPr>
            <w:r w:rsidRPr="001F3073">
              <w:rPr>
                <w:lang w:val="es-ES_tradnl"/>
              </w:rPr>
              <w:t>A1/2.4</w:t>
            </w:r>
          </w:p>
        </w:tc>
        <w:tc>
          <w:tcPr>
            <w:tcW w:w="5087" w:type="dxa"/>
          </w:tcPr>
          <w:p w14:paraId="18606AEF" w14:textId="77777777" w:rsidR="007A7DF3" w:rsidRPr="00B71365" w:rsidRDefault="007A7DF3" w:rsidP="00CE56D9">
            <w:pPr>
              <w:pStyle w:val="Tabletext"/>
              <w:jc w:val="both"/>
              <w:rPr>
                <w:lang w:val="es-ES_tradnl"/>
              </w:rPr>
            </w:pPr>
            <w:r w:rsidRPr="00B71365">
              <w:rPr>
                <w:lang w:val="es-ES_tradnl"/>
              </w:rPr>
              <w:t xml:space="preserve">introducción en el Artículo </w:t>
            </w:r>
            <w:r w:rsidRPr="00B71365">
              <w:rPr>
                <w:b/>
                <w:bCs/>
                <w:lang w:val="es-ES_tradnl"/>
              </w:rPr>
              <w:t>21</w:t>
            </w:r>
            <w:r w:rsidRPr="00B71365">
              <w:rPr>
                <w:lang w:val="es-ES_tradnl"/>
              </w:rPr>
              <w:t xml:space="preserve"> de límites de la densidad de flujo de potencia y de la potencia isotrópica radiada equivalente (p.i.r.e.) para las bandas de frecuencias 71-76 GHz y 81</w:t>
            </w:r>
            <w:r w:rsidRPr="00B71365">
              <w:rPr>
                <w:lang w:val="es-ES_tradnl"/>
              </w:rPr>
              <w:noBreakHyphen/>
              <w:t>86 GHz, de conformidad con la Resolución </w:t>
            </w:r>
            <w:r w:rsidRPr="00B71365">
              <w:rPr>
                <w:b/>
                <w:bCs/>
                <w:lang w:val="es-ES_tradnl"/>
              </w:rPr>
              <w:t>775</w:t>
            </w:r>
            <w:r w:rsidRPr="00B71365">
              <w:rPr>
                <w:b/>
                <w:lang w:val="es-ES_tradnl"/>
              </w:rPr>
              <w:t xml:space="preserve"> (CMR-19)</w:t>
            </w:r>
            <w:r w:rsidRPr="00B71365">
              <w:rPr>
                <w:lang w:val="es-ES_tradnl"/>
              </w:rPr>
              <w:t>;</w:t>
            </w:r>
          </w:p>
        </w:tc>
        <w:tc>
          <w:tcPr>
            <w:tcW w:w="1559" w:type="dxa"/>
          </w:tcPr>
          <w:p w14:paraId="45F31031"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775 (</w:t>
            </w:r>
            <w:r>
              <w:rPr>
                <w:b/>
                <w:lang w:val="es-ES_tradnl"/>
              </w:rPr>
              <w:t>CMR</w:t>
            </w:r>
            <w:r w:rsidRPr="001F3073">
              <w:rPr>
                <w:b/>
                <w:lang w:val="es-ES_tradnl"/>
              </w:rPr>
              <w:noBreakHyphen/>
              <w:t>19)</w:t>
            </w:r>
          </w:p>
        </w:tc>
        <w:tc>
          <w:tcPr>
            <w:tcW w:w="1489" w:type="dxa"/>
          </w:tcPr>
          <w:p w14:paraId="18C0F894" w14:textId="418F1D81"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r>
              <w:rPr>
                <w:b/>
                <w:lang w:val="es-ES_tradnl"/>
              </w:rPr>
              <w:t>CE</w:t>
            </w:r>
            <w:r w:rsidR="00564FF1">
              <w:rPr>
                <w:b/>
                <w:lang w:val="es-ES_tradnl"/>
              </w:rPr>
              <w:t> </w:t>
            </w:r>
            <w:r w:rsidRPr="001F3073">
              <w:rPr>
                <w:b/>
                <w:lang w:val="es-ES_tradnl"/>
              </w:rPr>
              <w:t>5</w:t>
            </w:r>
          </w:p>
        </w:tc>
      </w:tr>
      <w:tr w:rsidR="007A7DF3" w:rsidRPr="001F3073" w14:paraId="0CDE302B" w14:textId="77777777" w:rsidTr="00CE56D9">
        <w:trPr>
          <w:cantSplit/>
        </w:trPr>
        <w:tc>
          <w:tcPr>
            <w:tcW w:w="1271" w:type="dxa"/>
          </w:tcPr>
          <w:p w14:paraId="11A8DDDF"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16547B45" w14:textId="77777777" w:rsidR="007A7DF3" w:rsidRPr="001F3073" w:rsidRDefault="007A7DF3" w:rsidP="00100121">
            <w:pPr>
              <w:pStyle w:val="Tabletext"/>
              <w:jc w:val="center"/>
              <w:rPr>
                <w:lang w:val="es-ES_tradnl"/>
              </w:rPr>
            </w:pPr>
            <w:r w:rsidRPr="001F3073">
              <w:rPr>
                <w:lang w:val="es-ES_tradnl"/>
              </w:rPr>
              <w:t>A1/2.5</w:t>
            </w:r>
          </w:p>
        </w:tc>
        <w:tc>
          <w:tcPr>
            <w:tcW w:w="5087" w:type="dxa"/>
          </w:tcPr>
          <w:p w14:paraId="4209D5F1" w14:textId="77777777" w:rsidR="007A7DF3" w:rsidRPr="00B71365" w:rsidRDefault="007A7DF3" w:rsidP="00CE56D9">
            <w:pPr>
              <w:pStyle w:val="Tabletext"/>
              <w:jc w:val="both"/>
              <w:rPr>
                <w:lang w:val="es-ES_tradnl"/>
              </w:rPr>
            </w:pPr>
            <w:r w:rsidRPr="00B71365">
              <w:rPr>
                <w:lang w:val="es-ES_tradnl"/>
              </w:rPr>
              <w:t xml:space="preserve">condiciones de utilización de las bandas de frecuencias de 71-76 GHz y 81-86 GHz por las estaciones de los servicios por satélite para garantizar la compatibilidad con los servicios pasivos, de conformidad con la Resolución </w:t>
            </w:r>
            <w:r w:rsidRPr="00B71365">
              <w:rPr>
                <w:b/>
                <w:bCs/>
                <w:lang w:val="es-ES_tradnl"/>
              </w:rPr>
              <w:t>776</w:t>
            </w:r>
            <w:r w:rsidRPr="00B71365">
              <w:rPr>
                <w:b/>
                <w:lang w:val="es-ES_tradnl"/>
              </w:rPr>
              <w:t xml:space="preserve"> (CMR</w:t>
            </w:r>
            <w:r w:rsidRPr="00B71365">
              <w:rPr>
                <w:b/>
                <w:lang w:val="es-ES_tradnl"/>
              </w:rPr>
              <w:noBreakHyphen/>
              <w:t>19)</w:t>
            </w:r>
            <w:r w:rsidRPr="00B71365">
              <w:rPr>
                <w:lang w:val="es-ES_tradnl"/>
              </w:rPr>
              <w:t>;</w:t>
            </w:r>
          </w:p>
        </w:tc>
        <w:tc>
          <w:tcPr>
            <w:tcW w:w="1559" w:type="dxa"/>
          </w:tcPr>
          <w:p w14:paraId="0E614A28"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776 (</w:t>
            </w:r>
            <w:r>
              <w:rPr>
                <w:b/>
                <w:lang w:val="es-ES_tradnl"/>
              </w:rPr>
              <w:t>CMR</w:t>
            </w:r>
            <w:r w:rsidRPr="001F3073">
              <w:rPr>
                <w:b/>
                <w:lang w:val="es-ES_tradnl"/>
              </w:rPr>
              <w:noBreakHyphen/>
              <w:t>19)</w:t>
            </w:r>
          </w:p>
        </w:tc>
        <w:tc>
          <w:tcPr>
            <w:tcW w:w="1489" w:type="dxa"/>
          </w:tcPr>
          <w:p w14:paraId="45669E92" w14:textId="7F03821F"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7</w:t>
            </w:r>
          </w:p>
        </w:tc>
      </w:tr>
      <w:tr w:rsidR="007A7DF3" w:rsidRPr="001F3073" w14:paraId="5DA92DE0" w14:textId="77777777" w:rsidTr="00CE56D9">
        <w:tc>
          <w:tcPr>
            <w:tcW w:w="1271" w:type="dxa"/>
          </w:tcPr>
          <w:p w14:paraId="42EA8F07"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3B7DDC3B" w14:textId="77777777" w:rsidR="007A7DF3" w:rsidRPr="001F3073" w:rsidRDefault="007A7DF3" w:rsidP="00100121">
            <w:pPr>
              <w:pStyle w:val="Tabletext"/>
              <w:jc w:val="center"/>
              <w:rPr>
                <w:lang w:val="es-ES_tradnl"/>
              </w:rPr>
            </w:pPr>
            <w:r w:rsidRPr="001F3073">
              <w:rPr>
                <w:lang w:val="es-ES_tradnl"/>
              </w:rPr>
              <w:t>A1/2.6</w:t>
            </w:r>
          </w:p>
        </w:tc>
        <w:tc>
          <w:tcPr>
            <w:tcW w:w="5087" w:type="dxa"/>
          </w:tcPr>
          <w:p w14:paraId="6676915B" w14:textId="77777777" w:rsidR="007A7DF3" w:rsidRPr="00B71365" w:rsidRDefault="007A7DF3" w:rsidP="00CE56D9">
            <w:pPr>
              <w:pStyle w:val="Tabletext"/>
              <w:jc w:val="both"/>
              <w:rPr>
                <w:bCs/>
                <w:lang w:val="es-ES_tradnl"/>
              </w:rPr>
            </w:pPr>
            <w:r w:rsidRPr="00B71365">
              <w:rPr>
                <w:lang w:val="es-ES_tradnl"/>
              </w:rPr>
              <w:t xml:space="preserve">considerar las disposiciones reglamentarias necesarias para que en el Reglamento de Radiocomunicaciones se reconozcan debidamente y se protejan los sensores meteorológicos espaciales, habida cuenta de los resultados de los estudios del UIT-R que se presenten a la CMR-23 en el marco del punto 9.1 del orden del día y de la Resolución </w:t>
            </w:r>
            <w:r w:rsidRPr="00B71365">
              <w:rPr>
                <w:b/>
                <w:lang w:val="es-ES_tradnl"/>
              </w:rPr>
              <w:t>657 (Rev.CMR-19)</w:t>
            </w:r>
            <w:r w:rsidRPr="00B71365">
              <w:rPr>
                <w:bCs/>
                <w:lang w:val="es-ES_tradnl"/>
              </w:rPr>
              <w:t xml:space="preserve"> conexa;</w:t>
            </w:r>
          </w:p>
        </w:tc>
        <w:tc>
          <w:tcPr>
            <w:tcW w:w="1559" w:type="dxa"/>
          </w:tcPr>
          <w:p w14:paraId="6DB34CA9"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657 (Rev.</w:t>
            </w:r>
            <w:r>
              <w:rPr>
                <w:b/>
                <w:lang w:val="es-ES_tradnl"/>
              </w:rPr>
              <w:t>CMR</w:t>
            </w:r>
            <w:r w:rsidRPr="001F3073">
              <w:rPr>
                <w:b/>
                <w:lang w:val="es-ES_tradnl"/>
              </w:rPr>
              <w:noBreakHyphen/>
              <w:t>19)</w:t>
            </w:r>
          </w:p>
        </w:tc>
        <w:tc>
          <w:tcPr>
            <w:tcW w:w="1489" w:type="dxa"/>
          </w:tcPr>
          <w:p w14:paraId="1290F239" w14:textId="5F78761D"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7</w:t>
            </w:r>
          </w:p>
        </w:tc>
      </w:tr>
      <w:tr w:rsidR="007A7DF3" w:rsidRPr="001F3073" w14:paraId="20923094" w14:textId="77777777" w:rsidTr="00CE56D9">
        <w:tc>
          <w:tcPr>
            <w:tcW w:w="1271" w:type="dxa"/>
          </w:tcPr>
          <w:p w14:paraId="3E51DAEB"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65483C77" w14:textId="77777777" w:rsidR="007A7DF3" w:rsidRPr="001F3073" w:rsidRDefault="007A7DF3" w:rsidP="00100121">
            <w:pPr>
              <w:pStyle w:val="Tabletext"/>
              <w:jc w:val="center"/>
              <w:rPr>
                <w:lang w:val="es-ES_tradnl"/>
              </w:rPr>
            </w:pPr>
            <w:r w:rsidRPr="001F3073">
              <w:rPr>
                <w:lang w:val="es-ES_tradnl"/>
              </w:rPr>
              <w:t>A1/2.7</w:t>
            </w:r>
          </w:p>
        </w:tc>
        <w:tc>
          <w:tcPr>
            <w:tcW w:w="5087" w:type="dxa"/>
          </w:tcPr>
          <w:p w14:paraId="1F448BEE" w14:textId="77777777" w:rsidR="007A7DF3" w:rsidRPr="00B71365" w:rsidRDefault="007A7DF3" w:rsidP="00CE56D9">
            <w:pPr>
              <w:pStyle w:val="Tabletext"/>
              <w:jc w:val="both"/>
              <w:rPr>
                <w:bCs/>
                <w:lang w:val="es-ES_tradnl"/>
              </w:rPr>
            </w:pPr>
            <w:r w:rsidRPr="00B71365">
              <w:rPr>
                <w:lang w:val="es-ES_tradnl"/>
              </w:rPr>
              <w:t>considerar la elaboración de disposiciones reglamentarias para los enlaces de conexión de los sistemas de satélites no geoestacionarios del servicio fijo por satélite en las bandas de frecuencias 71-76 GHz (espacio</w:t>
            </w:r>
            <w:r w:rsidRPr="00B71365">
              <w:rPr>
                <w:lang w:val="es-ES_tradnl"/>
              </w:rPr>
              <w:noBreakHyphen/>
              <w:t>Tierra y la nueva propuesta en el sentido Tierra</w:t>
            </w:r>
            <w:r w:rsidRPr="00B71365">
              <w:rPr>
                <w:lang w:val="es-ES_tradnl"/>
              </w:rPr>
              <w:noBreakHyphen/>
              <w:t>espacio) y 81</w:t>
            </w:r>
            <w:r w:rsidRPr="00B71365">
              <w:rPr>
                <w:lang w:val="es-ES_tradnl"/>
              </w:rPr>
              <w:noBreakHyphen/>
              <w:t xml:space="preserve">86 GHz </w:t>
            </w:r>
            <w:r w:rsidRPr="00B71365">
              <w:rPr>
                <w:lang w:val="es-ES_tradnl"/>
              </w:rPr>
              <w:lastRenderedPageBreak/>
              <w:t>(Tierra</w:t>
            </w:r>
            <w:r w:rsidRPr="00B71365">
              <w:rPr>
                <w:lang w:val="es-ES_tradnl"/>
              </w:rPr>
              <w:noBreakHyphen/>
              <w:t xml:space="preserve">espacio), de conformidad con la Resolución </w:t>
            </w:r>
            <w:r w:rsidRPr="00B71365">
              <w:rPr>
                <w:b/>
                <w:bCs/>
                <w:lang w:val="es-ES_tradnl"/>
              </w:rPr>
              <w:t>178</w:t>
            </w:r>
            <w:r w:rsidRPr="00B71365">
              <w:rPr>
                <w:b/>
                <w:lang w:val="es-ES_tradnl"/>
              </w:rPr>
              <w:t xml:space="preserve"> (CMR-19)</w:t>
            </w:r>
            <w:r w:rsidRPr="00B71365">
              <w:rPr>
                <w:bCs/>
                <w:lang w:val="es-ES_tradnl"/>
              </w:rPr>
              <w:t>;</w:t>
            </w:r>
          </w:p>
        </w:tc>
        <w:tc>
          <w:tcPr>
            <w:tcW w:w="1559" w:type="dxa"/>
          </w:tcPr>
          <w:p w14:paraId="23B8F61D" w14:textId="77777777" w:rsidR="007A7DF3" w:rsidRPr="001F3073" w:rsidRDefault="007A7DF3" w:rsidP="00100121">
            <w:pPr>
              <w:pStyle w:val="Tabletext"/>
              <w:jc w:val="center"/>
              <w:rPr>
                <w:lang w:val="es-ES_tradnl"/>
              </w:rPr>
            </w:pPr>
            <w:r>
              <w:rPr>
                <w:lang w:val="es-ES_tradnl"/>
              </w:rPr>
              <w:lastRenderedPageBreak/>
              <w:t>Resolución</w:t>
            </w:r>
            <w:r w:rsidRPr="001F3073">
              <w:rPr>
                <w:lang w:val="es-ES_tradnl"/>
              </w:rPr>
              <w:t> </w:t>
            </w:r>
            <w:r w:rsidRPr="001F3073">
              <w:rPr>
                <w:b/>
                <w:lang w:val="es-ES_tradnl"/>
              </w:rPr>
              <w:t>178 (</w:t>
            </w:r>
            <w:r>
              <w:rPr>
                <w:b/>
                <w:lang w:val="es-ES_tradnl"/>
              </w:rPr>
              <w:t>CMR</w:t>
            </w:r>
            <w:r w:rsidRPr="001F3073">
              <w:rPr>
                <w:b/>
                <w:lang w:val="es-ES_tradnl"/>
              </w:rPr>
              <w:noBreakHyphen/>
              <w:t>19)</w:t>
            </w:r>
          </w:p>
        </w:tc>
        <w:tc>
          <w:tcPr>
            <w:tcW w:w="1489" w:type="dxa"/>
          </w:tcPr>
          <w:p w14:paraId="09C68969" w14:textId="6FA67FF2"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p>
        </w:tc>
      </w:tr>
      <w:tr w:rsidR="007A7DF3" w:rsidRPr="001F3073" w14:paraId="15A2A75E" w14:textId="77777777" w:rsidTr="00CE56D9">
        <w:tc>
          <w:tcPr>
            <w:tcW w:w="1271" w:type="dxa"/>
          </w:tcPr>
          <w:p w14:paraId="235E506B"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743FEA9D" w14:textId="77777777" w:rsidR="007A7DF3" w:rsidRPr="001F3073" w:rsidRDefault="007A7DF3" w:rsidP="00100121">
            <w:pPr>
              <w:pStyle w:val="Tabletext"/>
              <w:jc w:val="center"/>
              <w:rPr>
                <w:lang w:val="es-ES_tradnl"/>
              </w:rPr>
            </w:pPr>
            <w:r w:rsidRPr="001F3073">
              <w:rPr>
                <w:lang w:val="es-ES_tradnl"/>
              </w:rPr>
              <w:t>A1/2.8</w:t>
            </w:r>
          </w:p>
        </w:tc>
        <w:tc>
          <w:tcPr>
            <w:tcW w:w="5087" w:type="dxa"/>
          </w:tcPr>
          <w:p w14:paraId="53188FC1" w14:textId="3A98D332" w:rsidR="007A7DF3" w:rsidRPr="00CE56D9" w:rsidRDefault="007A7DF3" w:rsidP="00CE56D9">
            <w:pPr>
              <w:pStyle w:val="Tabletext"/>
              <w:keepLines/>
              <w:jc w:val="both"/>
              <w:rPr>
                <w:spacing w:val="-6"/>
                <w:lang w:val="es-ES_tradnl"/>
              </w:rPr>
            </w:pPr>
            <w:r w:rsidRPr="00CE56D9">
              <w:rPr>
                <w:spacing w:val="-6"/>
                <w:lang w:val="es-ES_tradnl"/>
              </w:rPr>
              <w:t>estudiar las cuestiones técnicas y operativas, y las disposiciones reglamentarias, para los enlaces espacio-espacio en las bandas de frecuencias [1 525</w:t>
            </w:r>
            <w:r w:rsidR="00B71365" w:rsidRPr="00CE56D9">
              <w:rPr>
                <w:spacing w:val="-6"/>
                <w:lang w:val="es-ES_tradnl"/>
              </w:rPr>
              <w:noBreakHyphen/>
            </w:r>
            <w:r w:rsidRPr="00CE56D9">
              <w:rPr>
                <w:spacing w:val="-6"/>
                <w:lang w:val="es-ES_tradnl"/>
              </w:rPr>
              <w:t>1 544 MHz], [1 545-1 559 MHz], [1 610</w:t>
            </w:r>
            <w:r w:rsidRPr="00CE56D9">
              <w:rPr>
                <w:spacing w:val="-6"/>
                <w:lang w:val="es-ES_tradnl"/>
              </w:rPr>
              <w:noBreakHyphen/>
              <w:t>1 645,5 MHz], [1 646,5</w:t>
            </w:r>
            <w:r w:rsidRPr="00CE56D9">
              <w:rPr>
                <w:spacing w:val="-6"/>
                <w:lang w:val="es-ES_tradnl"/>
              </w:rPr>
              <w:noBreakHyphen/>
              <w:t>1 660,5 MHz], y [2 483,5-2 500 MHz] entre los satélites geoestacionarios y no geoestacionarios del servicio móvil por satélite, de conformidad con la Resolución</w:t>
            </w:r>
            <w:r w:rsidR="00B71365" w:rsidRPr="00CE56D9">
              <w:rPr>
                <w:spacing w:val="-6"/>
                <w:lang w:val="es-ES_tradnl"/>
              </w:rPr>
              <w:t> </w:t>
            </w:r>
            <w:r w:rsidRPr="00CE56D9">
              <w:rPr>
                <w:b/>
                <w:bCs/>
                <w:spacing w:val="-6"/>
                <w:lang w:val="es-ES_tradnl"/>
              </w:rPr>
              <w:t>249</w:t>
            </w:r>
            <w:r w:rsidRPr="00CE56D9">
              <w:rPr>
                <w:b/>
                <w:spacing w:val="-6"/>
                <w:lang w:val="es-ES_tradnl"/>
              </w:rPr>
              <w:t xml:space="preserve"> (CMR-19)</w:t>
            </w:r>
            <w:r w:rsidRPr="00CE56D9">
              <w:rPr>
                <w:spacing w:val="-6"/>
                <w:lang w:val="es-ES_tradnl"/>
              </w:rPr>
              <w:t>;</w:t>
            </w:r>
          </w:p>
        </w:tc>
        <w:tc>
          <w:tcPr>
            <w:tcW w:w="1559" w:type="dxa"/>
          </w:tcPr>
          <w:p w14:paraId="704FCFBA"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249 (</w:t>
            </w:r>
            <w:r>
              <w:rPr>
                <w:b/>
                <w:lang w:val="es-ES_tradnl"/>
              </w:rPr>
              <w:t>CMR</w:t>
            </w:r>
            <w:r w:rsidRPr="001F3073">
              <w:rPr>
                <w:b/>
                <w:lang w:val="es-ES_tradnl"/>
              </w:rPr>
              <w:noBreakHyphen/>
              <w:t>19)</w:t>
            </w:r>
          </w:p>
        </w:tc>
        <w:tc>
          <w:tcPr>
            <w:tcW w:w="1489" w:type="dxa"/>
          </w:tcPr>
          <w:p w14:paraId="40E112FF" w14:textId="202D36DC"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p>
        </w:tc>
      </w:tr>
      <w:tr w:rsidR="007A7DF3" w:rsidRPr="001F3073" w14:paraId="118A58BB" w14:textId="77777777" w:rsidTr="00CE56D9">
        <w:tc>
          <w:tcPr>
            <w:tcW w:w="1271" w:type="dxa"/>
          </w:tcPr>
          <w:p w14:paraId="1BFB75C0"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18E10DDC" w14:textId="77777777" w:rsidR="007A7DF3" w:rsidRPr="001F3073" w:rsidRDefault="007A7DF3" w:rsidP="00100121">
            <w:pPr>
              <w:pStyle w:val="Tabletext"/>
              <w:jc w:val="center"/>
              <w:rPr>
                <w:lang w:val="es-ES_tradnl"/>
              </w:rPr>
            </w:pPr>
            <w:r w:rsidRPr="001F3073">
              <w:rPr>
                <w:lang w:val="es-ES_tradnl"/>
              </w:rPr>
              <w:t>A1/2.9</w:t>
            </w:r>
          </w:p>
        </w:tc>
        <w:tc>
          <w:tcPr>
            <w:tcW w:w="5087" w:type="dxa"/>
          </w:tcPr>
          <w:p w14:paraId="0CDD72DD" w14:textId="77777777" w:rsidR="007A7DF3" w:rsidRPr="00B71365" w:rsidRDefault="007A7DF3" w:rsidP="00CE56D9">
            <w:pPr>
              <w:pStyle w:val="Tabletext"/>
              <w:jc w:val="both"/>
              <w:rPr>
                <w:bCs/>
                <w:lang w:val="es-ES_tradnl"/>
              </w:rPr>
            </w:pPr>
            <w:r w:rsidRPr="00B71365">
              <w:rPr>
                <w:lang w:val="es-ES_tradnl"/>
              </w:rPr>
              <w:t>examinar posibles atribuciones adicionales de espectro al servicio móvil en la banda de frecuencias 1 300</w:t>
            </w:r>
            <w:r w:rsidRPr="00B71365">
              <w:rPr>
                <w:lang w:val="es-ES_tradnl"/>
              </w:rPr>
              <w:noBreakHyphen/>
              <w:t xml:space="preserve">1 350 MHz para facilitar el desarrollo futuro de aplicaciones móviles de banda ancha, de conformidad con la Resolución </w:t>
            </w:r>
            <w:r w:rsidRPr="00B71365">
              <w:rPr>
                <w:b/>
                <w:bCs/>
                <w:lang w:val="es-ES_tradnl"/>
              </w:rPr>
              <w:t>250</w:t>
            </w:r>
            <w:r w:rsidRPr="00B71365">
              <w:rPr>
                <w:b/>
                <w:lang w:val="es-ES_tradnl"/>
              </w:rPr>
              <w:t xml:space="preserve"> (CMR-19)</w:t>
            </w:r>
            <w:r w:rsidRPr="00B71365">
              <w:rPr>
                <w:bCs/>
                <w:lang w:val="es-ES_tradnl"/>
              </w:rPr>
              <w:t>;</w:t>
            </w:r>
          </w:p>
        </w:tc>
        <w:tc>
          <w:tcPr>
            <w:tcW w:w="1559" w:type="dxa"/>
          </w:tcPr>
          <w:p w14:paraId="268C35C5"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250 (</w:t>
            </w:r>
            <w:r>
              <w:rPr>
                <w:b/>
                <w:lang w:val="es-ES_tradnl"/>
              </w:rPr>
              <w:t>CMR</w:t>
            </w:r>
            <w:r w:rsidRPr="001F3073">
              <w:rPr>
                <w:b/>
                <w:lang w:val="es-ES_tradnl"/>
              </w:rPr>
              <w:noBreakHyphen/>
              <w:t>19)</w:t>
            </w:r>
          </w:p>
        </w:tc>
        <w:tc>
          <w:tcPr>
            <w:tcW w:w="1489" w:type="dxa"/>
          </w:tcPr>
          <w:p w14:paraId="6BF783DB" w14:textId="34359467"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5</w:t>
            </w:r>
          </w:p>
        </w:tc>
      </w:tr>
      <w:tr w:rsidR="007A7DF3" w:rsidRPr="001F3073" w14:paraId="0DD814E3" w14:textId="77777777" w:rsidTr="00CE56D9">
        <w:tc>
          <w:tcPr>
            <w:tcW w:w="1271" w:type="dxa"/>
          </w:tcPr>
          <w:p w14:paraId="037AAE44"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147C2040" w14:textId="77777777" w:rsidR="007A7DF3" w:rsidRPr="001F3073" w:rsidRDefault="007A7DF3" w:rsidP="00100121">
            <w:pPr>
              <w:pStyle w:val="Tabletext"/>
              <w:jc w:val="center"/>
              <w:rPr>
                <w:lang w:val="es-ES_tradnl"/>
              </w:rPr>
            </w:pPr>
            <w:r w:rsidRPr="001F3073">
              <w:rPr>
                <w:lang w:val="es-ES_tradnl"/>
              </w:rPr>
              <w:t>A1/2.10</w:t>
            </w:r>
          </w:p>
        </w:tc>
        <w:tc>
          <w:tcPr>
            <w:tcW w:w="5087" w:type="dxa"/>
          </w:tcPr>
          <w:p w14:paraId="78EDFDE7" w14:textId="1F8B5A06" w:rsidR="007A7DF3" w:rsidRPr="00B71365" w:rsidRDefault="007A7DF3" w:rsidP="00CE56D9">
            <w:pPr>
              <w:pStyle w:val="Tabletext"/>
              <w:jc w:val="both"/>
              <w:rPr>
                <w:lang w:val="es-ES_tradnl"/>
              </w:rPr>
            </w:pPr>
            <w:r w:rsidRPr="00B71365">
              <w:rPr>
                <w:lang w:val="es-ES_tradnl"/>
              </w:rPr>
              <w:t>considerar la posibilidad de mejorar la utilización de las frecuencias marítimas en ondas métricas del Apéndice </w:t>
            </w:r>
            <w:r w:rsidRPr="00B71365">
              <w:rPr>
                <w:b/>
                <w:bCs/>
                <w:lang w:val="es-ES_tradnl"/>
              </w:rPr>
              <w:t>18</w:t>
            </w:r>
            <w:r w:rsidRPr="00B71365">
              <w:rPr>
                <w:lang w:val="es-ES_tradnl"/>
              </w:rPr>
              <w:t xml:space="preserve">, de conformidad con la Resolución </w:t>
            </w:r>
            <w:r w:rsidRPr="00B71365">
              <w:rPr>
                <w:b/>
                <w:bCs/>
                <w:lang w:val="es-ES_tradnl"/>
              </w:rPr>
              <w:t>363</w:t>
            </w:r>
            <w:r w:rsidRPr="00B71365">
              <w:rPr>
                <w:lang w:val="es-ES_tradnl"/>
              </w:rPr>
              <w:t xml:space="preserve"> </w:t>
            </w:r>
            <w:r w:rsidRPr="00B71365">
              <w:rPr>
                <w:b/>
                <w:bCs/>
                <w:lang w:val="es-ES_tradnl"/>
              </w:rPr>
              <w:t>(CMR-19)</w:t>
            </w:r>
            <w:r w:rsidR="00564FF1">
              <w:rPr>
                <w:lang w:val="es-ES_tradnl"/>
              </w:rPr>
              <w:t>;</w:t>
            </w:r>
          </w:p>
        </w:tc>
        <w:tc>
          <w:tcPr>
            <w:tcW w:w="1559" w:type="dxa"/>
          </w:tcPr>
          <w:p w14:paraId="5D329222"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363 (</w:t>
            </w:r>
            <w:r>
              <w:rPr>
                <w:b/>
                <w:lang w:val="es-ES_tradnl"/>
              </w:rPr>
              <w:t>CMR</w:t>
            </w:r>
            <w:r w:rsidRPr="001F3073">
              <w:rPr>
                <w:b/>
                <w:lang w:val="es-ES_tradnl"/>
              </w:rPr>
              <w:noBreakHyphen/>
              <w:t>19)</w:t>
            </w:r>
          </w:p>
        </w:tc>
        <w:tc>
          <w:tcPr>
            <w:tcW w:w="1489" w:type="dxa"/>
          </w:tcPr>
          <w:p w14:paraId="781D0F12" w14:textId="412ADC4F"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5</w:t>
            </w:r>
          </w:p>
        </w:tc>
      </w:tr>
      <w:bookmarkEnd w:id="71"/>
      <w:tr w:rsidR="007A7DF3" w:rsidRPr="001F3073" w14:paraId="0BDEBAF0" w14:textId="77777777" w:rsidTr="00CE56D9">
        <w:tc>
          <w:tcPr>
            <w:tcW w:w="1271" w:type="dxa"/>
          </w:tcPr>
          <w:p w14:paraId="35A5F8F2"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3B4C2365" w14:textId="77777777" w:rsidR="007A7DF3" w:rsidRPr="001F3073" w:rsidRDefault="007A7DF3" w:rsidP="00100121">
            <w:pPr>
              <w:pStyle w:val="Tabletext"/>
              <w:jc w:val="center"/>
              <w:rPr>
                <w:lang w:val="es-ES_tradnl"/>
              </w:rPr>
            </w:pPr>
            <w:r w:rsidRPr="001F3073">
              <w:rPr>
                <w:lang w:val="es-ES_tradnl"/>
              </w:rPr>
              <w:t>A1/2.11</w:t>
            </w:r>
          </w:p>
        </w:tc>
        <w:tc>
          <w:tcPr>
            <w:tcW w:w="5087" w:type="dxa"/>
          </w:tcPr>
          <w:p w14:paraId="72F6BE78" w14:textId="10888918" w:rsidR="007A7DF3" w:rsidRPr="00B71365" w:rsidRDefault="007A7DF3" w:rsidP="00CE56D9">
            <w:pPr>
              <w:pStyle w:val="Tabletext"/>
              <w:jc w:val="both"/>
              <w:rPr>
                <w:lang w:val="es-ES_tradnl"/>
              </w:rPr>
            </w:pPr>
            <w:r w:rsidRPr="00B71365">
              <w:rPr>
                <w:lang w:val="es-ES_tradnl"/>
              </w:rPr>
              <w:t>considerar la posibilidad de efectuar una nueva atribución al servicio de explotación de la Tierra por satélite (Tierra-espacio) en la banda de frecuencias 22,55</w:t>
            </w:r>
            <w:r w:rsidRPr="00B71365">
              <w:rPr>
                <w:lang w:val="es-ES_tradnl"/>
              </w:rPr>
              <w:noBreakHyphen/>
              <w:t>23,15 GHz, de conformidad con la Resolución</w:t>
            </w:r>
            <w:r w:rsidR="00564FF1">
              <w:rPr>
                <w:lang w:val="es-ES_tradnl"/>
              </w:rPr>
              <w:t> </w:t>
            </w:r>
            <w:r w:rsidRPr="00B71365">
              <w:rPr>
                <w:b/>
                <w:bCs/>
                <w:lang w:val="es-ES_tradnl"/>
              </w:rPr>
              <w:t>664</w:t>
            </w:r>
            <w:r w:rsidRPr="00B71365">
              <w:rPr>
                <w:b/>
                <w:lang w:val="es-ES_tradnl"/>
              </w:rPr>
              <w:t xml:space="preserve"> (CMR-19)</w:t>
            </w:r>
            <w:r w:rsidRPr="00B71365">
              <w:rPr>
                <w:lang w:val="es-ES_tradnl"/>
              </w:rPr>
              <w:t>;</w:t>
            </w:r>
          </w:p>
        </w:tc>
        <w:tc>
          <w:tcPr>
            <w:tcW w:w="1559" w:type="dxa"/>
          </w:tcPr>
          <w:p w14:paraId="7EF5E731"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664 (</w:t>
            </w:r>
            <w:r>
              <w:rPr>
                <w:b/>
                <w:lang w:val="es-ES_tradnl"/>
              </w:rPr>
              <w:t>CMR</w:t>
            </w:r>
            <w:r w:rsidRPr="001F3073">
              <w:rPr>
                <w:b/>
                <w:lang w:val="es-ES_tradnl"/>
              </w:rPr>
              <w:noBreakHyphen/>
              <w:t>19)</w:t>
            </w:r>
          </w:p>
        </w:tc>
        <w:tc>
          <w:tcPr>
            <w:tcW w:w="1489" w:type="dxa"/>
          </w:tcPr>
          <w:p w14:paraId="3AB34EB1" w14:textId="5916AE8D"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7</w:t>
            </w:r>
          </w:p>
        </w:tc>
      </w:tr>
      <w:tr w:rsidR="007A7DF3" w:rsidRPr="001F3073" w14:paraId="61C06BD9" w14:textId="77777777" w:rsidTr="00CE56D9">
        <w:tc>
          <w:tcPr>
            <w:tcW w:w="1271" w:type="dxa"/>
          </w:tcPr>
          <w:p w14:paraId="7AB64C78"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3EA09C24" w14:textId="77777777" w:rsidR="007A7DF3" w:rsidRPr="001F3073" w:rsidRDefault="007A7DF3" w:rsidP="00100121">
            <w:pPr>
              <w:pStyle w:val="Tabletext"/>
              <w:jc w:val="center"/>
              <w:rPr>
                <w:lang w:val="es-ES_tradnl"/>
              </w:rPr>
            </w:pPr>
            <w:r w:rsidRPr="001F3073">
              <w:rPr>
                <w:lang w:val="es-ES_tradnl"/>
              </w:rPr>
              <w:t>A1/2.12</w:t>
            </w:r>
          </w:p>
        </w:tc>
        <w:tc>
          <w:tcPr>
            <w:tcW w:w="5087" w:type="dxa"/>
          </w:tcPr>
          <w:p w14:paraId="3292F75B" w14:textId="77777777" w:rsidR="007A7DF3" w:rsidRPr="00B71365" w:rsidRDefault="007A7DF3" w:rsidP="00CE56D9">
            <w:pPr>
              <w:pStyle w:val="Tabletext"/>
              <w:jc w:val="both"/>
              <w:rPr>
                <w:lang w:val="es-ES_tradnl"/>
              </w:rPr>
            </w:pPr>
            <w:r w:rsidRPr="00B71365">
              <w:rPr>
                <w:lang w:val="es-ES_tradnl"/>
              </w:rPr>
              <w:t xml:space="preserve">considerar la utilización de las identificaciones existentes para las IMT en la gama de frecuencias 694-960 MHz, teniendo en cuenta la posible supresión de la limitación relativa al servicio móvil aeronáutico en las IMT, para la utilización de equipos de usuario de las IMT por las aplicaciones no relacionadas con la seguridad, según proceda, de conformidad con la Resolución </w:t>
            </w:r>
            <w:r w:rsidRPr="00B71365">
              <w:rPr>
                <w:b/>
                <w:bCs/>
                <w:lang w:val="es-ES_tradnl"/>
              </w:rPr>
              <w:t>251 (CMR-19)</w:t>
            </w:r>
            <w:r w:rsidRPr="00B71365">
              <w:rPr>
                <w:lang w:val="es-ES_tradnl"/>
              </w:rPr>
              <w:t>;</w:t>
            </w:r>
          </w:p>
        </w:tc>
        <w:tc>
          <w:tcPr>
            <w:tcW w:w="1559" w:type="dxa"/>
          </w:tcPr>
          <w:p w14:paraId="4B283593"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251 (</w:t>
            </w:r>
            <w:r>
              <w:rPr>
                <w:b/>
                <w:lang w:val="es-ES_tradnl"/>
              </w:rPr>
              <w:t>CMR</w:t>
            </w:r>
            <w:r w:rsidRPr="001F3073">
              <w:rPr>
                <w:b/>
                <w:lang w:val="es-ES_tradnl"/>
              </w:rPr>
              <w:noBreakHyphen/>
              <w:t>19)</w:t>
            </w:r>
          </w:p>
        </w:tc>
        <w:tc>
          <w:tcPr>
            <w:tcW w:w="1489" w:type="dxa"/>
          </w:tcPr>
          <w:p w14:paraId="609C283C" w14:textId="08FBB5CD"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5</w:t>
            </w:r>
          </w:p>
        </w:tc>
      </w:tr>
      <w:tr w:rsidR="007A7DF3" w:rsidRPr="001F3073" w14:paraId="77362856" w14:textId="77777777" w:rsidTr="00CE56D9">
        <w:tc>
          <w:tcPr>
            <w:tcW w:w="1271" w:type="dxa"/>
          </w:tcPr>
          <w:p w14:paraId="2DF64CCF" w14:textId="77777777" w:rsidR="007A7DF3" w:rsidRPr="001F3073" w:rsidRDefault="007A7DF3" w:rsidP="00100121">
            <w:pPr>
              <w:pStyle w:val="Tabletext"/>
              <w:jc w:val="center"/>
              <w:rPr>
                <w:lang w:val="es-ES_tradnl"/>
              </w:rPr>
            </w:pPr>
            <w:r w:rsidRPr="001F3073">
              <w:rPr>
                <w:lang w:val="es-ES_tradnl"/>
              </w:rPr>
              <w:t>10</w:t>
            </w:r>
          </w:p>
        </w:tc>
        <w:tc>
          <w:tcPr>
            <w:tcW w:w="867" w:type="dxa"/>
          </w:tcPr>
          <w:p w14:paraId="5CED6708" w14:textId="77777777" w:rsidR="007A7DF3" w:rsidRPr="001F3073" w:rsidRDefault="007A7DF3" w:rsidP="00100121">
            <w:pPr>
              <w:pStyle w:val="Tabletext"/>
              <w:jc w:val="center"/>
              <w:rPr>
                <w:lang w:val="es-ES_tradnl"/>
              </w:rPr>
            </w:pPr>
            <w:r w:rsidRPr="001F3073">
              <w:rPr>
                <w:lang w:val="es-ES_tradnl"/>
              </w:rPr>
              <w:t>A1/2.13</w:t>
            </w:r>
          </w:p>
        </w:tc>
        <w:tc>
          <w:tcPr>
            <w:tcW w:w="5087" w:type="dxa"/>
          </w:tcPr>
          <w:p w14:paraId="1A9682D6" w14:textId="0496DC77" w:rsidR="007A7DF3" w:rsidRPr="00B71365" w:rsidRDefault="007A7DF3" w:rsidP="00CE56D9">
            <w:pPr>
              <w:pStyle w:val="Tabletext"/>
              <w:jc w:val="both"/>
              <w:rPr>
                <w:lang w:val="es-ES_tradnl"/>
              </w:rPr>
            </w:pPr>
            <w:r w:rsidRPr="00B71365">
              <w:rPr>
                <w:lang w:val="es-ES_tradnl"/>
              </w:rPr>
              <w:t xml:space="preserve">considerar la posibilidad de efectuar una atribución mundial al servicio móvil por satélite para el desarrollo futuro de los sistemas móviles por satélite de banda estrecha en la gama 1,5-5 GHz, de conformidad con la Resolución </w:t>
            </w:r>
            <w:r w:rsidRPr="00B71365">
              <w:rPr>
                <w:b/>
                <w:bCs/>
                <w:lang w:val="es-ES_tradnl"/>
              </w:rPr>
              <w:t>248 (CMR-19)</w:t>
            </w:r>
            <w:r w:rsidR="005429A9">
              <w:rPr>
                <w:lang w:val="es-ES_tradnl"/>
              </w:rPr>
              <w:t>;</w:t>
            </w:r>
          </w:p>
        </w:tc>
        <w:tc>
          <w:tcPr>
            <w:tcW w:w="1559" w:type="dxa"/>
          </w:tcPr>
          <w:p w14:paraId="1B2618EC" w14:textId="77777777" w:rsidR="007A7DF3" w:rsidRPr="001F3073" w:rsidRDefault="007A7DF3" w:rsidP="00100121">
            <w:pPr>
              <w:pStyle w:val="Tabletext"/>
              <w:jc w:val="center"/>
              <w:rPr>
                <w:lang w:val="es-ES_tradnl"/>
              </w:rPr>
            </w:pPr>
            <w:r>
              <w:rPr>
                <w:lang w:val="es-ES_tradnl"/>
              </w:rPr>
              <w:t>Resolución</w:t>
            </w:r>
            <w:r w:rsidRPr="001F3073">
              <w:rPr>
                <w:lang w:val="es-ES_tradnl"/>
              </w:rPr>
              <w:t> </w:t>
            </w:r>
            <w:r w:rsidRPr="001F3073">
              <w:rPr>
                <w:b/>
                <w:lang w:val="es-ES_tradnl"/>
              </w:rPr>
              <w:t>248 (</w:t>
            </w:r>
            <w:r>
              <w:rPr>
                <w:b/>
                <w:lang w:val="es-ES_tradnl"/>
              </w:rPr>
              <w:t>CMR</w:t>
            </w:r>
            <w:r w:rsidRPr="001F3073">
              <w:rPr>
                <w:b/>
                <w:lang w:val="es-ES_tradnl"/>
              </w:rPr>
              <w:noBreakHyphen/>
              <w:t>19)</w:t>
            </w:r>
          </w:p>
        </w:tc>
        <w:tc>
          <w:tcPr>
            <w:tcW w:w="1489" w:type="dxa"/>
          </w:tcPr>
          <w:p w14:paraId="1F96CCA9" w14:textId="43DC7A0B" w:rsidR="007A7DF3" w:rsidRPr="001F3073" w:rsidRDefault="007A7DF3" w:rsidP="00100121">
            <w:pPr>
              <w:pStyle w:val="Tabletext"/>
              <w:jc w:val="center"/>
              <w:rPr>
                <w:b/>
                <w:lang w:val="es-ES_tradnl"/>
              </w:rPr>
            </w:pPr>
            <w:r>
              <w:rPr>
                <w:b/>
                <w:lang w:val="es-ES_tradnl"/>
              </w:rPr>
              <w:t>CE</w:t>
            </w:r>
            <w:r w:rsidR="00564FF1">
              <w:rPr>
                <w:b/>
                <w:lang w:val="es-ES_tradnl"/>
              </w:rPr>
              <w:t> </w:t>
            </w:r>
            <w:r w:rsidRPr="001F3073">
              <w:rPr>
                <w:b/>
                <w:lang w:val="es-ES_tradnl"/>
              </w:rPr>
              <w:t>4</w:t>
            </w:r>
          </w:p>
        </w:tc>
      </w:tr>
      <w:bookmarkEnd w:id="72"/>
    </w:tbl>
    <w:p w14:paraId="180CE0B5" w14:textId="77777777" w:rsidR="007A7DF3" w:rsidRPr="001F3073" w:rsidRDefault="007A7DF3" w:rsidP="00B71365">
      <w:pPr>
        <w:rPr>
          <w:lang w:val="es-ES_tradnl"/>
        </w:rPr>
      </w:pPr>
      <w:r w:rsidRPr="001F3073">
        <w:rPr>
          <w:lang w:val="es-ES_tradnl"/>
        </w:rPr>
        <w:br w:type="page"/>
      </w:r>
    </w:p>
    <w:bookmarkEnd w:id="70"/>
    <w:p w14:paraId="6563CFB7" w14:textId="77777777" w:rsidR="007A7DF3" w:rsidRPr="001F3073" w:rsidRDefault="007A7DF3" w:rsidP="00564FF1">
      <w:pPr>
        <w:pStyle w:val="AnnexNo"/>
        <w:rPr>
          <w:highlight w:val="yellow"/>
        </w:rPr>
      </w:pPr>
      <w:r w:rsidRPr="001F3073">
        <w:lastRenderedPageBreak/>
        <w:t>ANEXO 11</w:t>
      </w:r>
    </w:p>
    <w:p w14:paraId="412492DF" w14:textId="7C42CA90" w:rsidR="007A7DF3" w:rsidRPr="004A5136" w:rsidRDefault="007A7DF3" w:rsidP="00564FF1">
      <w:pPr>
        <w:pStyle w:val="Annextitle0"/>
        <w:rPr>
          <w:lang w:val="es-ES"/>
        </w:rPr>
      </w:pPr>
      <w:r w:rsidRPr="004A5136">
        <w:rPr>
          <w:lang w:val="es-ES"/>
        </w:rPr>
        <w:t>Estructura detallada propuesta para el proyecto de Informe de la RPC a la CMR</w:t>
      </w:r>
      <w:r w:rsidR="00B71365" w:rsidRPr="004A5136">
        <w:rPr>
          <w:lang w:val="es-ES"/>
        </w:rPr>
        <w:noBreakHyphen/>
      </w:r>
      <w:r w:rsidRPr="004A5136">
        <w:rPr>
          <w:lang w:val="es-ES"/>
        </w:rPr>
        <w:t>23</w:t>
      </w:r>
    </w:p>
    <w:p w14:paraId="6B0264F8" w14:textId="3509D873" w:rsidR="007A7DF3" w:rsidRPr="001F3073" w:rsidRDefault="007A7DF3" w:rsidP="00B71365">
      <w:pPr>
        <w:pStyle w:val="Normalaftertitle"/>
        <w:rPr>
          <w:rFonts w:asciiTheme="minorHAnsi" w:hAnsiTheme="minorHAnsi"/>
          <w:lang w:val="es-ES_tradnl"/>
        </w:rPr>
      </w:pPr>
      <w:r w:rsidRPr="001F3073">
        <w:rPr>
          <w:rFonts w:asciiTheme="minorHAnsi" w:hAnsiTheme="minorHAnsi"/>
          <w:lang w:val="es-ES_tradnl"/>
        </w:rPr>
        <w:t xml:space="preserve">Véase el documento en </w:t>
      </w:r>
      <w:hyperlink r:id="rId35" w:history="1">
        <w:r w:rsidR="00882A01">
          <w:rPr>
            <w:rStyle w:val="Hyperlink"/>
            <w:lang w:val="es-ES_tradnl"/>
          </w:rPr>
          <w:t>https://www.itu.int/oth/R0A0A000014/en</w:t>
        </w:r>
      </w:hyperlink>
      <w:r w:rsidRPr="001F3073">
        <w:rPr>
          <w:lang w:val="es-ES_tradnl"/>
        </w:rPr>
        <w:t>.</w:t>
      </w:r>
    </w:p>
    <w:p w14:paraId="682F33AF" w14:textId="77777777" w:rsidR="00CE56D9" w:rsidRDefault="00CE56D9" w:rsidP="00100121">
      <w:pPr>
        <w:pStyle w:val="AnnexNotitle0"/>
        <w:rPr>
          <w:rFonts w:asciiTheme="minorHAnsi" w:hAnsiTheme="minorHAnsi"/>
          <w:b w:val="0"/>
          <w:bCs/>
        </w:rPr>
      </w:pPr>
    </w:p>
    <w:p w14:paraId="4D4059FB" w14:textId="77777777" w:rsidR="00CE56D9" w:rsidRDefault="00CE56D9" w:rsidP="00100121">
      <w:pPr>
        <w:pStyle w:val="AnnexNotitle0"/>
        <w:rPr>
          <w:rFonts w:asciiTheme="minorHAnsi" w:hAnsiTheme="minorHAnsi"/>
          <w:b w:val="0"/>
          <w:bCs/>
        </w:rPr>
      </w:pPr>
    </w:p>
    <w:p w14:paraId="2D2E7CE3" w14:textId="7836113D" w:rsidR="007A7DF3" w:rsidRPr="001F3073" w:rsidRDefault="007A7DF3" w:rsidP="00100121">
      <w:pPr>
        <w:pStyle w:val="AnnexNotitle0"/>
        <w:rPr>
          <w:rFonts w:asciiTheme="minorHAnsi" w:hAnsiTheme="minorHAnsi"/>
        </w:rPr>
      </w:pPr>
      <w:r w:rsidRPr="001F3073">
        <w:rPr>
          <w:rFonts w:asciiTheme="minorHAnsi" w:hAnsiTheme="minorHAnsi"/>
          <w:b w:val="0"/>
          <w:bCs/>
        </w:rPr>
        <w:t>ANEXO 12</w:t>
      </w:r>
    </w:p>
    <w:p w14:paraId="6B79DFD0" w14:textId="0E2FD77B" w:rsidR="007A7DF3" w:rsidRPr="001F3073" w:rsidRDefault="007A7DF3" w:rsidP="00100121">
      <w:pPr>
        <w:pStyle w:val="AnnexNotitle0"/>
        <w:tabs>
          <w:tab w:val="left" w:pos="5387"/>
          <w:tab w:val="left" w:pos="6237"/>
        </w:tabs>
        <w:spacing w:before="160"/>
        <w:rPr>
          <w:rFonts w:asciiTheme="minorHAnsi" w:hAnsiTheme="minorHAnsi"/>
        </w:rPr>
      </w:pPr>
      <w:r w:rsidRPr="001F3073">
        <w:rPr>
          <w:rFonts w:asciiTheme="minorHAnsi" w:hAnsiTheme="minorHAnsi"/>
        </w:rPr>
        <w:t xml:space="preserve">Información de contacto del Presidente, los Vicepresidentes </w:t>
      </w:r>
      <w:r w:rsidRPr="001F3073">
        <w:rPr>
          <w:rFonts w:asciiTheme="minorHAnsi" w:hAnsiTheme="minorHAnsi"/>
        </w:rPr>
        <w:br/>
        <w:t>y los Relatores de Capítulo de la RPC-23</w:t>
      </w:r>
    </w:p>
    <w:p w14:paraId="42393193" w14:textId="5C6A500A" w:rsidR="007A7DF3" w:rsidRPr="001F3073" w:rsidRDefault="007A7DF3" w:rsidP="00B71365">
      <w:pPr>
        <w:pStyle w:val="Normalaftertitle"/>
        <w:rPr>
          <w:lang w:val="es-ES_tradnl"/>
        </w:rPr>
      </w:pPr>
      <w:r w:rsidRPr="001F3073">
        <w:rPr>
          <w:lang w:val="es-ES_tradnl"/>
        </w:rPr>
        <w:t>Para el Presidente y Vicepresidentes de la RPC-23, véase:</w:t>
      </w:r>
    </w:p>
    <w:p w14:paraId="272FA27B" w14:textId="09D3C389" w:rsidR="007A7DF3" w:rsidRPr="001F3073" w:rsidRDefault="00AC3B61" w:rsidP="00100121">
      <w:pPr>
        <w:spacing w:line="240" w:lineRule="auto"/>
        <w:jc w:val="left"/>
        <w:rPr>
          <w:lang w:val="es-ES_tradnl"/>
        </w:rPr>
      </w:pPr>
      <w:hyperlink r:id="rId36" w:history="1">
        <w:r w:rsidR="007A7DF3" w:rsidRPr="001F3073">
          <w:rPr>
            <w:rFonts w:asciiTheme="minorHAnsi" w:hAnsiTheme="minorHAnsi"/>
            <w:color w:val="0000FF"/>
            <w:u w:val="single"/>
            <w:lang w:val="es-ES_tradnl"/>
          </w:rPr>
          <w:t>www.itu.int/go/ITU-R/cvc/CPM</w:t>
        </w:r>
      </w:hyperlink>
      <w:r w:rsidR="00882A01" w:rsidRPr="001F3073">
        <w:rPr>
          <w:lang w:val="es-ES_tradnl"/>
        </w:rPr>
        <w:t>.</w:t>
      </w:r>
    </w:p>
    <w:p w14:paraId="6979067F" w14:textId="758D7EF9" w:rsidR="007A7DF3" w:rsidRPr="001F3073" w:rsidRDefault="007A7DF3" w:rsidP="00B71365">
      <w:pPr>
        <w:rPr>
          <w:lang w:val="es-ES_tradnl"/>
        </w:rPr>
      </w:pPr>
      <w:r w:rsidRPr="001F3073">
        <w:rPr>
          <w:lang w:val="es-ES_tradnl"/>
        </w:rPr>
        <w:t>Para los Relatores de Capítulo de la RPC-23, véase:</w:t>
      </w:r>
    </w:p>
    <w:p w14:paraId="62FB30B8" w14:textId="585D0D9C" w:rsidR="007A7DF3" w:rsidRPr="001F3073" w:rsidRDefault="00AC3B61" w:rsidP="00B71365">
      <w:pPr>
        <w:rPr>
          <w:rStyle w:val="Hyperlink"/>
          <w:lang w:val="es-ES_tradnl"/>
        </w:rPr>
      </w:pPr>
      <w:hyperlink r:id="rId37" w:history="1">
        <w:r w:rsidR="007A7DF3" w:rsidRPr="001F3073">
          <w:rPr>
            <w:rStyle w:val="Hyperlink"/>
            <w:lang w:val="es-ES_tradnl"/>
          </w:rPr>
          <w:t>https://www.itu.int/en/ITU-R/study-groups/rcpm/Pages/cpm-23-chp-rapporteurs.aspx</w:t>
        </w:r>
      </w:hyperlink>
      <w:r w:rsidR="00882A01" w:rsidRPr="001F3073">
        <w:rPr>
          <w:lang w:val="es-ES_tradnl"/>
        </w:rPr>
        <w:t>.</w:t>
      </w:r>
    </w:p>
    <w:p w14:paraId="380B379A" w14:textId="77777777" w:rsidR="00B71365" w:rsidRPr="00A665BE" w:rsidRDefault="00B71365" w:rsidP="00A665BE">
      <w:pPr>
        <w:pStyle w:val="Reasons"/>
        <w:rPr>
          <w:lang w:val="es-ES_tradnl"/>
        </w:rPr>
      </w:pPr>
    </w:p>
    <w:p w14:paraId="2160DCA6" w14:textId="77777777" w:rsidR="00B71365" w:rsidRDefault="00B71365">
      <w:pPr>
        <w:jc w:val="center"/>
      </w:pPr>
      <w:r>
        <w:t>______________</w:t>
      </w:r>
      <w:bookmarkStart w:id="73" w:name="_GoBack"/>
      <w:bookmarkEnd w:id="73"/>
    </w:p>
    <w:sectPr w:rsidR="00B71365" w:rsidSect="00100121">
      <w:headerReference w:type="even" r:id="rId38"/>
      <w:headerReference w:type="default" r:id="rId39"/>
      <w:footerReference w:type="first" r:id="rId40"/>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10AC" w14:textId="77777777" w:rsidR="00AB516B" w:rsidRDefault="00AB516B">
      <w:r>
        <w:separator/>
      </w:r>
    </w:p>
  </w:endnote>
  <w:endnote w:type="continuationSeparator" w:id="0">
    <w:p w14:paraId="2D68F0FF" w14:textId="77777777" w:rsidR="00AB516B" w:rsidRDefault="00A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BBEC" w14:textId="3DE8E19B" w:rsidR="00AB516B" w:rsidRPr="00257BE7" w:rsidRDefault="00AB516B"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C4CD" w14:textId="3ED9E121" w:rsidR="00AB516B" w:rsidRPr="00152DD6" w:rsidRDefault="00AB516B" w:rsidP="00152DD6">
    <w:pPr>
      <w:pStyle w:val="Footer"/>
      <w:rPr>
        <w:sz w:val="16"/>
        <w:szCs w:val="16"/>
        <w:lang w:val="es-ES"/>
      </w:rPr>
    </w:pPr>
    <w:r w:rsidRPr="00100121">
      <w:rPr>
        <w:noProof/>
        <w:sz w:val="16"/>
        <w:szCs w:val="16"/>
      </w:rPr>
      <w:fldChar w:fldCharType="begin"/>
    </w:r>
    <w:r w:rsidRPr="00100121">
      <w:rPr>
        <w:noProof/>
        <w:sz w:val="16"/>
        <w:szCs w:val="16"/>
        <w:lang w:val="es-ES"/>
      </w:rPr>
      <w:instrText xml:space="preserve"> FILENAME \p  \* MERGEFORMAT </w:instrText>
    </w:r>
    <w:r w:rsidRPr="00100121">
      <w:rPr>
        <w:noProof/>
        <w:sz w:val="16"/>
        <w:szCs w:val="16"/>
      </w:rPr>
      <w:fldChar w:fldCharType="separate"/>
    </w:r>
    <w:r>
      <w:rPr>
        <w:noProof/>
        <w:sz w:val="16"/>
        <w:szCs w:val="16"/>
        <w:lang w:val="es-ES"/>
      </w:rPr>
      <w:t>P:\ESP\ITU-R\BR\DIR\CA\200\251S.docx</w:t>
    </w:r>
    <w:r w:rsidRPr="00100121">
      <w:rPr>
        <w:noProof/>
        <w:sz w:val="16"/>
        <w:szCs w:val="16"/>
      </w:rPr>
      <w:fldChar w:fldCharType="end"/>
    </w:r>
    <w:r w:rsidRPr="00100121">
      <w:rPr>
        <w:noProof/>
        <w:sz w:val="16"/>
        <w:szCs w:val="16"/>
        <w:lang w:val="es-ES"/>
      </w:rPr>
      <w:t xml:space="preserve"> (465555)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B7C6" w14:textId="21B78898" w:rsidR="00AB516B" w:rsidRPr="00AC0ECF" w:rsidRDefault="00AB516B" w:rsidP="00AC0E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5007" w14:textId="7D545A64" w:rsidR="00AB516B" w:rsidRPr="004E66B6" w:rsidRDefault="00AB516B" w:rsidP="004E66B6">
    <w:pPr>
      <w:pStyle w:val="Footer"/>
      <w:rPr>
        <w:sz w:val="16"/>
        <w:szCs w:val="16"/>
        <w:lang w:val="es-ES"/>
      </w:rPr>
    </w:pPr>
    <w:r w:rsidRPr="00100121">
      <w:rPr>
        <w:noProof/>
        <w:sz w:val="16"/>
        <w:szCs w:val="16"/>
      </w:rPr>
      <w:fldChar w:fldCharType="begin"/>
    </w:r>
    <w:r w:rsidRPr="00100121">
      <w:rPr>
        <w:noProof/>
        <w:sz w:val="16"/>
        <w:szCs w:val="16"/>
        <w:lang w:val="es-ES"/>
      </w:rPr>
      <w:instrText xml:space="preserve"> FILENAME \p  \* MERGEFORMAT </w:instrText>
    </w:r>
    <w:r w:rsidRPr="00100121">
      <w:rPr>
        <w:noProof/>
        <w:sz w:val="16"/>
        <w:szCs w:val="16"/>
      </w:rPr>
      <w:fldChar w:fldCharType="separate"/>
    </w:r>
    <w:r>
      <w:rPr>
        <w:noProof/>
        <w:sz w:val="16"/>
        <w:szCs w:val="16"/>
        <w:lang w:val="es-ES"/>
      </w:rPr>
      <w:t>P:\ESP\ITU-R\BR\DIR\CA\200\251S.docx</w:t>
    </w:r>
    <w:r w:rsidRPr="00100121">
      <w:rPr>
        <w:noProof/>
        <w:sz w:val="16"/>
        <w:szCs w:val="16"/>
      </w:rPr>
      <w:fldChar w:fldCharType="end"/>
    </w:r>
    <w:r w:rsidRPr="00100121">
      <w:rPr>
        <w:noProof/>
        <w:sz w:val="16"/>
        <w:szCs w:val="16"/>
        <w:lang w:val="es-ES"/>
      </w:rPr>
      <w:t xml:space="preserve"> (465555)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B371" w14:textId="31ED9827" w:rsidR="00AB516B" w:rsidRPr="00AC0ECF" w:rsidRDefault="00AB516B" w:rsidP="00AC0E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4DBD" w14:textId="77777777" w:rsidR="00AB516B" w:rsidRPr="00257BE7" w:rsidRDefault="00AB516B"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C36F" w14:textId="77777777" w:rsidR="00AB516B" w:rsidRDefault="00AB516B">
      <w:r>
        <w:t>____________________</w:t>
      </w:r>
    </w:p>
  </w:footnote>
  <w:footnote w:type="continuationSeparator" w:id="0">
    <w:p w14:paraId="41A7EAC9" w14:textId="77777777" w:rsidR="00AB516B" w:rsidRDefault="00AB516B">
      <w:r>
        <w:continuationSeparator/>
      </w:r>
    </w:p>
  </w:footnote>
  <w:footnote w:id="1">
    <w:p w14:paraId="404A078C" w14:textId="76CC55FD" w:rsidR="00AB516B" w:rsidRPr="00C52998" w:rsidRDefault="00AB516B" w:rsidP="001457F5">
      <w:pPr>
        <w:pStyle w:val="FootnoteText"/>
        <w:rPr>
          <w:rFonts w:ascii="Times New Roman" w:hAnsi="Times New Roman" w:cs="Times New Roman"/>
          <w:sz w:val="20"/>
          <w:szCs w:val="20"/>
          <w:lang w:val="es-ES"/>
        </w:rPr>
      </w:pPr>
      <w:r w:rsidRPr="00C52998">
        <w:rPr>
          <w:rStyle w:val="FootnoteReference"/>
          <w:rFonts w:ascii="Times New Roman" w:hAnsi="Times New Roman" w:cs="Times New Roman"/>
          <w:sz w:val="20"/>
          <w:szCs w:val="20"/>
          <w:lang w:val="es-ES"/>
        </w:rPr>
        <w:t>*</w:t>
      </w:r>
      <w:r w:rsidRPr="00C52998">
        <w:rPr>
          <w:rFonts w:ascii="Times New Roman" w:hAnsi="Times New Roman" w:cs="Times New Roman"/>
          <w:sz w:val="20"/>
          <w:szCs w:val="20"/>
          <w:lang w:val="es-ES"/>
        </w:rPr>
        <w:tab/>
        <w:t>El texto de la Resolución reproducida en este Anexo está copiado de las Actas Finales provisionales de la CMR-19. Los números de la COM6 de las nuevas Resoluciones de la CMR-19 se han sustituido por los números de Resolución provisionales indicados en el Anexo 3 a esta Circular Administrativa.</w:t>
      </w:r>
    </w:p>
  </w:footnote>
  <w:footnote w:id="2">
    <w:p w14:paraId="28773105" w14:textId="2AF24E8B" w:rsidR="00AB516B" w:rsidRPr="00CE7687" w:rsidRDefault="00AB516B">
      <w:pPr>
        <w:pStyle w:val="FootnoteText"/>
        <w:rPr>
          <w:rFonts w:ascii="Times New Roman" w:hAnsi="Times New Roman" w:cs="Times New Roman"/>
          <w:sz w:val="20"/>
          <w:szCs w:val="20"/>
          <w:lang w:val="es-ES"/>
        </w:rPr>
      </w:pPr>
      <w:r w:rsidRPr="00CE7687">
        <w:rPr>
          <w:rStyle w:val="FootnoteReference"/>
          <w:rFonts w:ascii="Times New Roman" w:hAnsi="Times New Roman" w:cs="Times New Roman"/>
          <w:sz w:val="20"/>
          <w:szCs w:val="20"/>
          <w:lang w:val="es-ES"/>
        </w:rPr>
        <w:t>1</w:t>
      </w:r>
      <w:r w:rsidRPr="00CE7687">
        <w:rPr>
          <w:rFonts w:ascii="Times New Roman" w:hAnsi="Times New Roman" w:cs="Times New Roman"/>
          <w:sz w:val="20"/>
          <w:szCs w:val="20"/>
          <w:lang w:val="es-ES"/>
        </w:rPr>
        <w:tab/>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3">
    <w:p w14:paraId="5E5E72A7" w14:textId="01CC455A" w:rsidR="00AB516B" w:rsidRPr="00DA5CCB" w:rsidRDefault="00AB516B" w:rsidP="00331D32">
      <w:pPr>
        <w:pStyle w:val="FootnoteText"/>
        <w:rPr>
          <w:sz w:val="20"/>
          <w:szCs w:val="20"/>
          <w:lang w:val="es-ES"/>
        </w:rPr>
      </w:pPr>
      <w:r w:rsidRPr="00DA5CCB">
        <w:rPr>
          <w:rStyle w:val="FootnoteReference"/>
          <w:sz w:val="20"/>
          <w:szCs w:val="20"/>
          <w:lang w:val="es-ES"/>
        </w:rPr>
        <w:t>**</w:t>
      </w:r>
      <w:r w:rsidRPr="00DA5CCB">
        <w:rPr>
          <w:sz w:val="20"/>
          <w:szCs w:val="20"/>
          <w:lang w:val="es-ES"/>
        </w:rPr>
        <w:tab/>
        <w:t>El texto de la Resolución reproducida en este Anexo está copiado de las Actas Finales provisionales de la CMR-19. Los números de la COM6 de las nuevas Resoluciones de la CMR-19 se han sustituido por los números de Resolución provisionales indicados en el Anexo 3 a esta Circular Administrativa.</w:t>
      </w:r>
    </w:p>
  </w:footnote>
  <w:footnote w:id="4">
    <w:p w14:paraId="59081583" w14:textId="46B83364" w:rsidR="00AB516B" w:rsidRPr="004A5136" w:rsidRDefault="00AB516B" w:rsidP="00331D32">
      <w:pPr>
        <w:pStyle w:val="FootnoteText"/>
        <w:rPr>
          <w:szCs w:val="24"/>
          <w:lang w:val="es-ES"/>
        </w:rPr>
      </w:pPr>
      <w:r w:rsidRPr="00DA5CCB">
        <w:rPr>
          <w:rStyle w:val="FootnoteReference"/>
          <w:sz w:val="20"/>
          <w:szCs w:val="20"/>
          <w:lang w:val="es-ES"/>
        </w:rPr>
        <w:t>*</w:t>
      </w:r>
      <w:r w:rsidRPr="00DA5CCB">
        <w:rPr>
          <w:sz w:val="20"/>
          <w:szCs w:val="20"/>
          <w:lang w:val="es-ES"/>
        </w:rPr>
        <w:tab/>
        <w:t>La presencia de corchetes alrededor de determinadas bandas de frecuencias en esta Resolución significa que la CMR</w:t>
      </w:r>
      <w:r w:rsidRPr="00DA5CCB">
        <w:rPr>
          <w:sz w:val="20"/>
          <w:szCs w:val="20"/>
          <w:lang w:val="es-ES"/>
        </w:rPr>
        <w:noBreakHyphen/>
        <w:t>23 examinará y revisará la inclusión de esas bandas de frecuencias entre corchetes y tomará una decisión al respecto.</w:t>
      </w:r>
    </w:p>
  </w:footnote>
  <w:footnote w:id="5">
    <w:p w14:paraId="5F37FD3F" w14:textId="0002D806" w:rsidR="00AB516B" w:rsidRPr="00352F17" w:rsidRDefault="00AB516B">
      <w:pPr>
        <w:pStyle w:val="FootnoteText"/>
        <w:rPr>
          <w:rFonts w:ascii="Times New Roman" w:hAnsi="Times New Roman" w:cs="Times New Roman"/>
          <w:sz w:val="20"/>
          <w:szCs w:val="20"/>
          <w:lang w:val="es-ES"/>
        </w:rPr>
      </w:pPr>
      <w:r w:rsidRPr="00352F17">
        <w:rPr>
          <w:rStyle w:val="FootnoteReference"/>
          <w:rFonts w:ascii="Times New Roman" w:hAnsi="Times New Roman" w:cs="Times New Roman"/>
          <w:sz w:val="20"/>
          <w:szCs w:val="20"/>
          <w:lang w:val="es-ES"/>
        </w:rPr>
        <w:t>1</w:t>
      </w:r>
      <w:r w:rsidRPr="00352F17">
        <w:rPr>
          <w:rFonts w:ascii="Times New Roman" w:hAnsi="Times New Roman" w:cs="Times New Roman"/>
          <w:sz w:val="20"/>
          <w:szCs w:val="20"/>
          <w:lang w:val="es-ES"/>
        </w:rPr>
        <w:tab/>
        <w:t>Este subpunto del orden del día se limita estrictamente al Informe del Director sobre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6">
    <w:p w14:paraId="6789C8B3" w14:textId="1CAA730F" w:rsidR="00AB516B" w:rsidRPr="00DA5CCB" w:rsidRDefault="00AB516B" w:rsidP="00EB337E">
      <w:pPr>
        <w:pStyle w:val="FootnoteText"/>
        <w:rPr>
          <w:sz w:val="20"/>
          <w:szCs w:val="20"/>
          <w:lang w:val="es-ES"/>
        </w:rPr>
      </w:pPr>
      <w:r w:rsidRPr="00DA5CCB">
        <w:rPr>
          <w:rStyle w:val="FootnoteReference"/>
          <w:sz w:val="20"/>
          <w:szCs w:val="20"/>
        </w:rPr>
        <w:sym w:font="Symbol" w:char="F02A"/>
      </w:r>
      <w:r w:rsidRPr="00DA5CCB">
        <w:rPr>
          <w:sz w:val="20"/>
          <w:szCs w:val="20"/>
          <w:lang w:val="es-ES"/>
        </w:rPr>
        <w:tab/>
      </w:r>
      <w:r w:rsidRPr="00DA5CCB">
        <w:rPr>
          <w:sz w:val="20"/>
          <w:szCs w:val="20"/>
          <w:u w:val="single"/>
          <w:lang w:val="es-ES"/>
        </w:rPr>
        <w:t>Nota</w:t>
      </w:r>
      <w:r w:rsidRPr="00DA5CCB">
        <w:rPr>
          <w:sz w:val="20"/>
          <w:szCs w:val="20"/>
          <w:lang w:val="es-ES"/>
        </w:rPr>
        <w:t>: La RPC23-1 acordó utilizar el término «</w:t>
      </w:r>
      <w:r w:rsidRPr="00DA5CCB">
        <w:rPr>
          <w:i/>
          <w:iCs/>
          <w:sz w:val="20"/>
          <w:szCs w:val="20"/>
          <w:lang w:val="es-ES"/>
        </w:rPr>
        <w:t>grupos contribuyentes</w:t>
      </w:r>
      <w:r w:rsidRPr="00DA5CCB">
        <w:rPr>
          <w:sz w:val="20"/>
          <w:szCs w:val="20"/>
          <w:lang w:val="es-ES"/>
        </w:rPr>
        <w:t>» en lugar de «</w:t>
      </w:r>
      <w:r w:rsidRPr="00DA5CCB">
        <w:rPr>
          <w:i/>
          <w:iCs/>
          <w:sz w:val="20"/>
          <w:szCs w:val="20"/>
          <w:lang w:val="es-ES"/>
        </w:rPr>
        <w:t>grupos implicados</w:t>
      </w:r>
      <w:r w:rsidRPr="00DA5CCB">
        <w:rPr>
          <w:sz w:val="20"/>
          <w:szCs w:val="20"/>
          <w:lang w:val="es-ES"/>
        </w:rPr>
        <w:t>», utilizado en la Resolución UIT-R 2-8, para resaltar que se prevé que esos grupos contribuyan a los trabajos.</w:t>
      </w:r>
    </w:p>
  </w:footnote>
  <w:footnote w:id="7">
    <w:p w14:paraId="43C885E1" w14:textId="6ECBAE09" w:rsidR="00AB516B" w:rsidRPr="00DA5CCB" w:rsidRDefault="00AB516B" w:rsidP="00ED4AC0">
      <w:pPr>
        <w:pStyle w:val="FootnoteText"/>
        <w:rPr>
          <w:sz w:val="20"/>
          <w:szCs w:val="20"/>
          <w:lang w:val="es-ES"/>
        </w:rPr>
      </w:pPr>
      <w:r w:rsidRPr="00DA5CCB">
        <w:rPr>
          <w:rStyle w:val="FootnoteReference"/>
          <w:sz w:val="20"/>
          <w:szCs w:val="20"/>
          <w:lang w:val="es-ES"/>
        </w:rPr>
        <w:t>*</w:t>
      </w:r>
      <w:r w:rsidRPr="00DA5CCB">
        <w:rPr>
          <w:sz w:val="20"/>
          <w:szCs w:val="20"/>
          <w:lang w:val="es-ES"/>
        </w:rPr>
        <w:tab/>
      </w:r>
      <w:r w:rsidRPr="00DA5CCB">
        <w:rPr>
          <w:sz w:val="20"/>
          <w:szCs w:val="20"/>
          <w:u w:val="single"/>
          <w:lang w:val="es-ES"/>
        </w:rPr>
        <w:t>Nota</w:t>
      </w:r>
      <w:r w:rsidRPr="00DA5CCB">
        <w:rPr>
          <w:sz w:val="20"/>
          <w:szCs w:val="20"/>
          <w:lang w:val="es-ES"/>
        </w:rPr>
        <w:t>: La RPC23-1 acordó utilizar el término «</w:t>
      </w:r>
      <w:r w:rsidRPr="00DA5CCB">
        <w:rPr>
          <w:i/>
          <w:iCs/>
          <w:sz w:val="20"/>
          <w:szCs w:val="20"/>
          <w:lang w:val="es-ES"/>
        </w:rPr>
        <w:t>grupos contribuyentes</w:t>
      </w:r>
      <w:r w:rsidRPr="00DA5CCB">
        <w:rPr>
          <w:sz w:val="20"/>
          <w:szCs w:val="20"/>
          <w:lang w:val="es-ES"/>
        </w:rPr>
        <w:t>» en lugar de «</w:t>
      </w:r>
      <w:r w:rsidRPr="00DA5CCB">
        <w:rPr>
          <w:i/>
          <w:iCs/>
          <w:sz w:val="20"/>
          <w:szCs w:val="20"/>
          <w:lang w:val="es-ES"/>
        </w:rPr>
        <w:t>grupos implicados</w:t>
      </w:r>
      <w:r w:rsidRPr="00DA5CCB">
        <w:rPr>
          <w:sz w:val="20"/>
          <w:szCs w:val="20"/>
          <w:lang w:val="es-ES"/>
        </w:rPr>
        <w:t>», utilizado en la Resolución UIT-R 2-8, para resaltar que se prevé que esos grupos contribuyan a los trabajos.</w:t>
      </w:r>
    </w:p>
  </w:footnote>
  <w:footnote w:id="8">
    <w:p w14:paraId="04B74FF0" w14:textId="3FBE3D5B" w:rsidR="00AB516B" w:rsidRPr="00AB516B" w:rsidRDefault="00AB516B" w:rsidP="00561013">
      <w:pPr>
        <w:pStyle w:val="FootnoteText"/>
        <w:rPr>
          <w:bCs/>
          <w:sz w:val="20"/>
          <w:szCs w:val="20"/>
          <w:lang w:val="es-ES"/>
        </w:rPr>
      </w:pPr>
      <w:r w:rsidRPr="00AB516B">
        <w:rPr>
          <w:rStyle w:val="FootnoteReference"/>
          <w:sz w:val="20"/>
          <w:szCs w:val="20"/>
          <w:lang w:val="es-ES"/>
        </w:rPr>
        <w:t>**</w:t>
      </w:r>
      <w:r w:rsidRPr="00AB516B">
        <w:rPr>
          <w:sz w:val="20"/>
          <w:szCs w:val="20"/>
          <w:lang w:val="es-ES"/>
        </w:rPr>
        <w:tab/>
        <w:t>Los textos de las Resoluciones reproducidas en este Anexo están copiados de las Actas Finales provisionales de la CMR-19. Los números de las COM5 y COM6 de las nuevas Resoluciones de la CMR-19 se han sustituido por los números de Resolución provisionales indicados en el Anexo 3 a esta Circular Administrativa.</w:t>
      </w:r>
    </w:p>
  </w:footnote>
  <w:footnote w:id="9">
    <w:p w14:paraId="1FB5AD64" w14:textId="0039101C" w:rsidR="00AB516B" w:rsidRPr="006C2C14" w:rsidRDefault="00AB516B" w:rsidP="00561013">
      <w:pPr>
        <w:pStyle w:val="FootnoteText"/>
        <w:rPr>
          <w:szCs w:val="24"/>
          <w:lang w:val="es-ES"/>
        </w:rPr>
      </w:pPr>
      <w:r w:rsidRPr="00AB516B">
        <w:rPr>
          <w:rStyle w:val="FootnoteReference"/>
          <w:sz w:val="20"/>
          <w:szCs w:val="20"/>
          <w:lang w:val="es-ES"/>
        </w:rPr>
        <w:t>*</w:t>
      </w:r>
      <w:r w:rsidRPr="00AB516B">
        <w:rPr>
          <w:sz w:val="20"/>
          <w:szCs w:val="20"/>
          <w:lang w:val="es-ES"/>
        </w:rPr>
        <w:tab/>
        <w:t>Nota: La RPC23-1 acordó utilizar el término «</w:t>
      </w:r>
      <w:r w:rsidRPr="00AB516B">
        <w:rPr>
          <w:i/>
          <w:iCs/>
          <w:sz w:val="20"/>
          <w:szCs w:val="20"/>
          <w:lang w:val="es-ES"/>
        </w:rPr>
        <w:t>grupos contribuyentes</w:t>
      </w:r>
      <w:r w:rsidRPr="00AB516B">
        <w:rPr>
          <w:sz w:val="20"/>
          <w:szCs w:val="20"/>
          <w:lang w:val="es-ES"/>
        </w:rPr>
        <w:t>» en lugar de «</w:t>
      </w:r>
      <w:r w:rsidRPr="00AB516B">
        <w:rPr>
          <w:i/>
          <w:iCs/>
          <w:sz w:val="20"/>
          <w:szCs w:val="20"/>
          <w:lang w:val="es-ES"/>
        </w:rPr>
        <w:t>grupos implicados</w:t>
      </w:r>
      <w:r w:rsidRPr="00AB516B">
        <w:rPr>
          <w:sz w:val="20"/>
          <w:szCs w:val="20"/>
          <w:lang w:val="es-ES"/>
        </w:rPr>
        <w:t>», utilizado en la Resolución UIT-R 2-8, para resaltar que se prevé que esos grupos contribuyan a los trabajos.</w:t>
      </w:r>
    </w:p>
  </w:footnote>
  <w:footnote w:id="10">
    <w:p w14:paraId="1F33B3A1" w14:textId="440CAAC2" w:rsidR="00AB516B" w:rsidRPr="002E0571" w:rsidRDefault="00AB516B" w:rsidP="002E0571">
      <w:pPr>
        <w:pStyle w:val="FootnoteText"/>
        <w:rPr>
          <w:sz w:val="20"/>
          <w:szCs w:val="20"/>
          <w:lang w:val="es-ES"/>
        </w:rPr>
      </w:pPr>
      <w:r w:rsidRPr="002E0571">
        <w:rPr>
          <w:rStyle w:val="FootnoteReference"/>
          <w:sz w:val="20"/>
          <w:szCs w:val="20"/>
        </w:rPr>
        <w:footnoteRef/>
      </w:r>
      <w:r w:rsidRPr="002E0571">
        <w:rPr>
          <w:sz w:val="20"/>
          <w:szCs w:val="20"/>
          <w:lang w:val="es-ES"/>
        </w:rPr>
        <w:tab/>
        <w:t>El GT 5B facilitará las características y criterios de protección de los servicios móvil marítimo y móvil aeronáutico. El GT 5D comenzará los estudios con las características de las IMT. En los estudios de deberán tomar en consideración las observaciones de ambos Grupos de Trabajo (</w:t>
      </w:r>
      <w:r w:rsidRPr="002E0571">
        <w:rPr>
          <w:i/>
          <w:iCs/>
          <w:sz w:val="20"/>
          <w:szCs w:val="20"/>
          <w:lang w:val="es-ES"/>
        </w:rPr>
        <w:t>invita al UIT</w:t>
      </w:r>
      <w:r w:rsidRPr="002E0571">
        <w:rPr>
          <w:i/>
          <w:iCs/>
          <w:sz w:val="20"/>
          <w:szCs w:val="20"/>
          <w:lang w:val="es-ES"/>
        </w:rPr>
        <w:noBreakHyphen/>
        <w:t>R</w:t>
      </w:r>
      <w:r w:rsidRPr="002E0571">
        <w:rPr>
          <w:sz w:val="20"/>
          <w:szCs w:val="20"/>
          <w:lang w:val="es-ES"/>
        </w:rPr>
        <w:t> 2). El GT 5D, en consulta con el GT 5B, preparará Informes/Recomendaciones, según proceda, para su aprobación por la CE 5 de conformidad con la Resolución UIT-R 1-8 (</w:t>
      </w:r>
      <w:r w:rsidRPr="002E0571">
        <w:rPr>
          <w:i/>
          <w:sz w:val="20"/>
          <w:szCs w:val="20"/>
          <w:lang w:val="es-ES"/>
        </w:rPr>
        <w:t>invita al UIT-R</w:t>
      </w:r>
      <w:r w:rsidRPr="002E0571">
        <w:rPr>
          <w:sz w:val="20"/>
          <w:szCs w:val="20"/>
          <w:lang w:val="es-ES"/>
        </w:rPr>
        <w:t xml:space="preserve"> 4). El GT 5B y el GT 5D prepararán las partes pertinentes, según proceda, del proyecto de texto de la RPC. El GT 5D finalizará el proyecto de texto de la RPC, habida cuenta de las observaciones formuladas por el GT 5B (para el </w:t>
      </w:r>
      <w:r w:rsidRPr="002E0571">
        <w:rPr>
          <w:i/>
          <w:iCs/>
          <w:sz w:val="20"/>
          <w:szCs w:val="20"/>
          <w:lang w:val="es-ES"/>
        </w:rPr>
        <w:t>invita a la CMR</w:t>
      </w:r>
      <w:r w:rsidRPr="002E0571">
        <w:rPr>
          <w:i/>
          <w:sz w:val="20"/>
          <w:szCs w:val="20"/>
          <w:lang w:val="es-ES"/>
        </w:rPr>
        <w:t>-23</w:t>
      </w:r>
      <w:r w:rsidRPr="002E0571">
        <w:rPr>
          <w:sz w:val="20"/>
          <w:szCs w:val="20"/>
          <w:lang w:val="es-ES"/>
        </w:rPr>
        <w:t>).</w:t>
      </w:r>
    </w:p>
  </w:footnote>
  <w:footnote w:id="11">
    <w:p w14:paraId="20373783" w14:textId="77777777" w:rsidR="00AB516B" w:rsidRPr="00AB516B" w:rsidRDefault="00AB516B" w:rsidP="00821AB2">
      <w:pPr>
        <w:pStyle w:val="FootnoteText"/>
        <w:rPr>
          <w:sz w:val="20"/>
          <w:szCs w:val="20"/>
          <w:lang w:val="es-ES"/>
        </w:rPr>
      </w:pPr>
      <w:r w:rsidRPr="00AB516B">
        <w:rPr>
          <w:rStyle w:val="FootnoteReference"/>
          <w:sz w:val="20"/>
          <w:szCs w:val="20"/>
          <w:lang w:val="es-ES"/>
        </w:rPr>
        <w:t>1</w:t>
      </w:r>
      <w:r w:rsidRPr="00AB516B">
        <w:rPr>
          <w:sz w:val="20"/>
          <w:szCs w:val="20"/>
          <w:lang w:val="es-ES"/>
        </w:rPr>
        <w:tab/>
        <w:t>Incluidos los estudios relativos a los servicios en bandas adyacentes, según proceda.</w:t>
      </w:r>
    </w:p>
  </w:footnote>
  <w:footnote w:id="12">
    <w:p w14:paraId="78725AED" w14:textId="77777777" w:rsidR="00AB516B" w:rsidRPr="00AC0ECF" w:rsidRDefault="00AB516B" w:rsidP="00A66ACE">
      <w:pPr>
        <w:pStyle w:val="FootnoteText"/>
        <w:rPr>
          <w:sz w:val="20"/>
          <w:szCs w:val="20"/>
          <w:lang w:val="es-ES"/>
        </w:rPr>
      </w:pPr>
      <w:r w:rsidRPr="00AC0ECF">
        <w:rPr>
          <w:rStyle w:val="FootnoteReference"/>
          <w:sz w:val="20"/>
          <w:szCs w:val="20"/>
          <w:lang w:val="es-ES"/>
        </w:rPr>
        <w:t>1</w:t>
      </w:r>
      <w:r w:rsidRPr="00AC0ECF">
        <w:rPr>
          <w:sz w:val="20"/>
          <w:szCs w:val="20"/>
          <w:lang w:val="es-ES"/>
        </w:rPr>
        <w:tab/>
      </w:r>
      <w:r w:rsidRPr="00AC0ECF">
        <w:rPr>
          <w:rFonts w:cs="Times New Roman"/>
          <w:sz w:val="20"/>
          <w:szCs w:val="20"/>
          <w:lang w:val="es-ES"/>
        </w:rPr>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13">
    <w:p w14:paraId="6DE2C417" w14:textId="312BEC8C" w:rsidR="00AB516B" w:rsidRPr="00AC0ECF" w:rsidRDefault="00AB516B" w:rsidP="00AC0ECF">
      <w:pPr>
        <w:pStyle w:val="FootnoteText"/>
        <w:rPr>
          <w:sz w:val="20"/>
          <w:szCs w:val="20"/>
          <w:lang w:val="es-ES"/>
        </w:rPr>
      </w:pPr>
      <w:r w:rsidRPr="00AC0ECF">
        <w:rPr>
          <w:rStyle w:val="FootnoteReference"/>
          <w:sz w:val="20"/>
          <w:szCs w:val="20"/>
          <w:lang w:val="es-ES"/>
        </w:rPr>
        <w:t>**</w:t>
      </w:r>
      <w:r w:rsidRPr="00AC0ECF">
        <w:rPr>
          <w:sz w:val="20"/>
          <w:szCs w:val="20"/>
          <w:lang w:val="es-ES"/>
        </w:rPr>
        <w:tab/>
        <w:t>El texto de la Resolución reproducida en este Anexo está copiado de las Actas Finales provisionales de la CMR-19. Los números de la COM6 de las nuevas Resoluciones de la CMR-19 se han sustituido por los números de Resolución provisionales indicados en el Anexo 3 a esta Circular Administrativa.</w:t>
      </w:r>
    </w:p>
  </w:footnote>
  <w:footnote w:id="14">
    <w:p w14:paraId="2F899420" w14:textId="0FE29361" w:rsidR="00AB516B" w:rsidRPr="00C10E36" w:rsidRDefault="00AB516B" w:rsidP="00AC0ECF">
      <w:pPr>
        <w:pStyle w:val="FootnoteText"/>
        <w:rPr>
          <w:szCs w:val="24"/>
          <w:lang w:val="es-ES"/>
        </w:rPr>
      </w:pPr>
      <w:r w:rsidRPr="00AC0ECF">
        <w:rPr>
          <w:rStyle w:val="FootnoteReference"/>
          <w:sz w:val="20"/>
          <w:szCs w:val="20"/>
          <w:lang w:val="es-ES"/>
        </w:rPr>
        <w:t>*</w:t>
      </w:r>
      <w:r w:rsidRPr="00AC0ECF">
        <w:rPr>
          <w:sz w:val="20"/>
          <w:szCs w:val="20"/>
          <w:lang w:val="es-ES"/>
        </w:rPr>
        <w:tab/>
        <w:t>Nota: La RPC23-1 acordó utilizar el término «</w:t>
      </w:r>
      <w:r w:rsidRPr="00AC0ECF">
        <w:rPr>
          <w:i/>
          <w:iCs/>
          <w:sz w:val="20"/>
          <w:szCs w:val="20"/>
          <w:lang w:val="es-ES"/>
        </w:rPr>
        <w:t>grupos contribuyentes</w:t>
      </w:r>
      <w:r w:rsidRPr="00AC0ECF">
        <w:rPr>
          <w:sz w:val="20"/>
          <w:szCs w:val="20"/>
          <w:lang w:val="es-ES"/>
        </w:rPr>
        <w:t>» en lugar de «</w:t>
      </w:r>
      <w:r w:rsidRPr="00AC0ECF">
        <w:rPr>
          <w:i/>
          <w:iCs/>
          <w:sz w:val="20"/>
          <w:szCs w:val="20"/>
          <w:lang w:val="es-ES"/>
        </w:rPr>
        <w:t>grupos implicados</w:t>
      </w:r>
      <w:r w:rsidRPr="00AC0ECF">
        <w:rPr>
          <w:sz w:val="20"/>
          <w:szCs w:val="20"/>
          <w:lang w:val="es-ES"/>
        </w:rPr>
        <w:t>», utilizado en la Resolución UIT-R 2-8, para resaltar que se prevé que esos grupos contribuyan a los trabajos.</w:t>
      </w:r>
    </w:p>
  </w:footnote>
  <w:footnote w:id="15">
    <w:p w14:paraId="4C046D82" w14:textId="7058AC58" w:rsidR="00AB516B" w:rsidRPr="00AC0ECF" w:rsidRDefault="00AB516B" w:rsidP="00100121">
      <w:pPr>
        <w:pStyle w:val="FootnoteText"/>
        <w:rPr>
          <w:sz w:val="20"/>
          <w:szCs w:val="20"/>
          <w:lang w:val="es-ES"/>
        </w:rPr>
      </w:pPr>
      <w:r w:rsidRPr="00AC0ECF">
        <w:rPr>
          <w:rStyle w:val="FootnoteReference"/>
          <w:sz w:val="20"/>
          <w:szCs w:val="20"/>
          <w:lang w:val="es-ES"/>
        </w:rPr>
        <w:t>*</w:t>
      </w:r>
      <w:r w:rsidRPr="00AC0ECF">
        <w:rPr>
          <w:rFonts w:eastAsiaTheme="minorHAnsi"/>
          <w:color w:val="000000"/>
          <w:sz w:val="20"/>
          <w:szCs w:val="20"/>
          <w:lang w:val="es-ES"/>
        </w:rPr>
        <w:tab/>
      </w:r>
      <w:r w:rsidRPr="00AC0ECF">
        <w:rPr>
          <w:rFonts w:eastAsiaTheme="minorHAnsi"/>
          <w:sz w:val="20"/>
          <w:szCs w:val="20"/>
          <w:lang w:val="es-ES"/>
        </w:rPr>
        <w:t>En referencia a las bandas 47,2-50,2 GHz y 50,4-51,4 GHz, los estudios de compartición y compatibilidad de las ETEM aeronáuticas deberían tener en cuenta todos los pasos necesarios para proteger los servicios terrenales con atribuciones en la banda.</w:t>
      </w:r>
    </w:p>
  </w:footnote>
  <w:footnote w:id="16">
    <w:p w14:paraId="7B7CD29A" w14:textId="4E36CB2C" w:rsidR="00AB516B" w:rsidRPr="00AC0ECF" w:rsidRDefault="00AB516B" w:rsidP="00100121">
      <w:pPr>
        <w:pStyle w:val="FootnoteText"/>
        <w:rPr>
          <w:sz w:val="20"/>
          <w:szCs w:val="20"/>
          <w:lang w:val="es-ES"/>
        </w:rPr>
      </w:pPr>
      <w:r w:rsidRPr="00AC0ECF">
        <w:rPr>
          <w:rStyle w:val="FootnoteReference"/>
          <w:sz w:val="20"/>
          <w:szCs w:val="20"/>
          <w:lang w:val="es-ES"/>
        </w:rPr>
        <w:t>1</w:t>
      </w:r>
      <w:r w:rsidRPr="00AC0ECF">
        <w:rPr>
          <w:sz w:val="20"/>
          <w:szCs w:val="20"/>
          <w:lang w:val="es-ES"/>
        </w:rPr>
        <w:tab/>
        <w:t>El GT 5B debe proporcionar las características y los criterios de protección para los servicios marítimo y móvil aeronáutico. El GT 5D inicia los estudios de las características de las IMT. En los estudios se debe tener en cuenta las observaciones de ambos Grupos de Trabajo (</w:t>
      </w:r>
      <w:r w:rsidRPr="00AC0ECF">
        <w:rPr>
          <w:i/>
          <w:iCs/>
          <w:sz w:val="20"/>
          <w:szCs w:val="20"/>
          <w:lang w:val="es-ES"/>
        </w:rPr>
        <w:t xml:space="preserve">invita al UIT-R </w:t>
      </w:r>
      <w:r w:rsidRPr="00AC0ECF">
        <w:rPr>
          <w:sz w:val="20"/>
          <w:szCs w:val="20"/>
          <w:lang w:val="es-ES"/>
        </w:rPr>
        <w:t>2). El GT 5D, en consulta con el GT 5B, elabora informes/recomendaciones, según proceda, que luego son aprobados por la CE 5 de conformidad con la Resolución UIT-R 1-8 (</w:t>
      </w:r>
      <w:r w:rsidRPr="00AC0ECF">
        <w:rPr>
          <w:i/>
          <w:iCs/>
          <w:sz w:val="20"/>
          <w:szCs w:val="20"/>
          <w:lang w:val="es-ES"/>
        </w:rPr>
        <w:t xml:space="preserve">invita al UIT-R </w:t>
      </w:r>
      <w:r w:rsidRPr="00AC0ECF">
        <w:rPr>
          <w:sz w:val="20"/>
          <w:szCs w:val="20"/>
          <w:lang w:val="es-ES"/>
        </w:rPr>
        <w:t>4). El GT 5B y el GT 5D elaboran las partes pertinentes, según proceda, del proyecto de texto de la RPC. El GT 5D finaliza el proyecto de texto de la RPC teniendo en cuenta las observaciones del GT 5B (</w:t>
      </w:r>
      <w:r w:rsidRPr="00AC0ECF">
        <w:rPr>
          <w:i/>
          <w:iCs/>
          <w:sz w:val="20"/>
          <w:szCs w:val="20"/>
          <w:lang w:val="es-ES"/>
        </w:rPr>
        <w:t>invita a la CMR-23</w:t>
      </w:r>
      <w:r w:rsidRPr="00AC0ECF">
        <w:rPr>
          <w:sz w:val="20"/>
          <w:szCs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DC94" w14:textId="617C48B6" w:rsidR="00AB516B" w:rsidRPr="00D239B4" w:rsidRDefault="00AB516B" w:rsidP="0010012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C3B61">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45883394"/>
      <w:docPartObj>
        <w:docPartGallery w:val="Page Numbers (Top of Page)"/>
        <w:docPartUnique/>
      </w:docPartObj>
    </w:sdtPr>
    <w:sdtEndPr>
      <w:rPr>
        <w:noProof/>
      </w:rPr>
    </w:sdtEndPr>
    <w:sdtContent>
      <w:p w14:paraId="18DF89EE" w14:textId="477091C6" w:rsidR="00AB516B" w:rsidRPr="00152DD6" w:rsidRDefault="00AB516B" w:rsidP="00350B18">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sidR="00AC3B61">
          <w:rPr>
            <w:noProof/>
            <w:sz w:val="18"/>
            <w:szCs w:val="18"/>
          </w:rPr>
          <w:t>7</w:t>
        </w:r>
        <w:r w:rsidRPr="00152DD6">
          <w:rPr>
            <w:noProof/>
            <w:sz w:val="18"/>
            <w:szCs w:val="18"/>
          </w:rPr>
          <w:fldChar w:fldCharType="end"/>
        </w:r>
        <w:r w:rsidRPr="00152DD6">
          <w:rPr>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AB516B" w14:paraId="30652703" w14:textId="77777777" w:rsidTr="003F0E9F">
      <w:tc>
        <w:tcPr>
          <w:tcW w:w="4792" w:type="dxa"/>
          <w:tcMar>
            <w:left w:w="0" w:type="dxa"/>
          </w:tcMar>
        </w:tcPr>
        <w:p w14:paraId="5F88B0A1" w14:textId="77777777" w:rsidR="00AB516B" w:rsidRDefault="00AB516B" w:rsidP="001B3D4D">
          <w:pPr>
            <w:pStyle w:val="Header"/>
            <w:spacing w:before="120" w:line="360" w:lineRule="auto"/>
          </w:pPr>
          <w:r w:rsidRPr="008E52B1">
            <w:rPr>
              <w:noProof/>
              <w:color w:val="3399FF"/>
              <w:lang w:val="en-GB" w:eastAsia="en-GB"/>
            </w:rPr>
            <w:drawing>
              <wp:inline distT="0" distB="0" distL="0" distR="0" wp14:anchorId="1CD05C2D" wp14:editId="006CFDBF">
                <wp:extent cx="838200" cy="838200"/>
                <wp:effectExtent l="0" t="0" r="0" b="0"/>
                <wp:docPr id="9" name="Picture 9"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19ECE6F6" w14:textId="77777777" w:rsidR="00AB516B" w:rsidRDefault="00AB516B" w:rsidP="001B3D4D">
          <w:pPr>
            <w:pStyle w:val="Header"/>
            <w:spacing w:before="240" w:line="360" w:lineRule="auto"/>
            <w:jc w:val="right"/>
          </w:pPr>
          <w:r>
            <w:rPr>
              <w:noProof/>
              <w:lang w:val="en-GB" w:eastAsia="en-GB"/>
            </w:rPr>
            <w:drawing>
              <wp:inline distT="0" distB="0" distL="0" distR="0" wp14:anchorId="704F423B" wp14:editId="2BACB3F8">
                <wp:extent cx="1919387" cy="654889"/>
                <wp:effectExtent l="0" t="0" r="5080" b="0"/>
                <wp:docPr id="10" name="Picture 10"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3396680C" w14:textId="77777777" w:rsidR="00AB516B" w:rsidRPr="001B3D4D" w:rsidRDefault="00AB516B" w:rsidP="001B3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83081221"/>
      <w:docPartObj>
        <w:docPartGallery w:val="Page Numbers (Top of Page)"/>
        <w:docPartUnique/>
      </w:docPartObj>
    </w:sdtPr>
    <w:sdtEndPr>
      <w:rPr>
        <w:noProof/>
      </w:rPr>
    </w:sdtEndPr>
    <w:sdtContent>
      <w:p w14:paraId="01D78057" w14:textId="5B89F515" w:rsidR="00AB516B" w:rsidRPr="00152DD6" w:rsidRDefault="00AB516B" w:rsidP="00152DD6">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sidR="00AC3B61">
          <w:rPr>
            <w:noProof/>
            <w:sz w:val="18"/>
            <w:szCs w:val="18"/>
          </w:rPr>
          <w:t>20</w:t>
        </w:r>
        <w:r w:rsidRPr="00152DD6">
          <w:rPr>
            <w:noProof/>
            <w:sz w:val="18"/>
            <w:szCs w:val="18"/>
          </w:rPr>
          <w:fldChar w:fldCharType="end"/>
        </w:r>
        <w:r w:rsidRPr="00152DD6">
          <w:rPr>
            <w:noProof/>
            <w:sz w:val="18"/>
            <w:szCs w:val="18"/>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11094"/>
      <w:docPartObj>
        <w:docPartGallery w:val="Page Numbers (Top of Page)"/>
        <w:docPartUnique/>
      </w:docPartObj>
    </w:sdtPr>
    <w:sdtEndPr>
      <w:rPr>
        <w:noProof/>
        <w:sz w:val="16"/>
        <w:szCs w:val="16"/>
      </w:rPr>
    </w:sdtEndPr>
    <w:sdtContent>
      <w:p w14:paraId="0CCB8C68" w14:textId="67B2A455" w:rsidR="00AB516B" w:rsidRPr="0060271B" w:rsidRDefault="00AB516B" w:rsidP="00100121">
        <w:pPr>
          <w:pStyle w:val="Header"/>
          <w:jc w:val="center"/>
          <w:rPr>
            <w:sz w:val="16"/>
            <w:szCs w:val="16"/>
          </w:rPr>
        </w:pPr>
        <w:r>
          <w:t xml:space="preserve">- </w:t>
        </w:r>
        <w:r w:rsidRPr="0060271B">
          <w:rPr>
            <w:sz w:val="16"/>
            <w:szCs w:val="16"/>
          </w:rPr>
          <w:fldChar w:fldCharType="begin"/>
        </w:r>
        <w:r w:rsidRPr="0060271B">
          <w:rPr>
            <w:sz w:val="16"/>
            <w:szCs w:val="16"/>
          </w:rPr>
          <w:instrText xml:space="preserve"> PAGE   \* MERGEFORMAT </w:instrText>
        </w:r>
        <w:r w:rsidRPr="0060271B">
          <w:rPr>
            <w:sz w:val="16"/>
            <w:szCs w:val="16"/>
          </w:rPr>
          <w:fldChar w:fldCharType="separate"/>
        </w:r>
        <w:r w:rsidR="00AC3B61">
          <w:rPr>
            <w:noProof/>
            <w:sz w:val="16"/>
            <w:szCs w:val="16"/>
          </w:rPr>
          <w:t>64</w:t>
        </w:r>
        <w:r w:rsidRPr="0060271B">
          <w:rPr>
            <w:noProof/>
            <w:sz w:val="16"/>
            <w:szCs w:val="16"/>
          </w:rPr>
          <w:fldChar w:fldCharType="end"/>
        </w:r>
        <w:r>
          <w:rPr>
            <w:noProof/>
            <w:sz w:val="16"/>
            <w:szCs w:val="16"/>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59797"/>
      <w:docPartObj>
        <w:docPartGallery w:val="Page Numbers (Top of Page)"/>
        <w:docPartUnique/>
      </w:docPartObj>
    </w:sdtPr>
    <w:sdtEndPr>
      <w:rPr>
        <w:noProof/>
        <w:sz w:val="16"/>
        <w:szCs w:val="16"/>
      </w:rPr>
    </w:sdtEndPr>
    <w:sdtContent>
      <w:p w14:paraId="2F7B72E5" w14:textId="3316B4B2" w:rsidR="00AB516B" w:rsidRPr="004E66B6" w:rsidRDefault="00AB516B" w:rsidP="004E66B6">
        <w:pPr>
          <w:pStyle w:val="Header"/>
          <w:jc w:val="center"/>
          <w:rPr>
            <w:sz w:val="16"/>
            <w:szCs w:val="16"/>
          </w:rPr>
        </w:pPr>
        <w:r>
          <w:t xml:space="preserve">- </w:t>
        </w:r>
        <w:r w:rsidRPr="0060271B">
          <w:rPr>
            <w:sz w:val="16"/>
            <w:szCs w:val="16"/>
          </w:rPr>
          <w:fldChar w:fldCharType="begin"/>
        </w:r>
        <w:r w:rsidRPr="0060271B">
          <w:rPr>
            <w:sz w:val="16"/>
            <w:szCs w:val="16"/>
          </w:rPr>
          <w:instrText xml:space="preserve"> PAGE   \* MERGEFORMAT </w:instrText>
        </w:r>
        <w:r w:rsidRPr="0060271B">
          <w:rPr>
            <w:sz w:val="16"/>
            <w:szCs w:val="16"/>
          </w:rPr>
          <w:fldChar w:fldCharType="separate"/>
        </w:r>
        <w:r w:rsidR="00AC3B61">
          <w:rPr>
            <w:noProof/>
            <w:sz w:val="16"/>
            <w:szCs w:val="16"/>
          </w:rPr>
          <w:t>52</w:t>
        </w:r>
        <w:r w:rsidRPr="0060271B">
          <w:rPr>
            <w:noProof/>
            <w:sz w:val="16"/>
            <w:szCs w:val="16"/>
          </w:rPr>
          <w:fldChar w:fldCharType="end"/>
        </w:r>
        <w:r>
          <w:rPr>
            <w:noProof/>
            <w:sz w:val="16"/>
            <w:szCs w:val="16"/>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6D27" w14:textId="3A6AC8E5" w:rsidR="00AB516B" w:rsidRPr="00BA13F6" w:rsidRDefault="00AB516B" w:rsidP="00100121">
    <w:pPr>
      <w:pStyle w:val="Header"/>
      <w:jc w:val="center"/>
      <w:rPr>
        <w:sz w:val="18"/>
        <w:szCs w:val="16"/>
      </w:rPr>
    </w:pPr>
    <w:r w:rsidRPr="00446956">
      <w:rPr>
        <w:sz w:val="18"/>
        <w:szCs w:val="16"/>
      </w:rPr>
      <w:t xml:space="preserve">- </w:t>
    </w:r>
    <w:sdt>
      <w:sdtPr>
        <w:rPr>
          <w:sz w:val="18"/>
          <w:szCs w:val="16"/>
        </w:rPr>
        <w:id w:val="-587159018"/>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AC3B61">
          <w:rPr>
            <w:noProof/>
            <w:sz w:val="18"/>
            <w:szCs w:val="16"/>
          </w:rPr>
          <w:t>63</w:t>
        </w:r>
        <w:r w:rsidRPr="00446956">
          <w:rPr>
            <w:noProof/>
            <w:sz w:val="18"/>
            <w:szCs w:val="16"/>
          </w:rPr>
          <w:fldChar w:fldCharType="end"/>
        </w:r>
        <w:r w:rsidRPr="00446956">
          <w:rPr>
            <w:noProof/>
            <w:sz w:val="18"/>
            <w:szCs w:val="16"/>
          </w:rPr>
          <w:t xml:space="preserve"> -</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6DC0" w14:textId="3DBE879E" w:rsidR="00AB516B" w:rsidRPr="00625CBE" w:rsidRDefault="00AB516B" w:rsidP="00100121">
    <w:pPr>
      <w:pStyle w:val="Header"/>
      <w:jc w:val="center"/>
      <w:rPr>
        <w:sz w:val="16"/>
        <w:szCs w:val="16"/>
      </w:rPr>
    </w:pPr>
    <w:r w:rsidRPr="007A3686">
      <w:rPr>
        <w:sz w:val="16"/>
        <w:szCs w:val="16"/>
      </w:rPr>
      <w:t xml:space="preserve">- </w:t>
    </w:r>
    <w:sdt>
      <w:sdtPr>
        <w:rPr>
          <w:sz w:val="16"/>
          <w:szCs w:val="16"/>
        </w:rPr>
        <w:id w:val="-739164727"/>
        <w:docPartObj>
          <w:docPartGallery w:val="Page Numbers (Top of Page)"/>
          <w:docPartUnique/>
        </w:docPartObj>
      </w:sdtPr>
      <w:sdtEndPr>
        <w:rPr>
          <w:noProof/>
        </w:rPr>
      </w:sdtEndPr>
      <w:sdtContent>
        <w:r w:rsidRPr="007A3686">
          <w:rPr>
            <w:sz w:val="16"/>
            <w:szCs w:val="16"/>
          </w:rPr>
          <w:fldChar w:fldCharType="begin"/>
        </w:r>
        <w:r w:rsidRPr="007A3686">
          <w:rPr>
            <w:sz w:val="16"/>
            <w:szCs w:val="16"/>
          </w:rPr>
          <w:instrText xml:space="preserve"> PAGE   \* MERGEFORMAT </w:instrText>
        </w:r>
        <w:r w:rsidRPr="007A3686">
          <w:rPr>
            <w:sz w:val="16"/>
            <w:szCs w:val="16"/>
          </w:rPr>
          <w:fldChar w:fldCharType="separate"/>
        </w:r>
        <w:r w:rsidR="00AC3B61">
          <w:rPr>
            <w:noProof/>
            <w:sz w:val="16"/>
            <w:szCs w:val="16"/>
          </w:rPr>
          <w:t>72</w:t>
        </w:r>
        <w:r w:rsidRPr="007A3686">
          <w:rPr>
            <w:noProof/>
            <w:sz w:val="16"/>
            <w:szCs w:val="16"/>
          </w:rPr>
          <w:fldChar w:fldCharType="end"/>
        </w:r>
        <w:r w:rsidRPr="007A3686">
          <w:rPr>
            <w:noProof/>
            <w:sz w:val="16"/>
            <w:szCs w:val="16"/>
          </w:rPr>
          <w:t xml:space="preserve"> -</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23938"/>
      <w:docPartObj>
        <w:docPartGallery w:val="Page Numbers (Top of Page)"/>
        <w:docPartUnique/>
      </w:docPartObj>
    </w:sdtPr>
    <w:sdtEndPr>
      <w:rPr>
        <w:noProof/>
        <w:sz w:val="18"/>
        <w:szCs w:val="18"/>
      </w:rPr>
    </w:sdtEndPr>
    <w:sdtContent>
      <w:p w14:paraId="163D7BE9" w14:textId="404C03F9" w:rsidR="00AB516B" w:rsidRPr="00D743AF" w:rsidRDefault="00AB516B" w:rsidP="00100121">
        <w:pPr>
          <w:pStyle w:val="Header"/>
          <w:jc w:val="center"/>
          <w:rPr>
            <w:sz w:val="18"/>
            <w:szCs w:val="18"/>
          </w:rPr>
        </w:pPr>
        <w:r>
          <w:t xml:space="preserve">- </w:t>
        </w:r>
        <w:r w:rsidRPr="00D743AF">
          <w:rPr>
            <w:sz w:val="18"/>
            <w:szCs w:val="18"/>
          </w:rPr>
          <w:fldChar w:fldCharType="begin"/>
        </w:r>
        <w:r w:rsidRPr="00D743AF">
          <w:rPr>
            <w:sz w:val="18"/>
            <w:szCs w:val="18"/>
          </w:rPr>
          <w:instrText xml:space="preserve"> PAGE   \* MERGEFORMAT </w:instrText>
        </w:r>
        <w:r w:rsidRPr="00D743AF">
          <w:rPr>
            <w:sz w:val="18"/>
            <w:szCs w:val="18"/>
          </w:rPr>
          <w:fldChar w:fldCharType="separate"/>
        </w:r>
        <w:r w:rsidR="00AC3B61">
          <w:rPr>
            <w:noProof/>
            <w:sz w:val="18"/>
            <w:szCs w:val="18"/>
          </w:rPr>
          <w:t>73</w:t>
        </w:r>
        <w:r w:rsidRPr="00D743AF">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5"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8"/>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457F5"/>
    <w:rsid w:val="00006A31"/>
    <w:rsid w:val="00006C82"/>
    <w:rsid w:val="00010E30"/>
    <w:rsid w:val="00015C76"/>
    <w:rsid w:val="00026CF8"/>
    <w:rsid w:val="00030BD7"/>
    <w:rsid w:val="00031E64"/>
    <w:rsid w:val="00034340"/>
    <w:rsid w:val="00035CB3"/>
    <w:rsid w:val="00045A8D"/>
    <w:rsid w:val="0005167A"/>
    <w:rsid w:val="00051770"/>
    <w:rsid w:val="00054C7D"/>
    <w:rsid w:val="00054E5D"/>
    <w:rsid w:val="000675DD"/>
    <w:rsid w:val="00070258"/>
    <w:rsid w:val="0007323C"/>
    <w:rsid w:val="00086D03"/>
    <w:rsid w:val="00096595"/>
    <w:rsid w:val="0009743A"/>
    <w:rsid w:val="000A096A"/>
    <w:rsid w:val="000A375E"/>
    <w:rsid w:val="000A398E"/>
    <w:rsid w:val="000A4F64"/>
    <w:rsid w:val="000A60D5"/>
    <w:rsid w:val="000A7051"/>
    <w:rsid w:val="000A7B42"/>
    <w:rsid w:val="000B0AF6"/>
    <w:rsid w:val="000B0E9B"/>
    <w:rsid w:val="000B2CAE"/>
    <w:rsid w:val="000B353C"/>
    <w:rsid w:val="000C03C7"/>
    <w:rsid w:val="000C2AD0"/>
    <w:rsid w:val="000C45A6"/>
    <w:rsid w:val="000D3F3B"/>
    <w:rsid w:val="000E3DEE"/>
    <w:rsid w:val="000E4BCD"/>
    <w:rsid w:val="000F36BF"/>
    <w:rsid w:val="00100121"/>
    <w:rsid w:val="00100B72"/>
    <w:rsid w:val="00101F7D"/>
    <w:rsid w:val="00103C76"/>
    <w:rsid w:val="0011265F"/>
    <w:rsid w:val="00117282"/>
    <w:rsid w:val="00117389"/>
    <w:rsid w:val="00121C2D"/>
    <w:rsid w:val="001261DF"/>
    <w:rsid w:val="00134404"/>
    <w:rsid w:val="00136D73"/>
    <w:rsid w:val="0014314B"/>
    <w:rsid w:val="00144DFB"/>
    <w:rsid w:val="001457F5"/>
    <w:rsid w:val="00152DD6"/>
    <w:rsid w:val="0015772C"/>
    <w:rsid w:val="00187CA3"/>
    <w:rsid w:val="00195EB7"/>
    <w:rsid w:val="00196710"/>
    <w:rsid w:val="00196770"/>
    <w:rsid w:val="00197324"/>
    <w:rsid w:val="001B351B"/>
    <w:rsid w:val="001B3D4D"/>
    <w:rsid w:val="001B42C9"/>
    <w:rsid w:val="001C06DB"/>
    <w:rsid w:val="001C6971"/>
    <w:rsid w:val="001D2785"/>
    <w:rsid w:val="001D7070"/>
    <w:rsid w:val="001E2EFF"/>
    <w:rsid w:val="001F2170"/>
    <w:rsid w:val="001F3948"/>
    <w:rsid w:val="001F5A49"/>
    <w:rsid w:val="00201097"/>
    <w:rsid w:val="00201B6E"/>
    <w:rsid w:val="00202510"/>
    <w:rsid w:val="00204F99"/>
    <w:rsid w:val="00207DE5"/>
    <w:rsid w:val="00216765"/>
    <w:rsid w:val="0022340A"/>
    <w:rsid w:val="002302B3"/>
    <w:rsid w:val="00230C66"/>
    <w:rsid w:val="00235A29"/>
    <w:rsid w:val="00237061"/>
    <w:rsid w:val="00241526"/>
    <w:rsid w:val="002443A2"/>
    <w:rsid w:val="00257BE7"/>
    <w:rsid w:val="002603D5"/>
    <w:rsid w:val="00266E2D"/>
    <w:rsid w:val="00266E74"/>
    <w:rsid w:val="00283C3B"/>
    <w:rsid w:val="002861E6"/>
    <w:rsid w:val="00287D18"/>
    <w:rsid w:val="002A052F"/>
    <w:rsid w:val="002A2618"/>
    <w:rsid w:val="002A5DD7"/>
    <w:rsid w:val="002B0CAC"/>
    <w:rsid w:val="002B7957"/>
    <w:rsid w:val="002C1307"/>
    <w:rsid w:val="002D5A15"/>
    <w:rsid w:val="002D5BDD"/>
    <w:rsid w:val="002E0571"/>
    <w:rsid w:val="002E3D27"/>
    <w:rsid w:val="002E670F"/>
    <w:rsid w:val="002F0890"/>
    <w:rsid w:val="002F2531"/>
    <w:rsid w:val="002F4967"/>
    <w:rsid w:val="0030356F"/>
    <w:rsid w:val="00306452"/>
    <w:rsid w:val="00311970"/>
    <w:rsid w:val="00316935"/>
    <w:rsid w:val="003266ED"/>
    <w:rsid w:val="00326C68"/>
    <w:rsid w:val="0033029C"/>
    <w:rsid w:val="00331D32"/>
    <w:rsid w:val="00334DED"/>
    <w:rsid w:val="003370B8"/>
    <w:rsid w:val="003419ED"/>
    <w:rsid w:val="00342DAA"/>
    <w:rsid w:val="00345D38"/>
    <w:rsid w:val="0034632B"/>
    <w:rsid w:val="00350B18"/>
    <w:rsid w:val="00352097"/>
    <w:rsid w:val="003528DA"/>
    <w:rsid w:val="00352F17"/>
    <w:rsid w:val="00361282"/>
    <w:rsid w:val="003666FF"/>
    <w:rsid w:val="0037309C"/>
    <w:rsid w:val="00380A6E"/>
    <w:rsid w:val="003836D4"/>
    <w:rsid w:val="003974CD"/>
    <w:rsid w:val="003A1F49"/>
    <w:rsid w:val="003A55ED"/>
    <w:rsid w:val="003A5D52"/>
    <w:rsid w:val="003B2BDA"/>
    <w:rsid w:val="003B55EC"/>
    <w:rsid w:val="003B5935"/>
    <w:rsid w:val="003C2EA7"/>
    <w:rsid w:val="003C4471"/>
    <w:rsid w:val="003C61BC"/>
    <w:rsid w:val="003C7D41"/>
    <w:rsid w:val="003D4A69"/>
    <w:rsid w:val="003D61AB"/>
    <w:rsid w:val="003D6356"/>
    <w:rsid w:val="003E2213"/>
    <w:rsid w:val="003E504F"/>
    <w:rsid w:val="003E78D6"/>
    <w:rsid w:val="003F05FF"/>
    <w:rsid w:val="003F0E9F"/>
    <w:rsid w:val="00400573"/>
    <w:rsid w:val="004007A3"/>
    <w:rsid w:val="00406D71"/>
    <w:rsid w:val="00415F52"/>
    <w:rsid w:val="004326DB"/>
    <w:rsid w:val="0043682E"/>
    <w:rsid w:val="0044004E"/>
    <w:rsid w:val="00447ECB"/>
    <w:rsid w:val="004623F7"/>
    <w:rsid w:val="00472816"/>
    <w:rsid w:val="00480F51"/>
    <w:rsid w:val="00481124"/>
    <w:rsid w:val="004815EB"/>
    <w:rsid w:val="00487569"/>
    <w:rsid w:val="00490E07"/>
    <w:rsid w:val="00494563"/>
    <w:rsid w:val="00496864"/>
    <w:rsid w:val="00496920"/>
    <w:rsid w:val="004A2293"/>
    <w:rsid w:val="004A4496"/>
    <w:rsid w:val="004A5136"/>
    <w:rsid w:val="004A5F47"/>
    <w:rsid w:val="004A7B85"/>
    <w:rsid w:val="004B11AB"/>
    <w:rsid w:val="004B1F8A"/>
    <w:rsid w:val="004B7C9A"/>
    <w:rsid w:val="004C6779"/>
    <w:rsid w:val="004D733B"/>
    <w:rsid w:val="004E0DC4"/>
    <w:rsid w:val="004E0FB5"/>
    <w:rsid w:val="004E43BB"/>
    <w:rsid w:val="004E460D"/>
    <w:rsid w:val="004E66B6"/>
    <w:rsid w:val="004F178E"/>
    <w:rsid w:val="004F4543"/>
    <w:rsid w:val="004F57BB"/>
    <w:rsid w:val="00500B55"/>
    <w:rsid w:val="00502C6A"/>
    <w:rsid w:val="00505309"/>
    <w:rsid w:val="0050789B"/>
    <w:rsid w:val="00513B2F"/>
    <w:rsid w:val="005224A1"/>
    <w:rsid w:val="005254D8"/>
    <w:rsid w:val="00534372"/>
    <w:rsid w:val="00535FEF"/>
    <w:rsid w:val="005370F0"/>
    <w:rsid w:val="00537CF6"/>
    <w:rsid w:val="005429A9"/>
    <w:rsid w:val="00543DF8"/>
    <w:rsid w:val="00546101"/>
    <w:rsid w:val="005514B6"/>
    <w:rsid w:val="00553884"/>
    <w:rsid w:val="00553DD7"/>
    <w:rsid w:val="00561013"/>
    <w:rsid w:val="005638CF"/>
    <w:rsid w:val="00564FF1"/>
    <w:rsid w:val="0056741E"/>
    <w:rsid w:val="0057325A"/>
    <w:rsid w:val="0057469A"/>
    <w:rsid w:val="00580814"/>
    <w:rsid w:val="00583A0B"/>
    <w:rsid w:val="005A03A3"/>
    <w:rsid w:val="005A2B92"/>
    <w:rsid w:val="005A3F66"/>
    <w:rsid w:val="005A79E9"/>
    <w:rsid w:val="005B01A7"/>
    <w:rsid w:val="005B214C"/>
    <w:rsid w:val="005B4CDA"/>
    <w:rsid w:val="005B6339"/>
    <w:rsid w:val="005C25C7"/>
    <w:rsid w:val="005C4BDF"/>
    <w:rsid w:val="005D3669"/>
    <w:rsid w:val="005E5EB3"/>
    <w:rsid w:val="005F0DA1"/>
    <w:rsid w:val="005F3CB6"/>
    <w:rsid w:val="005F657C"/>
    <w:rsid w:val="005F6DF3"/>
    <w:rsid w:val="00602D53"/>
    <w:rsid w:val="006047E5"/>
    <w:rsid w:val="0064371D"/>
    <w:rsid w:val="00643FC9"/>
    <w:rsid w:val="00650543"/>
    <w:rsid w:val="00650B2A"/>
    <w:rsid w:val="00651777"/>
    <w:rsid w:val="00654E78"/>
    <w:rsid w:val="006550F8"/>
    <w:rsid w:val="00661014"/>
    <w:rsid w:val="006829F3"/>
    <w:rsid w:val="006A276C"/>
    <w:rsid w:val="006A4D0F"/>
    <w:rsid w:val="006A518B"/>
    <w:rsid w:val="006B0590"/>
    <w:rsid w:val="006B10FF"/>
    <w:rsid w:val="006B49DA"/>
    <w:rsid w:val="006C2C14"/>
    <w:rsid w:val="006C53F8"/>
    <w:rsid w:val="006C7CDE"/>
    <w:rsid w:val="006F3031"/>
    <w:rsid w:val="007115A4"/>
    <w:rsid w:val="00715CAA"/>
    <w:rsid w:val="007234B1"/>
    <w:rsid w:val="00723D08"/>
    <w:rsid w:val="00725FDA"/>
    <w:rsid w:val="00727816"/>
    <w:rsid w:val="00730B9A"/>
    <w:rsid w:val="00750CFA"/>
    <w:rsid w:val="007553DA"/>
    <w:rsid w:val="007712F2"/>
    <w:rsid w:val="00775DB8"/>
    <w:rsid w:val="00782354"/>
    <w:rsid w:val="007921A7"/>
    <w:rsid w:val="007967D3"/>
    <w:rsid w:val="007A7DF3"/>
    <w:rsid w:val="007B248D"/>
    <w:rsid w:val="007B3DB1"/>
    <w:rsid w:val="007B5873"/>
    <w:rsid w:val="007C4F84"/>
    <w:rsid w:val="007C7311"/>
    <w:rsid w:val="007D183E"/>
    <w:rsid w:val="007D43D0"/>
    <w:rsid w:val="007E1833"/>
    <w:rsid w:val="007E3F13"/>
    <w:rsid w:val="007F751A"/>
    <w:rsid w:val="00800012"/>
    <w:rsid w:val="0080261F"/>
    <w:rsid w:val="00805A02"/>
    <w:rsid w:val="00806160"/>
    <w:rsid w:val="008143A4"/>
    <w:rsid w:val="0081513E"/>
    <w:rsid w:val="00821AB2"/>
    <w:rsid w:val="00826E16"/>
    <w:rsid w:val="00854131"/>
    <w:rsid w:val="0085652D"/>
    <w:rsid w:val="0087694B"/>
    <w:rsid w:val="00880F4D"/>
    <w:rsid w:val="00882A01"/>
    <w:rsid w:val="008A3741"/>
    <w:rsid w:val="008B35A3"/>
    <w:rsid w:val="008B37E1"/>
    <w:rsid w:val="008B45F8"/>
    <w:rsid w:val="008C2E74"/>
    <w:rsid w:val="008D1C1F"/>
    <w:rsid w:val="008D5409"/>
    <w:rsid w:val="008D60CF"/>
    <w:rsid w:val="008D6955"/>
    <w:rsid w:val="008E006D"/>
    <w:rsid w:val="008E1B78"/>
    <w:rsid w:val="008E2D0D"/>
    <w:rsid w:val="008E38B4"/>
    <w:rsid w:val="008F4F21"/>
    <w:rsid w:val="0090457D"/>
    <w:rsid w:val="00904D4A"/>
    <w:rsid w:val="0090572C"/>
    <w:rsid w:val="009076D7"/>
    <w:rsid w:val="00912DAB"/>
    <w:rsid w:val="009151BA"/>
    <w:rsid w:val="00925023"/>
    <w:rsid w:val="009277BC"/>
    <w:rsid w:val="00927D57"/>
    <w:rsid w:val="00931A51"/>
    <w:rsid w:val="00943213"/>
    <w:rsid w:val="00947185"/>
    <w:rsid w:val="009518B3"/>
    <w:rsid w:val="00963D9D"/>
    <w:rsid w:val="0098013E"/>
    <w:rsid w:val="00981B54"/>
    <w:rsid w:val="0098280D"/>
    <w:rsid w:val="009842C3"/>
    <w:rsid w:val="00991DDE"/>
    <w:rsid w:val="00993418"/>
    <w:rsid w:val="00997307"/>
    <w:rsid w:val="009A009A"/>
    <w:rsid w:val="009A5544"/>
    <w:rsid w:val="009A67E7"/>
    <w:rsid w:val="009A6BB6"/>
    <w:rsid w:val="009B296B"/>
    <w:rsid w:val="009B3F43"/>
    <w:rsid w:val="009B5CFA"/>
    <w:rsid w:val="009C161F"/>
    <w:rsid w:val="009C56B4"/>
    <w:rsid w:val="009D152F"/>
    <w:rsid w:val="009D51A2"/>
    <w:rsid w:val="009E04A8"/>
    <w:rsid w:val="009E4595"/>
    <w:rsid w:val="009E4AEC"/>
    <w:rsid w:val="009E58DC"/>
    <w:rsid w:val="009E5BD8"/>
    <w:rsid w:val="009E681E"/>
    <w:rsid w:val="009E6C92"/>
    <w:rsid w:val="00A119E6"/>
    <w:rsid w:val="00A172B6"/>
    <w:rsid w:val="00A20FBC"/>
    <w:rsid w:val="00A31370"/>
    <w:rsid w:val="00A34D6F"/>
    <w:rsid w:val="00A41F91"/>
    <w:rsid w:val="00A5775C"/>
    <w:rsid w:val="00A63355"/>
    <w:rsid w:val="00A65E95"/>
    <w:rsid w:val="00A665BE"/>
    <w:rsid w:val="00A66ACE"/>
    <w:rsid w:val="00A7596D"/>
    <w:rsid w:val="00A7694B"/>
    <w:rsid w:val="00A80EFE"/>
    <w:rsid w:val="00A92266"/>
    <w:rsid w:val="00A93568"/>
    <w:rsid w:val="00A96272"/>
    <w:rsid w:val="00A963DF"/>
    <w:rsid w:val="00A96D3A"/>
    <w:rsid w:val="00AA3DC8"/>
    <w:rsid w:val="00AB3FE9"/>
    <w:rsid w:val="00AB516B"/>
    <w:rsid w:val="00AC0C22"/>
    <w:rsid w:val="00AC0C80"/>
    <w:rsid w:val="00AC0ECF"/>
    <w:rsid w:val="00AC28F4"/>
    <w:rsid w:val="00AC3896"/>
    <w:rsid w:val="00AC3B61"/>
    <w:rsid w:val="00AD2CF2"/>
    <w:rsid w:val="00AD6F54"/>
    <w:rsid w:val="00AE1563"/>
    <w:rsid w:val="00AE2D88"/>
    <w:rsid w:val="00AE695C"/>
    <w:rsid w:val="00AE6CB2"/>
    <w:rsid w:val="00AE6F6F"/>
    <w:rsid w:val="00AF3325"/>
    <w:rsid w:val="00AF34D9"/>
    <w:rsid w:val="00AF5B37"/>
    <w:rsid w:val="00AF70DA"/>
    <w:rsid w:val="00B019D3"/>
    <w:rsid w:val="00B01F52"/>
    <w:rsid w:val="00B03162"/>
    <w:rsid w:val="00B34CF9"/>
    <w:rsid w:val="00B37559"/>
    <w:rsid w:val="00B4054B"/>
    <w:rsid w:val="00B579B0"/>
    <w:rsid w:val="00B57D11"/>
    <w:rsid w:val="00B649D7"/>
    <w:rsid w:val="00B65796"/>
    <w:rsid w:val="00B71365"/>
    <w:rsid w:val="00B81C2F"/>
    <w:rsid w:val="00B84217"/>
    <w:rsid w:val="00B90743"/>
    <w:rsid w:val="00B90C45"/>
    <w:rsid w:val="00B933BE"/>
    <w:rsid w:val="00BA60FA"/>
    <w:rsid w:val="00BD2741"/>
    <w:rsid w:val="00BD3E06"/>
    <w:rsid w:val="00BD6738"/>
    <w:rsid w:val="00BD7E5E"/>
    <w:rsid w:val="00BE63DB"/>
    <w:rsid w:val="00BE6574"/>
    <w:rsid w:val="00C04CEA"/>
    <w:rsid w:val="00C07319"/>
    <w:rsid w:val="00C10E36"/>
    <w:rsid w:val="00C163BA"/>
    <w:rsid w:val="00C16FD2"/>
    <w:rsid w:val="00C4395E"/>
    <w:rsid w:val="00C47FFD"/>
    <w:rsid w:val="00C51E92"/>
    <w:rsid w:val="00C52998"/>
    <w:rsid w:val="00C57E2C"/>
    <w:rsid w:val="00C608B7"/>
    <w:rsid w:val="00C66F24"/>
    <w:rsid w:val="00C76D7F"/>
    <w:rsid w:val="00C813AA"/>
    <w:rsid w:val="00C90ECE"/>
    <w:rsid w:val="00C9291E"/>
    <w:rsid w:val="00CA0570"/>
    <w:rsid w:val="00CA21E0"/>
    <w:rsid w:val="00CA3F44"/>
    <w:rsid w:val="00CA4E58"/>
    <w:rsid w:val="00CA7347"/>
    <w:rsid w:val="00CB13B5"/>
    <w:rsid w:val="00CB3771"/>
    <w:rsid w:val="00CB44BF"/>
    <w:rsid w:val="00CB5153"/>
    <w:rsid w:val="00CD0DD6"/>
    <w:rsid w:val="00CD5CE4"/>
    <w:rsid w:val="00CE076A"/>
    <w:rsid w:val="00CE463D"/>
    <w:rsid w:val="00CE4E08"/>
    <w:rsid w:val="00CE56D9"/>
    <w:rsid w:val="00CE7687"/>
    <w:rsid w:val="00D0248C"/>
    <w:rsid w:val="00D02C16"/>
    <w:rsid w:val="00D10BA0"/>
    <w:rsid w:val="00D173FC"/>
    <w:rsid w:val="00D21694"/>
    <w:rsid w:val="00D22982"/>
    <w:rsid w:val="00D239B4"/>
    <w:rsid w:val="00D24EB5"/>
    <w:rsid w:val="00D2790C"/>
    <w:rsid w:val="00D30147"/>
    <w:rsid w:val="00D3280D"/>
    <w:rsid w:val="00D35AB9"/>
    <w:rsid w:val="00D371FE"/>
    <w:rsid w:val="00D41571"/>
    <w:rsid w:val="00D416A0"/>
    <w:rsid w:val="00D47672"/>
    <w:rsid w:val="00D5123C"/>
    <w:rsid w:val="00D55560"/>
    <w:rsid w:val="00D61C5A"/>
    <w:rsid w:val="00D63BFF"/>
    <w:rsid w:val="00D674A2"/>
    <w:rsid w:val="00D6790C"/>
    <w:rsid w:val="00D7162A"/>
    <w:rsid w:val="00D73277"/>
    <w:rsid w:val="00D755CD"/>
    <w:rsid w:val="00D76586"/>
    <w:rsid w:val="00D82657"/>
    <w:rsid w:val="00D8270A"/>
    <w:rsid w:val="00D87E20"/>
    <w:rsid w:val="00D97EF5"/>
    <w:rsid w:val="00DA4037"/>
    <w:rsid w:val="00DA5CCB"/>
    <w:rsid w:val="00DA7899"/>
    <w:rsid w:val="00DC27D7"/>
    <w:rsid w:val="00DD275E"/>
    <w:rsid w:val="00DE66A5"/>
    <w:rsid w:val="00DF2B50"/>
    <w:rsid w:val="00DF4DBA"/>
    <w:rsid w:val="00E01059"/>
    <w:rsid w:val="00E04C86"/>
    <w:rsid w:val="00E17344"/>
    <w:rsid w:val="00E20F30"/>
    <w:rsid w:val="00E2189C"/>
    <w:rsid w:val="00E2199B"/>
    <w:rsid w:val="00E25BB1"/>
    <w:rsid w:val="00E27A85"/>
    <w:rsid w:val="00E27BBA"/>
    <w:rsid w:val="00E30E3F"/>
    <w:rsid w:val="00E35E8F"/>
    <w:rsid w:val="00E4145D"/>
    <w:rsid w:val="00E428AB"/>
    <w:rsid w:val="00E438E8"/>
    <w:rsid w:val="00E453A3"/>
    <w:rsid w:val="00E47839"/>
    <w:rsid w:val="00E520E2"/>
    <w:rsid w:val="00E530C4"/>
    <w:rsid w:val="00E53DCE"/>
    <w:rsid w:val="00E55996"/>
    <w:rsid w:val="00E55F50"/>
    <w:rsid w:val="00E56659"/>
    <w:rsid w:val="00E621A0"/>
    <w:rsid w:val="00E64254"/>
    <w:rsid w:val="00E67928"/>
    <w:rsid w:val="00E70FB5"/>
    <w:rsid w:val="00E71DEC"/>
    <w:rsid w:val="00E772DA"/>
    <w:rsid w:val="00E915AF"/>
    <w:rsid w:val="00E95AE3"/>
    <w:rsid w:val="00E96415"/>
    <w:rsid w:val="00E97C92"/>
    <w:rsid w:val="00EA15B3"/>
    <w:rsid w:val="00EA1F31"/>
    <w:rsid w:val="00EA7324"/>
    <w:rsid w:val="00EB2358"/>
    <w:rsid w:val="00EB337E"/>
    <w:rsid w:val="00EB3EB8"/>
    <w:rsid w:val="00EC00EF"/>
    <w:rsid w:val="00EC02FE"/>
    <w:rsid w:val="00EC4A96"/>
    <w:rsid w:val="00ED185C"/>
    <w:rsid w:val="00ED293C"/>
    <w:rsid w:val="00ED3016"/>
    <w:rsid w:val="00ED4AC0"/>
    <w:rsid w:val="00EE03A0"/>
    <w:rsid w:val="00EE68C8"/>
    <w:rsid w:val="00EF2329"/>
    <w:rsid w:val="00F20FDD"/>
    <w:rsid w:val="00F424BF"/>
    <w:rsid w:val="00F44FC3"/>
    <w:rsid w:val="00F46107"/>
    <w:rsid w:val="00F468C5"/>
    <w:rsid w:val="00F52F39"/>
    <w:rsid w:val="00F6184F"/>
    <w:rsid w:val="00F67CAA"/>
    <w:rsid w:val="00F7279F"/>
    <w:rsid w:val="00F8310E"/>
    <w:rsid w:val="00F8544C"/>
    <w:rsid w:val="00F914DD"/>
    <w:rsid w:val="00F9617B"/>
    <w:rsid w:val="00FA2358"/>
    <w:rsid w:val="00FB2592"/>
    <w:rsid w:val="00FB2810"/>
    <w:rsid w:val="00FB7A2C"/>
    <w:rsid w:val="00FC2947"/>
    <w:rsid w:val="00FC5DEE"/>
    <w:rsid w:val="00FD0ADD"/>
    <w:rsid w:val="00FD39FB"/>
    <w:rsid w:val="00FE0818"/>
    <w:rsid w:val="00FE37E7"/>
    <w:rsid w:val="00FE4822"/>
    <w:rsid w:val="00FE4A0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BB93C1B"/>
  <w15:docId w15:val="{8EDEDBC8-3CA4-4053-8A82-A8559573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4326DB"/>
    <w:pPr>
      <w:keepLines/>
      <w:tabs>
        <w:tab w:val="left" w:pos="255"/>
      </w:tabs>
      <w:ind w:left="255" w:hanging="255"/>
    </w:pPr>
  </w:style>
  <w:style w:type="paragraph" w:customStyle="1" w:styleId="Note">
    <w:name w:val="Note"/>
    <w:basedOn w:val="Normal"/>
    <w:rsid w:val="00494563"/>
    <w:pPr>
      <w:spacing w:before="80"/>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15772C"/>
    <w:pPr>
      <w:tabs>
        <w:tab w:val="clear" w:pos="794"/>
        <w:tab w:val="clear" w:pos="1191"/>
        <w:tab w:val="clear" w:pos="1588"/>
        <w:tab w:val="clear" w:pos="1985"/>
      </w:tabs>
      <w:spacing w:before="480"/>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customStyle="1" w:styleId="HeadingbChar">
    <w:name w:val="Heading_b Char"/>
    <w:link w:val="Headingb"/>
    <w:locked/>
    <w:rsid w:val="001457F5"/>
    <w:rPr>
      <w:b/>
      <w:sz w:val="24"/>
      <w:szCs w:val="22"/>
      <w:lang w:val="en-US" w:eastAsia="en-US"/>
    </w:rPr>
  </w:style>
  <w:style w:type="character" w:styleId="FollowedHyperlink">
    <w:name w:val="FollowedHyperlink"/>
    <w:basedOn w:val="DefaultParagraphFont"/>
    <w:unhideWhenUsed/>
    <w:rsid w:val="00EE68C8"/>
    <w:rPr>
      <w:color w:val="800080" w:themeColor="followedHyperlink"/>
      <w:u w:val="single"/>
    </w:rPr>
  </w:style>
  <w:style w:type="character" w:customStyle="1" w:styleId="UnresolvedMention">
    <w:name w:val="Unresolved Mention"/>
    <w:basedOn w:val="DefaultParagraphFont"/>
    <w:uiPriority w:val="99"/>
    <w:semiHidden/>
    <w:unhideWhenUsed/>
    <w:rsid w:val="007B248D"/>
    <w:rPr>
      <w:color w:val="605E5C"/>
      <w:shd w:val="clear" w:color="auto" w:fill="E1DFDD"/>
    </w:rPr>
  </w:style>
  <w:style w:type="paragraph" w:customStyle="1" w:styleId="AnnexNotitle0">
    <w:name w:val="Annex_No &amp; title"/>
    <w:basedOn w:val="Normal"/>
    <w:next w:val="Normalaftertitle"/>
    <w:uiPriority w:val="99"/>
    <w:rsid w:val="00D7162A"/>
    <w:pPr>
      <w:keepNext/>
      <w:keepLines/>
      <w:spacing w:before="480" w:line="240" w:lineRule="auto"/>
      <w:jc w:val="center"/>
    </w:pPr>
    <w:rPr>
      <w:rFonts w:ascii="Times New Roman" w:hAnsi="Times New Roman" w:cs="Times New Roman"/>
      <w:b/>
      <w:sz w:val="28"/>
      <w:szCs w:val="20"/>
      <w:lang w:val="es-ES_tradnl"/>
    </w:rPr>
  </w:style>
  <w:style w:type="paragraph" w:customStyle="1" w:styleId="AnnexTitle">
    <w:name w:val="Annex_Title"/>
    <w:basedOn w:val="Normal"/>
    <w:next w:val="Normal"/>
    <w:rsid w:val="00D7162A"/>
    <w:pPr>
      <w:keepNext/>
      <w:keepLines/>
      <w:spacing w:before="240" w:after="280" w:line="240" w:lineRule="auto"/>
      <w:jc w:val="center"/>
    </w:pPr>
    <w:rPr>
      <w:rFonts w:ascii="Times New Roman" w:hAnsi="Times New Roman" w:cs="Times New Roman"/>
      <w:b/>
      <w:sz w:val="28"/>
      <w:szCs w:val="20"/>
      <w:lang w:val="en-GB"/>
    </w:rPr>
  </w:style>
  <w:style w:type="table" w:customStyle="1" w:styleId="TableGrid1">
    <w:name w:val="Table Grid1"/>
    <w:basedOn w:val="TableNormal"/>
    <w:next w:val="TableGrid"/>
    <w:uiPriority w:val="59"/>
    <w:rsid w:val="00EB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9659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AnnexTitle"/>
    <w:uiPriority w:val="99"/>
    <w:rsid w:val="0015772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en-GB"/>
    </w:rPr>
  </w:style>
  <w:style w:type="numbering" w:customStyle="1" w:styleId="NoList1">
    <w:name w:val="No List1"/>
    <w:next w:val="NoList"/>
    <w:uiPriority w:val="99"/>
    <w:semiHidden/>
    <w:unhideWhenUsed/>
    <w:rsid w:val="004A7B85"/>
  </w:style>
  <w:style w:type="character" w:customStyle="1" w:styleId="Heading1Char">
    <w:name w:val="Heading 1 Char"/>
    <w:basedOn w:val="DefaultParagraphFont"/>
    <w:link w:val="Heading1"/>
    <w:rsid w:val="004A7B85"/>
    <w:rPr>
      <w:b/>
      <w:sz w:val="24"/>
      <w:szCs w:val="22"/>
      <w:lang w:val="en-US" w:eastAsia="en-US"/>
    </w:rPr>
  </w:style>
  <w:style w:type="character" w:customStyle="1" w:styleId="Heading2Char">
    <w:name w:val="Heading 2 Char"/>
    <w:basedOn w:val="DefaultParagraphFont"/>
    <w:link w:val="Heading2"/>
    <w:rsid w:val="004A7B85"/>
    <w:rPr>
      <w:b/>
      <w:sz w:val="24"/>
      <w:szCs w:val="22"/>
      <w:lang w:val="en-US" w:eastAsia="en-US"/>
    </w:rPr>
  </w:style>
  <w:style w:type="character" w:customStyle="1" w:styleId="Heading3Char">
    <w:name w:val="Heading 3 Char"/>
    <w:basedOn w:val="DefaultParagraphFont"/>
    <w:link w:val="Heading3"/>
    <w:rsid w:val="004A7B85"/>
    <w:rPr>
      <w:b/>
      <w:sz w:val="24"/>
      <w:szCs w:val="22"/>
      <w:lang w:val="en-US" w:eastAsia="en-US"/>
    </w:rPr>
  </w:style>
  <w:style w:type="character" w:customStyle="1" w:styleId="Heading4Char">
    <w:name w:val="Heading 4 Char"/>
    <w:basedOn w:val="DefaultParagraphFont"/>
    <w:link w:val="Heading4"/>
    <w:rsid w:val="004A7B85"/>
    <w:rPr>
      <w:b/>
      <w:sz w:val="24"/>
      <w:szCs w:val="22"/>
      <w:lang w:val="en-US" w:eastAsia="en-US"/>
    </w:rPr>
  </w:style>
  <w:style w:type="character" w:customStyle="1" w:styleId="Heading5Char">
    <w:name w:val="Heading 5 Char"/>
    <w:basedOn w:val="DefaultParagraphFont"/>
    <w:link w:val="Heading5"/>
    <w:rsid w:val="004A7B85"/>
    <w:rPr>
      <w:b/>
      <w:sz w:val="24"/>
      <w:szCs w:val="22"/>
      <w:lang w:val="en-US" w:eastAsia="en-US"/>
    </w:rPr>
  </w:style>
  <w:style w:type="character" w:customStyle="1" w:styleId="Heading6Char">
    <w:name w:val="Heading 6 Char"/>
    <w:basedOn w:val="DefaultParagraphFont"/>
    <w:link w:val="Heading6"/>
    <w:rsid w:val="004A7B85"/>
    <w:rPr>
      <w:b/>
      <w:sz w:val="24"/>
      <w:szCs w:val="22"/>
      <w:lang w:val="en-US" w:eastAsia="en-US"/>
    </w:rPr>
  </w:style>
  <w:style w:type="character" w:customStyle="1" w:styleId="Heading7Char">
    <w:name w:val="Heading 7 Char"/>
    <w:basedOn w:val="DefaultParagraphFont"/>
    <w:link w:val="Heading7"/>
    <w:rsid w:val="004A7B85"/>
    <w:rPr>
      <w:b/>
      <w:sz w:val="24"/>
      <w:szCs w:val="22"/>
      <w:lang w:val="en-US" w:eastAsia="en-US"/>
    </w:rPr>
  </w:style>
  <w:style w:type="character" w:customStyle="1" w:styleId="Heading8Char">
    <w:name w:val="Heading 8 Char"/>
    <w:basedOn w:val="DefaultParagraphFont"/>
    <w:link w:val="Heading8"/>
    <w:rsid w:val="004A7B85"/>
    <w:rPr>
      <w:b/>
      <w:sz w:val="24"/>
      <w:szCs w:val="22"/>
      <w:lang w:val="en-US" w:eastAsia="en-US"/>
    </w:rPr>
  </w:style>
  <w:style w:type="character" w:customStyle="1" w:styleId="Heading9Char">
    <w:name w:val="Heading 9 Char"/>
    <w:basedOn w:val="DefaultParagraphFont"/>
    <w:link w:val="Heading9"/>
    <w:rsid w:val="004A7B85"/>
    <w:rPr>
      <w:b/>
      <w:sz w:val="24"/>
      <w:szCs w:val="22"/>
      <w:lang w:val="en-US" w:eastAsia="en-US"/>
    </w:rPr>
  </w:style>
  <w:style w:type="character" w:customStyle="1" w:styleId="FooterChar">
    <w:name w:val="Footer Char"/>
    <w:aliases w:val="pie de página Char"/>
    <w:basedOn w:val="DefaultParagraphFont"/>
    <w:link w:val="Footer"/>
    <w:rsid w:val="004A7B85"/>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4A7B85"/>
    <w:rPr>
      <w:szCs w:val="22"/>
      <w:lang w:val="en-US" w:eastAsia="en-US"/>
    </w:rPr>
  </w:style>
  <w:style w:type="character" w:customStyle="1" w:styleId="enumlev1Char">
    <w:name w:val="enumlev1 Char"/>
    <w:basedOn w:val="DefaultParagraphFont"/>
    <w:link w:val="enumlev1"/>
    <w:rsid w:val="004A7B85"/>
    <w:rPr>
      <w:sz w:val="24"/>
      <w:szCs w:val="22"/>
      <w:lang w:val="en-US" w:eastAsia="en-US"/>
    </w:rPr>
  </w:style>
  <w:style w:type="character" w:customStyle="1" w:styleId="NormalaftertitleChar">
    <w:name w:val="Normal_after_title Char"/>
    <w:basedOn w:val="DefaultParagraphFont"/>
    <w:link w:val="Normalaftertitle"/>
    <w:locked/>
    <w:rsid w:val="004A7B85"/>
    <w:rPr>
      <w:sz w:val="24"/>
      <w:szCs w:val="22"/>
      <w:lang w:val="en-US" w:eastAsia="en-US"/>
    </w:rPr>
  </w:style>
  <w:style w:type="character" w:customStyle="1" w:styleId="CallChar">
    <w:name w:val="Call Char"/>
    <w:basedOn w:val="DefaultParagraphFont"/>
    <w:link w:val="Call"/>
    <w:locked/>
    <w:rsid w:val="004A7B85"/>
    <w:rPr>
      <w:i/>
      <w:sz w:val="24"/>
      <w:szCs w:val="22"/>
      <w:lang w:val="en-US" w:eastAsia="en-US"/>
    </w:rPr>
  </w:style>
  <w:style w:type="character" w:customStyle="1" w:styleId="RestitleChar">
    <w:name w:val="Res_title Char"/>
    <w:link w:val="Restitle"/>
    <w:locked/>
    <w:rsid w:val="004A7B85"/>
    <w:rPr>
      <w:b/>
      <w:sz w:val="28"/>
      <w:szCs w:val="22"/>
      <w:lang w:val="en-US" w:eastAsia="en-US"/>
    </w:rPr>
  </w:style>
  <w:style w:type="character" w:customStyle="1" w:styleId="TabletextChar">
    <w:name w:val="Table_text Char"/>
    <w:basedOn w:val="DefaultParagraphFont"/>
    <w:link w:val="Tabletext"/>
    <w:locked/>
    <w:rsid w:val="004A7B85"/>
    <w:rPr>
      <w:szCs w:val="22"/>
      <w:lang w:val="en-US" w:eastAsia="en-US"/>
    </w:rPr>
  </w:style>
  <w:style w:type="character" w:customStyle="1" w:styleId="CommentTextChar">
    <w:name w:val="Comment Text Char"/>
    <w:basedOn w:val="DefaultParagraphFont"/>
    <w:semiHidden/>
    <w:rsid w:val="004A7B85"/>
    <w:rPr>
      <w:szCs w:val="22"/>
      <w:lang w:val="en-US" w:eastAsia="en-US"/>
    </w:rPr>
  </w:style>
  <w:style w:type="table" w:customStyle="1" w:styleId="TableGrid3">
    <w:name w:val="Table Grid3"/>
    <w:basedOn w:val="TableNormal"/>
    <w:next w:val="TableGrid"/>
    <w:uiPriority w:val="59"/>
    <w:rsid w:val="004A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
    <w:name w:val="Figure_No"/>
    <w:basedOn w:val="Normal"/>
    <w:next w:val="Normal"/>
    <w:link w:val="FigureNoChar"/>
    <w:rsid w:val="004A7B8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4A7B85"/>
    <w:rPr>
      <w:rFonts w:ascii="Times New Roman" w:hAnsi="Times New Roman" w:cs="Times New Roman"/>
      <w:caps/>
      <w:lang w:val="en-GB" w:eastAsia="en-US"/>
    </w:rPr>
  </w:style>
  <w:style w:type="paragraph" w:customStyle="1" w:styleId="Figuretitle">
    <w:name w:val="Figure_title"/>
    <w:basedOn w:val="Normal"/>
    <w:next w:val="Normal"/>
    <w:link w:val="FiguretitleChar"/>
    <w:rsid w:val="004A7B85"/>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4A7B85"/>
    <w:rPr>
      <w:rFonts w:ascii="Times New Roman Bold" w:hAnsi="Times New Roman Bold" w:cs="Times New Roman"/>
      <w:b/>
      <w:lang w:val="en-GB" w:eastAsia="en-US"/>
    </w:rPr>
  </w:style>
  <w:style w:type="character" w:customStyle="1" w:styleId="hps">
    <w:name w:val="hps"/>
    <w:basedOn w:val="DefaultParagraphFont"/>
    <w:rsid w:val="004A7B85"/>
  </w:style>
  <w:style w:type="paragraph" w:customStyle="1" w:styleId="Annextitle0">
    <w:name w:val="Annex_title"/>
    <w:basedOn w:val="Normal"/>
    <w:next w:val="Normal"/>
    <w:rsid w:val="0015772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cs="Times New Roman"/>
      <w:b/>
      <w:sz w:val="28"/>
      <w:szCs w:val="20"/>
      <w:lang w:val="en-GB"/>
    </w:rPr>
  </w:style>
  <w:style w:type="paragraph" w:customStyle="1" w:styleId="Normalaftertitle0">
    <w:name w:val="Normal after title"/>
    <w:basedOn w:val="Normal"/>
    <w:next w:val="Normal"/>
    <w:link w:val="NormalaftertitleChar0"/>
    <w:uiPriority w:val="99"/>
    <w:qFormat/>
    <w:rsid w:val="004A7B8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locked/>
    <w:rsid w:val="004A7B85"/>
    <w:rPr>
      <w:rFonts w:ascii="Times New Roman" w:hAnsi="Times New Roman" w:cs="Times New Roman"/>
      <w:sz w:val="24"/>
      <w:lang w:val="en-GB" w:eastAsia="en-US"/>
    </w:rPr>
  </w:style>
  <w:style w:type="character" w:customStyle="1" w:styleId="Appdef">
    <w:name w:val="App_def"/>
    <w:basedOn w:val="DefaultParagraphFont"/>
    <w:rsid w:val="004A7B85"/>
    <w:rPr>
      <w:rFonts w:ascii="Times New Roman" w:hAnsi="Times New Roman"/>
      <w:b/>
    </w:rPr>
  </w:style>
  <w:style w:type="character" w:customStyle="1" w:styleId="Appref">
    <w:name w:val="App_ref"/>
    <w:basedOn w:val="DefaultParagraphFont"/>
    <w:rsid w:val="004A7B85"/>
  </w:style>
  <w:style w:type="paragraph" w:customStyle="1" w:styleId="AppendixNotitle0">
    <w:name w:val="Appendix_No &amp; title"/>
    <w:basedOn w:val="AnnexNotitle0"/>
    <w:next w:val="Normal"/>
    <w:uiPriority w:val="99"/>
    <w:rsid w:val="004A7B85"/>
    <w:rPr>
      <w:lang w:val="en-GB"/>
    </w:rPr>
  </w:style>
  <w:style w:type="character" w:customStyle="1" w:styleId="Artdef">
    <w:name w:val="Art_def"/>
    <w:basedOn w:val="DefaultParagraphFont"/>
    <w:rsid w:val="004A7B85"/>
    <w:rPr>
      <w:rFonts w:ascii="Times New Roman" w:hAnsi="Times New Roman"/>
      <w:b/>
    </w:rPr>
  </w:style>
  <w:style w:type="character" w:customStyle="1" w:styleId="Artref">
    <w:name w:val="Art_ref"/>
    <w:basedOn w:val="DefaultParagraphFont"/>
    <w:rsid w:val="004A7B85"/>
  </w:style>
  <w:style w:type="character" w:styleId="EndnoteReference">
    <w:name w:val="endnote reference"/>
    <w:basedOn w:val="DefaultParagraphFont"/>
    <w:rsid w:val="004A7B85"/>
    <w:rPr>
      <w:vertAlign w:val="superscript"/>
    </w:rPr>
  </w:style>
  <w:style w:type="paragraph" w:customStyle="1" w:styleId="FigureNotitle0">
    <w:name w:val="Figure_No &amp; title"/>
    <w:basedOn w:val="Normal"/>
    <w:next w:val="Normal"/>
    <w:rsid w:val="004A7B85"/>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4A7B85"/>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4A7B85"/>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4A7B85"/>
    <w:pPr>
      <w:keepNext w:val="0"/>
      <w:spacing w:after="480"/>
    </w:pPr>
  </w:style>
  <w:style w:type="paragraph" w:customStyle="1" w:styleId="RecNoBR">
    <w:name w:val="Rec_No_BR"/>
    <w:basedOn w:val="Normal"/>
    <w:next w:val="Normal"/>
    <w:uiPriority w:val="99"/>
    <w:rsid w:val="004A7B85"/>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4A7B85"/>
  </w:style>
  <w:style w:type="character" w:customStyle="1" w:styleId="Recdef">
    <w:name w:val="Rec_def"/>
    <w:basedOn w:val="DefaultParagraphFont"/>
    <w:rsid w:val="004A7B85"/>
    <w:rPr>
      <w:b/>
    </w:rPr>
  </w:style>
  <w:style w:type="paragraph" w:customStyle="1" w:styleId="RepNoBR">
    <w:name w:val="Rep_No_BR"/>
    <w:basedOn w:val="RecNoBR"/>
    <w:next w:val="Normal"/>
    <w:uiPriority w:val="99"/>
    <w:rsid w:val="004A7B85"/>
  </w:style>
  <w:style w:type="character" w:customStyle="1" w:styleId="Resdef">
    <w:name w:val="Res_def"/>
    <w:basedOn w:val="DefaultParagraphFont"/>
    <w:rsid w:val="004A7B85"/>
    <w:rPr>
      <w:rFonts w:ascii="Times New Roman" w:hAnsi="Times New Roman"/>
      <w:b/>
    </w:rPr>
  </w:style>
  <w:style w:type="paragraph" w:customStyle="1" w:styleId="ResNoBR">
    <w:name w:val="Res_No_BR"/>
    <w:basedOn w:val="RecNoBR"/>
    <w:next w:val="Normal"/>
    <w:rsid w:val="004A7B85"/>
  </w:style>
  <w:style w:type="character" w:customStyle="1" w:styleId="Tablefreq">
    <w:name w:val="Table_freq"/>
    <w:basedOn w:val="DefaultParagraphFont"/>
    <w:rsid w:val="004A7B85"/>
    <w:rPr>
      <w:b/>
      <w:color w:val="auto"/>
    </w:rPr>
  </w:style>
  <w:style w:type="paragraph" w:customStyle="1" w:styleId="TableNotitle0">
    <w:name w:val="Table_No &amp; title"/>
    <w:basedOn w:val="Normal"/>
    <w:next w:val="Tablehead"/>
    <w:rsid w:val="004A7B85"/>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4A7B85"/>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4A7B85"/>
    <w:pPr>
      <w:keepNext/>
      <w:spacing w:before="0" w:after="120" w:line="240" w:lineRule="auto"/>
      <w:jc w:val="center"/>
    </w:pPr>
    <w:rPr>
      <w:rFonts w:ascii="Times New Roman" w:hAnsi="Times New Roman" w:cs="Times New Roman"/>
      <w:szCs w:val="20"/>
      <w:lang w:val="en-GB"/>
    </w:rPr>
  </w:style>
  <w:style w:type="paragraph" w:customStyle="1" w:styleId="TableNo">
    <w:name w:val="Table_No"/>
    <w:basedOn w:val="Normal"/>
    <w:next w:val="Normal"/>
    <w:link w:val="TableNoChar"/>
    <w:rsid w:val="00C90EC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cs="Times New Roman"/>
      <w:caps/>
      <w:sz w:val="20"/>
      <w:szCs w:val="20"/>
      <w:lang w:val="en-GB"/>
    </w:rPr>
  </w:style>
  <w:style w:type="character" w:customStyle="1" w:styleId="TableNoChar">
    <w:name w:val="Table_No Char"/>
    <w:link w:val="TableNo"/>
    <w:locked/>
    <w:rsid w:val="00C90ECE"/>
    <w:rPr>
      <w:rFonts w:cs="Times New Roman"/>
      <w:caps/>
      <w:lang w:val="en-GB" w:eastAsia="en-US"/>
    </w:rPr>
  </w:style>
  <w:style w:type="paragraph" w:customStyle="1" w:styleId="Tabletitle">
    <w:name w:val="Table_title"/>
    <w:basedOn w:val="Normal"/>
    <w:next w:val="Tabletext"/>
    <w:link w:val="TabletitleChar"/>
    <w:uiPriority w:val="99"/>
    <w:rsid w:val="004A7B85"/>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4A7B85"/>
    <w:rPr>
      <w:rFonts w:ascii="Times New Roman Bold" w:hAnsi="Times New Roman Bold" w:cs="Times New Roman"/>
      <w:b/>
      <w:lang w:val="en-GB" w:eastAsia="en-US"/>
    </w:rPr>
  </w:style>
  <w:style w:type="paragraph" w:customStyle="1" w:styleId="2">
    <w:name w:val="2"/>
    <w:basedOn w:val="Heading1"/>
    <w:rsid w:val="004A7B85"/>
    <w:pPr>
      <w:spacing w:before="360" w:line="240" w:lineRule="auto"/>
      <w:jc w:val="left"/>
    </w:pPr>
    <w:rPr>
      <w:rFonts w:ascii="Times New Roman" w:hAnsi="Times New Roman" w:cs="Times New Roman"/>
      <w:szCs w:val="20"/>
      <w:lang w:val="en-GB"/>
    </w:rPr>
  </w:style>
  <w:style w:type="paragraph" w:styleId="ListBullet">
    <w:name w:val="List Bullet"/>
    <w:basedOn w:val="Normal"/>
    <w:rsid w:val="004A7B85"/>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4A7B85"/>
    <w:rPr>
      <w:rFonts w:ascii="Times New Roman" w:hAnsi="Times New Roman" w:cs="Times New Roman"/>
      <w:lang w:val="en-GB" w:eastAsia="en-US"/>
    </w:rPr>
  </w:style>
  <w:style w:type="paragraph" w:styleId="EndnoteText">
    <w:name w:val="endnote text"/>
    <w:basedOn w:val="Normal"/>
    <w:link w:val="EndnoteTextChar"/>
    <w:semiHidden/>
    <w:unhideWhenUsed/>
    <w:rsid w:val="004A7B85"/>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4A7B85"/>
    <w:rPr>
      <w:lang w:val="en-US" w:eastAsia="en-US"/>
    </w:rPr>
  </w:style>
  <w:style w:type="paragraph" w:customStyle="1" w:styleId="Annexref">
    <w:name w:val="Annex_ref"/>
    <w:basedOn w:val="Normal"/>
    <w:next w:val="Normal"/>
    <w:rsid w:val="004A7B8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4A7B85"/>
  </w:style>
  <w:style w:type="paragraph" w:customStyle="1" w:styleId="Appendixref">
    <w:name w:val="Appendix_ref"/>
    <w:basedOn w:val="Annexref"/>
    <w:next w:val="Annextitle0"/>
    <w:rsid w:val="004A7B85"/>
  </w:style>
  <w:style w:type="paragraph" w:customStyle="1" w:styleId="Appendixtitle">
    <w:name w:val="Appendix_title"/>
    <w:basedOn w:val="Annextitle0"/>
    <w:next w:val="Normal"/>
    <w:rsid w:val="004A7B85"/>
  </w:style>
  <w:style w:type="paragraph" w:customStyle="1" w:styleId="Border">
    <w:name w:val="Border"/>
    <w:basedOn w:val="Tabletext"/>
    <w:rsid w:val="004A7B85"/>
    <w:pPr>
      <w:pBdr>
        <w:bottom w:val="single" w:sz="6" w:space="0" w:color="auto"/>
      </w:pBd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eastAsia="nl-NL"/>
    </w:rPr>
  </w:style>
  <w:style w:type="paragraph" w:styleId="NormalIndent0">
    <w:name w:val="Normal Indent"/>
    <w:basedOn w:val="Normal"/>
    <w:rsid w:val="004A7B8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4A7B85"/>
  </w:style>
  <w:style w:type="paragraph" w:customStyle="1" w:styleId="Proposal">
    <w:name w:val="Proposal"/>
    <w:basedOn w:val="Normal"/>
    <w:next w:val="Normal"/>
    <w:rsid w:val="004A7B8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4A7B85"/>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4A7B8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4A7B85"/>
    <w:pPr>
      <w:spacing w:line="240" w:lineRule="auto"/>
      <w:jc w:val="left"/>
    </w:pPr>
    <w:rPr>
      <w:rFonts w:ascii="Times New Roman" w:hAnsi="Times New Roman" w:cs="Times New Roman"/>
      <w:sz w:val="22"/>
      <w:szCs w:val="20"/>
      <w:lang w:val="en-GB"/>
    </w:rPr>
  </w:style>
  <w:style w:type="paragraph" w:styleId="BlockText">
    <w:name w:val="Block Text"/>
    <w:basedOn w:val="Normal"/>
    <w:rsid w:val="004A7B85"/>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4A7B85"/>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4A7B85"/>
    <w:rPr>
      <w:rFonts w:ascii="Times New Roman" w:hAnsi="Times New Roman" w:cs="Times New Roman"/>
      <w:sz w:val="24"/>
      <w:lang w:val="en-GB" w:eastAsia="en-US"/>
    </w:rPr>
  </w:style>
  <w:style w:type="paragraph" w:customStyle="1" w:styleId="Line">
    <w:name w:val="Line"/>
    <w:basedOn w:val="Normal"/>
    <w:next w:val="Normal"/>
    <w:rsid w:val="004A7B85"/>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4A7B85"/>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4A7B85"/>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4A7B85"/>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4A7B85"/>
    <w:rPr>
      <w:rFonts w:ascii="Times New Roman" w:hAnsi="Times New Roman" w:cs="Times New Roman"/>
      <w:sz w:val="24"/>
      <w:lang w:val="en-GB" w:eastAsia="en-US"/>
    </w:rPr>
  </w:style>
  <w:style w:type="paragraph" w:customStyle="1" w:styleId="call0">
    <w:name w:val="call"/>
    <w:basedOn w:val="Normal"/>
    <w:next w:val="Normal"/>
    <w:rsid w:val="004A7B85"/>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4A7B85"/>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4A7B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4A7B85"/>
    <w:pPr>
      <w:spacing w:before="113" w:after="113"/>
      <w:jc w:val="center"/>
    </w:pPr>
    <w:rPr>
      <w:b/>
    </w:rPr>
  </w:style>
  <w:style w:type="character" w:customStyle="1" w:styleId="CharChar">
    <w:name w:val="Char Char"/>
    <w:basedOn w:val="DefaultParagraphFont"/>
    <w:rsid w:val="004A7B85"/>
    <w:rPr>
      <w:sz w:val="22"/>
      <w:lang w:val="en-GB" w:eastAsia="en-US" w:bidi="ar-SA"/>
    </w:rPr>
  </w:style>
  <w:style w:type="paragraph" w:customStyle="1" w:styleId="toctemp">
    <w:name w:val="toctemp"/>
    <w:basedOn w:val="Normal"/>
    <w:next w:val="FootnoteText"/>
    <w:rsid w:val="004A7B85"/>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4A7B85"/>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4A7B85"/>
  </w:style>
  <w:style w:type="paragraph" w:customStyle="1" w:styleId="headingb0">
    <w:name w:val="heading_b"/>
    <w:basedOn w:val="Heading3"/>
    <w:next w:val="Normal"/>
    <w:uiPriority w:val="99"/>
    <w:rsid w:val="004A7B8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4A7B85"/>
  </w:style>
  <w:style w:type="paragraph" w:customStyle="1" w:styleId="Agendaitem">
    <w:name w:val="Agenda_item"/>
    <w:basedOn w:val="Normal"/>
    <w:next w:val="Normal"/>
    <w:qFormat/>
    <w:rsid w:val="004A7B85"/>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4A7B85"/>
  </w:style>
  <w:style w:type="paragraph" w:customStyle="1" w:styleId="Subsection1">
    <w:name w:val="Subsection_1"/>
    <w:basedOn w:val="Section1"/>
    <w:next w:val="Normalaftertitle0"/>
    <w:qFormat/>
    <w:rsid w:val="004A7B85"/>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4A7B85"/>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4A7B85"/>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4A7B85"/>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4A7B8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4A7B85"/>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4A7B85"/>
    <w:rPr>
      <w:b/>
      <w:bCs/>
      <w:color w:val="auto"/>
    </w:rPr>
  </w:style>
  <w:style w:type="character" w:customStyle="1" w:styleId="ApprefBold">
    <w:name w:val="App_ref + Bold"/>
    <w:basedOn w:val="Appref"/>
    <w:qFormat/>
    <w:rsid w:val="004A7B85"/>
    <w:rPr>
      <w:b/>
      <w:bCs/>
      <w:color w:val="000000"/>
    </w:rPr>
  </w:style>
  <w:style w:type="character" w:customStyle="1" w:styleId="ECCHLsuperscript">
    <w:name w:val="ECC HL super script"/>
    <w:basedOn w:val="DefaultParagraphFont"/>
    <w:uiPriority w:val="1"/>
    <w:qFormat/>
    <w:rsid w:val="004A7B85"/>
    <w:rPr>
      <w:vertAlign w:val="superscript"/>
    </w:rPr>
  </w:style>
  <w:style w:type="character" w:customStyle="1" w:styleId="ECCHLunderlined">
    <w:name w:val="ECC HL underlined"/>
    <w:uiPriority w:val="1"/>
    <w:qFormat/>
    <w:rsid w:val="004A7B85"/>
    <w:rPr>
      <w:u w:val="single"/>
    </w:rPr>
  </w:style>
  <w:style w:type="paragraph" w:customStyle="1" w:styleId="TabletextHanging0">
    <w:name w:val="Table_text + Hanging:  0"/>
    <w:aliases w:val="5 cm"/>
    <w:basedOn w:val="Tabletext"/>
    <w:rsid w:val="004A7B85"/>
    <w:pPr>
      <w:tabs>
        <w:tab w:val="clear" w:pos="284"/>
        <w:tab w:val="clear" w:pos="567"/>
        <w:tab w:val="left" w:pos="1871"/>
      </w:tabs>
      <w:ind w:left="284" w:hanging="284"/>
    </w:pPr>
    <w:rPr>
      <w:rFonts w:ascii="Times New Roman" w:hAnsi="Times New Roman" w:cs="Times New Roman"/>
      <w:szCs w:val="20"/>
      <w:lang w:eastAsia="nl-NL"/>
    </w:rPr>
  </w:style>
  <w:style w:type="paragraph" w:customStyle="1" w:styleId="Tablefin">
    <w:name w:val="Table_fin"/>
    <w:basedOn w:val="Normal"/>
    <w:rsid w:val="004A7B85"/>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4A7B85"/>
    <w:rPr>
      <w:rFonts w:ascii="Times New Roman" w:hAnsi="Times New Roman"/>
      <w:b/>
      <w:i/>
      <w:sz w:val="24"/>
      <w:lang w:val="en-GB" w:eastAsia="en-US"/>
    </w:rPr>
  </w:style>
  <w:style w:type="character" w:styleId="Emphasis">
    <w:name w:val="Emphasis"/>
    <w:basedOn w:val="DefaultParagraphFont"/>
    <w:uiPriority w:val="20"/>
    <w:qFormat/>
    <w:rsid w:val="004A7B85"/>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4A7B85"/>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4A7B85"/>
    <w:pPr>
      <w:spacing w:line="240" w:lineRule="auto"/>
    </w:pPr>
    <w:rPr>
      <w:b/>
      <w:bCs/>
      <w:szCs w:val="20"/>
    </w:rPr>
  </w:style>
  <w:style w:type="character" w:customStyle="1" w:styleId="CommentTextChar1">
    <w:name w:val="Comment Text Char1"/>
    <w:basedOn w:val="DefaultParagraphFont"/>
    <w:link w:val="CommentText"/>
    <w:semiHidden/>
    <w:rsid w:val="004A7B85"/>
    <w:rPr>
      <w:szCs w:val="22"/>
      <w:lang w:val="en-US" w:eastAsia="en-US"/>
    </w:rPr>
  </w:style>
  <w:style w:type="character" w:customStyle="1" w:styleId="CommentSubjectChar">
    <w:name w:val="Comment Subject Char"/>
    <w:basedOn w:val="CommentTextChar1"/>
    <w:link w:val="CommentSubject"/>
    <w:semiHidden/>
    <w:rsid w:val="004A7B85"/>
    <w:rPr>
      <w:b/>
      <w:bCs/>
      <w:szCs w:val="22"/>
      <w:lang w:val="en-US" w:eastAsia="en-US"/>
    </w:rPr>
  </w:style>
  <w:style w:type="paragraph" w:styleId="Revision">
    <w:name w:val="Revision"/>
    <w:hidden/>
    <w:uiPriority w:val="99"/>
    <w:semiHidden/>
    <w:rsid w:val="004A7B85"/>
    <w:rPr>
      <w:sz w:val="24"/>
      <w:szCs w:val="22"/>
      <w:lang w:val="en-US" w:eastAsia="en-US"/>
    </w:rPr>
  </w:style>
  <w:style w:type="paragraph" w:customStyle="1" w:styleId="Headingsplit">
    <w:name w:val="Heading_split"/>
    <w:basedOn w:val="Headingi"/>
    <w:qFormat/>
    <w:rsid w:val="004A7B85"/>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4A7B85"/>
    <w:rPr>
      <w:rFonts w:ascii="Times New Roman" w:hAnsi="Times New Roman"/>
      <w:b w:val="0"/>
    </w:rPr>
  </w:style>
  <w:style w:type="paragraph" w:customStyle="1" w:styleId="Tablesplit">
    <w:name w:val="Table_split"/>
    <w:basedOn w:val="Tabletext"/>
    <w:qFormat/>
    <w:rsid w:val="004A7B8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eastAsia="nl-NL"/>
    </w:rPr>
  </w:style>
  <w:style w:type="paragraph" w:customStyle="1" w:styleId="Methodheading1">
    <w:name w:val="Method_heading1"/>
    <w:basedOn w:val="Heading1"/>
    <w:next w:val="Normal"/>
    <w:qFormat/>
    <w:rsid w:val="004A7B85"/>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4A7B85"/>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4A7B85"/>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4A7B85"/>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4A7B85"/>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1">
    <w:name w:val="No List11"/>
    <w:next w:val="NoList"/>
    <w:uiPriority w:val="99"/>
    <w:semiHidden/>
    <w:unhideWhenUsed/>
    <w:rsid w:val="004A7B85"/>
  </w:style>
  <w:style w:type="paragraph" w:styleId="BodyText2">
    <w:name w:val="Body Text 2"/>
    <w:basedOn w:val="Normal"/>
    <w:link w:val="BodyText2Char"/>
    <w:uiPriority w:val="99"/>
    <w:rsid w:val="004A7B85"/>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4A7B85"/>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4A7B85"/>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4A7B85"/>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4A7B85"/>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4A7B8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4A7B8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4A7B85"/>
    <w:pPr>
      <w:spacing w:before="40" w:after="40"/>
    </w:pPr>
    <w:rPr>
      <w:iCs/>
      <w:sz w:val="20"/>
    </w:rPr>
  </w:style>
  <w:style w:type="table" w:styleId="GridTable1Light-Accent1">
    <w:name w:val="Grid Table 1 Light Accent 1"/>
    <w:basedOn w:val="TableNormal"/>
    <w:uiPriority w:val="46"/>
    <w:rsid w:val="004A7B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8-2019" TargetMode="External"/><Relationship Id="rId13" Type="http://schemas.openxmlformats.org/officeDocument/2006/relationships/hyperlink" Target="mailto:mohammed.alhassani@tra.gov.ae" TargetMode="External"/><Relationship Id="rId18" Type="http://schemas.openxmlformats.org/officeDocument/2006/relationships/hyperlink" Target="mailto:jongmin@etri.re.kr" TargetMode="External"/><Relationship Id="rId26" Type="http://schemas.openxmlformats.org/officeDocument/2006/relationships/footer" Target="footer2.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itu.int/md/R16-WRC19-C-0535/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aliyu@ncc.gov.ng" TargetMode="External"/><Relationship Id="rId17" Type="http://schemas.openxmlformats.org/officeDocument/2006/relationships/hyperlink" Target="mailto:ferrero.huang@srrc.org.cn" TargetMode="Externa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george.kwizera@rura.rw"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oyuki.atarashi.yt@nttdocomo.com" TargetMode="External"/><Relationship Id="rId24" Type="http://schemas.openxmlformats.org/officeDocument/2006/relationships/hyperlink" Target="https://www.itu.int/md/R16-WRC19-C-0535/es" TargetMode="External"/><Relationship Id="rId32" Type="http://schemas.openxmlformats.org/officeDocument/2006/relationships/header" Target="header7.xml"/><Relationship Id="rId37" Type="http://schemas.openxmlformats.org/officeDocument/2006/relationships/hyperlink" Target="https://www.itu.int/en/ITU-R/study-groups/rcpm/Pages/cpm-23-chp-rapporteurs.aspx" TargetMode="Externa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fmagnier@eutelsat.fr"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www.itu.int/go/ITU-R/cvc/CPM" TargetMode="External"/><Relationship Id="rId10" Type="http://schemas.openxmlformats.org/officeDocument/2006/relationships/hyperlink" Target="https://www.itu.int/md/R16-WRC19-C-0550/es" TargetMode="External"/><Relationship Id="rId19" Type="http://schemas.openxmlformats.org/officeDocument/2006/relationships/hyperlink" Target="https://www.itu.int/md/R15-CPM23.01-C-0001/e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md/R15-CPM23.01-C-0001/en" TargetMode="External"/><Relationship Id="rId14" Type="http://schemas.openxmlformats.org/officeDocument/2006/relationships/hyperlink" Target="mailto:bakaust@anatel.gov.br" TargetMode="External"/><Relationship Id="rId22" Type="http://schemas.openxmlformats.org/officeDocument/2006/relationships/header" Target="header3.xml"/><Relationship Id="rId27" Type="http://schemas.openxmlformats.org/officeDocument/2006/relationships/hyperlink" Target="https://www.itu.int/md/R15-CPM23.01-C-0001/en" TargetMode="External"/><Relationship Id="rId30" Type="http://schemas.openxmlformats.org/officeDocument/2006/relationships/header" Target="header6.xml"/><Relationship Id="rId35" Type="http://schemas.openxmlformats.org/officeDocument/2006/relationships/hyperlink" Target="https://www.itu.int/oth/R0A0A00001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C0CF-2F97-4020-B1CF-E6482B05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727</TotalTime>
  <Pages>73</Pages>
  <Words>26349</Words>
  <Characters>143508</Characters>
  <Application>Microsoft Office Word</Application>
  <DocSecurity>0</DocSecurity>
  <Lines>1195</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169518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Spanish1</dc:creator>
  <cp:lastModifiedBy>Norton Viard, Emma</cp:lastModifiedBy>
  <cp:revision>65</cp:revision>
  <cp:lastPrinted>2019-12-17T10:15:00Z</cp:lastPrinted>
  <dcterms:created xsi:type="dcterms:W3CDTF">2019-12-13T14:42:00Z</dcterms:created>
  <dcterms:modified xsi:type="dcterms:W3CDTF">2019-12-19T09:58:00Z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